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26FA0" w:rsidRDefault="00A26FA0" w:rsidP="00D21363">
      <w:pPr>
        <w:widowControl w:val="0"/>
        <w:spacing w:line="440" w:lineRule="exact"/>
        <w:ind w:left="284" w:right="590"/>
        <w:jc w:val="center"/>
        <w:rPr>
          <w:b/>
          <w:sz w:val="24"/>
        </w:rPr>
      </w:pPr>
    </w:p>
    <w:p w:rsidR="00A26FA0" w:rsidRDefault="00D21363" w:rsidP="00D21363">
      <w:pPr>
        <w:widowControl w:val="0"/>
        <w:spacing w:line="440" w:lineRule="exact"/>
        <w:ind w:left="284" w:right="590"/>
        <w:jc w:val="center"/>
        <w:rPr>
          <w:b/>
          <w:sz w:val="24"/>
        </w:rPr>
      </w:pPr>
      <w:r>
        <w:rPr>
          <w:b/>
          <w:sz w:val="24"/>
        </w:rPr>
        <w:t>Exegetical</w:t>
      </w:r>
      <w:r w:rsidR="00194A5B">
        <w:rPr>
          <w:b/>
          <w:sz w:val="24"/>
        </w:rPr>
        <w:t xml:space="preserve"> Perspectives on </w:t>
      </w:r>
      <w:r w:rsidR="002F1E0B">
        <w:rPr>
          <w:b/>
          <w:sz w:val="24"/>
        </w:rPr>
        <w:t>Ephesians 2:11-22</w:t>
      </w:r>
    </w:p>
    <w:p w:rsidR="0085522E" w:rsidRDefault="0085522E" w:rsidP="00832F5B">
      <w:pPr>
        <w:widowControl w:val="0"/>
        <w:spacing w:line="440" w:lineRule="exact"/>
        <w:ind w:left="284" w:right="590"/>
        <w:rPr>
          <w:b/>
          <w:sz w:val="24"/>
        </w:rPr>
      </w:pPr>
    </w:p>
    <w:p w:rsidR="0085522E" w:rsidRPr="00A636D4" w:rsidRDefault="00A636D4" w:rsidP="001A4BBB">
      <w:pPr>
        <w:widowControl w:val="0"/>
        <w:pBdr>
          <w:top w:val="single" w:sz="4" w:space="1" w:color="auto"/>
          <w:left w:val="single" w:sz="4" w:space="4" w:color="auto"/>
          <w:bottom w:val="single" w:sz="4" w:space="1" w:color="auto"/>
          <w:right w:val="single" w:sz="4" w:space="4" w:color="auto"/>
        </w:pBdr>
        <w:spacing w:line="320" w:lineRule="exact"/>
        <w:ind w:left="709" w:right="875"/>
        <w:jc w:val="both"/>
        <w:rPr>
          <w:bCs/>
          <w:sz w:val="22"/>
          <w:szCs w:val="18"/>
        </w:rPr>
      </w:pPr>
      <w:r w:rsidRPr="00A636D4">
        <w:rPr>
          <w:bCs/>
          <w:szCs w:val="21"/>
          <w:vertAlign w:val="superscript"/>
        </w:rPr>
        <w:t xml:space="preserve">11 </w:t>
      </w:r>
      <w:r w:rsidR="00832F5B" w:rsidRPr="00A636D4">
        <w:rPr>
          <w:bCs/>
          <w:sz w:val="22"/>
          <w:szCs w:val="18"/>
        </w:rPr>
        <w:t>So then, remember that at one time you Gentiles by birth, called ‘the uncircumcision’</w:t>
      </w:r>
      <w:r w:rsidRPr="00A636D4">
        <w:rPr>
          <w:bCs/>
          <w:sz w:val="22"/>
          <w:szCs w:val="18"/>
        </w:rPr>
        <w:t xml:space="preserve"> by those who are called ‘the circumcision’ -  a physical circumcision made in the flesh by human hands – </w:t>
      </w:r>
      <w:r w:rsidRPr="00A636D4">
        <w:rPr>
          <w:bCs/>
          <w:szCs w:val="21"/>
          <w:vertAlign w:val="superscript"/>
        </w:rPr>
        <w:t xml:space="preserve">12 </w:t>
      </w:r>
      <w:r w:rsidRPr="00A636D4">
        <w:rPr>
          <w:bCs/>
          <w:sz w:val="22"/>
          <w:szCs w:val="18"/>
        </w:rPr>
        <w:t xml:space="preserve">remember that you were at that time without Christ, being aliens from the commonwealth of Israel, and strangers to the covenants of promise, having no hope and without God in the world. </w:t>
      </w:r>
      <w:r w:rsidRPr="00A636D4">
        <w:rPr>
          <w:bCs/>
          <w:szCs w:val="21"/>
          <w:vertAlign w:val="superscript"/>
        </w:rPr>
        <w:t>13</w:t>
      </w:r>
      <w:r>
        <w:rPr>
          <w:bCs/>
          <w:sz w:val="22"/>
          <w:szCs w:val="18"/>
          <w:vertAlign w:val="superscript"/>
        </w:rPr>
        <w:t xml:space="preserve"> </w:t>
      </w:r>
      <w:r w:rsidRPr="00A636D4">
        <w:rPr>
          <w:bCs/>
          <w:sz w:val="22"/>
          <w:szCs w:val="18"/>
        </w:rPr>
        <w:t xml:space="preserve">But now in Christ Jesus you who once were far off have been brought near by the blood of Christ. </w:t>
      </w:r>
      <w:r w:rsidRPr="00A636D4">
        <w:rPr>
          <w:bCs/>
          <w:szCs w:val="21"/>
          <w:vertAlign w:val="superscript"/>
        </w:rPr>
        <w:t>14</w:t>
      </w:r>
      <w:r>
        <w:rPr>
          <w:bCs/>
          <w:sz w:val="22"/>
          <w:szCs w:val="18"/>
          <w:vertAlign w:val="superscript"/>
        </w:rPr>
        <w:t xml:space="preserve"> </w:t>
      </w:r>
      <w:r w:rsidRPr="00A636D4">
        <w:rPr>
          <w:bCs/>
          <w:sz w:val="22"/>
          <w:szCs w:val="18"/>
        </w:rPr>
        <w:t>For he is our peace; in his flesh he has made both groups into one and has broken down the dividing wall, tha</w:t>
      </w:r>
      <w:r>
        <w:rPr>
          <w:bCs/>
          <w:sz w:val="22"/>
          <w:szCs w:val="18"/>
        </w:rPr>
        <w:t xml:space="preserve">t is, the hostility between us. </w:t>
      </w:r>
      <w:r w:rsidRPr="00A636D4">
        <w:rPr>
          <w:bCs/>
          <w:szCs w:val="21"/>
          <w:vertAlign w:val="superscript"/>
        </w:rPr>
        <w:t>15</w:t>
      </w:r>
      <w:r>
        <w:rPr>
          <w:bCs/>
          <w:sz w:val="22"/>
          <w:szCs w:val="18"/>
          <w:vertAlign w:val="superscript"/>
        </w:rPr>
        <w:t xml:space="preserve"> </w:t>
      </w:r>
      <w:r>
        <w:rPr>
          <w:bCs/>
          <w:sz w:val="22"/>
          <w:szCs w:val="18"/>
        </w:rPr>
        <w:t xml:space="preserve">He has abolished the law with its commandments and ordinances, so that he might create in himself one new humanity in place of the two, thus making peace, </w:t>
      </w:r>
      <w:r w:rsidRPr="00A636D4">
        <w:rPr>
          <w:bCs/>
          <w:szCs w:val="21"/>
          <w:vertAlign w:val="superscript"/>
        </w:rPr>
        <w:t xml:space="preserve">16 </w:t>
      </w:r>
      <w:r>
        <w:rPr>
          <w:bCs/>
          <w:sz w:val="22"/>
          <w:szCs w:val="18"/>
        </w:rPr>
        <w:t xml:space="preserve">and might reconcile both groups to God in one body through the cross, thus putting to death that hostility through it. </w:t>
      </w:r>
      <w:r w:rsidRPr="00A636D4">
        <w:rPr>
          <w:bCs/>
          <w:szCs w:val="21"/>
          <w:vertAlign w:val="superscript"/>
        </w:rPr>
        <w:t>17</w:t>
      </w:r>
      <w:r>
        <w:rPr>
          <w:bCs/>
          <w:sz w:val="22"/>
          <w:szCs w:val="18"/>
          <w:vertAlign w:val="superscript"/>
        </w:rPr>
        <w:t xml:space="preserve"> </w:t>
      </w:r>
      <w:r>
        <w:rPr>
          <w:bCs/>
          <w:sz w:val="22"/>
          <w:szCs w:val="18"/>
        </w:rPr>
        <w:t xml:space="preserve">So he came and proclaimed peace to you who were far off and peace to those who were near; </w:t>
      </w:r>
      <w:r w:rsidRPr="00A636D4">
        <w:rPr>
          <w:bCs/>
          <w:szCs w:val="21"/>
          <w:vertAlign w:val="superscript"/>
        </w:rPr>
        <w:t>18</w:t>
      </w:r>
      <w:r>
        <w:rPr>
          <w:bCs/>
          <w:sz w:val="22"/>
          <w:szCs w:val="18"/>
          <w:vertAlign w:val="superscript"/>
        </w:rPr>
        <w:t xml:space="preserve"> </w:t>
      </w:r>
      <w:r>
        <w:rPr>
          <w:bCs/>
          <w:sz w:val="22"/>
          <w:szCs w:val="18"/>
        </w:rPr>
        <w:t xml:space="preserve">for through him both of us have access in one Spirit to the Father.  </w:t>
      </w:r>
      <w:r w:rsidRPr="00A636D4">
        <w:rPr>
          <w:bCs/>
          <w:szCs w:val="21"/>
          <w:vertAlign w:val="superscript"/>
        </w:rPr>
        <w:t xml:space="preserve">19 </w:t>
      </w:r>
      <w:r>
        <w:rPr>
          <w:bCs/>
          <w:sz w:val="22"/>
          <w:szCs w:val="18"/>
        </w:rPr>
        <w:t xml:space="preserve">So then you are no longer strangers and aliens, but you are citizens with the saints and also members of the household of God, </w:t>
      </w:r>
      <w:r w:rsidRPr="00A636D4">
        <w:rPr>
          <w:bCs/>
          <w:szCs w:val="21"/>
          <w:vertAlign w:val="superscript"/>
        </w:rPr>
        <w:t>20</w:t>
      </w:r>
      <w:r>
        <w:rPr>
          <w:bCs/>
          <w:sz w:val="22"/>
          <w:szCs w:val="18"/>
          <w:vertAlign w:val="superscript"/>
        </w:rPr>
        <w:t xml:space="preserve"> </w:t>
      </w:r>
      <w:r>
        <w:rPr>
          <w:bCs/>
          <w:sz w:val="22"/>
          <w:szCs w:val="18"/>
        </w:rPr>
        <w:t xml:space="preserve">built upon the foundation of the apostles and prophets, with Christ Jesus himself as the cornerstone. </w:t>
      </w:r>
      <w:r w:rsidRPr="00A636D4">
        <w:rPr>
          <w:bCs/>
          <w:szCs w:val="21"/>
          <w:vertAlign w:val="superscript"/>
        </w:rPr>
        <w:t xml:space="preserve">21 </w:t>
      </w:r>
      <w:r>
        <w:rPr>
          <w:bCs/>
          <w:sz w:val="22"/>
          <w:szCs w:val="18"/>
        </w:rPr>
        <w:t xml:space="preserve">In him the whole structure is joined together  and grows into a holy temple in the Lord; </w:t>
      </w:r>
      <w:r w:rsidRPr="00A636D4">
        <w:rPr>
          <w:bCs/>
          <w:szCs w:val="21"/>
          <w:vertAlign w:val="superscript"/>
        </w:rPr>
        <w:t>22</w:t>
      </w:r>
      <w:r>
        <w:rPr>
          <w:bCs/>
          <w:sz w:val="22"/>
          <w:szCs w:val="18"/>
        </w:rPr>
        <w:t>in whom you also are built together spiritually into a dwelling-place for God.</w:t>
      </w:r>
    </w:p>
    <w:p w:rsidR="00A26FA0" w:rsidRDefault="00A26FA0" w:rsidP="00D21363">
      <w:pPr>
        <w:widowControl w:val="0"/>
        <w:spacing w:line="440" w:lineRule="exact"/>
        <w:ind w:left="284" w:right="590"/>
        <w:jc w:val="both"/>
        <w:rPr>
          <w:b/>
          <w:sz w:val="24"/>
        </w:rPr>
      </w:pPr>
    </w:p>
    <w:p w:rsidR="00A26FA0" w:rsidRDefault="002F1E0B" w:rsidP="00D21363">
      <w:pPr>
        <w:widowControl w:val="0"/>
        <w:spacing w:line="440" w:lineRule="exact"/>
        <w:ind w:left="284" w:right="590"/>
        <w:jc w:val="both"/>
        <w:rPr>
          <w:sz w:val="24"/>
        </w:rPr>
      </w:pPr>
      <w:r>
        <w:rPr>
          <w:sz w:val="24"/>
        </w:rPr>
        <w:t>This passage, which forms the theological high point of the letter to the Ephesians, can be divided into three parts or sub-sections. The first part (vv. 11-13) contrasts the past divisions that existed between Gentiles and the congregation of Israel with the Gentiles’ present experience of having been brought near through the blood of Christ (v. 13); the second part (vv. 14-18) consists of a praise of Christ’s work of reconciliation, for through Jesus</w:t>
      </w:r>
      <w:r w:rsidR="00194A5B">
        <w:rPr>
          <w:sz w:val="24"/>
        </w:rPr>
        <w:t>, it is claimed,</w:t>
      </w:r>
      <w:r>
        <w:rPr>
          <w:sz w:val="24"/>
        </w:rPr>
        <w:t xml:space="preserve"> the two groups have been united and have gained access to the Father; a third part (vv. 19-22) draws the conclusion that they are now fellow-citizens of the saints and members of the household of God, which is described as a continually growing building or temple.</w:t>
      </w:r>
    </w:p>
    <w:p w:rsidR="00A26FA0" w:rsidRDefault="00A26FA0" w:rsidP="00D21363">
      <w:pPr>
        <w:widowControl w:val="0"/>
        <w:spacing w:line="440" w:lineRule="exact"/>
        <w:ind w:left="284" w:right="590"/>
        <w:jc w:val="both"/>
        <w:rPr>
          <w:sz w:val="24"/>
        </w:rPr>
      </w:pPr>
    </w:p>
    <w:p w:rsidR="00A26FA0" w:rsidRDefault="002F1E0B" w:rsidP="00D21363">
      <w:pPr>
        <w:widowControl w:val="0"/>
        <w:spacing w:line="440" w:lineRule="exact"/>
        <w:ind w:left="284" w:right="590"/>
        <w:jc w:val="both"/>
        <w:rPr>
          <w:b/>
          <w:sz w:val="24"/>
        </w:rPr>
      </w:pPr>
      <w:r>
        <w:rPr>
          <w:b/>
          <w:sz w:val="24"/>
        </w:rPr>
        <w:t>Past Boundaries and Present Experience (vv. 11-13)</w:t>
      </w:r>
    </w:p>
    <w:p w:rsidR="00A26FA0" w:rsidRDefault="002F1E0B" w:rsidP="00D21363">
      <w:pPr>
        <w:widowControl w:val="0"/>
        <w:spacing w:line="440" w:lineRule="exact"/>
        <w:ind w:left="284" w:right="590"/>
        <w:jc w:val="both"/>
        <w:rPr>
          <w:sz w:val="24"/>
        </w:rPr>
      </w:pPr>
      <w:r>
        <w:rPr>
          <w:sz w:val="24"/>
        </w:rPr>
        <w:t>The writer, a Jewish Christian and probably a follower of Paul, draws attention in the first verse to the traditionally acknowle</w:t>
      </w:r>
      <w:r w:rsidR="00194A5B">
        <w:rPr>
          <w:sz w:val="24"/>
        </w:rPr>
        <w:t>d</w:t>
      </w:r>
      <w:r>
        <w:rPr>
          <w:sz w:val="24"/>
        </w:rPr>
        <w:t>ged ethnic distinctions between Gentiles and Jews. This description is evidently presented from a Jewish perspective, for Ephesians, Romans or Greeks would certainly have not referred to themselves simply as ‘Gentiles’ (</w:t>
      </w:r>
      <w:r>
        <w:rPr>
          <w:i/>
          <w:sz w:val="24"/>
        </w:rPr>
        <w:t xml:space="preserve">ta </w:t>
      </w:r>
      <w:proofErr w:type="spellStart"/>
      <w:r>
        <w:rPr>
          <w:i/>
          <w:sz w:val="24"/>
        </w:rPr>
        <w:t>ethn</w:t>
      </w:r>
      <w:r w:rsidR="00194A5B">
        <w:rPr>
          <w:i/>
          <w:sz w:val="24"/>
        </w:rPr>
        <w:t>ē</w:t>
      </w:r>
      <w:proofErr w:type="spellEnd"/>
      <w:r>
        <w:rPr>
          <w:sz w:val="24"/>
        </w:rPr>
        <w:t xml:space="preserve">). Such attempts at generalization </w:t>
      </w:r>
      <w:r w:rsidR="00194A5B">
        <w:rPr>
          <w:sz w:val="24"/>
        </w:rPr>
        <w:t>regarding non-Jewish nations -</w:t>
      </w:r>
      <w:r>
        <w:rPr>
          <w:sz w:val="24"/>
        </w:rPr>
        <w:t xml:space="preserve"> a phenomenon often </w:t>
      </w:r>
      <w:r>
        <w:rPr>
          <w:sz w:val="24"/>
        </w:rPr>
        <w:lastRenderedPageBreak/>
        <w:t>encountered in New Testa</w:t>
      </w:r>
      <w:r w:rsidR="00194A5B">
        <w:rPr>
          <w:sz w:val="24"/>
        </w:rPr>
        <w:t>ment texts -</w:t>
      </w:r>
      <w:r>
        <w:rPr>
          <w:sz w:val="24"/>
        </w:rPr>
        <w:t xml:space="preserve"> conceal the true extent of the ethnic diversity and self-understanding that existed within the early Christian communities. Similarly, the references to circumcision and uncircumcision as key identity markers would only have been of relevance for those who regarded their ethnic identity primarily in Jewish terms. </w:t>
      </w:r>
      <w:r w:rsidR="00194A5B">
        <w:rPr>
          <w:sz w:val="24"/>
        </w:rPr>
        <w:t>However,</w:t>
      </w:r>
      <w:r>
        <w:rPr>
          <w:sz w:val="24"/>
        </w:rPr>
        <w:t xml:space="preserve"> there are also clear indications that a shift to a Jewish-Christian perspective has already occurred in this opening statement. The author speaks of the past existence of Gentiles ‘in the flesh’ (NRSV ‘by birth’), which is later contrasted with their present life ‘in the spirit’ (NRSV: ‘spiritually’) within the Christian community (v. 22). The fact that </w:t>
      </w:r>
      <w:r w:rsidR="00194A5B">
        <w:rPr>
          <w:sz w:val="24"/>
        </w:rPr>
        <w:t>the passage</w:t>
      </w:r>
      <w:r>
        <w:rPr>
          <w:sz w:val="24"/>
        </w:rPr>
        <w:t xml:space="preserve"> also refers to Jewish circumcision as ‘made in the flesh b</w:t>
      </w:r>
      <w:r w:rsidR="00194A5B">
        <w:rPr>
          <w:sz w:val="24"/>
        </w:rPr>
        <w:t>y human hands’ suggests that the author</w:t>
      </w:r>
      <w:r>
        <w:rPr>
          <w:sz w:val="24"/>
        </w:rPr>
        <w:t xml:space="preserve"> now distances himself from the validity of using such ritual distinctions to articulate notions of superiority and inferiority, and he evidently anticipates the present reality within the Christian community in which such physical differences are no longer of relevance.</w:t>
      </w:r>
    </w:p>
    <w:p w:rsidR="00A26FA0" w:rsidRDefault="002F1E0B" w:rsidP="00D21363">
      <w:pPr>
        <w:widowControl w:val="0"/>
        <w:spacing w:line="440" w:lineRule="exact"/>
        <w:ind w:left="284" w:right="590" w:firstLine="284"/>
        <w:jc w:val="both"/>
        <w:rPr>
          <w:sz w:val="24"/>
        </w:rPr>
      </w:pPr>
      <w:r>
        <w:rPr>
          <w:sz w:val="24"/>
        </w:rPr>
        <w:t xml:space="preserve"> The Jewish-Christian background of the author also accounts for his description of the Gentiles’ previous disadvantages in connection with Israel’s past privileges (v. 12). With a clear eye to Israel’s history of salvation, the author portrays these disadvantages with the aid of terms drawn from the language of exclusion and separation. The Gentiles were at one time ‘without Christ’, here understood in messianic terms (</w:t>
      </w:r>
      <w:proofErr w:type="spellStart"/>
      <w:r>
        <w:rPr>
          <w:i/>
          <w:sz w:val="24"/>
        </w:rPr>
        <w:t>christos</w:t>
      </w:r>
      <w:proofErr w:type="spellEnd"/>
      <w:r>
        <w:rPr>
          <w:sz w:val="24"/>
        </w:rPr>
        <w:t>) in order to present Jesus as the promised Messiah of Israel; they were ‘separated from the commonwealth of Israel’, and, since divine election was previously restricted to Israel, they had been ‘strangers (</w:t>
      </w:r>
      <w:proofErr w:type="spellStart"/>
      <w:r>
        <w:rPr>
          <w:i/>
          <w:sz w:val="24"/>
        </w:rPr>
        <w:t>xenoi</w:t>
      </w:r>
      <w:proofErr w:type="spellEnd"/>
      <w:r>
        <w:rPr>
          <w:sz w:val="24"/>
        </w:rPr>
        <w:t>) to the covenants of promise’. The Gentiles were aliens and strangers, without hope and without God in the world.</w:t>
      </w:r>
    </w:p>
    <w:p w:rsidR="00A26FA0" w:rsidRDefault="00194A5B" w:rsidP="00D21363">
      <w:pPr>
        <w:widowControl w:val="0"/>
        <w:spacing w:line="440" w:lineRule="exact"/>
        <w:ind w:left="284" w:right="590" w:firstLine="284"/>
        <w:jc w:val="both"/>
        <w:rPr>
          <w:sz w:val="24"/>
        </w:rPr>
      </w:pPr>
      <w:r>
        <w:rPr>
          <w:sz w:val="24"/>
        </w:rPr>
        <w:t xml:space="preserve">But their situation, it is claimed, </w:t>
      </w:r>
      <w:r w:rsidR="002F1E0B">
        <w:rPr>
          <w:sz w:val="24"/>
        </w:rPr>
        <w:t xml:space="preserve">has been transformed, and it is Jesus’ death that has enabled those who were far to be drawn near. The Hebrew Bible often refers to other nations as being far off (cf. Deut. 28:49; Jer. 5:15), and this of course stands in stark contrast to the biblical understanding of Israel’s state of nearness to God (Ps. 148:14). </w:t>
      </w:r>
      <w:r w:rsidR="0003532A">
        <w:rPr>
          <w:sz w:val="24"/>
        </w:rPr>
        <w:t>It</w:t>
      </w:r>
      <w:r w:rsidR="002F1E0B">
        <w:rPr>
          <w:sz w:val="24"/>
        </w:rPr>
        <w:t xml:space="preserve"> has recently been proposed that later Jewish usage of such terminology to describe the acceptance and ‘bringing near’ of proselytes is also relevant.</w:t>
      </w:r>
      <w:r w:rsidR="0003532A">
        <w:rPr>
          <w:rStyle w:val="FootnoteReference"/>
        </w:rPr>
        <w:footnoteReference w:id="1"/>
      </w:r>
      <w:r w:rsidR="002F1E0B">
        <w:rPr>
          <w:sz w:val="24"/>
        </w:rPr>
        <w:t xml:space="preserve"> If so, Jewish proselyte terminology, originally linked to circumcision, is now reinterpreted to denote the reversal of Gentile exclusion which occurred as a result of Christ’s </w:t>
      </w:r>
      <w:proofErr w:type="spellStart"/>
      <w:r w:rsidR="002F1E0B">
        <w:rPr>
          <w:sz w:val="24"/>
        </w:rPr>
        <w:t>sacrifical</w:t>
      </w:r>
      <w:proofErr w:type="spellEnd"/>
      <w:r w:rsidR="002F1E0B">
        <w:rPr>
          <w:sz w:val="24"/>
        </w:rPr>
        <w:t xml:space="preserve"> death. The precise </w:t>
      </w:r>
      <w:r w:rsidR="002F1E0B">
        <w:rPr>
          <w:sz w:val="24"/>
        </w:rPr>
        <w:lastRenderedPageBreak/>
        <w:t xml:space="preserve">nature of this transformation is reiterated and elaborated upon in v. 19. </w:t>
      </w:r>
    </w:p>
    <w:p w:rsidR="00A26FA0" w:rsidRDefault="00A26FA0" w:rsidP="00D21363">
      <w:pPr>
        <w:widowControl w:val="0"/>
        <w:spacing w:line="440" w:lineRule="exact"/>
        <w:ind w:left="284" w:right="590"/>
        <w:jc w:val="both"/>
        <w:rPr>
          <w:sz w:val="24"/>
        </w:rPr>
      </w:pPr>
    </w:p>
    <w:p w:rsidR="00A26FA0" w:rsidRDefault="002F1E0B" w:rsidP="00D21363">
      <w:pPr>
        <w:widowControl w:val="0"/>
        <w:spacing w:line="440" w:lineRule="exact"/>
        <w:ind w:left="284" w:right="590"/>
        <w:jc w:val="both"/>
        <w:rPr>
          <w:b/>
          <w:sz w:val="24"/>
        </w:rPr>
      </w:pPr>
      <w:r>
        <w:rPr>
          <w:b/>
          <w:sz w:val="24"/>
        </w:rPr>
        <w:t>The Church as a New Creation (vv. 14-18)</w:t>
      </w:r>
    </w:p>
    <w:p w:rsidR="00A26FA0" w:rsidRDefault="002F1E0B" w:rsidP="00D21363">
      <w:pPr>
        <w:widowControl w:val="0"/>
        <w:spacing w:line="440" w:lineRule="exact"/>
        <w:ind w:left="284" w:right="590"/>
        <w:jc w:val="both"/>
        <w:rPr>
          <w:sz w:val="24"/>
        </w:rPr>
      </w:pPr>
      <w:r>
        <w:rPr>
          <w:sz w:val="24"/>
        </w:rPr>
        <w:t xml:space="preserve">The central aim of vv. 14-18 is to explain that the full inclusion of Gentiles into the Christian community was made possible through the work of reconciliation carried out by Christ, the embodiment of peace. For this purpose the author incorporates traditional </w:t>
      </w:r>
      <w:proofErr w:type="spellStart"/>
      <w:r>
        <w:rPr>
          <w:sz w:val="24"/>
        </w:rPr>
        <w:t>hymnic</w:t>
      </w:r>
      <w:proofErr w:type="spellEnd"/>
      <w:r>
        <w:rPr>
          <w:sz w:val="24"/>
        </w:rPr>
        <w:t xml:space="preserve"> material, </w:t>
      </w:r>
      <w:r w:rsidR="003A06AD">
        <w:rPr>
          <w:sz w:val="24"/>
        </w:rPr>
        <w:t xml:space="preserve">while </w:t>
      </w:r>
      <w:r>
        <w:rPr>
          <w:sz w:val="24"/>
        </w:rPr>
        <w:t>many elements point to the poetic character of this middle section (e.g.</w:t>
      </w:r>
      <w:r w:rsidR="003A06AD">
        <w:rPr>
          <w:sz w:val="24"/>
        </w:rPr>
        <w:t>,</w:t>
      </w:r>
      <w:r>
        <w:rPr>
          <w:sz w:val="24"/>
        </w:rPr>
        <w:t xml:space="preserve"> the ‘we’ style interrupts the ‘you’ address of vv. 11-13, 19-22; the use of synonyms and parallelism</w:t>
      </w:r>
      <w:r w:rsidR="006C7C32">
        <w:rPr>
          <w:sz w:val="24"/>
        </w:rPr>
        <w:t>;</w:t>
      </w:r>
      <w:r>
        <w:rPr>
          <w:sz w:val="24"/>
        </w:rPr>
        <w:t xml:space="preserve"> the presence of certain </w:t>
      </w:r>
      <w:proofErr w:type="spellStart"/>
      <w:r>
        <w:rPr>
          <w:sz w:val="24"/>
        </w:rPr>
        <w:t>certain</w:t>
      </w:r>
      <w:proofErr w:type="spellEnd"/>
      <w:r>
        <w:rPr>
          <w:sz w:val="24"/>
        </w:rPr>
        <w:t xml:space="preserve"> rare phrases such as ‘the dividing wall’). As the embodiment of the divine peace of salvation, Jesus </w:t>
      </w:r>
      <w:r w:rsidR="006C7C32">
        <w:rPr>
          <w:sz w:val="24"/>
        </w:rPr>
        <w:t>is said</w:t>
      </w:r>
      <w:r>
        <w:rPr>
          <w:sz w:val="24"/>
        </w:rPr>
        <w:t xml:space="preserve">, on a horizontal level, </w:t>
      </w:r>
      <w:r w:rsidR="006C7C32">
        <w:rPr>
          <w:sz w:val="24"/>
        </w:rPr>
        <w:t xml:space="preserve">to have </w:t>
      </w:r>
      <w:r>
        <w:rPr>
          <w:sz w:val="24"/>
        </w:rPr>
        <w:t>overcome enmity and divisions between Jews and Gentiles - divisions expressed in the in</w:t>
      </w:r>
      <w:r w:rsidR="006C7C32">
        <w:rPr>
          <w:sz w:val="24"/>
        </w:rPr>
        <w:t>i</w:t>
      </w:r>
      <w:r>
        <w:rPr>
          <w:sz w:val="24"/>
        </w:rPr>
        <w:t xml:space="preserve">tial section by the use of ‘you’ for Gentiles, but now replaced by an inclusive ‘we’. The two groups - Jewish Christians and Gentile Christians, ‘the circumcision’ and ‘the uncircumcision’ - have now been brought together. It should also be noted at this point that the movement from past to present realities indicates that the central section of this passage focuses on Jewish-Gentile relations </w:t>
      </w:r>
      <w:r>
        <w:rPr>
          <w:i/>
          <w:sz w:val="24"/>
        </w:rPr>
        <w:t xml:space="preserve">within </w:t>
      </w:r>
      <w:r>
        <w:rPr>
          <w:sz w:val="24"/>
        </w:rPr>
        <w:t>the Christian community.</w:t>
      </w:r>
    </w:p>
    <w:p w:rsidR="00A26FA0" w:rsidRDefault="002F1E0B" w:rsidP="00D21363">
      <w:pPr>
        <w:widowControl w:val="0"/>
        <w:spacing w:line="440" w:lineRule="exact"/>
        <w:ind w:left="284" w:right="590" w:firstLine="284"/>
        <w:jc w:val="both"/>
        <w:rPr>
          <w:sz w:val="24"/>
        </w:rPr>
      </w:pPr>
      <w:r>
        <w:rPr>
          <w:sz w:val="24"/>
        </w:rPr>
        <w:t>An unusual metaphor is used by the author to describe how Christ brings peace, namely by stating that he has torn down the dividing wall of hostility. This is a rare Greek metaphor, and the phras</w:t>
      </w:r>
      <w:r w:rsidR="006C7C32">
        <w:rPr>
          <w:sz w:val="24"/>
        </w:rPr>
        <w:t>e</w:t>
      </w:r>
      <w:r>
        <w:rPr>
          <w:sz w:val="24"/>
        </w:rPr>
        <w:t xml:space="preserve"> only occurs here in the New Testament. Although it is sometimes proposed that the metaphor stands as a powerful symbol of the wall within the precincts of the Jerusalem Temple which separated the Court of Gentiles from the inner courts and sanctuary, the most likely explanation is that it denotes the Torah with all its regulations (particularly in view of the parallelism that exists between this line and the statement ‘he has abolished the law...’ at the beginning of v. 15). Several Jewish traditions draw attention to the Torah as a protective fence around Israel, the most illuminating being a tradition recorded in the </w:t>
      </w:r>
      <w:r w:rsidRPr="006C7C32">
        <w:rPr>
          <w:i/>
          <w:iCs/>
          <w:sz w:val="24"/>
        </w:rPr>
        <w:t xml:space="preserve">Letter of </w:t>
      </w:r>
      <w:proofErr w:type="spellStart"/>
      <w:r w:rsidRPr="006C7C32">
        <w:rPr>
          <w:i/>
          <w:iCs/>
          <w:sz w:val="24"/>
        </w:rPr>
        <w:t>Aristeas</w:t>
      </w:r>
      <w:proofErr w:type="spellEnd"/>
      <w:r>
        <w:rPr>
          <w:sz w:val="24"/>
        </w:rPr>
        <w:t xml:space="preserve"> 139 (ca. 2nd cent. BCE): </w:t>
      </w:r>
    </w:p>
    <w:p w:rsidR="00A26FA0" w:rsidRDefault="00A26FA0" w:rsidP="00D21363">
      <w:pPr>
        <w:widowControl w:val="0"/>
        <w:spacing w:line="440" w:lineRule="exact"/>
        <w:ind w:left="284" w:right="590"/>
        <w:jc w:val="both"/>
        <w:rPr>
          <w:sz w:val="24"/>
        </w:rPr>
      </w:pPr>
    </w:p>
    <w:p w:rsidR="00A26FA0" w:rsidRDefault="002F1E0B" w:rsidP="00D21363">
      <w:pPr>
        <w:widowControl w:val="0"/>
        <w:spacing w:line="440" w:lineRule="exact"/>
        <w:ind w:left="284" w:right="590"/>
        <w:jc w:val="both"/>
        <w:rPr>
          <w:sz w:val="20"/>
        </w:rPr>
      </w:pPr>
      <w:r>
        <w:rPr>
          <w:sz w:val="20"/>
        </w:rPr>
        <w:t xml:space="preserve">In his wisdom the lawgiver ..... surrounded us with unbroken palisades and iron walls to prevent our mixing with any of the other peoples in any matter, being thus kept pure in body and soul, preserved from false beliefs, and worshipping the only God omnipotent over all creation. </w:t>
      </w:r>
    </w:p>
    <w:p w:rsidR="00A26FA0" w:rsidRDefault="00A26FA0" w:rsidP="00D21363">
      <w:pPr>
        <w:widowControl w:val="0"/>
        <w:spacing w:line="440" w:lineRule="exact"/>
        <w:ind w:left="284" w:right="590"/>
        <w:jc w:val="both"/>
        <w:rPr>
          <w:sz w:val="24"/>
        </w:rPr>
      </w:pPr>
    </w:p>
    <w:p w:rsidR="00A26FA0" w:rsidRDefault="002F1E0B" w:rsidP="00D21363">
      <w:pPr>
        <w:widowControl w:val="0"/>
        <w:spacing w:line="440" w:lineRule="exact"/>
        <w:ind w:left="284" w:right="590"/>
        <w:jc w:val="both"/>
        <w:rPr>
          <w:sz w:val="24"/>
        </w:rPr>
      </w:pPr>
      <w:r>
        <w:rPr>
          <w:sz w:val="24"/>
        </w:rPr>
        <w:t xml:space="preserve">Such Jewish traditions promoted the function of the Torah as separating Jews from other </w:t>
      </w:r>
      <w:r>
        <w:rPr>
          <w:sz w:val="24"/>
        </w:rPr>
        <w:lastRenderedPageBreak/>
        <w:t xml:space="preserve">nations, but it also became a sign of exclusivism which alienated Gentiles and became the cause of hostility. </w:t>
      </w:r>
      <w:r w:rsidR="006C7C32">
        <w:rPr>
          <w:sz w:val="24"/>
        </w:rPr>
        <w:t>Fr</w:t>
      </w:r>
      <w:r>
        <w:rPr>
          <w:sz w:val="24"/>
        </w:rPr>
        <w:t xml:space="preserve">om the Christian perspective of this passage in Ephesians 2, ‘the law of commandments and ordinances’ </w:t>
      </w:r>
      <w:r w:rsidR="006C7C32">
        <w:rPr>
          <w:sz w:val="24"/>
        </w:rPr>
        <w:t>forming</w:t>
      </w:r>
      <w:r>
        <w:rPr>
          <w:sz w:val="24"/>
        </w:rPr>
        <w:t xml:space="preserve"> a dividing obstacle between Jews and Gentiles, is torn down by Christ. One can only assume that the inclusion of this statement demonstrates that the passage was composed in a period when the Jerusalem church and the Jewish Christians had become less influential (in comparison, for example, with the setting of the narrative in Acts 15). </w:t>
      </w:r>
    </w:p>
    <w:p w:rsidR="00A26FA0" w:rsidRDefault="002F1E0B" w:rsidP="00D21363">
      <w:pPr>
        <w:widowControl w:val="0"/>
        <w:spacing w:line="440" w:lineRule="exact"/>
        <w:ind w:left="284" w:right="590" w:firstLine="284"/>
        <w:jc w:val="both"/>
        <w:rPr>
          <w:sz w:val="24"/>
        </w:rPr>
      </w:pPr>
      <w:r>
        <w:rPr>
          <w:sz w:val="24"/>
        </w:rPr>
        <w:t xml:space="preserve">The removal of this hostility between Jews and Gentiles thus enables Jesus to create something new: </w:t>
      </w:r>
      <w:r w:rsidR="006C7C32">
        <w:rPr>
          <w:sz w:val="24"/>
        </w:rPr>
        <w:t>‘</w:t>
      </w:r>
      <w:r>
        <w:rPr>
          <w:sz w:val="24"/>
        </w:rPr>
        <w:t>that he might create in himself one new person in plac</w:t>
      </w:r>
      <w:r w:rsidR="006C7C32">
        <w:rPr>
          <w:sz w:val="24"/>
        </w:rPr>
        <w:t>e of the two, thus making peace’</w:t>
      </w:r>
      <w:r>
        <w:rPr>
          <w:sz w:val="24"/>
        </w:rPr>
        <w:t>. Here we encounter a description of Christ’s work in terms of a new creation; there is no suggestio</w:t>
      </w:r>
      <w:r w:rsidR="006C7C32">
        <w:rPr>
          <w:sz w:val="24"/>
        </w:rPr>
        <w:t xml:space="preserve">n </w:t>
      </w:r>
      <w:r>
        <w:rPr>
          <w:sz w:val="24"/>
        </w:rPr>
        <w:t xml:space="preserve">that the Gentiles are incorporated into Israel, for the creation of a ‘new person’ implies the establishment of a new community or corporate entity that transcends traditional ethnic categories. In the light of </w:t>
      </w:r>
      <w:r w:rsidR="006C7C32">
        <w:rPr>
          <w:sz w:val="24"/>
        </w:rPr>
        <w:t>discussions</w:t>
      </w:r>
      <w:r>
        <w:rPr>
          <w:sz w:val="24"/>
        </w:rPr>
        <w:t xml:space="preserve"> on ‘ethnic identity, national identity and the unity of the Church’, this statement is undoubtedly of profound significance. And its presence in a letter composed by one who adheres closely to Pauline theology brings to mind Paul’s own declaration</w:t>
      </w:r>
      <w:r w:rsidR="006C7C32">
        <w:rPr>
          <w:sz w:val="24"/>
        </w:rPr>
        <w:t>,</w:t>
      </w:r>
      <w:r>
        <w:rPr>
          <w:sz w:val="24"/>
        </w:rPr>
        <w:t xml:space="preserve"> ‘There is no longer Jew or Greek’ (Gal. 3:28; cf. also Rom. 10:12; I Cor. 12:13; Col. 3:11). Does it therefore imply that the reconciling work of Christ </w:t>
      </w:r>
      <w:r>
        <w:rPr>
          <w:i/>
          <w:sz w:val="24"/>
        </w:rPr>
        <w:t>removes</w:t>
      </w:r>
      <w:r>
        <w:rPr>
          <w:sz w:val="24"/>
        </w:rPr>
        <w:t xml:space="preserve"> all cultural, social and ethnic differences? </w:t>
      </w:r>
    </w:p>
    <w:p w:rsidR="00A26FA0" w:rsidRDefault="002F1E0B" w:rsidP="00D21363">
      <w:pPr>
        <w:widowControl w:val="0"/>
        <w:spacing w:line="440" w:lineRule="exact"/>
        <w:ind w:left="284" w:right="590" w:firstLine="284"/>
        <w:jc w:val="both"/>
        <w:rPr>
          <w:sz w:val="24"/>
        </w:rPr>
      </w:pPr>
      <w:r>
        <w:rPr>
          <w:sz w:val="24"/>
        </w:rPr>
        <w:t>According to Andrew Lincoln, the new creation described in v. 15 amounts to ‘“the third race” which is different from both Jews and Gentiles’, and represents a distinctive development (if not shift) from Paul’s teaching in Romans 11-12 where Gentiles are portrayed as wild olive branches grafted into the olive tree of Israel.</w:t>
      </w:r>
      <w:r>
        <w:rPr>
          <w:rStyle w:val="FootnoteReference"/>
        </w:rPr>
        <w:footnoteReference w:id="2"/>
      </w:r>
      <w:r>
        <w:rPr>
          <w:sz w:val="24"/>
        </w:rPr>
        <w:t xml:space="preserve"> Such descriptions as ‘the third race’ are</w:t>
      </w:r>
      <w:r w:rsidR="006C7C32">
        <w:rPr>
          <w:sz w:val="24"/>
        </w:rPr>
        <w:t>, however,</w:t>
      </w:r>
      <w:r>
        <w:rPr>
          <w:sz w:val="24"/>
        </w:rPr>
        <w:t xml:space="preserve"> rejected by E.P. Sanders, who claims that Paul would have been horrified by this interpretation of his teaching.</w:t>
      </w:r>
      <w:r>
        <w:rPr>
          <w:rStyle w:val="FootnoteReference"/>
        </w:rPr>
        <w:footnoteReference w:id="3"/>
      </w:r>
      <w:r>
        <w:rPr>
          <w:sz w:val="24"/>
        </w:rPr>
        <w:t xml:space="preserve"> Paul, he states, did not regard the early Christian movement m</w:t>
      </w:r>
      <w:r w:rsidR="006C7C32">
        <w:rPr>
          <w:sz w:val="24"/>
        </w:rPr>
        <w:t>erely as one group among others;</w:t>
      </w:r>
      <w:r>
        <w:rPr>
          <w:sz w:val="24"/>
        </w:rPr>
        <w:t xml:space="preserve"> his use of the image of a ‘new creation’ or ‘new person’ is free of ethnic terminology. For this reason, Sanders seeks to remove racial terminology by describing the Church as a ‘third entity’: ‘Paul’s view of the church......was substantially that it was a third entity, not just because it was composed of both Jew and Greek, but also because it was in important ways neither Jewish nor Greek</w:t>
      </w:r>
      <w:r w:rsidR="006C7C32">
        <w:rPr>
          <w:sz w:val="24"/>
        </w:rPr>
        <w:t>’</w:t>
      </w:r>
      <w:r>
        <w:rPr>
          <w:sz w:val="24"/>
        </w:rPr>
        <w:t>.</w:t>
      </w:r>
      <w:r>
        <w:rPr>
          <w:rStyle w:val="FootnoteReference"/>
        </w:rPr>
        <w:footnoteReference w:id="4"/>
      </w:r>
      <w:r>
        <w:rPr>
          <w:sz w:val="24"/>
        </w:rPr>
        <w:t xml:space="preserve"> The literal rendering ‘one new person’ for the Greek phrase used in </w:t>
      </w:r>
      <w:r>
        <w:rPr>
          <w:sz w:val="24"/>
        </w:rPr>
        <w:lastRenderedPageBreak/>
        <w:t>Ephesians 2:15 is thus preferable to such renderings as ‘one new race’.</w:t>
      </w:r>
    </w:p>
    <w:p w:rsidR="00A26FA0" w:rsidRDefault="002F1E0B" w:rsidP="00D21363">
      <w:pPr>
        <w:widowControl w:val="0"/>
        <w:spacing w:line="440" w:lineRule="exact"/>
        <w:ind w:left="284" w:right="590" w:firstLine="284"/>
        <w:jc w:val="both"/>
      </w:pPr>
      <w:r>
        <w:rPr>
          <w:sz w:val="24"/>
        </w:rPr>
        <w:t xml:space="preserve">The debate about Paul’s (and his followers’) intentions has recently been revived by New Testament  scholars in response to the claims made by Daniel </w:t>
      </w:r>
      <w:proofErr w:type="spellStart"/>
      <w:r>
        <w:rPr>
          <w:sz w:val="24"/>
        </w:rPr>
        <w:t>Boyarin</w:t>
      </w:r>
      <w:proofErr w:type="spellEnd"/>
      <w:r w:rsidR="006C7C32">
        <w:rPr>
          <w:sz w:val="24"/>
        </w:rPr>
        <w:t>,</w:t>
      </w:r>
      <w:r>
        <w:rPr>
          <w:sz w:val="24"/>
        </w:rPr>
        <w:t xml:space="preserve"> </w:t>
      </w:r>
      <w:r w:rsidR="006C7C32">
        <w:rPr>
          <w:sz w:val="24"/>
        </w:rPr>
        <w:t xml:space="preserve">who </w:t>
      </w:r>
      <w:r>
        <w:rPr>
          <w:sz w:val="24"/>
        </w:rPr>
        <w:t>is convinced that Paul interpreted Christ as bringing about sameness rather than equality, and that his vision is of ‘a new humanity with no difference’.</w:t>
      </w:r>
      <w:r w:rsidR="006C7C32">
        <w:rPr>
          <w:rStyle w:val="FootnoteReference"/>
        </w:rPr>
        <w:footnoteReference w:id="5"/>
      </w:r>
      <w:r>
        <w:rPr>
          <w:sz w:val="24"/>
        </w:rPr>
        <w:t xml:space="preserve"> In Gal. 3:28, for example, it seems that Paul is stating that Jesus ‘erases all distinction between ethnos and ethnos’.</w:t>
      </w:r>
      <w:r>
        <w:rPr>
          <w:rStyle w:val="FootnoteReference"/>
        </w:rPr>
        <w:footnoteReference w:id="6"/>
      </w:r>
      <w:r>
        <w:rPr>
          <w:sz w:val="24"/>
        </w:rPr>
        <w:t xml:space="preserve"> Thus </w:t>
      </w:r>
      <w:proofErr w:type="spellStart"/>
      <w:r>
        <w:rPr>
          <w:sz w:val="24"/>
        </w:rPr>
        <w:t>Boyarin</w:t>
      </w:r>
      <w:proofErr w:type="spellEnd"/>
      <w:r>
        <w:rPr>
          <w:sz w:val="24"/>
        </w:rPr>
        <w:t xml:space="preserve"> argues that Paul, by spiritualizing and universalizing circumcision, is removing a key Jewish mark of identity and ethnicity. In response to </w:t>
      </w:r>
      <w:r w:rsidR="006C7C32">
        <w:rPr>
          <w:sz w:val="24"/>
        </w:rPr>
        <w:t>this</w:t>
      </w:r>
      <w:r>
        <w:rPr>
          <w:sz w:val="24"/>
        </w:rPr>
        <w:t xml:space="preserve"> thesis, John Barclay declares that he himself would prefer to speak of Paul r</w:t>
      </w:r>
      <w:r w:rsidRPr="006C7C32">
        <w:rPr>
          <w:i/>
          <w:iCs/>
          <w:sz w:val="24"/>
        </w:rPr>
        <w:t>elativizing</w:t>
      </w:r>
      <w:r>
        <w:rPr>
          <w:sz w:val="24"/>
        </w:rPr>
        <w:t xml:space="preserve"> rather than eradicating differences: ‘Paul does not present the gospel as if it carried a whole new cultural package, designed to eradicate and replace all others. It is rather a cluster of values, focused in love, which enables the creation of a new community in which variant cultural traditions can be practised’.</w:t>
      </w:r>
      <w:r>
        <w:rPr>
          <w:rStyle w:val="FootnoteReference"/>
        </w:rPr>
        <w:footnoteReference w:id="7"/>
      </w:r>
      <w:r>
        <w:t xml:space="preserve"> </w:t>
      </w:r>
      <w:r>
        <w:rPr>
          <w:sz w:val="24"/>
        </w:rPr>
        <w:t xml:space="preserve">With regard to such statements as Gal. 3:28, it can be proposed that it is the </w:t>
      </w:r>
      <w:r>
        <w:rPr>
          <w:i/>
          <w:sz w:val="24"/>
        </w:rPr>
        <w:t xml:space="preserve">inequality </w:t>
      </w:r>
      <w:r>
        <w:rPr>
          <w:sz w:val="24"/>
        </w:rPr>
        <w:t>between Jew and Greek that is abolished; racial differences, no more than sexual or social differences, are not to be eliminated within the Christian community.</w:t>
      </w:r>
      <w:r>
        <w:rPr>
          <w:rStyle w:val="FootnoteReference"/>
        </w:rPr>
        <w:footnoteReference w:id="8"/>
      </w:r>
      <w:r>
        <w:t xml:space="preserve"> </w:t>
      </w:r>
      <w:r>
        <w:rPr>
          <w:sz w:val="24"/>
        </w:rPr>
        <w:t xml:space="preserve">Ephesians 2, therefore, speaks of Christ’s reconciling work not so much in </w:t>
      </w:r>
      <w:r w:rsidR="00EB318B">
        <w:rPr>
          <w:sz w:val="24"/>
        </w:rPr>
        <w:t>terms of abolishing differences</w:t>
      </w:r>
      <w:r>
        <w:rPr>
          <w:sz w:val="24"/>
        </w:rPr>
        <w:t xml:space="preserve"> but in terms of overcoming the hostility produced by such differences.</w:t>
      </w:r>
      <w:r>
        <w:t xml:space="preserve"> </w:t>
      </w:r>
      <w:r>
        <w:rPr>
          <w:sz w:val="24"/>
        </w:rPr>
        <w:t xml:space="preserve">Since discussions of this kind have primarily focused on the impact of Paul’s statements on contemporary Jewish-Christian relations, the relevance of such statements to the debate on ethnic and national identities </w:t>
      </w:r>
      <w:r>
        <w:rPr>
          <w:i/>
          <w:sz w:val="24"/>
        </w:rPr>
        <w:t xml:space="preserve">within </w:t>
      </w:r>
      <w:r>
        <w:rPr>
          <w:sz w:val="24"/>
        </w:rPr>
        <w:t>the Christian church evidently requires close scrutiny.</w:t>
      </w:r>
    </w:p>
    <w:p w:rsidR="00A26FA0" w:rsidRDefault="002F1E0B" w:rsidP="00D21363">
      <w:pPr>
        <w:widowControl w:val="0"/>
        <w:spacing w:line="440" w:lineRule="exact"/>
        <w:ind w:left="284" w:right="590" w:firstLine="284"/>
        <w:jc w:val="both"/>
        <w:rPr>
          <w:sz w:val="24"/>
        </w:rPr>
      </w:pPr>
      <w:r>
        <w:rPr>
          <w:sz w:val="24"/>
        </w:rPr>
        <w:t>The remaining part of this central section in Ephesians 2:11-22 shifts its focus from the bringing together of these two groups to their reconciliation to God brought about by Christ’s sacrific</w:t>
      </w:r>
      <w:r w:rsidR="00EB318B">
        <w:rPr>
          <w:sz w:val="24"/>
        </w:rPr>
        <w:t xml:space="preserve">ial death. </w:t>
      </w:r>
      <w:r>
        <w:rPr>
          <w:sz w:val="24"/>
        </w:rPr>
        <w:t>Christ, described as ‘our peace’ through his work of peace, is now pronounced to be the proclaimer of peace (cf. Isa. 52:7) to those who were far off (Gentiles) and to those who were near (Jews)</w:t>
      </w:r>
      <w:r w:rsidR="00EB318B">
        <w:rPr>
          <w:sz w:val="24"/>
        </w:rPr>
        <w:t xml:space="preserve"> -</w:t>
      </w:r>
      <w:r>
        <w:rPr>
          <w:sz w:val="24"/>
        </w:rPr>
        <w:t xml:space="preserve"> a statement which contains an allusion to Isa. 57:19: ‘Peace, peace, to the far and the near, says the Lord’. In its original context, </w:t>
      </w:r>
      <w:r>
        <w:rPr>
          <w:sz w:val="24"/>
        </w:rPr>
        <w:lastRenderedPageBreak/>
        <w:t>this Isaianic text uses ‘far’ and ‘near’ to refer to two group of Jews - those in exile and those who remained in the promised land - but in a clear case of the actualization of Scripture, also reflected in certain later Jewish traditions, the ‘far’ and ‘near’ now refer to Gentile Christians and Jewish Christians respectively. Differences which formerly identified these groups as outsiders and insiders are no longer relevant, for it is the one congregation united by Christ that now has access to the Father.</w:t>
      </w:r>
    </w:p>
    <w:p w:rsidR="00A26FA0" w:rsidRDefault="00A26FA0" w:rsidP="00D21363">
      <w:pPr>
        <w:widowControl w:val="0"/>
        <w:spacing w:line="440" w:lineRule="exact"/>
        <w:ind w:left="284" w:right="590"/>
        <w:jc w:val="both"/>
        <w:rPr>
          <w:sz w:val="24"/>
        </w:rPr>
      </w:pPr>
    </w:p>
    <w:p w:rsidR="00A26FA0" w:rsidRDefault="002F1E0B" w:rsidP="00D21363">
      <w:pPr>
        <w:widowControl w:val="0"/>
        <w:spacing w:line="440" w:lineRule="exact"/>
        <w:ind w:left="284" w:right="590"/>
        <w:jc w:val="both"/>
        <w:rPr>
          <w:b/>
          <w:sz w:val="24"/>
        </w:rPr>
      </w:pPr>
      <w:r>
        <w:rPr>
          <w:b/>
          <w:sz w:val="24"/>
        </w:rPr>
        <w:t>Participation in God’s Temple (vv. 19-22)</w:t>
      </w:r>
    </w:p>
    <w:p w:rsidR="00A26FA0" w:rsidRDefault="002F1E0B" w:rsidP="00D21363">
      <w:pPr>
        <w:widowControl w:val="0"/>
        <w:spacing w:line="440" w:lineRule="exact"/>
        <w:ind w:left="284" w:right="590"/>
        <w:jc w:val="both"/>
        <w:rPr>
          <w:sz w:val="24"/>
        </w:rPr>
      </w:pPr>
      <w:r>
        <w:rPr>
          <w:sz w:val="24"/>
        </w:rPr>
        <w:t>In the last section, the author once again takes up the contrast between past and present experiences (vv. 11-13), but does so in the light of vv. 14-18. The Gentiles’ previous state of alienation (as defined in Jewish terms and in relation to Israel) has been removed, and they are no longer aliens (</w:t>
      </w:r>
      <w:proofErr w:type="spellStart"/>
      <w:r>
        <w:rPr>
          <w:i/>
          <w:sz w:val="24"/>
        </w:rPr>
        <w:t>xenoi</w:t>
      </w:r>
      <w:proofErr w:type="spellEnd"/>
      <w:r>
        <w:rPr>
          <w:sz w:val="24"/>
        </w:rPr>
        <w:t>) and strangers (</w:t>
      </w:r>
      <w:proofErr w:type="spellStart"/>
      <w:r>
        <w:rPr>
          <w:i/>
          <w:sz w:val="24"/>
        </w:rPr>
        <w:t>paroikoi</w:t>
      </w:r>
      <w:proofErr w:type="spellEnd"/>
      <w:r>
        <w:rPr>
          <w:sz w:val="24"/>
        </w:rPr>
        <w:t>)</w:t>
      </w:r>
      <w:bookmarkStart w:id="0" w:name="_GoBack"/>
      <w:bookmarkEnd w:id="0"/>
      <w:r>
        <w:rPr>
          <w:sz w:val="24"/>
        </w:rPr>
        <w:t>. Although the word</w:t>
      </w:r>
      <w:r>
        <w:rPr>
          <w:i/>
          <w:sz w:val="24"/>
        </w:rPr>
        <w:t xml:space="preserve"> </w:t>
      </w:r>
      <w:proofErr w:type="spellStart"/>
      <w:r>
        <w:rPr>
          <w:i/>
          <w:sz w:val="24"/>
        </w:rPr>
        <w:t>xenos</w:t>
      </w:r>
      <w:proofErr w:type="spellEnd"/>
      <w:r>
        <w:rPr>
          <w:sz w:val="24"/>
        </w:rPr>
        <w:t xml:space="preserve"> c</w:t>
      </w:r>
      <w:r w:rsidR="00EB318B">
        <w:rPr>
          <w:sz w:val="24"/>
        </w:rPr>
        <w:t>an represent ‘foreigner’, while</w:t>
      </w:r>
      <w:r>
        <w:rPr>
          <w:sz w:val="24"/>
        </w:rPr>
        <w:t xml:space="preserve"> </w:t>
      </w:r>
      <w:proofErr w:type="spellStart"/>
      <w:r>
        <w:rPr>
          <w:i/>
          <w:sz w:val="24"/>
        </w:rPr>
        <w:t>paroikos</w:t>
      </w:r>
      <w:proofErr w:type="spellEnd"/>
      <w:r>
        <w:rPr>
          <w:sz w:val="24"/>
        </w:rPr>
        <w:t xml:space="preserve"> can denote a stranger in the land or resident alien, the author of Ephesians 2 does not seem to differentiate between the two terms, for he uses both to describe the Gentiles previous status as ‘outsiders’. </w:t>
      </w:r>
      <w:r w:rsidR="00EB318B">
        <w:rPr>
          <w:sz w:val="24"/>
        </w:rPr>
        <w:t>However,</w:t>
      </w:r>
      <w:r>
        <w:rPr>
          <w:sz w:val="24"/>
        </w:rPr>
        <w:t xml:space="preserve"> they are no longer foreigners or resident aliens, for they have full citizenship with ‘the holy ones’, i.e. all Christian believers (cf. 1:1, 15; 3:8; 4:12). The categories</w:t>
      </w:r>
      <w:r w:rsidR="00EB318B">
        <w:rPr>
          <w:sz w:val="24"/>
        </w:rPr>
        <w:t xml:space="preserve"> set in the first section have</w:t>
      </w:r>
      <w:r>
        <w:rPr>
          <w:sz w:val="24"/>
        </w:rPr>
        <w:t xml:space="preserve"> been transformed; the Gentiles are not simply fellow-citizens in the commonwealth of Israel (v. 12), but fellow-citizens with the saints in the Church and members of God’s household (</w:t>
      </w:r>
      <w:proofErr w:type="spellStart"/>
      <w:r>
        <w:rPr>
          <w:i/>
          <w:sz w:val="24"/>
        </w:rPr>
        <w:t>oikeioi</w:t>
      </w:r>
      <w:proofErr w:type="spellEnd"/>
      <w:r>
        <w:rPr>
          <w:sz w:val="24"/>
        </w:rPr>
        <w:t xml:space="preserve">). </w:t>
      </w:r>
    </w:p>
    <w:p w:rsidR="00A26FA0" w:rsidRDefault="002F1E0B" w:rsidP="00D21363">
      <w:pPr>
        <w:widowControl w:val="0"/>
        <w:spacing w:line="440" w:lineRule="exact"/>
        <w:ind w:left="284" w:right="590" w:firstLine="284"/>
        <w:jc w:val="both"/>
        <w:rPr>
          <w:sz w:val="24"/>
        </w:rPr>
      </w:pPr>
      <w:r>
        <w:rPr>
          <w:sz w:val="24"/>
        </w:rPr>
        <w:t>The prominence of the language of household, expressed in terms of membership of a ‘house’ (</w:t>
      </w:r>
      <w:proofErr w:type="spellStart"/>
      <w:r>
        <w:rPr>
          <w:i/>
          <w:sz w:val="24"/>
        </w:rPr>
        <w:t>oikeioi</w:t>
      </w:r>
      <w:proofErr w:type="spellEnd"/>
      <w:r>
        <w:rPr>
          <w:sz w:val="24"/>
        </w:rPr>
        <w:t>) to which Gentile Christians have been drawn after being ‘away from home’ (</w:t>
      </w:r>
      <w:proofErr w:type="spellStart"/>
      <w:r>
        <w:rPr>
          <w:i/>
          <w:sz w:val="24"/>
        </w:rPr>
        <w:t>paroikos</w:t>
      </w:r>
      <w:proofErr w:type="spellEnd"/>
      <w:r>
        <w:rPr>
          <w:sz w:val="24"/>
        </w:rPr>
        <w:t>), leads to a preponderance of building and temple imagery in the description of the new community in vv. 20-22. Here Gentile Christians are depicted as the stones built up into a building on top of the foundation of apostles and prophets, and whose cornerstone is Christ himself. In him the whole building or structure is joined together and grows into a holy temple in the Lord, and all believers - Jewish Christians and Gentile Christians - become the dwelling-place of God’s presence. And it is here, in the final lines of this passage, that the language of identity-transformation finds its culmination. Although Gentiles, at one time, were characterized as outsiders who sought to come ‘near’ by making pilgrimages to a literal temple in Jerusalem (e.g.</w:t>
      </w:r>
      <w:r w:rsidR="00AC647B">
        <w:rPr>
          <w:sz w:val="24"/>
        </w:rPr>
        <w:t>,</w:t>
      </w:r>
      <w:r>
        <w:rPr>
          <w:sz w:val="24"/>
        </w:rPr>
        <w:t xml:space="preserve"> Isa. 56:6, 7), they have now gained access to God through Christ and have in fact become a vital part </w:t>
      </w:r>
      <w:r>
        <w:rPr>
          <w:sz w:val="24"/>
        </w:rPr>
        <w:lastRenderedPageBreak/>
        <w:t>of the temple of the Church.</w:t>
      </w:r>
    </w:p>
    <w:p w:rsidR="00A26FA0" w:rsidRDefault="00A26FA0" w:rsidP="00D21363">
      <w:pPr>
        <w:widowControl w:val="0"/>
        <w:spacing w:line="440" w:lineRule="exact"/>
        <w:ind w:left="284" w:right="590"/>
        <w:jc w:val="both"/>
        <w:rPr>
          <w:sz w:val="24"/>
        </w:rPr>
      </w:pPr>
    </w:p>
    <w:p w:rsidR="00A26FA0" w:rsidRPr="00D06869" w:rsidRDefault="0085522E" w:rsidP="00D21363">
      <w:pPr>
        <w:widowControl w:val="0"/>
        <w:spacing w:line="440" w:lineRule="exact"/>
        <w:ind w:left="284" w:right="590"/>
        <w:jc w:val="both"/>
        <w:rPr>
          <w:sz w:val="24"/>
          <w:szCs w:val="18"/>
        </w:rPr>
      </w:pPr>
      <w:r w:rsidRPr="00D06869">
        <w:rPr>
          <w:sz w:val="24"/>
          <w:szCs w:val="18"/>
        </w:rPr>
        <w:t>Catrin H. Williams</w:t>
      </w:r>
    </w:p>
    <w:sectPr w:rsidR="00A26FA0" w:rsidRPr="00D06869">
      <w:footerReference w:type="even" r:id="rId6"/>
      <w:footerReference w:type="default" r:id="rId7"/>
      <w:pgSz w:w="11900" w:h="16840"/>
      <w:pgMar w:top="1080" w:right="108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87F98" w:rsidRDefault="00487F98">
      <w:r>
        <w:separator/>
      </w:r>
    </w:p>
  </w:endnote>
  <w:endnote w:type="continuationSeparator" w:id="0">
    <w:p w:rsidR="00487F98" w:rsidRDefault="00487F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ew York">
    <w:altName w:val="Tahoma"/>
    <w:panose1 w:val="020B0604020202020204"/>
    <w:charset w:val="4D"/>
    <w:family w:val="roman"/>
    <w:notTrueType/>
    <w:pitch w:val="variable"/>
    <w:sig w:usb0="00000003" w:usb1="00000000" w:usb2="00000000" w:usb3="00000000" w:csb0="00000001" w:csb1="00000000"/>
  </w:font>
  <w:font w:name="Times New Roman">
    <w:panose1 w:val="02020603050405020304"/>
    <w:charset w:val="00"/>
    <w:family w:val="roman"/>
    <w:pitch w:val="variable"/>
    <w:sig w:usb0="20002A87" w:usb1="80000000" w:usb2="00000008" w:usb3="00000000" w:csb0="000001FF" w:csb1="00000000"/>
  </w:font>
  <w:font w:name="Times">
    <w:panose1 w:val="00000500000000020000"/>
    <w:charset w:val="00"/>
    <w:family w:val="auto"/>
    <w:pitch w:val="variable"/>
    <w:sig w:usb0="E00002FF" w:usb1="5000205A"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A00002EF" w:usb1="4000207B"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A00002EF" w:usb1="4000004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0248582"/>
      <w:docPartObj>
        <w:docPartGallery w:val="Page Numbers (Bottom of Page)"/>
        <w:docPartUnique/>
      </w:docPartObj>
    </w:sdtPr>
    <w:sdtContent>
      <w:p w:rsidR="00194A5B" w:rsidRDefault="00194A5B" w:rsidP="008849F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194A5B" w:rsidRDefault="00194A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70304104"/>
      <w:docPartObj>
        <w:docPartGallery w:val="Page Numbers (Bottom of Page)"/>
        <w:docPartUnique/>
      </w:docPartObj>
    </w:sdtPr>
    <w:sdtContent>
      <w:p w:rsidR="00194A5B" w:rsidRDefault="00194A5B" w:rsidP="008849F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194A5B" w:rsidRDefault="00194A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87F98" w:rsidRDefault="00487F98">
      <w:r>
        <w:separator/>
      </w:r>
    </w:p>
  </w:footnote>
  <w:footnote w:type="continuationSeparator" w:id="0">
    <w:p w:rsidR="00487F98" w:rsidRDefault="00487F98">
      <w:r>
        <w:continuationSeparator/>
      </w:r>
    </w:p>
  </w:footnote>
  <w:footnote w:id="1">
    <w:p w:rsidR="0003532A" w:rsidRDefault="0003532A">
      <w:pPr>
        <w:pStyle w:val="FootnoteText"/>
      </w:pPr>
      <w:r>
        <w:rPr>
          <w:rStyle w:val="FootnoteReference"/>
        </w:rPr>
        <w:footnoteRef/>
      </w:r>
      <w:r>
        <w:t xml:space="preserve"> </w:t>
      </w:r>
      <w:r w:rsidR="00EB318B">
        <w:t xml:space="preserve">See especially Andrew </w:t>
      </w:r>
      <w:r>
        <w:t xml:space="preserve">T. Lincoln, </w:t>
      </w:r>
      <w:r>
        <w:rPr>
          <w:i/>
        </w:rPr>
        <w:t>Ephesians</w:t>
      </w:r>
      <w:r>
        <w:rPr>
          <w:i/>
        </w:rPr>
        <w:t xml:space="preserve"> </w:t>
      </w:r>
      <w:r>
        <w:rPr>
          <w:iCs/>
        </w:rPr>
        <w:t>(</w:t>
      </w:r>
      <w:r>
        <w:t>Dallas</w:t>
      </w:r>
      <w:r>
        <w:t>: Word</w:t>
      </w:r>
      <w:r>
        <w:t>, 1990</w:t>
      </w:r>
      <w:r>
        <w:t>)</w:t>
      </w:r>
      <w:r>
        <w:t>,</w:t>
      </w:r>
      <w:r>
        <w:rPr>
          <w:i/>
        </w:rPr>
        <w:t xml:space="preserve"> </w:t>
      </w:r>
      <w:r>
        <w:t xml:space="preserve">139; </w:t>
      </w:r>
      <w:r>
        <w:rPr>
          <w:i/>
        </w:rPr>
        <w:t xml:space="preserve">idem, </w:t>
      </w:r>
      <w:r>
        <w:t>‘</w:t>
      </w:r>
      <w:r>
        <w:t>The C</w:t>
      </w:r>
      <w:r>
        <w:t>hurch and Israel in Ephesians 2’</w:t>
      </w:r>
      <w:r>
        <w:t xml:space="preserve">, </w:t>
      </w:r>
      <w:r>
        <w:rPr>
          <w:i/>
        </w:rPr>
        <w:t>Catholic Biblical Quarterly</w:t>
      </w:r>
      <w:r>
        <w:t xml:space="preserve"> 49 (</w:t>
      </w:r>
      <w:r>
        <w:t>1987</w:t>
      </w:r>
      <w:r>
        <w:t>), 610-11.</w:t>
      </w:r>
    </w:p>
  </w:footnote>
  <w:footnote w:id="2">
    <w:p w:rsidR="00A26FA0" w:rsidRDefault="002F1E0B">
      <w:pPr>
        <w:pStyle w:val="FootnoteText"/>
        <w:rPr>
          <w:sz w:val="16"/>
        </w:rPr>
      </w:pPr>
      <w:r>
        <w:rPr>
          <w:rStyle w:val="FootnoteReference"/>
        </w:rPr>
        <w:footnoteRef/>
      </w:r>
      <w:r>
        <w:t xml:space="preserve"> </w:t>
      </w:r>
      <w:r>
        <w:rPr>
          <w:i/>
        </w:rPr>
        <w:t xml:space="preserve">Ephesians, </w:t>
      </w:r>
      <w:r>
        <w:t>144.</w:t>
      </w:r>
    </w:p>
  </w:footnote>
  <w:footnote w:id="3">
    <w:p w:rsidR="00A26FA0" w:rsidRDefault="002F1E0B">
      <w:pPr>
        <w:pStyle w:val="FootnoteText"/>
        <w:rPr>
          <w:sz w:val="16"/>
        </w:rPr>
      </w:pPr>
      <w:r>
        <w:rPr>
          <w:rStyle w:val="FootnoteReference"/>
        </w:rPr>
        <w:footnoteRef/>
      </w:r>
      <w:r>
        <w:t xml:space="preserve"> </w:t>
      </w:r>
      <w:r>
        <w:rPr>
          <w:i/>
        </w:rPr>
        <w:t>Paul, the Law and the Jewish People</w:t>
      </w:r>
      <w:r w:rsidR="006C7C32">
        <w:t xml:space="preserve"> (</w:t>
      </w:r>
      <w:r>
        <w:t>Philadelphia</w:t>
      </w:r>
      <w:r w:rsidR="006C7C32">
        <w:t>: Fortress Press</w:t>
      </w:r>
      <w:r>
        <w:t>, 1983</w:t>
      </w:r>
      <w:r w:rsidR="006C7C32">
        <w:t>)</w:t>
      </w:r>
      <w:r>
        <w:t>, 173.</w:t>
      </w:r>
    </w:p>
  </w:footnote>
  <w:footnote w:id="4">
    <w:p w:rsidR="00A26FA0" w:rsidRDefault="002F1E0B">
      <w:pPr>
        <w:pStyle w:val="FootnoteText"/>
        <w:rPr>
          <w:sz w:val="16"/>
        </w:rPr>
      </w:pPr>
      <w:r>
        <w:rPr>
          <w:rStyle w:val="FootnoteReference"/>
        </w:rPr>
        <w:footnoteRef/>
      </w:r>
      <w:r>
        <w:rPr>
          <w:sz w:val="16"/>
        </w:rPr>
        <w:t xml:space="preserve"> </w:t>
      </w:r>
      <w:r w:rsidR="006C7C32">
        <w:rPr>
          <w:i/>
        </w:rPr>
        <w:t>Paul, the Law and the Jewish People</w:t>
      </w:r>
      <w:r>
        <w:rPr>
          <w:i/>
        </w:rPr>
        <w:t xml:space="preserve">, </w:t>
      </w:r>
      <w:r w:rsidR="006C7C32">
        <w:t>178-79.</w:t>
      </w:r>
    </w:p>
  </w:footnote>
  <w:footnote w:id="5">
    <w:p w:rsidR="006C7C32" w:rsidRPr="006C7C32" w:rsidRDefault="006C7C32" w:rsidP="006C7C32">
      <w:pPr>
        <w:pStyle w:val="FootnoteText"/>
      </w:pPr>
      <w:r>
        <w:rPr>
          <w:rStyle w:val="FootnoteReference"/>
        </w:rPr>
        <w:footnoteRef/>
      </w:r>
      <w:r w:rsidR="00EB318B">
        <w:t xml:space="preserve"> Daniel</w:t>
      </w:r>
      <w:r>
        <w:t xml:space="preserve"> </w:t>
      </w:r>
      <w:proofErr w:type="spellStart"/>
      <w:r>
        <w:t>Boyarin</w:t>
      </w:r>
      <w:proofErr w:type="spellEnd"/>
      <w:r>
        <w:t xml:space="preserve">, </w:t>
      </w:r>
      <w:r>
        <w:rPr>
          <w:i/>
          <w:iCs/>
        </w:rPr>
        <w:t xml:space="preserve">A Radical Jew: Paul and the Politics of Identity </w:t>
      </w:r>
      <w:r>
        <w:t>(Berkeley: University of California Press, 1984).</w:t>
      </w:r>
    </w:p>
  </w:footnote>
  <w:footnote w:id="6">
    <w:p w:rsidR="00A26FA0" w:rsidRDefault="002F1E0B">
      <w:pPr>
        <w:pStyle w:val="FootnoteText"/>
        <w:rPr>
          <w:sz w:val="16"/>
        </w:rPr>
      </w:pPr>
      <w:r>
        <w:rPr>
          <w:rStyle w:val="FootnoteReference"/>
        </w:rPr>
        <w:footnoteRef/>
      </w:r>
      <w:r>
        <w:t xml:space="preserve"> </w:t>
      </w:r>
      <w:r>
        <w:rPr>
          <w:i/>
        </w:rPr>
        <w:t xml:space="preserve">A Radical Jew, </w:t>
      </w:r>
      <w:r>
        <w:t>85.</w:t>
      </w:r>
    </w:p>
  </w:footnote>
  <w:footnote w:id="7">
    <w:p w:rsidR="00A26FA0" w:rsidRDefault="002F1E0B">
      <w:pPr>
        <w:pStyle w:val="FootnoteText"/>
        <w:rPr>
          <w:sz w:val="16"/>
        </w:rPr>
      </w:pPr>
      <w:r>
        <w:rPr>
          <w:rStyle w:val="FootnoteReference"/>
        </w:rPr>
        <w:footnoteRef/>
      </w:r>
      <w:r w:rsidR="006C7C32">
        <w:t xml:space="preserve"> </w:t>
      </w:r>
      <w:r w:rsidR="00EB318B">
        <w:t xml:space="preserve">John M.G. Barclay, </w:t>
      </w:r>
      <w:r>
        <w:t>‘</w:t>
      </w:r>
      <w:r w:rsidR="006C7C32">
        <w:t>“</w:t>
      </w:r>
      <w:r>
        <w:t>Neither Jew nor Greek</w:t>
      </w:r>
      <w:r w:rsidR="006C7C32">
        <w:t>”</w:t>
      </w:r>
      <w:r>
        <w:t xml:space="preserve">: Multiculturalism </w:t>
      </w:r>
      <w:r w:rsidR="006C7C32">
        <w:t>and the New Perspective on Paul’</w:t>
      </w:r>
      <w:r>
        <w:t xml:space="preserve">, </w:t>
      </w:r>
      <w:r w:rsidR="006C7C32">
        <w:t xml:space="preserve"> in Mark G. Brett (ed.), </w:t>
      </w:r>
      <w:r>
        <w:rPr>
          <w:i/>
        </w:rPr>
        <w:t>Ethnicity and the Bible</w:t>
      </w:r>
      <w:r w:rsidR="006C7C32">
        <w:rPr>
          <w:i/>
        </w:rPr>
        <w:t xml:space="preserve"> </w:t>
      </w:r>
      <w:r w:rsidR="006C7C32">
        <w:rPr>
          <w:iCs/>
        </w:rPr>
        <w:t>(</w:t>
      </w:r>
      <w:r>
        <w:t>Leiden</w:t>
      </w:r>
      <w:r w:rsidR="006C7C32">
        <w:t>: Brill</w:t>
      </w:r>
      <w:r>
        <w:t>, 1996</w:t>
      </w:r>
      <w:r w:rsidR="006C7C32">
        <w:t>)</w:t>
      </w:r>
      <w:r>
        <w:t>, 211.</w:t>
      </w:r>
    </w:p>
  </w:footnote>
  <w:footnote w:id="8">
    <w:p w:rsidR="00A26FA0" w:rsidRDefault="002F1E0B">
      <w:pPr>
        <w:pStyle w:val="FootnoteText"/>
        <w:jc w:val="both"/>
        <w:rPr>
          <w:sz w:val="16"/>
        </w:rPr>
      </w:pPr>
      <w:r>
        <w:rPr>
          <w:rStyle w:val="FootnoteReference"/>
        </w:rPr>
        <w:footnoteRef/>
      </w:r>
      <w:r w:rsidR="00EB318B">
        <w:t xml:space="preserve"> Cf. William </w:t>
      </w:r>
      <w:r>
        <w:t>S.</w:t>
      </w:r>
      <w:r w:rsidR="00EB318B">
        <w:t xml:space="preserve"> </w:t>
      </w:r>
      <w:r>
        <w:t xml:space="preserve">Campbell, </w:t>
      </w:r>
      <w:r>
        <w:rPr>
          <w:i/>
        </w:rPr>
        <w:t>Paul’s Gospel in an Intercultural Context</w:t>
      </w:r>
      <w:r w:rsidR="00EB318B">
        <w:rPr>
          <w:i/>
        </w:rPr>
        <w:t xml:space="preserve"> </w:t>
      </w:r>
      <w:r w:rsidR="00EB318B">
        <w:rPr>
          <w:iCs/>
        </w:rPr>
        <w:t>(</w:t>
      </w:r>
      <w:r>
        <w:t>Frankfurt</w:t>
      </w:r>
      <w:r w:rsidR="00EB318B">
        <w:t>: Lang</w:t>
      </w:r>
      <w:r>
        <w:t>, 1991</w:t>
      </w:r>
      <w:r w:rsidR="00EB318B">
        <w:t>)</w:t>
      </w:r>
      <w:r>
        <w:t xml:space="preserve">, 98-121, especially 114: </w:t>
      </w:r>
      <w:r w:rsidR="00EB318B">
        <w:t>‘</w:t>
      </w:r>
      <w:r>
        <w:t>Christian identity must clearly and unequivocally be determined by Christ. But that allegiance is neither static, nor does it exist in a theological, cultural or ethnic vacuum</w:t>
      </w:r>
      <w:r w:rsidR="00EB318B">
        <w:t>’</w:t>
      </w:r>
      <w: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proofState w:spelling="clean"/>
  <w:defaultTabStop w:val="720"/>
  <w:hyphenationZone w:val="0"/>
  <w:doNotHyphenateCaps/>
  <w:drawingGridHorizontalSpacing w:val="120"/>
  <w:drawingGridVerticalSpacing w:val="120"/>
  <w:displayVerticalDrawingGridEvery w:val="0"/>
  <w:doNotUseMarginsForDrawingGridOrigin/>
  <w:doNotShadeFormData/>
  <w:characterSpacingControl w:val="doNotCompress"/>
  <w:footnotePr>
    <w:footnote w:id="-1"/>
    <w:footnote w:id="0"/>
  </w:footnotePr>
  <w:endnotePr>
    <w:endnote w:id="-1"/>
    <w:endnote w:id="0"/>
  </w:endnotePr>
  <w:compat>
    <w:spaceForUL/>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E0B"/>
    <w:rsid w:val="0003532A"/>
    <w:rsid w:val="00194A5B"/>
    <w:rsid w:val="001A4BBB"/>
    <w:rsid w:val="002F1E0B"/>
    <w:rsid w:val="003A06AD"/>
    <w:rsid w:val="003E0508"/>
    <w:rsid w:val="00441ABC"/>
    <w:rsid w:val="00487F98"/>
    <w:rsid w:val="006C7C32"/>
    <w:rsid w:val="00832F5B"/>
    <w:rsid w:val="0085522E"/>
    <w:rsid w:val="00A26FA0"/>
    <w:rsid w:val="00A636D4"/>
    <w:rsid w:val="00AC647B"/>
    <w:rsid w:val="00D06869"/>
    <w:rsid w:val="00D21363"/>
    <w:rsid w:val="00EA6095"/>
    <w:rsid w:val="00EB318B"/>
  </w:rsids>
  <m:mathPr>
    <m:mathFont m:val="Cambria Math"/>
    <m:brkBin m:val="before"/>
    <m:brkBinSub m:val="--"/>
    <m:smallFrac m:val="0"/>
    <m:dispDef/>
    <m:lMargin m:val="0"/>
    <m:rMargin m:val="0"/>
    <m:defJc m:val="centerGroup"/>
    <m:wrapIndent m:val="1440"/>
    <m:intLim m:val="subSup"/>
    <m:naryLim m:val="undOvr"/>
  </m:mathPr>
  <w:themeFontLang w:val="en-GB" w:eastAsia="ja-JP" w:bidi="he-IL"/>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A37BE35"/>
  <w14:defaultImageDpi w14:val="300"/>
  <w15:docId w15:val="{560A7394-DD8D-2445-93D9-04D433705F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New York" w:eastAsia="Times New Roman" w:hAnsi="New York" w:cs="Times New Roman"/>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overflowPunct w:val="0"/>
      <w:autoSpaceDE w:val="0"/>
      <w:autoSpaceDN w:val="0"/>
      <w:adjustRightInd w:val="0"/>
      <w:textAlignment w:val="baseline"/>
    </w:pPr>
    <w:rPr>
      <w:rFonts w:ascii="Times" w:hAnsi="Times"/>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ndnoteReference">
    <w:name w:val="endnote reference"/>
    <w:basedOn w:val="DefaultParagraphFont"/>
    <w:semiHidden/>
    <w:rPr>
      <w:vertAlign w:val="superscript"/>
    </w:rPr>
  </w:style>
  <w:style w:type="character" w:styleId="FootnoteReference">
    <w:name w:val="footnote reference"/>
    <w:basedOn w:val="DefaultParagraphFont"/>
    <w:semiHidden/>
    <w:rPr>
      <w:position w:val="6"/>
      <w:sz w:val="16"/>
    </w:rPr>
  </w:style>
  <w:style w:type="paragraph" w:styleId="FootnoteText">
    <w:name w:val="footnote text"/>
    <w:basedOn w:val="Normal"/>
    <w:semiHidden/>
    <w:rPr>
      <w:sz w:val="20"/>
    </w:rPr>
  </w:style>
  <w:style w:type="paragraph" w:styleId="Footer">
    <w:name w:val="footer"/>
    <w:basedOn w:val="Normal"/>
    <w:link w:val="FooterChar"/>
    <w:uiPriority w:val="99"/>
    <w:unhideWhenUsed/>
    <w:rsid w:val="00194A5B"/>
    <w:pPr>
      <w:tabs>
        <w:tab w:val="center" w:pos="4680"/>
        <w:tab w:val="right" w:pos="9360"/>
      </w:tabs>
    </w:pPr>
  </w:style>
  <w:style w:type="character" w:customStyle="1" w:styleId="FooterChar">
    <w:name w:val="Footer Char"/>
    <w:basedOn w:val="DefaultParagraphFont"/>
    <w:link w:val="Footer"/>
    <w:uiPriority w:val="99"/>
    <w:rsid w:val="00194A5B"/>
    <w:rPr>
      <w:rFonts w:ascii="Times" w:hAnsi="Times"/>
      <w:sz w:val="28"/>
    </w:rPr>
  </w:style>
  <w:style w:type="character" w:styleId="PageNumber">
    <w:name w:val="page number"/>
    <w:basedOn w:val="DefaultParagraphFont"/>
    <w:uiPriority w:val="99"/>
    <w:semiHidden/>
    <w:unhideWhenUsed/>
    <w:rsid w:val="00194A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2300</Words>
  <Characters>13110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Sanit David</Company>
  <LinksUpToDate>false</LinksUpToDate>
  <CharactersWithSpaces>15380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Haf Williams</dc:creator>
  <cp:keywords/>
  <cp:lastModifiedBy>Microsoft Office User</cp:lastModifiedBy>
  <cp:revision>3</cp:revision>
  <dcterms:created xsi:type="dcterms:W3CDTF">2018-05-16T12:12:00Z</dcterms:created>
  <dcterms:modified xsi:type="dcterms:W3CDTF">2018-05-16T12:14:00Z</dcterms:modified>
</cp:coreProperties>
</file>