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Course: BSc (Hons) Health and Social Care</w:t>
      </w:r>
    </w:p>
    <w:p w:rsidR="00000000" w:rsidDel="00000000" w:rsidP="00000000" w:rsidRDefault="00000000" w:rsidRPr="00000000" w14:paraId="00000002">
      <w:pPr>
        <w:jc w:val="center"/>
        <w:rPr>
          <w:b w:val="1"/>
          <w:sz w:val="28"/>
          <w:szCs w:val="28"/>
        </w:rPr>
      </w:pPr>
      <w:r w:rsidDel="00000000" w:rsidR="00000000" w:rsidRPr="00000000">
        <w:rPr>
          <w:b w:val="1"/>
          <w:sz w:val="28"/>
          <w:szCs w:val="28"/>
          <w:rtl w:val="0"/>
        </w:rPr>
        <w:t xml:space="preserve">Module: Independent Project (BMHP6020_BIRM)</w:t>
      </w:r>
    </w:p>
    <w:p w:rsidR="00000000" w:rsidDel="00000000" w:rsidP="00000000" w:rsidRDefault="00000000" w:rsidRPr="00000000" w14:paraId="00000003">
      <w:pPr>
        <w:jc w:val="center"/>
        <w:rPr>
          <w:b w:val="1"/>
          <w:sz w:val="28"/>
          <w:szCs w:val="28"/>
        </w:rPr>
      </w:pPr>
      <w:r w:rsidDel="00000000" w:rsidR="00000000" w:rsidRPr="00000000">
        <w:rPr>
          <w:rtl w:val="0"/>
        </w:rPr>
      </w:r>
    </w:p>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Component 1: Element 1 - Project Proposal</w:t>
      </w:r>
    </w:p>
    <w:p w:rsidR="00000000" w:rsidDel="00000000" w:rsidP="00000000" w:rsidRDefault="00000000" w:rsidRPr="00000000" w14:paraId="00000005">
      <w:pPr>
        <w:jc w:val="center"/>
        <w:rPr>
          <w:b w:val="1"/>
          <w:sz w:val="28"/>
          <w:szCs w:val="28"/>
        </w:rPr>
      </w:pPr>
      <w:r w:rsidDel="00000000" w:rsidR="00000000" w:rsidRPr="00000000">
        <w:rPr>
          <w:rtl w:val="0"/>
        </w:rPr>
      </w:r>
    </w:p>
    <w:p w:rsidR="00000000" w:rsidDel="00000000" w:rsidP="00000000" w:rsidRDefault="00000000" w:rsidRPr="00000000" w14:paraId="00000006">
      <w:pPr>
        <w:jc w:val="center"/>
        <w:rPr>
          <w:b w:val="1"/>
          <w:sz w:val="28"/>
          <w:szCs w:val="28"/>
        </w:rPr>
      </w:pPr>
      <w:r w:rsidDel="00000000" w:rsidR="00000000" w:rsidRPr="00000000">
        <w:rPr>
          <w:rtl w:val="0"/>
        </w:rPr>
      </w:r>
    </w:p>
    <w:p w:rsidR="00000000" w:rsidDel="00000000" w:rsidP="00000000" w:rsidRDefault="00000000" w:rsidRPr="00000000" w14:paraId="00000007">
      <w:pPr>
        <w:jc w:val="center"/>
        <w:rPr>
          <w:b w:val="1"/>
          <w:sz w:val="28"/>
          <w:szCs w:val="28"/>
        </w:rPr>
      </w:pPr>
      <w:r w:rsidDel="00000000" w:rsidR="00000000" w:rsidRPr="00000000">
        <w:rPr>
          <w:rtl w:val="0"/>
        </w:rPr>
      </w:r>
    </w:p>
    <w:p w:rsidR="00000000" w:rsidDel="00000000" w:rsidP="00000000" w:rsidRDefault="00000000" w:rsidRPr="00000000" w14:paraId="00000008">
      <w:pPr>
        <w:rPr>
          <w:b w:val="1"/>
          <w:sz w:val="28"/>
          <w:szCs w:val="28"/>
        </w:rPr>
      </w:pPr>
      <w:r w:rsidDel="00000000" w:rsidR="00000000" w:rsidRPr="00000000">
        <w:rPr>
          <w:b w:val="1"/>
          <w:sz w:val="28"/>
          <w:szCs w:val="28"/>
          <w:rtl w:val="0"/>
        </w:rPr>
        <w:t xml:space="preserve">Student ID: 2246128 </w:t>
      </w:r>
    </w:p>
    <w:p w:rsidR="00000000" w:rsidDel="00000000" w:rsidP="00000000" w:rsidRDefault="00000000" w:rsidRPr="00000000" w14:paraId="00000009">
      <w:pPr>
        <w:rPr>
          <w:b w:val="1"/>
          <w:sz w:val="28"/>
          <w:szCs w:val="28"/>
        </w:rPr>
      </w:pPr>
      <w:r w:rsidDel="00000000" w:rsidR="00000000" w:rsidRPr="00000000">
        <w:rPr>
          <w:b w:val="1"/>
          <w:sz w:val="28"/>
          <w:szCs w:val="28"/>
          <w:rtl w:val="0"/>
        </w:rPr>
        <w:t xml:space="preserve">Student Name: Kamran Khan</w:t>
      </w:r>
    </w:p>
    <w:p w:rsidR="00000000" w:rsidDel="00000000" w:rsidP="00000000" w:rsidRDefault="00000000" w:rsidRPr="00000000" w14:paraId="0000000A">
      <w:pPr>
        <w:jc w:val="center"/>
        <w:rPr>
          <w:b w:val="1"/>
          <w:sz w:val="28"/>
          <w:szCs w:val="28"/>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center"/>
        <w:rPr>
          <w:b w:val="1"/>
          <w:sz w:val="28"/>
          <w:szCs w:val="28"/>
        </w:rPr>
      </w:pPr>
      <w:r w:rsidDel="00000000" w:rsidR="00000000" w:rsidRPr="00000000">
        <w:rPr>
          <w:b w:val="1"/>
          <w:sz w:val="28"/>
          <w:szCs w:val="28"/>
          <w:rtl w:val="0"/>
        </w:rPr>
        <w:t xml:space="preserve">Element 1 - Project Proposal</w:t>
      </w:r>
    </w:p>
    <w:p w:rsidR="00000000" w:rsidDel="00000000" w:rsidP="00000000" w:rsidRDefault="00000000" w:rsidRPr="00000000" w14:paraId="0000001A">
      <w:pPr>
        <w:jc w:val="center"/>
        <w:rPr>
          <w:b w:val="1"/>
          <w:sz w:val="28"/>
          <w:szCs w:val="28"/>
        </w:rPr>
      </w:pPr>
      <w:r w:rsidDel="00000000" w:rsidR="00000000" w:rsidRPr="00000000">
        <w:rPr>
          <w:b w:val="1"/>
          <w:sz w:val="28"/>
          <w:szCs w:val="28"/>
          <w:rtl w:val="0"/>
        </w:rPr>
        <w:t xml:space="preserve">My Project Title: Comparing Mental Health Outcomes and Academic Success Among Foster Care and Non-Foster Care Graduates</w:t>
      </w:r>
    </w:p>
    <w:p w:rsidR="00000000" w:rsidDel="00000000" w:rsidP="00000000" w:rsidRDefault="00000000" w:rsidRPr="00000000" w14:paraId="0000001B">
      <w:pPr>
        <w:jc w:val="center"/>
        <w:rPr>
          <w:b w:val="1"/>
          <w:sz w:val="28"/>
          <w:szCs w:val="28"/>
        </w:rPr>
      </w:pPr>
      <w:r w:rsidDel="00000000" w:rsidR="00000000" w:rsidRPr="00000000">
        <w:rPr>
          <w:rtl w:val="0"/>
        </w:rPr>
      </w:r>
    </w:p>
    <w:p w:rsidR="00000000" w:rsidDel="00000000" w:rsidP="00000000" w:rsidRDefault="00000000" w:rsidRPr="00000000" w14:paraId="0000001C">
      <w:pPr>
        <w:pStyle w:val="Heading1"/>
        <w:rPr/>
      </w:pPr>
      <w:r w:rsidDel="00000000" w:rsidR="00000000" w:rsidRPr="00000000">
        <w:rPr>
          <w:rtl w:val="0"/>
        </w:rPr>
        <w:t xml:space="preserve">Aim </w:t>
      </w:r>
    </w:p>
    <w:p w:rsidR="00000000" w:rsidDel="00000000" w:rsidP="00000000" w:rsidRDefault="00000000" w:rsidRPr="00000000" w14:paraId="0000001D">
      <w:pPr>
        <w:jc w:val="both"/>
        <w:rPr/>
      </w:pPr>
      <w:r w:rsidDel="00000000" w:rsidR="00000000" w:rsidRPr="00000000">
        <w:rPr>
          <w:rtl w:val="0"/>
        </w:rPr>
        <w:t xml:space="preserve">To compare mental health outcomes and academic success between graduates with a foster care history and those without.</w:t>
      </w:r>
    </w:p>
    <w:p w:rsidR="00000000" w:rsidDel="00000000" w:rsidP="00000000" w:rsidRDefault="00000000" w:rsidRPr="00000000" w14:paraId="0000001E">
      <w:pPr>
        <w:pStyle w:val="Heading1"/>
        <w:rPr/>
      </w:pPr>
      <w:r w:rsidDel="00000000" w:rsidR="00000000" w:rsidRPr="00000000">
        <w:rPr>
          <w:rtl w:val="0"/>
        </w:rPr>
        <w:t xml:space="preserve">Objectives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To define and examine the key mental health challenges experienced by foster care graduates compared to their non-foster care peers, drawing on existing academic literature and policy reports.</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To analyse the relationship between mental health outcomes and academic performance, with particular attention to patterns of resilience and barriers to success in both groups.</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To evaluate the extent to which existing educational and support interventions address the unique needs of foster care graduates in higher education contexts.</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To provide recommendations for policymakers, educators, and mental health professionals on strategies to enhance academic achievement and psychological wellbeing among foster care graduates.</w:t>
      </w:r>
    </w:p>
    <w:p w:rsidR="00000000" w:rsidDel="00000000" w:rsidP="00000000" w:rsidRDefault="00000000" w:rsidRPr="00000000" w14:paraId="00000023">
      <w:pPr>
        <w:pStyle w:val="Heading1"/>
        <w:rPr/>
      </w:pPr>
      <w:r w:rsidDel="00000000" w:rsidR="00000000" w:rsidRPr="00000000">
        <w:rPr>
          <w:rtl w:val="0"/>
        </w:rPr>
        <w:t xml:space="preserve">Background/Rationale</w:t>
      </w:r>
    </w:p>
    <w:p w:rsidR="00000000" w:rsidDel="00000000" w:rsidP="00000000" w:rsidRDefault="00000000" w:rsidRPr="00000000" w14:paraId="00000024">
      <w:pPr>
        <w:jc w:val="both"/>
        <w:rPr/>
      </w:pPr>
      <w:r w:rsidDel="00000000" w:rsidR="00000000" w:rsidRPr="00000000">
        <w:rPr>
          <w:rtl w:val="0"/>
        </w:rPr>
        <w:t xml:space="preserve">Care-experienced young people often face disrupted schooling, housing instability, and elevated exposure to adversity, factors linked to poorer mental health and educational attainment (Ellis and Johnston, 2024). Yet many universities globally and in England report successful completion among care-experienced students when appropriate support is available (Harrison, 2019). The literature is sizeable but scattered: some studies focus on school-age cohorts or “care leavers” prior to higher education (Pecora and O’Brien, 2019), while others aggregate adversity without distinguishing foster care histories (Kothari </w:t>
      </w:r>
      <w:r w:rsidDel="00000000" w:rsidR="00000000" w:rsidRPr="00000000">
        <w:rPr>
          <w:i w:val="1"/>
          <w:rtl w:val="0"/>
        </w:rPr>
        <w:t xml:space="preserve">et al.</w:t>
      </w:r>
      <w:r w:rsidDel="00000000" w:rsidR="00000000" w:rsidRPr="00000000">
        <w:rPr>
          <w:rtl w:val="0"/>
        </w:rPr>
        <w:t xml:space="preserve">, 2021). Graduate-level outcomes remain under-synthesised, particularly the joint picture of mental health and academic achievement post-graduation. For health and social care and for widening participation teams, clear, comparative evidence is needed to identify where the biggest gaps persist and which interventions close them. This review addresses that need by collating studies that explicitly compare foster care and non-foster care graduates, integrating mental-health and academic endpoints, and highlighting contextual levers (placement stability, financial aid, targeted services). Findings will inform trauma-aware practice, degree-to-work transitions, and resource allocation within universities and community providers.</w:t>
      </w:r>
    </w:p>
    <w:p w:rsidR="00000000" w:rsidDel="00000000" w:rsidP="00000000" w:rsidRDefault="00000000" w:rsidRPr="00000000" w14:paraId="00000025">
      <w:pPr>
        <w:pStyle w:val="Heading1"/>
        <w:rPr/>
      </w:pPr>
      <w:r w:rsidDel="00000000" w:rsidR="00000000" w:rsidRPr="00000000">
        <w:rPr>
          <w:rtl w:val="0"/>
        </w:rPr>
        <w:t xml:space="preserve">Methods </w:t>
      </w:r>
    </w:p>
    <w:p w:rsidR="00000000" w:rsidDel="00000000" w:rsidP="00000000" w:rsidRDefault="00000000" w:rsidRPr="00000000" w14:paraId="00000026">
      <w:pPr>
        <w:pStyle w:val="Heading2"/>
        <w:rPr/>
      </w:pPr>
      <w:r w:rsidDel="00000000" w:rsidR="00000000" w:rsidRPr="00000000">
        <w:rPr>
          <w:rtl w:val="0"/>
        </w:rPr>
        <w:t xml:space="preserve">Data sources</w:t>
      </w:r>
    </w:p>
    <w:p w:rsidR="00000000" w:rsidDel="00000000" w:rsidP="00000000" w:rsidRDefault="00000000" w:rsidRPr="00000000" w14:paraId="00000027">
      <w:pPr>
        <w:jc w:val="both"/>
        <w:rPr/>
      </w:pPr>
      <w:r w:rsidDel="00000000" w:rsidR="00000000" w:rsidRPr="00000000">
        <w:rPr>
          <w:rtl w:val="0"/>
        </w:rPr>
        <w:t xml:space="preserve">Peer-reviewed journal articles, grey literature (government/NGO reports), and policy documents.</w:t>
      </w:r>
    </w:p>
    <w:p w:rsidR="00000000" w:rsidDel="00000000" w:rsidP="00000000" w:rsidRDefault="00000000" w:rsidRPr="00000000" w14:paraId="00000028">
      <w:pPr>
        <w:pStyle w:val="Heading2"/>
        <w:rPr/>
      </w:pPr>
      <w:r w:rsidDel="00000000" w:rsidR="00000000" w:rsidRPr="00000000">
        <w:rPr>
          <w:rtl w:val="0"/>
        </w:rPr>
        <w:t xml:space="preserve">Eligibility</w:t>
      </w:r>
    </w:p>
    <w:p w:rsidR="00000000" w:rsidDel="00000000" w:rsidP="00000000" w:rsidRDefault="00000000" w:rsidRPr="00000000" w14:paraId="00000029">
      <w:pPr>
        <w:jc w:val="both"/>
        <w:rPr/>
      </w:pPr>
      <w:r w:rsidDel="00000000" w:rsidR="00000000" w:rsidRPr="00000000">
        <w:rPr>
          <w:rtl w:val="0"/>
        </w:rPr>
        <w:t xml:space="preserve">2010–2025; samples including graduates (post-secondary completers) with explicit foster-care history; a comparator non-foster cohort; outcomes on mental health and/or academic success; quantitative, qualitative, or mixed methods.</w:t>
      </w:r>
    </w:p>
    <w:p w:rsidR="00000000" w:rsidDel="00000000" w:rsidP="00000000" w:rsidRDefault="00000000" w:rsidRPr="00000000" w14:paraId="0000002A">
      <w:pPr>
        <w:pStyle w:val="Heading2"/>
        <w:rPr/>
      </w:pPr>
      <w:r w:rsidDel="00000000" w:rsidR="00000000" w:rsidRPr="00000000">
        <w:rPr>
          <w:rtl w:val="0"/>
        </w:rPr>
        <w:t xml:space="preserve">Search &amp; screening</w:t>
      </w:r>
    </w:p>
    <w:p w:rsidR="00000000" w:rsidDel="00000000" w:rsidP="00000000" w:rsidRDefault="00000000" w:rsidRPr="00000000" w14:paraId="0000002B">
      <w:pPr>
        <w:jc w:val="both"/>
        <w:rPr/>
      </w:pPr>
      <w:r w:rsidDel="00000000" w:rsidR="00000000" w:rsidRPr="00000000">
        <w:rPr>
          <w:rtl w:val="0"/>
        </w:rPr>
        <w:t xml:space="preserve">Systematic searches in PubMed/MEDLINE, PsycINFO, Scopus, ERIC, CINAHL; PRISMA flow for identification to inclusion. Data extraction table for screening and arranging studies.</w:t>
      </w:r>
    </w:p>
    <w:p w:rsidR="00000000" w:rsidDel="00000000" w:rsidP="00000000" w:rsidRDefault="00000000" w:rsidRPr="00000000" w14:paraId="0000002C">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ptos" w:cs="Aptos" w:eastAsia="Aptos" w:hAnsi="Aptos"/>
          <w:b w:val="0"/>
          <w:i w:val="1"/>
          <w:smallCaps w:val="0"/>
          <w:strike w:val="0"/>
          <w:color w:val="0e2841"/>
          <w:sz w:val="18"/>
          <w:szCs w:val="18"/>
          <w:u w:val="none"/>
          <w:shd w:fill="auto" w:val="clear"/>
          <w:vertAlign w:val="baseline"/>
        </w:rPr>
      </w:pPr>
      <w:r w:rsidDel="00000000" w:rsidR="00000000" w:rsidRPr="00000000">
        <w:rPr>
          <w:rFonts w:ascii="Aptos" w:cs="Aptos" w:eastAsia="Aptos" w:hAnsi="Aptos"/>
          <w:b w:val="0"/>
          <w:i w:val="1"/>
          <w:smallCaps w:val="0"/>
          <w:strike w:val="0"/>
          <w:color w:val="0e2841"/>
          <w:sz w:val="18"/>
          <w:szCs w:val="18"/>
          <w:u w:val="none"/>
          <w:shd w:fill="auto" w:val="clear"/>
          <w:vertAlign w:val="baseline"/>
          <w:rtl w:val="0"/>
        </w:rPr>
        <w:t xml:space="preserve">Table 1: Data extraction Table</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4"/>
        <w:gridCol w:w="2254"/>
        <w:gridCol w:w="2254"/>
        <w:gridCol w:w="2254"/>
        <w:tblGridChange w:id="0">
          <w:tblGrid>
            <w:gridCol w:w="2254"/>
            <w:gridCol w:w="2254"/>
            <w:gridCol w:w="2254"/>
            <w:gridCol w:w="2254"/>
          </w:tblGrid>
        </w:tblGridChange>
      </w:tblGrid>
      <w:tr>
        <w:trPr>
          <w:cantSplit w:val="0"/>
          <w:tblHeader w:val="0"/>
        </w:trPr>
        <w:tc>
          <w:tcPr/>
          <w:p w:rsidR="00000000" w:rsidDel="00000000" w:rsidP="00000000" w:rsidRDefault="00000000" w:rsidRPr="00000000" w14:paraId="0000002D">
            <w:pPr>
              <w:jc w:val="both"/>
              <w:rPr>
                <w:b w:val="1"/>
              </w:rPr>
            </w:pPr>
            <w:r w:rsidDel="00000000" w:rsidR="00000000" w:rsidRPr="00000000">
              <w:rPr>
                <w:b w:val="1"/>
                <w:rtl w:val="0"/>
              </w:rPr>
              <w:t xml:space="preserve">Study </w:t>
            </w:r>
          </w:p>
        </w:tc>
        <w:tc>
          <w:tcPr/>
          <w:p w:rsidR="00000000" w:rsidDel="00000000" w:rsidP="00000000" w:rsidRDefault="00000000" w:rsidRPr="00000000" w14:paraId="0000002E">
            <w:pPr>
              <w:jc w:val="both"/>
              <w:rPr>
                <w:b w:val="1"/>
              </w:rPr>
            </w:pPr>
            <w:r w:rsidDel="00000000" w:rsidR="00000000" w:rsidRPr="00000000">
              <w:rPr>
                <w:b w:val="1"/>
                <w:rtl w:val="0"/>
              </w:rPr>
              <w:t xml:space="preserve">Aim </w:t>
            </w:r>
          </w:p>
        </w:tc>
        <w:tc>
          <w:tcPr/>
          <w:p w:rsidR="00000000" w:rsidDel="00000000" w:rsidP="00000000" w:rsidRDefault="00000000" w:rsidRPr="00000000" w14:paraId="0000002F">
            <w:pPr>
              <w:jc w:val="both"/>
              <w:rPr>
                <w:b w:val="1"/>
              </w:rPr>
            </w:pPr>
            <w:r w:rsidDel="00000000" w:rsidR="00000000" w:rsidRPr="00000000">
              <w:rPr>
                <w:b w:val="1"/>
                <w:rtl w:val="0"/>
              </w:rPr>
              <w:t xml:space="preserve">Method </w:t>
            </w:r>
          </w:p>
        </w:tc>
        <w:tc>
          <w:tcPr/>
          <w:p w:rsidR="00000000" w:rsidDel="00000000" w:rsidP="00000000" w:rsidRDefault="00000000" w:rsidRPr="00000000" w14:paraId="00000030">
            <w:pPr>
              <w:jc w:val="both"/>
              <w:rPr>
                <w:b w:val="1"/>
              </w:rPr>
            </w:pPr>
            <w:r w:rsidDel="00000000" w:rsidR="00000000" w:rsidRPr="00000000">
              <w:rPr>
                <w:b w:val="1"/>
                <w:rtl w:val="0"/>
              </w:rPr>
              <w:t xml:space="preserve">Findings </w:t>
            </w:r>
          </w:p>
        </w:tc>
      </w:tr>
      <w:tr>
        <w:trPr>
          <w:cantSplit w:val="0"/>
          <w:tblHeader w:val="0"/>
        </w:trPr>
        <w:tc>
          <w:tcPr/>
          <w:p w:rsidR="00000000" w:rsidDel="00000000" w:rsidP="00000000" w:rsidRDefault="00000000" w:rsidRPr="00000000" w14:paraId="00000031">
            <w:pPr>
              <w:jc w:val="both"/>
              <w:rPr/>
            </w:pPr>
            <w:r w:rsidDel="00000000" w:rsidR="00000000" w:rsidRPr="00000000">
              <w:rPr>
                <w:rtl w:val="0"/>
              </w:rPr>
            </w:r>
          </w:p>
        </w:tc>
        <w:tc>
          <w:tcPr/>
          <w:p w:rsidR="00000000" w:rsidDel="00000000" w:rsidP="00000000" w:rsidRDefault="00000000" w:rsidRPr="00000000" w14:paraId="00000032">
            <w:pPr>
              <w:jc w:val="both"/>
              <w:rPr/>
            </w:pPr>
            <w:r w:rsidDel="00000000" w:rsidR="00000000" w:rsidRPr="00000000">
              <w:rPr>
                <w:rtl w:val="0"/>
              </w:rPr>
            </w:r>
          </w:p>
        </w:tc>
        <w:tc>
          <w:tcPr/>
          <w:p w:rsidR="00000000" w:rsidDel="00000000" w:rsidP="00000000" w:rsidRDefault="00000000" w:rsidRPr="00000000" w14:paraId="00000033">
            <w:pPr>
              <w:jc w:val="both"/>
              <w:rPr/>
            </w:pPr>
            <w:r w:rsidDel="00000000" w:rsidR="00000000" w:rsidRPr="00000000">
              <w:rPr>
                <w:rtl w:val="0"/>
              </w:rPr>
            </w:r>
          </w:p>
        </w:tc>
        <w:tc>
          <w:tcPr/>
          <w:p w:rsidR="00000000" w:rsidDel="00000000" w:rsidP="00000000" w:rsidRDefault="00000000" w:rsidRPr="00000000" w14:paraId="00000034">
            <w:pPr>
              <w:jc w:val="both"/>
              <w:rPr/>
            </w:pPr>
            <w:r w:rsidDel="00000000" w:rsidR="00000000" w:rsidRPr="00000000">
              <w:rPr>
                <w:rtl w:val="0"/>
              </w:rPr>
            </w:r>
          </w:p>
        </w:tc>
      </w:tr>
    </w:tbl>
    <w:p w:rsidR="00000000" w:rsidDel="00000000" w:rsidP="00000000" w:rsidRDefault="00000000" w:rsidRPr="00000000" w14:paraId="00000035">
      <w:pPr>
        <w:jc w:val="both"/>
        <w:rPr/>
      </w:pPr>
      <w:r w:rsidDel="00000000" w:rsidR="00000000" w:rsidRPr="00000000">
        <w:rPr>
          <w:rtl w:val="0"/>
        </w:rPr>
      </w:r>
    </w:p>
    <w:p w:rsidR="00000000" w:rsidDel="00000000" w:rsidP="00000000" w:rsidRDefault="00000000" w:rsidRPr="00000000" w14:paraId="00000036">
      <w:pPr>
        <w:pStyle w:val="Heading2"/>
        <w:rPr/>
      </w:pPr>
      <w:r w:rsidDel="00000000" w:rsidR="00000000" w:rsidRPr="00000000">
        <w:rPr>
          <w:rtl w:val="0"/>
        </w:rPr>
        <w:t xml:space="preserve">Analysis</w:t>
      </w:r>
    </w:p>
    <w:p w:rsidR="00000000" w:rsidDel="00000000" w:rsidP="00000000" w:rsidRDefault="00000000" w:rsidRPr="00000000" w14:paraId="00000037">
      <w:pPr>
        <w:jc w:val="both"/>
        <w:rPr/>
      </w:pPr>
      <w:r w:rsidDel="00000000" w:rsidR="00000000" w:rsidRPr="00000000">
        <w:rPr>
          <w:rtl w:val="0"/>
        </w:rPr>
        <w:t xml:space="preserve">Thematic analysis (manual coding) to integrate mechanisms and moderators; quality appraisal via CASP/JBI tools to weight conclusions.</w:t>
      </w:r>
    </w:p>
    <w:p w:rsidR="00000000" w:rsidDel="00000000" w:rsidP="00000000" w:rsidRDefault="00000000" w:rsidRPr="00000000" w14:paraId="00000038">
      <w:pPr>
        <w:pStyle w:val="Heading2"/>
        <w:rPr/>
      </w:pPr>
      <w:r w:rsidDel="00000000" w:rsidR="00000000" w:rsidRPr="00000000">
        <w:rPr>
          <w:rtl w:val="0"/>
        </w:rPr>
        <w:t xml:space="preserve">Ethics</w:t>
      </w:r>
    </w:p>
    <w:p w:rsidR="00000000" w:rsidDel="00000000" w:rsidP="00000000" w:rsidRDefault="00000000" w:rsidRPr="00000000" w14:paraId="00000039">
      <w:pPr>
        <w:jc w:val="both"/>
        <w:rPr/>
      </w:pPr>
      <w:r w:rsidDel="00000000" w:rsidR="00000000" w:rsidRPr="00000000">
        <w:rPr>
          <w:rtl w:val="0"/>
        </w:rPr>
        <w:t xml:space="preserve">Secondary analysis only; transparent methods; accurate citation; avoidance of plagiarism; reflexive commentary on assumptions and positionality.</w:t>
      </w:r>
    </w:p>
    <w:p w:rsidR="00000000" w:rsidDel="00000000" w:rsidP="00000000" w:rsidRDefault="00000000" w:rsidRPr="00000000" w14:paraId="0000003A">
      <w:pPr>
        <w:pStyle w:val="Heading1"/>
        <w:rPr/>
      </w:pPr>
      <w:r w:rsidDel="00000000" w:rsidR="00000000" w:rsidRPr="00000000">
        <w:rPr>
          <w:rtl w:val="0"/>
        </w:rPr>
        <w:t xml:space="preserve">Resources </w:t>
      </w:r>
    </w:p>
    <w:p w:rsidR="00000000" w:rsidDel="00000000" w:rsidP="00000000" w:rsidRDefault="00000000" w:rsidRPr="00000000" w14:paraId="0000003B">
      <w:pPr>
        <w:jc w:val="both"/>
        <w:rPr/>
      </w:pPr>
      <w:r w:rsidDel="00000000" w:rsidR="00000000" w:rsidRPr="00000000">
        <w:rPr>
          <w:rtl w:val="0"/>
        </w:rPr>
        <w:t xml:space="preserve">Databases: PubMed, PsycINFO, Scopus, ERIC, CINAHL</w:t>
      </w:r>
    </w:p>
    <w:p w:rsidR="00000000" w:rsidDel="00000000" w:rsidP="00000000" w:rsidRDefault="00000000" w:rsidRPr="00000000" w14:paraId="0000003C">
      <w:pPr>
        <w:jc w:val="both"/>
        <w:rPr/>
      </w:pPr>
      <w:r w:rsidDel="00000000" w:rsidR="00000000" w:rsidRPr="00000000">
        <w:rPr>
          <w:rtl w:val="0"/>
        </w:rPr>
        <w:t xml:space="preserve">Institutional e-library access</w:t>
      </w:r>
    </w:p>
    <w:p w:rsidR="00000000" w:rsidDel="00000000" w:rsidP="00000000" w:rsidRDefault="00000000" w:rsidRPr="00000000" w14:paraId="0000003D">
      <w:pPr>
        <w:jc w:val="both"/>
        <w:rPr/>
      </w:pPr>
      <w:r w:rsidDel="00000000" w:rsidR="00000000" w:rsidRPr="00000000">
        <w:rPr>
          <w:rtl w:val="0"/>
        </w:rPr>
        <w:t xml:space="preserve">Excel/Google Sheets for coding</w:t>
      </w:r>
    </w:p>
    <w:p w:rsidR="00000000" w:rsidDel="00000000" w:rsidP="00000000" w:rsidRDefault="00000000" w:rsidRPr="00000000" w14:paraId="0000003E">
      <w:pPr>
        <w:pStyle w:val="Heading1"/>
        <w:rPr/>
      </w:pPr>
      <w:r w:rsidDel="00000000" w:rsidR="00000000" w:rsidRPr="00000000">
        <w:rPr>
          <w:rtl w:val="0"/>
        </w:rPr>
        <w:t xml:space="preserve">Timescale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04"/>
        <w:gridCol w:w="6712"/>
        <w:tblGridChange w:id="0">
          <w:tblGrid>
            <w:gridCol w:w="2304"/>
            <w:gridCol w:w="6712"/>
          </w:tblGrid>
        </w:tblGridChange>
      </w:tblGrid>
      <w:tr>
        <w:trPr>
          <w:cantSplit w:val="0"/>
          <w:tblHeader w:val="0"/>
        </w:trPr>
        <w:tc>
          <w:tcPr/>
          <w:p w:rsidR="00000000" w:rsidDel="00000000" w:rsidP="00000000" w:rsidRDefault="00000000" w:rsidRPr="00000000" w14:paraId="0000003F">
            <w:pPr>
              <w:jc w:val="both"/>
              <w:rPr>
                <w:b w:val="1"/>
              </w:rPr>
            </w:pPr>
            <w:r w:rsidDel="00000000" w:rsidR="00000000" w:rsidRPr="00000000">
              <w:rPr>
                <w:b w:val="1"/>
                <w:rtl w:val="0"/>
              </w:rPr>
              <w:t xml:space="preserve">Weeks</w:t>
            </w:r>
          </w:p>
        </w:tc>
        <w:tc>
          <w:tcPr/>
          <w:p w:rsidR="00000000" w:rsidDel="00000000" w:rsidP="00000000" w:rsidRDefault="00000000" w:rsidRPr="00000000" w14:paraId="00000040">
            <w:pPr>
              <w:jc w:val="both"/>
              <w:rPr>
                <w:b w:val="1"/>
              </w:rPr>
            </w:pPr>
            <w:r w:rsidDel="00000000" w:rsidR="00000000" w:rsidRPr="00000000">
              <w:rPr>
                <w:b w:val="1"/>
                <w:rtl w:val="0"/>
              </w:rPr>
              <w:t xml:space="preserve">Task</w:t>
            </w:r>
          </w:p>
        </w:tc>
      </w:tr>
      <w:tr>
        <w:trPr>
          <w:cantSplit w:val="0"/>
          <w:tblHeader w:val="0"/>
        </w:trPr>
        <w:tc>
          <w:tcPr/>
          <w:p w:rsidR="00000000" w:rsidDel="00000000" w:rsidP="00000000" w:rsidRDefault="00000000" w:rsidRPr="00000000" w14:paraId="00000041">
            <w:pPr>
              <w:jc w:val="both"/>
              <w:rPr/>
            </w:pPr>
            <w:r w:rsidDel="00000000" w:rsidR="00000000" w:rsidRPr="00000000">
              <w:rPr>
                <w:rtl w:val="0"/>
              </w:rPr>
              <w:t xml:space="preserve">1–2</w:t>
            </w:r>
          </w:p>
        </w:tc>
        <w:tc>
          <w:tcPr/>
          <w:p w:rsidR="00000000" w:rsidDel="00000000" w:rsidP="00000000" w:rsidRDefault="00000000" w:rsidRPr="00000000" w14:paraId="00000042">
            <w:pPr>
              <w:jc w:val="both"/>
              <w:rPr/>
            </w:pPr>
            <w:r w:rsidDel="00000000" w:rsidR="00000000" w:rsidRPr="00000000">
              <w:rPr>
                <w:rtl w:val="0"/>
              </w:rPr>
              <w:t xml:space="preserve">Refine question/protocol</w:t>
            </w:r>
          </w:p>
        </w:tc>
      </w:tr>
      <w:tr>
        <w:trPr>
          <w:cantSplit w:val="0"/>
          <w:tblHeader w:val="0"/>
        </w:trPr>
        <w:tc>
          <w:tcPr/>
          <w:p w:rsidR="00000000" w:rsidDel="00000000" w:rsidP="00000000" w:rsidRDefault="00000000" w:rsidRPr="00000000" w14:paraId="00000043">
            <w:pPr>
              <w:jc w:val="both"/>
              <w:rPr/>
            </w:pPr>
            <w:r w:rsidDel="00000000" w:rsidR="00000000" w:rsidRPr="00000000">
              <w:rPr>
                <w:rtl w:val="0"/>
              </w:rPr>
              <w:t xml:space="preserve">3–4</w:t>
            </w:r>
          </w:p>
        </w:tc>
        <w:tc>
          <w:tcPr/>
          <w:p w:rsidR="00000000" w:rsidDel="00000000" w:rsidP="00000000" w:rsidRDefault="00000000" w:rsidRPr="00000000" w14:paraId="00000044">
            <w:pPr>
              <w:jc w:val="both"/>
              <w:rPr/>
            </w:pPr>
            <w:r w:rsidDel="00000000" w:rsidR="00000000" w:rsidRPr="00000000">
              <w:rPr>
                <w:rtl w:val="0"/>
              </w:rPr>
              <w:t xml:space="preserve">Search &amp; screening</w:t>
            </w:r>
          </w:p>
        </w:tc>
      </w:tr>
      <w:tr>
        <w:trPr>
          <w:cantSplit w:val="0"/>
          <w:tblHeader w:val="0"/>
        </w:trPr>
        <w:tc>
          <w:tcPr/>
          <w:p w:rsidR="00000000" w:rsidDel="00000000" w:rsidP="00000000" w:rsidRDefault="00000000" w:rsidRPr="00000000" w14:paraId="00000045">
            <w:pPr>
              <w:jc w:val="both"/>
              <w:rPr/>
            </w:pPr>
            <w:r w:rsidDel="00000000" w:rsidR="00000000" w:rsidRPr="00000000">
              <w:rPr>
                <w:rtl w:val="0"/>
              </w:rPr>
              <w:t xml:space="preserve">5–6</w:t>
            </w:r>
          </w:p>
        </w:tc>
        <w:tc>
          <w:tcPr/>
          <w:p w:rsidR="00000000" w:rsidDel="00000000" w:rsidP="00000000" w:rsidRDefault="00000000" w:rsidRPr="00000000" w14:paraId="00000046">
            <w:pPr>
              <w:jc w:val="both"/>
              <w:rPr/>
            </w:pPr>
            <w:r w:rsidDel="00000000" w:rsidR="00000000" w:rsidRPr="00000000">
              <w:rPr>
                <w:rtl w:val="0"/>
              </w:rPr>
              <w:t xml:space="preserve">Extraction &amp; appraisal</w:t>
            </w:r>
          </w:p>
        </w:tc>
      </w:tr>
      <w:tr>
        <w:trPr>
          <w:cantSplit w:val="0"/>
          <w:tblHeader w:val="0"/>
        </w:trPr>
        <w:tc>
          <w:tcPr/>
          <w:p w:rsidR="00000000" w:rsidDel="00000000" w:rsidP="00000000" w:rsidRDefault="00000000" w:rsidRPr="00000000" w14:paraId="00000047">
            <w:pPr>
              <w:jc w:val="both"/>
              <w:rPr/>
            </w:pPr>
            <w:r w:rsidDel="00000000" w:rsidR="00000000" w:rsidRPr="00000000">
              <w:rPr>
                <w:rtl w:val="0"/>
              </w:rPr>
              <w:t xml:space="preserve">7–8</w:t>
            </w:r>
          </w:p>
        </w:tc>
        <w:tc>
          <w:tcPr/>
          <w:p w:rsidR="00000000" w:rsidDel="00000000" w:rsidP="00000000" w:rsidRDefault="00000000" w:rsidRPr="00000000" w14:paraId="00000048">
            <w:pPr>
              <w:jc w:val="both"/>
              <w:rPr/>
            </w:pPr>
            <w:r w:rsidDel="00000000" w:rsidR="00000000" w:rsidRPr="00000000">
              <w:rPr>
                <w:rtl w:val="0"/>
              </w:rPr>
              <w:t xml:space="preserve">Synthesis &amp; coding</w:t>
            </w:r>
          </w:p>
        </w:tc>
      </w:tr>
      <w:tr>
        <w:trPr>
          <w:cantSplit w:val="0"/>
          <w:tblHeader w:val="0"/>
        </w:trPr>
        <w:tc>
          <w:tcPr/>
          <w:p w:rsidR="00000000" w:rsidDel="00000000" w:rsidP="00000000" w:rsidRDefault="00000000" w:rsidRPr="00000000" w14:paraId="00000049">
            <w:pPr>
              <w:jc w:val="both"/>
              <w:rPr/>
            </w:pPr>
            <w:r w:rsidDel="00000000" w:rsidR="00000000" w:rsidRPr="00000000">
              <w:rPr>
                <w:rtl w:val="0"/>
              </w:rPr>
              <w:t xml:space="preserve">9</w:t>
            </w:r>
          </w:p>
        </w:tc>
        <w:tc>
          <w:tcPr/>
          <w:p w:rsidR="00000000" w:rsidDel="00000000" w:rsidP="00000000" w:rsidRDefault="00000000" w:rsidRPr="00000000" w14:paraId="0000004A">
            <w:pPr>
              <w:jc w:val="both"/>
              <w:rPr/>
            </w:pPr>
            <w:r w:rsidDel="00000000" w:rsidR="00000000" w:rsidRPr="00000000">
              <w:rPr>
                <w:rtl w:val="0"/>
              </w:rPr>
              <w:t xml:space="preserve">Draft report</w:t>
            </w:r>
          </w:p>
        </w:tc>
      </w:tr>
      <w:tr>
        <w:trPr>
          <w:cantSplit w:val="0"/>
          <w:tblHeader w:val="0"/>
        </w:trPr>
        <w:tc>
          <w:tcPr/>
          <w:p w:rsidR="00000000" w:rsidDel="00000000" w:rsidP="00000000" w:rsidRDefault="00000000" w:rsidRPr="00000000" w14:paraId="0000004B">
            <w:pPr>
              <w:jc w:val="both"/>
              <w:rPr/>
            </w:pPr>
            <w:r w:rsidDel="00000000" w:rsidR="00000000" w:rsidRPr="00000000">
              <w:rPr>
                <w:rtl w:val="0"/>
              </w:rPr>
              <w:t xml:space="preserve">10</w:t>
            </w:r>
          </w:p>
        </w:tc>
        <w:tc>
          <w:tcPr/>
          <w:p w:rsidR="00000000" w:rsidDel="00000000" w:rsidP="00000000" w:rsidRDefault="00000000" w:rsidRPr="00000000" w14:paraId="0000004C">
            <w:pPr>
              <w:jc w:val="both"/>
              <w:rPr/>
            </w:pPr>
            <w:r w:rsidDel="00000000" w:rsidR="00000000" w:rsidRPr="00000000">
              <w:rPr>
                <w:rtl w:val="0"/>
              </w:rPr>
              <w:t xml:space="preserve">Revisions/submission</w:t>
            </w:r>
          </w:p>
        </w:tc>
      </w:tr>
    </w:tbl>
    <w:p w:rsidR="00000000" w:rsidDel="00000000" w:rsidP="00000000" w:rsidRDefault="00000000" w:rsidRPr="00000000" w14:paraId="0000004D">
      <w:pPr>
        <w:jc w:val="both"/>
        <w:rPr/>
      </w:pPr>
      <w:r w:rsidDel="00000000" w:rsidR="00000000" w:rsidRPr="00000000">
        <w:rPr>
          <w:rtl w:val="0"/>
        </w:rPr>
      </w:r>
    </w:p>
    <w:p w:rsidR="00000000" w:rsidDel="00000000" w:rsidP="00000000" w:rsidRDefault="00000000" w:rsidRPr="00000000" w14:paraId="0000004E">
      <w:pPr>
        <w:pStyle w:val="Heading1"/>
        <w:rPr/>
      </w:pPr>
      <w:r w:rsidDel="00000000" w:rsidR="00000000" w:rsidRPr="00000000">
        <w:rPr>
          <w:rtl w:val="0"/>
        </w:rPr>
        <w:t xml:space="preserve">Self-reflection </w:t>
      </w:r>
    </w:p>
    <w:p w:rsidR="00000000" w:rsidDel="00000000" w:rsidP="00000000" w:rsidRDefault="00000000" w:rsidRPr="00000000" w14:paraId="0000004F">
      <w:pPr>
        <w:jc w:val="both"/>
        <w:rPr/>
      </w:pPr>
      <w:r w:rsidDel="00000000" w:rsidR="00000000" w:rsidRPr="00000000">
        <w:rPr>
          <w:rtl w:val="0"/>
        </w:rPr>
        <w:t xml:space="preserve">I bring strong synthesis, organisation, and clear writing. Key challenges include variable definitions of graduate and heterogeneity across welfare contexts. I aim to deepen critical appraisal and reflexivity, using peer debriefs and supervisor feedback to test interpretations and ensure balanced, practice-relevant recommendations for care-experienced graduates.</w:t>
      </w:r>
    </w:p>
    <w:p w:rsidR="00000000" w:rsidDel="00000000" w:rsidP="00000000" w:rsidRDefault="00000000" w:rsidRPr="00000000" w14:paraId="00000050">
      <w:pPr>
        <w:pStyle w:val="Heading1"/>
        <w:rPr/>
      </w:pPr>
      <w:r w:rsidDel="00000000" w:rsidR="00000000" w:rsidRPr="00000000">
        <w:rPr>
          <w:rtl w:val="0"/>
        </w:rPr>
        <w:t xml:space="preserve">References</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Ellis, K. and Johnston, C. (2024) ‘Care and education: instability, stigma and the responsibilisation of educational achievement’,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Children and Youth Services Review</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156, pp. 107319–107319. Available at: https://doi.org/10.1016/j.childyouth.2023.107319.</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Harrison, N. (2019) ‘Patterns of participation in higher education for care-experienced students in England: why has there not been more progress?’,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Studies in Higher Education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45(9), pp. 1986–2000. Available at: https://doi.org/10.1080/03075079.2019.1582014.</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Kothari, B.H.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(2021) ‘Educational resilience among youth in foster care’,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Psychology in the Schools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58(5), pp. 913–934. Available at: https://doi.org/10.1002/pits.22478.</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Pecora, P.J. and O’Brien, K. (2019) ‘Fostering Success in Education: Educational Outcomes of Students in Foster Care in the United States’,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Children’s well-being</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pp. 29–45. Available at: https://doi.org/10.1007/978-3-030-26372-0_3.</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color w:val="0f4761"/>
      <w:sz w:val="32"/>
      <w:szCs w:val="32"/>
    </w:rPr>
  </w:style>
  <w:style w:type="paragraph" w:styleId="Heading2">
    <w:name w:val="heading 2"/>
    <w:basedOn w:val="Normal"/>
    <w:next w:val="Normal"/>
    <w:pPr>
      <w:keepNext w:val="1"/>
      <w:keepLines w:val="1"/>
      <w:spacing w:after="80" w:before="160" w:lineRule="auto"/>
    </w:pPr>
    <w:rPr>
      <w:b w:val="1"/>
      <w:color w:val="0f4761"/>
      <w:sz w:val="28"/>
      <w:szCs w:val="28"/>
    </w:rPr>
  </w:style>
  <w:style w:type="paragraph" w:styleId="Heading3">
    <w:name w:val="heading 3"/>
    <w:basedOn w:val="Normal"/>
    <w:next w:val="Normal"/>
    <w:pPr>
      <w:keepNext w:val="1"/>
      <w:keepLines w:val="1"/>
      <w:spacing w:after="80" w:before="160" w:lineRule="auto"/>
    </w:pPr>
    <w:rPr>
      <w:b w:val="1"/>
      <w:i w:val="1"/>
      <w:color w:val="0f4761"/>
    </w:rPr>
  </w:style>
  <w:style w:type="paragraph" w:styleId="Heading4">
    <w:name w:val="heading 4"/>
    <w:basedOn w:val="Normal"/>
    <w:next w:val="Normal"/>
    <w:pPr>
      <w:keepNext w:val="1"/>
      <w:keepLines w:val="1"/>
      <w:spacing w:after="40" w:before="80"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F26663"/>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F26663"/>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F26663"/>
    <w:pPr>
      <w:keepNext w:val="1"/>
      <w:keepLines w:val="1"/>
      <w:spacing w:after="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26663"/>
    <w:rPr>
      <w:rFonts w:asciiTheme="minorBidi" w:cstheme="majorBidi" w:eastAsiaTheme="majorEastAsia" w:hAnsiTheme="minorBidi"/>
      <w:b w:val="1"/>
      <w:color w:val="0f4761" w:themeColor="accent1" w:themeShade="0000BF"/>
      <w:sz w:val="32"/>
      <w:szCs w:val="40"/>
    </w:rPr>
  </w:style>
  <w:style w:type="character" w:styleId="Heading2Char" w:customStyle="1">
    <w:name w:val="Heading 2 Char"/>
    <w:basedOn w:val="DefaultParagraphFont"/>
    <w:link w:val="Heading2"/>
    <w:uiPriority w:val="9"/>
    <w:rsid w:val="00F26663"/>
    <w:rPr>
      <w:rFonts w:asciiTheme="minorBidi" w:cstheme="majorBidi" w:eastAsiaTheme="majorEastAsia" w:hAnsiTheme="minorBidi"/>
      <w:b w:val="1"/>
      <w:color w:val="0f4761" w:themeColor="accent1" w:themeShade="0000BF"/>
      <w:sz w:val="28"/>
      <w:szCs w:val="32"/>
    </w:rPr>
  </w:style>
  <w:style w:type="character" w:styleId="Heading3Char" w:customStyle="1">
    <w:name w:val="Heading 3 Char"/>
    <w:basedOn w:val="DefaultParagraphFont"/>
    <w:link w:val="Heading3"/>
    <w:uiPriority w:val="9"/>
    <w:rsid w:val="00BE4882"/>
    <w:rPr>
      <w:rFonts w:asciiTheme="majorBidi" w:cstheme="majorBidi" w:eastAsiaTheme="majorEastAsia" w:hAnsiTheme="majorBidi"/>
      <w:b w:val="1"/>
      <w:i w:val="1"/>
      <w:color w:val="0f4761" w:themeColor="accent1" w:themeShade="0000BF"/>
      <w:szCs w:val="28"/>
    </w:rPr>
  </w:style>
  <w:style w:type="character" w:styleId="Heading4Char" w:customStyle="1">
    <w:name w:val="Heading 4 Char"/>
    <w:basedOn w:val="DefaultParagraphFont"/>
    <w:link w:val="Heading4"/>
    <w:uiPriority w:val="9"/>
    <w:semiHidden w:val="1"/>
    <w:rsid w:val="00F26663"/>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F26663"/>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F26663"/>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F26663"/>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F26663"/>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F26663"/>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F26663"/>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F26663"/>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F26663"/>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F26663"/>
    <w:rPr>
      <w:rFonts w:asciiTheme="majorBidi" w:hAnsiTheme="majorBidi"/>
      <w:i w:val="1"/>
      <w:iCs w:val="1"/>
      <w:color w:val="404040" w:themeColor="text1" w:themeTint="0000BF"/>
    </w:rPr>
  </w:style>
  <w:style w:type="paragraph" w:styleId="ListParagraph">
    <w:name w:val="List Paragraph"/>
    <w:basedOn w:val="Normal"/>
    <w:uiPriority w:val="34"/>
    <w:qFormat w:val="1"/>
    <w:rsid w:val="00F26663"/>
    <w:pPr>
      <w:ind w:left="720"/>
      <w:contextualSpacing w:val="1"/>
    </w:pPr>
  </w:style>
  <w:style w:type="character" w:styleId="IntenseEmphasis">
    <w:name w:val="Intense Emphasis"/>
    <w:basedOn w:val="DefaultParagraphFont"/>
    <w:uiPriority w:val="21"/>
    <w:qFormat w:val="1"/>
    <w:rsid w:val="00F26663"/>
    <w:rPr>
      <w:i w:val="1"/>
      <w:iCs w:val="1"/>
      <w:color w:val="0f4761" w:themeColor="accent1" w:themeShade="0000BF"/>
    </w:rPr>
  </w:style>
  <w:style w:type="paragraph" w:styleId="IntenseQuote">
    <w:name w:val="Intense Quote"/>
    <w:basedOn w:val="Normal"/>
    <w:next w:val="Normal"/>
    <w:link w:val="IntenseQuoteChar"/>
    <w:uiPriority w:val="30"/>
    <w:qFormat w:val="1"/>
    <w:rsid w:val="00F26663"/>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F26663"/>
    <w:rPr>
      <w:rFonts w:asciiTheme="majorBidi" w:hAnsiTheme="majorBidi"/>
      <w:i w:val="1"/>
      <w:iCs w:val="1"/>
      <w:color w:val="0f4761" w:themeColor="accent1" w:themeShade="0000BF"/>
    </w:rPr>
  </w:style>
  <w:style w:type="character" w:styleId="IntenseReference">
    <w:name w:val="Intense Reference"/>
    <w:basedOn w:val="DefaultParagraphFont"/>
    <w:uiPriority w:val="32"/>
    <w:qFormat w:val="1"/>
    <w:rsid w:val="00F26663"/>
    <w:rPr>
      <w:b w:val="1"/>
      <w:bCs w:val="1"/>
      <w:smallCaps w:val="1"/>
      <w:color w:val="0f4761" w:themeColor="accent1" w:themeShade="0000BF"/>
      <w:spacing w:val="5"/>
    </w:rPr>
  </w:style>
  <w:style w:type="paragraph" w:styleId="NormalWeb">
    <w:name w:val="Normal (Web)"/>
    <w:basedOn w:val="Normal"/>
    <w:uiPriority w:val="99"/>
    <w:unhideWhenUsed w:val="1"/>
    <w:rsid w:val="00F60B07"/>
    <w:pPr>
      <w:spacing w:after="100" w:afterAutospacing="1" w:before="100" w:beforeAutospacing="1" w:line="240" w:lineRule="auto"/>
    </w:pPr>
    <w:rPr>
      <w:rFonts w:ascii="Times New Roman" w:cs="Times New Roman" w:eastAsia="Times New Roman" w:hAnsi="Times New Roman"/>
      <w:kern w:val="0"/>
      <w:sz w:val="24"/>
      <w:lang w:eastAsia="en-GB"/>
    </w:rPr>
  </w:style>
  <w:style w:type="character" w:styleId="Strong">
    <w:name w:val="Strong"/>
    <w:basedOn w:val="DefaultParagraphFont"/>
    <w:uiPriority w:val="22"/>
    <w:qFormat w:val="1"/>
    <w:rsid w:val="00F60B07"/>
    <w:rPr>
      <w:b w:val="1"/>
      <w:bCs w:val="1"/>
    </w:rPr>
  </w:style>
  <w:style w:type="table" w:styleId="TableGrid">
    <w:name w:val="Table Grid"/>
    <w:basedOn w:val="TableNormal"/>
    <w:uiPriority w:val="39"/>
    <w:rsid w:val="009D5BA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ption">
    <w:name w:val="caption"/>
    <w:basedOn w:val="Normal"/>
    <w:next w:val="Normal"/>
    <w:uiPriority w:val="35"/>
    <w:unhideWhenUsed w:val="1"/>
    <w:qFormat w:val="1"/>
    <w:rsid w:val="00A0221A"/>
    <w:pPr>
      <w:spacing w:after="200" w:line="240" w:lineRule="auto"/>
    </w:pPr>
    <w:rPr>
      <w:i w:val="1"/>
      <w:iCs w:val="1"/>
      <w:color w:val="0e2841" w:themeColor="text2"/>
      <w:sz w:val="18"/>
      <w:szCs w:val="18"/>
    </w:rPr>
  </w:style>
  <w:style w:type="paragraph" w:styleId="Subtitle">
    <w:name w:val="Subtitle"/>
    <w:basedOn w:val="Normal"/>
    <w:next w:val="Normal"/>
    <w:pPr/>
    <w:rPr>
      <w:rFonts w:ascii="Aptos" w:cs="Aptos" w:eastAsia="Aptos" w:hAnsi="Aptos"/>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IqNg1lBfoNTpvnGek5Jh5LBcew==">CgMxLjA4AHIhMVVyRUtZRHpiVTFOR21hN2pmanRvLTRLeXBNMEFHVGMw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2025-10-06T04:19:00Z</dcterms:created>
  <dc:creator>WORD FILE</dc:creator>
</cp:coreProperties>
</file>