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9236DF" w14:textId="4223F688" w:rsidR="00A26FC5" w:rsidRPr="00A26FC5" w:rsidRDefault="00A26FC5" w:rsidP="00A26FC5">
      <w:pPr>
        <w:spacing w:line="276" w:lineRule="auto"/>
        <w:ind w:right="567"/>
        <w:jc w:val="center"/>
        <w:rPr>
          <w:rFonts w:ascii="Arial" w:hAnsi="Arial" w:cs="Arial"/>
          <w:bCs/>
          <w:i/>
          <w:iCs/>
          <w:sz w:val="22"/>
          <w:szCs w:val="22"/>
          <w:u w:val="single"/>
        </w:rPr>
      </w:pPr>
      <w:r w:rsidRPr="00A26FC5">
        <w:rPr>
          <w:rFonts w:ascii="Arial" w:hAnsi="Arial" w:cs="Arial"/>
          <w:bCs/>
          <w:i/>
          <w:iCs/>
          <w:sz w:val="22"/>
          <w:szCs w:val="22"/>
          <w:u w:val="single"/>
        </w:rPr>
        <w:t>What does Paul Gilroy identify as the defining characteristics of ‘the Black Atlantic’? And why does Gilroy place importance of ships in his analysis? Level 6 students’ answers should also comment on why Gilroy thinks the concept of the Black Atlantic helps ‘transcend … national particularity.’</w:t>
      </w:r>
    </w:p>
    <w:p w14:paraId="6C7BA582" w14:textId="58C75625" w:rsidR="003070AF" w:rsidRDefault="003070AF">
      <w:pPr>
        <w:spacing w:after="160" w:line="259" w:lineRule="auto"/>
        <w:rPr>
          <w:rFonts w:ascii="Arial" w:hAnsi="Arial" w:cs="Arial"/>
          <w:bCs/>
          <w:i/>
          <w:iCs/>
          <w:sz w:val="22"/>
          <w:szCs w:val="22"/>
          <w:u w:val="single"/>
        </w:rPr>
      </w:pPr>
    </w:p>
    <w:p w14:paraId="72409EA2" w14:textId="12688A02" w:rsidR="003070AF" w:rsidRDefault="008F3153" w:rsidP="00CA1105">
      <w:pPr>
        <w:spacing w:after="160" w:line="360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According to Gilroy the “Black Atlantic” is a </w:t>
      </w:r>
      <w:r>
        <w:rPr>
          <w:rFonts w:ascii="Arial" w:hAnsi="Arial" w:cs="Arial"/>
          <w:bCs/>
          <w:i/>
          <w:iCs/>
          <w:sz w:val="22"/>
          <w:szCs w:val="22"/>
        </w:rPr>
        <w:t xml:space="preserve">‘Formal unity of diverse </w:t>
      </w:r>
      <w:r w:rsidR="000E18FF">
        <w:rPr>
          <w:rFonts w:ascii="Arial" w:hAnsi="Arial" w:cs="Arial"/>
          <w:bCs/>
          <w:i/>
          <w:iCs/>
          <w:sz w:val="22"/>
          <w:szCs w:val="22"/>
        </w:rPr>
        <w:t>cultural elements’</w:t>
      </w:r>
      <w:r w:rsidR="000E18FF">
        <w:rPr>
          <w:rStyle w:val="FootnoteReference"/>
          <w:rFonts w:ascii="Arial" w:hAnsi="Arial" w:cs="Arial"/>
          <w:bCs/>
          <w:i/>
          <w:iCs/>
          <w:sz w:val="22"/>
          <w:szCs w:val="22"/>
        </w:rPr>
        <w:footnoteReference w:id="1"/>
      </w:r>
      <w:r w:rsidR="000E18FF">
        <w:rPr>
          <w:rFonts w:ascii="Arial" w:hAnsi="Arial" w:cs="Arial"/>
          <w:bCs/>
          <w:sz w:val="22"/>
          <w:szCs w:val="22"/>
        </w:rPr>
        <w:t xml:space="preserve">. A prime example of these is given by </w:t>
      </w:r>
      <w:r w:rsidR="00CA1105">
        <w:rPr>
          <w:rFonts w:ascii="Arial" w:hAnsi="Arial" w:cs="Arial"/>
          <w:bCs/>
          <w:sz w:val="22"/>
          <w:szCs w:val="22"/>
        </w:rPr>
        <w:t>him</w:t>
      </w:r>
      <w:r w:rsidR="000E18FF">
        <w:rPr>
          <w:rFonts w:ascii="Arial" w:hAnsi="Arial" w:cs="Arial"/>
          <w:bCs/>
          <w:sz w:val="22"/>
          <w:szCs w:val="22"/>
        </w:rPr>
        <w:t xml:space="preserve"> when he discusses the North London Funki Dreds and their song ‘Keep on Moving’</w:t>
      </w:r>
      <w:r w:rsidR="00FF4841">
        <w:rPr>
          <w:rStyle w:val="FootnoteReference"/>
          <w:rFonts w:ascii="Arial" w:hAnsi="Arial" w:cs="Arial"/>
          <w:bCs/>
          <w:sz w:val="22"/>
          <w:szCs w:val="22"/>
        </w:rPr>
        <w:footnoteReference w:id="2"/>
      </w:r>
      <w:r w:rsidR="00FF4841">
        <w:rPr>
          <w:rFonts w:ascii="Arial" w:hAnsi="Arial" w:cs="Arial"/>
          <w:bCs/>
          <w:sz w:val="22"/>
          <w:szCs w:val="22"/>
        </w:rPr>
        <w:t>. The song was notable for having been produced in England by the children of Caribbean settlers and then remixed in a Jamaican dub format in the United States by an African American known as Teddy Riley</w:t>
      </w:r>
      <w:r w:rsidR="00FF4841">
        <w:rPr>
          <w:rStyle w:val="FootnoteReference"/>
          <w:rFonts w:ascii="Arial" w:hAnsi="Arial" w:cs="Arial"/>
          <w:bCs/>
          <w:sz w:val="22"/>
          <w:szCs w:val="22"/>
        </w:rPr>
        <w:footnoteReference w:id="3"/>
      </w:r>
      <w:r w:rsidR="00FF4841">
        <w:rPr>
          <w:rFonts w:ascii="Arial" w:hAnsi="Arial" w:cs="Arial"/>
          <w:bCs/>
          <w:sz w:val="22"/>
          <w:szCs w:val="22"/>
        </w:rPr>
        <w:t xml:space="preserve">. </w:t>
      </w:r>
      <w:r w:rsidR="00CA1105">
        <w:rPr>
          <w:rFonts w:ascii="Arial" w:hAnsi="Arial" w:cs="Arial"/>
          <w:bCs/>
          <w:sz w:val="22"/>
          <w:szCs w:val="22"/>
        </w:rPr>
        <w:t>It</w:t>
      </w:r>
      <w:r w:rsidR="00FF4841">
        <w:rPr>
          <w:rFonts w:ascii="Arial" w:hAnsi="Arial" w:cs="Arial"/>
          <w:bCs/>
          <w:sz w:val="22"/>
          <w:szCs w:val="22"/>
        </w:rPr>
        <w:t xml:space="preserve"> included segments of samples taken from Jamaican and American records, </w:t>
      </w:r>
      <w:r w:rsidR="00CA1105">
        <w:rPr>
          <w:rFonts w:ascii="Arial" w:hAnsi="Arial" w:cs="Arial"/>
          <w:bCs/>
          <w:sz w:val="22"/>
          <w:szCs w:val="22"/>
        </w:rPr>
        <w:t xml:space="preserve">and </w:t>
      </w:r>
      <w:r w:rsidR="00FF4841">
        <w:rPr>
          <w:rFonts w:ascii="Arial" w:hAnsi="Arial" w:cs="Arial"/>
          <w:bCs/>
          <w:sz w:val="22"/>
          <w:szCs w:val="22"/>
        </w:rPr>
        <w:t xml:space="preserve">it is this </w:t>
      </w:r>
      <w:r w:rsidR="001C5715">
        <w:rPr>
          <w:rFonts w:ascii="Arial" w:hAnsi="Arial" w:cs="Arial"/>
          <w:bCs/>
          <w:sz w:val="22"/>
          <w:szCs w:val="22"/>
        </w:rPr>
        <w:t>criss</w:t>
      </w:r>
      <w:r w:rsidR="00CA1105">
        <w:rPr>
          <w:rFonts w:ascii="Arial" w:hAnsi="Arial" w:cs="Arial"/>
          <w:bCs/>
          <w:sz w:val="22"/>
          <w:szCs w:val="22"/>
        </w:rPr>
        <w:t>-</w:t>
      </w:r>
      <w:r w:rsidR="001C5715">
        <w:rPr>
          <w:rFonts w:ascii="Arial" w:hAnsi="Arial" w:cs="Arial"/>
          <w:bCs/>
          <w:sz w:val="22"/>
          <w:szCs w:val="22"/>
        </w:rPr>
        <w:t xml:space="preserve">crossing of musical genres and elements that in Gilroy’s eyes is a good metaphor for the “Black Atlantic”. </w:t>
      </w:r>
    </w:p>
    <w:p w14:paraId="01FDA9FA" w14:textId="2341A31A" w:rsidR="001C5715" w:rsidRDefault="001C5715" w:rsidP="00CA1105">
      <w:pPr>
        <w:spacing w:after="160" w:line="276" w:lineRule="auto"/>
        <w:ind w:left="720"/>
        <w:rPr>
          <w:rFonts w:ascii="Arial" w:hAnsi="Arial" w:cs="Arial"/>
          <w:bCs/>
          <w:i/>
          <w:iCs/>
          <w:sz w:val="22"/>
          <w:szCs w:val="22"/>
        </w:rPr>
      </w:pPr>
      <w:r>
        <w:rPr>
          <w:rFonts w:ascii="Arial" w:hAnsi="Arial" w:cs="Arial"/>
          <w:bCs/>
          <w:i/>
          <w:iCs/>
          <w:sz w:val="22"/>
          <w:szCs w:val="22"/>
        </w:rPr>
        <w:t xml:space="preserve">“It encapsulated the playful diasporic intimacy that has been marked </w:t>
      </w:r>
      <w:r w:rsidR="00CA1105">
        <w:rPr>
          <w:rFonts w:ascii="Arial" w:hAnsi="Arial" w:cs="Arial"/>
          <w:bCs/>
          <w:i/>
          <w:iCs/>
          <w:sz w:val="22"/>
          <w:szCs w:val="22"/>
        </w:rPr>
        <w:br/>
      </w:r>
      <w:r>
        <w:rPr>
          <w:rFonts w:ascii="Arial" w:hAnsi="Arial" w:cs="Arial"/>
          <w:bCs/>
          <w:i/>
          <w:iCs/>
          <w:sz w:val="22"/>
          <w:szCs w:val="22"/>
        </w:rPr>
        <w:t>feature of transnational Black Atlantic creativity’</w:t>
      </w:r>
      <w:r>
        <w:rPr>
          <w:rStyle w:val="FootnoteReference"/>
          <w:rFonts w:ascii="Arial" w:hAnsi="Arial" w:cs="Arial"/>
          <w:bCs/>
          <w:i/>
          <w:iCs/>
          <w:sz w:val="22"/>
          <w:szCs w:val="22"/>
        </w:rPr>
        <w:footnoteReference w:id="4"/>
      </w:r>
      <w:r>
        <w:rPr>
          <w:rFonts w:ascii="Arial" w:hAnsi="Arial" w:cs="Arial"/>
          <w:bCs/>
          <w:i/>
          <w:iCs/>
          <w:sz w:val="22"/>
          <w:szCs w:val="22"/>
        </w:rPr>
        <w:t>.</w:t>
      </w:r>
    </w:p>
    <w:p w14:paraId="0FBF045C" w14:textId="239D41BC" w:rsidR="001C5715" w:rsidRDefault="00842633" w:rsidP="00CA1105">
      <w:pPr>
        <w:spacing w:after="160" w:line="360" w:lineRule="auto"/>
        <w:ind w:firstLine="72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However, Gilroy is quick to mention that the defining characteristics of the “Black Atlantic” is not just transnational creativity</w:t>
      </w:r>
      <w:r w:rsidR="00CA1105">
        <w:rPr>
          <w:rFonts w:ascii="Arial" w:hAnsi="Arial" w:cs="Arial"/>
          <w:bCs/>
          <w:sz w:val="22"/>
          <w:szCs w:val="22"/>
        </w:rPr>
        <w:t>,</w:t>
      </w:r>
      <w:r>
        <w:rPr>
          <w:rFonts w:ascii="Arial" w:hAnsi="Arial" w:cs="Arial"/>
          <w:bCs/>
          <w:sz w:val="22"/>
          <w:szCs w:val="22"/>
        </w:rPr>
        <w:t xml:space="preserve"> but rather the struggles that the</w:t>
      </w:r>
      <w:r w:rsidR="00CA1105">
        <w:rPr>
          <w:rFonts w:ascii="Arial" w:hAnsi="Arial" w:cs="Arial"/>
          <w:bCs/>
          <w:sz w:val="22"/>
          <w:szCs w:val="22"/>
        </w:rPr>
        <w:t>y</w:t>
      </w:r>
      <w:r>
        <w:rPr>
          <w:rFonts w:ascii="Arial" w:hAnsi="Arial" w:cs="Arial"/>
          <w:bCs/>
          <w:sz w:val="22"/>
          <w:szCs w:val="22"/>
        </w:rPr>
        <w:t xml:space="preserve"> and their ancestors have </w:t>
      </w:r>
      <w:r w:rsidR="00716B28">
        <w:rPr>
          <w:rFonts w:ascii="Arial" w:hAnsi="Arial" w:cs="Arial"/>
          <w:bCs/>
          <w:sz w:val="22"/>
          <w:szCs w:val="22"/>
        </w:rPr>
        <w:t>endured in order to get to the point they are at now.</w:t>
      </w:r>
      <w:r w:rsidR="00E12808">
        <w:rPr>
          <w:rFonts w:ascii="Arial" w:hAnsi="Arial" w:cs="Arial"/>
          <w:bCs/>
          <w:sz w:val="22"/>
          <w:szCs w:val="22"/>
        </w:rPr>
        <w:t xml:space="preserve"> </w:t>
      </w:r>
    </w:p>
    <w:p w14:paraId="231C45FD" w14:textId="7712B1F3" w:rsidR="0076765B" w:rsidRPr="004C59D9" w:rsidRDefault="00E12808" w:rsidP="00CA1105">
      <w:pPr>
        <w:spacing w:after="160" w:line="276" w:lineRule="auto"/>
        <w:ind w:left="720"/>
        <w:rPr>
          <w:rFonts w:ascii="Arial" w:hAnsi="Arial" w:cs="Arial"/>
          <w:bCs/>
          <w:i/>
          <w:iCs/>
          <w:sz w:val="22"/>
          <w:szCs w:val="22"/>
        </w:rPr>
      </w:pPr>
      <w:r>
        <w:rPr>
          <w:rFonts w:ascii="Arial" w:hAnsi="Arial" w:cs="Arial"/>
          <w:bCs/>
          <w:i/>
          <w:iCs/>
          <w:sz w:val="22"/>
          <w:szCs w:val="22"/>
        </w:rPr>
        <w:t xml:space="preserve">“The history of the Black Atlantic since then. Continually crisscrossed </w:t>
      </w:r>
      <w:r w:rsidR="00CA1105">
        <w:rPr>
          <w:rFonts w:ascii="Arial" w:hAnsi="Arial" w:cs="Arial"/>
          <w:bCs/>
          <w:i/>
          <w:iCs/>
          <w:sz w:val="22"/>
          <w:szCs w:val="22"/>
        </w:rPr>
        <w:br/>
      </w:r>
      <w:r>
        <w:rPr>
          <w:rFonts w:ascii="Arial" w:hAnsi="Arial" w:cs="Arial"/>
          <w:bCs/>
          <w:i/>
          <w:iCs/>
          <w:sz w:val="22"/>
          <w:szCs w:val="22"/>
        </w:rPr>
        <w:t>by the movements of black people – not only as commodities but engaged</w:t>
      </w:r>
      <w:r w:rsidR="00CA1105">
        <w:rPr>
          <w:rFonts w:ascii="Arial" w:hAnsi="Arial" w:cs="Arial"/>
          <w:bCs/>
          <w:i/>
          <w:iCs/>
          <w:sz w:val="22"/>
          <w:szCs w:val="22"/>
        </w:rPr>
        <w:br/>
      </w:r>
      <w:r>
        <w:rPr>
          <w:rFonts w:ascii="Arial" w:hAnsi="Arial" w:cs="Arial"/>
          <w:bCs/>
          <w:i/>
          <w:iCs/>
          <w:sz w:val="22"/>
          <w:szCs w:val="22"/>
        </w:rPr>
        <w:t xml:space="preserve"> in various struggles towards emancipation, autonomy and citizenship – </w:t>
      </w:r>
      <w:r w:rsidR="00CA1105">
        <w:rPr>
          <w:rFonts w:ascii="Arial" w:hAnsi="Arial" w:cs="Arial"/>
          <w:bCs/>
          <w:i/>
          <w:iCs/>
          <w:sz w:val="22"/>
          <w:szCs w:val="22"/>
        </w:rPr>
        <w:br/>
      </w:r>
      <w:r>
        <w:rPr>
          <w:rFonts w:ascii="Arial" w:hAnsi="Arial" w:cs="Arial"/>
          <w:bCs/>
          <w:i/>
          <w:iCs/>
          <w:sz w:val="22"/>
          <w:szCs w:val="22"/>
        </w:rPr>
        <w:t xml:space="preserve">provides a means to re-examine the problems of nationality, location, </w:t>
      </w:r>
      <w:r w:rsidR="00CA1105">
        <w:rPr>
          <w:rFonts w:ascii="Arial" w:hAnsi="Arial" w:cs="Arial"/>
          <w:bCs/>
          <w:i/>
          <w:iCs/>
          <w:sz w:val="22"/>
          <w:szCs w:val="22"/>
        </w:rPr>
        <w:br/>
      </w:r>
      <w:r>
        <w:rPr>
          <w:rFonts w:ascii="Arial" w:hAnsi="Arial" w:cs="Arial"/>
          <w:bCs/>
          <w:i/>
          <w:iCs/>
          <w:sz w:val="22"/>
          <w:szCs w:val="22"/>
        </w:rPr>
        <w:t>identity and historical memory.</w:t>
      </w:r>
      <w:r>
        <w:rPr>
          <w:rStyle w:val="FootnoteReference"/>
          <w:rFonts w:ascii="Arial" w:hAnsi="Arial" w:cs="Arial"/>
          <w:bCs/>
          <w:i/>
          <w:iCs/>
          <w:sz w:val="22"/>
          <w:szCs w:val="22"/>
        </w:rPr>
        <w:footnoteReference w:id="5"/>
      </w:r>
      <w:r>
        <w:rPr>
          <w:rFonts w:ascii="Arial" w:hAnsi="Arial" w:cs="Arial"/>
          <w:bCs/>
          <w:i/>
          <w:iCs/>
          <w:sz w:val="22"/>
          <w:szCs w:val="22"/>
        </w:rPr>
        <w:t>”</w:t>
      </w:r>
    </w:p>
    <w:p w14:paraId="5FFD18BF" w14:textId="29DAC90F" w:rsidR="004C59D9" w:rsidRDefault="004C59D9" w:rsidP="00CA1105">
      <w:pPr>
        <w:spacing w:after="160" w:line="360" w:lineRule="auto"/>
        <w:ind w:firstLine="72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The ‘Black Atlantic’ according to Gilroy is not only the creative work and creativity in general of those whose ancestor’s lives were torn apart by the Slave Trade</w:t>
      </w:r>
      <w:r w:rsidR="00CA1105">
        <w:rPr>
          <w:rFonts w:ascii="Arial" w:hAnsi="Arial" w:cs="Arial"/>
          <w:bCs/>
          <w:sz w:val="22"/>
          <w:szCs w:val="22"/>
        </w:rPr>
        <w:t>,</w:t>
      </w:r>
      <w:r>
        <w:rPr>
          <w:rFonts w:ascii="Arial" w:hAnsi="Arial" w:cs="Arial"/>
          <w:bCs/>
          <w:sz w:val="22"/>
          <w:szCs w:val="22"/>
        </w:rPr>
        <w:t xml:space="preserve"> but also the struggles </w:t>
      </w:r>
      <w:r w:rsidR="00CA1105">
        <w:rPr>
          <w:rFonts w:ascii="Arial" w:hAnsi="Arial" w:cs="Arial"/>
          <w:bCs/>
          <w:sz w:val="22"/>
          <w:szCs w:val="22"/>
        </w:rPr>
        <w:t xml:space="preserve">that </w:t>
      </w:r>
      <w:r>
        <w:rPr>
          <w:rFonts w:ascii="Arial" w:hAnsi="Arial" w:cs="Arial"/>
          <w:bCs/>
          <w:sz w:val="22"/>
          <w:szCs w:val="22"/>
        </w:rPr>
        <w:t>they face in areas such as national identity and historical memory.</w:t>
      </w:r>
    </w:p>
    <w:p w14:paraId="62123461" w14:textId="071512F5" w:rsidR="004C59D9" w:rsidRDefault="004C59D9" w:rsidP="00CA1105">
      <w:pPr>
        <w:spacing w:line="360" w:lineRule="auto"/>
        <w:ind w:right="567" w:firstLine="72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The reasoning behind Gilroy’s emphasis on the importance of the ships during the </w:t>
      </w:r>
      <w:r w:rsidR="00CA1105">
        <w:rPr>
          <w:rFonts w:ascii="Arial" w:hAnsi="Arial" w:cs="Arial"/>
          <w:bCs/>
          <w:sz w:val="22"/>
          <w:szCs w:val="22"/>
        </w:rPr>
        <w:t>transatlantic</w:t>
      </w:r>
      <w:r>
        <w:rPr>
          <w:rFonts w:ascii="Arial" w:hAnsi="Arial" w:cs="Arial"/>
          <w:bCs/>
          <w:sz w:val="22"/>
          <w:szCs w:val="22"/>
        </w:rPr>
        <w:t xml:space="preserve"> slave trade can be whittled down to a quote by Marxist Historian Peter L</w:t>
      </w:r>
      <w:r w:rsidRPr="00B54DBB">
        <w:rPr>
          <w:rFonts w:ascii="Arial" w:hAnsi="Arial" w:cs="Arial"/>
          <w:bCs/>
          <w:sz w:val="22"/>
          <w:szCs w:val="22"/>
        </w:rPr>
        <w:t>inebaugh</w:t>
      </w:r>
      <w:r>
        <w:rPr>
          <w:rFonts w:ascii="Arial" w:hAnsi="Arial" w:cs="Arial"/>
          <w:bCs/>
          <w:sz w:val="22"/>
          <w:szCs w:val="22"/>
        </w:rPr>
        <w:t>:</w:t>
      </w:r>
    </w:p>
    <w:p w14:paraId="5BF6E6E2" w14:textId="77777777" w:rsidR="004222BD" w:rsidRDefault="004222BD" w:rsidP="004C59D9">
      <w:pPr>
        <w:spacing w:line="276" w:lineRule="auto"/>
        <w:ind w:right="567"/>
        <w:rPr>
          <w:rFonts w:ascii="Arial" w:hAnsi="Arial" w:cs="Arial"/>
          <w:bCs/>
          <w:sz w:val="22"/>
          <w:szCs w:val="22"/>
        </w:rPr>
      </w:pPr>
    </w:p>
    <w:p w14:paraId="2BC83D73" w14:textId="2A045F45" w:rsidR="00B54DBB" w:rsidRDefault="00B54DBB" w:rsidP="00CA1105">
      <w:pPr>
        <w:spacing w:line="276" w:lineRule="auto"/>
        <w:ind w:left="720" w:right="567"/>
        <w:rPr>
          <w:rFonts w:ascii="Arial" w:hAnsi="Arial" w:cs="Arial"/>
          <w:bCs/>
          <w:i/>
          <w:iCs/>
          <w:sz w:val="22"/>
          <w:szCs w:val="22"/>
        </w:rPr>
      </w:pPr>
      <w:r>
        <w:rPr>
          <w:rFonts w:ascii="Arial" w:hAnsi="Arial" w:cs="Arial"/>
          <w:bCs/>
          <w:i/>
          <w:iCs/>
          <w:sz w:val="22"/>
          <w:szCs w:val="22"/>
        </w:rPr>
        <w:lastRenderedPageBreak/>
        <w:t>“</w:t>
      </w:r>
      <w:r w:rsidR="0086159E">
        <w:rPr>
          <w:rFonts w:ascii="Arial" w:hAnsi="Arial" w:cs="Arial"/>
          <w:bCs/>
          <w:i/>
          <w:iCs/>
          <w:sz w:val="22"/>
          <w:szCs w:val="22"/>
        </w:rPr>
        <w:t>The Ship remained perhaps the most important conduit of Pan-African communication before the appearance of the long-playing record”</w:t>
      </w:r>
      <w:r w:rsidR="0086159E">
        <w:rPr>
          <w:rStyle w:val="FootnoteReference"/>
          <w:rFonts w:ascii="Arial" w:hAnsi="Arial" w:cs="Arial"/>
          <w:bCs/>
          <w:i/>
          <w:iCs/>
          <w:sz w:val="22"/>
          <w:szCs w:val="22"/>
        </w:rPr>
        <w:footnoteReference w:id="6"/>
      </w:r>
    </w:p>
    <w:p w14:paraId="04C79484" w14:textId="2CF92F7C" w:rsidR="004222BD" w:rsidRDefault="004222BD" w:rsidP="00B54DBB">
      <w:pPr>
        <w:spacing w:line="360" w:lineRule="auto"/>
        <w:ind w:right="567"/>
        <w:jc w:val="center"/>
        <w:rPr>
          <w:rFonts w:ascii="Arial" w:hAnsi="Arial" w:cs="Arial"/>
          <w:bCs/>
          <w:i/>
          <w:iCs/>
          <w:sz w:val="22"/>
          <w:szCs w:val="22"/>
        </w:rPr>
      </w:pPr>
    </w:p>
    <w:p w14:paraId="6E9F61AA" w14:textId="45553B5B" w:rsidR="004222BD" w:rsidRDefault="004222BD" w:rsidP="00CA1105">
      <w:pPr>
        <w:spacing w:line="360" w:lineRule="auto"/>
        <w:ind w:right="567" w:firstLine="72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Besides </w:t>
      </w:r>
      <w:r w:rsidR="001B5B59">
        <w:rPr>
          <w:rFonts w:ascii="Arial" w:hAnsi="Arial" w:cs="Arial"/>
          <w:bCs/>
          <w:sz w:val="22"/>
          <w:szCs w:val="22"/>
        </w:rPr>
        <w:t>that,</w:t>
      </w:r>
      <w:r>
        <w:rPr>
          <w:rFonts w:ascii="Arial" w:hAnsi="Arial" w:cs="Arial"/>
          <w:bCs/>
          <w:sz w:val="22"/>
          <w:szCs w:val="22"/>
        </w:rPr>
        <w:t xml:space="preserve"> Gilroy discusses the importance of ships for around </w:t>
      </w:r>
      <w:r w:rsidR="00CA1105">
        <w:rPr>
          <w:rFonts w:ascii="Arial" w:hAnsi="Arial" w:cs="Arial"/>
          <w:bCs/>
          <w:sz w:val="22"/>
          <w:szCs w:val="22"/>
        </w:rPr>
        <w:t>three</w:t>
      </w:r>
      <w:r>
        <w:rPr>
          <w:rFonts w:ascii="Arial" w:hAnsi="Arial" w:cs="Arial"/>
          <w:bCs/>
          <w:sz w:val="22"/>
          <w:szCs w:val="22"/>
        </w:rPr>
        <w:t xml:space="preserve"> pages</w:t>
      </w:r>
      <w:r w:rsidR="00CA1105">
        <w:rPr>
          <w:rFonts w:ascii="Arial" w:hAnsi="Arial" w:cs="Arial"/>
          <w:bCs/>
          <w:sz w:val="22"/>
          <w:szCs w:val="22"/>
        </w:rPr>
        <w:t>;</w:t>
      </w:r>
      <w:r w:rsidR="007F2E2F">
        <w:rPr>
          <w:rFonts w:ascii="Arial" w:hAnsi="Arial" w:cs="Arial"/>
          <w:bCs/>
          <w:sz w:val="22"/>
          <w:szCs w:val="22"/>
        </w:rPr>
        <w:t xml:space="preserve"> in which he describes ships as “</w:t>
      </w:r>
      <w:r w:rsidR="007F2E2F" w:rsidRPr="00CA1105">
        <w:rPr>
          <w:rFonts w:ascii="Arial" w:hAnsi="Arial" w:cs="Arial"/>
          <w:bCs/>
          <w:i/>
          <w:sz w:val="22"/>
          <w:szCs w:val="22"/>
        </w:rPr>
        <w:t xml:space="preserve">Modern Machines that were themselves </w:t>
      </w:r>
      <w:r w:rsidR="001B5B59" w:rsidRPr="00CA1105">
        <w:rPr>
          <w:rFonts w:ascii="Arial" w:hAnsi="Arial" w:cs="Arial"/>
          <w:bCs/>
          <w:i/>
          <w:sz w:val="22"/>
          <w:szCs w:val="22"/>
        </w:rPr>
        <w:t>micro-systems of linguistic and political hybridity’</w:t>
      </w:r>
      <w:r w:rsidR="001B5B59">
        <w:rPr>
          <w:rStyle w:val="FootnoteReference"/>
          <w:rFonts w:ascii="Arial" w:hAnsi="Arial" w:cs="Arial"/>
          <w:bCs/>
          <w:sz w:val="22"/>
          <w:szCs w:val="22"/>
        </w:rPr>
        <w:footnoteReference w:id="7"/>
      </w:r>
      <w:r w:rsidR="001B5B59">
        <w:rPr>
          <w:rFonts w:ascii="Arial" w:hAnsi="Arial" w:cs="Arial"/>
          <w:bCs/>
          <w:sz w:val="22"/>
          <w:szCs w:val="22"/>
        </w:rPr>
        <w:t xml:space="preserve">, </w:t>
      </w:r>
      <w:r w:rsidR="00CA1105">
        <w:rPr>
          <w:rFonts w:ascii="Arial" w:hAnsi="Arial" w:cs="Arial"/>
          <w:bCs/>
          <w:sz w:val="22"/>
          <w:szCs w:val="22"/>
        </w:rPr>
        <w:t>T</w:t>
      </w:r>
      <w:r w:rsidR="001B5B59">
        <w:rPr>
          <w:rFonts w:ascii="Arial" w:hAnsi="Arial" w:cs="Arial"/>
          <w:bCs/>
          <w:sz w:val="22"/>
          <w:szCs w:val="22"/>
        </w:rPr>
        <w:t>his statement can be interpreted to again back up the previous quote by Linebaugh, as by the end of the 18</w:t>
      </w:r>
      <w:r w:rsidR="001B5B59" w:rsidRPr="001B5B59">
        <w:rPr>
          <w:rFonts w:ascii="Arial" w:hAnsi="Arial" w:cs="Arial"/>
          <w:bCs/>
          <w:sz w:val="22"/>
          <w:szCs w:val="22"/>
          <w:vertAlign w:val="superscript"/>
        </w:rPr>
        <w:t>th</w:t>
      </w:r>
      <w:r w:rsidR="001B5B59">
        <w:rPr>
          <w:rFonts w:ascii="Arial" w:hAnsi="Arial" w:cs="Arial"/>
          <w:bCs/>
          <w:sz w:val="22"/>
          <w:szCs w:val="22"/>
        </w:rPr>
        <w:t xml:space="preserve"> century it was estimated that around a quarter of the British Navy was made of </w:t>
      </w:r>
      <w:r w:rsidR="00F05E62">
        <w:rPr>
          <w:rFonts w:ascii="Arial" w:hAnsi="Arial" w:cs="Arial"/>
          <w:bCs/>
          <w:sz w:val="22"/>
          <w:szCs w:val="22"/>
        </w:rPr>
        <w:t>Africans who believed the experience of slavery was a powerful orientation to the ideologies of liberty and justice</w:t>
      </w:r>
      <w:r w:rsidR="00F05E62">
        <w:rPr>
          <w:rStyle w:val="FootnoteReference"/>
          <w:rFonts w:ascii="Arial" w:hAnsi="Arial" w:cs="Arial"/>
          <w:bCs/>
          <w:sz w:val="22"/>
          <w:szCs w:val="22"/>
        </w:rPr>
        <w:footnoteReference w:id="8"/>
      </w:r>
      <w:r w:rsidR="00F05E62">
        <w:rPr>
          <w:rFonts w:ascii="Arial" w:hAnsi="Arial" w:cs="Arial"/>
          <w:bCs/>
          <w:sz w:val="22"/>
          <w:szCs w:val="22"/>
        </w:rPr>
        <w:t xml:space="preserve">. Gilroy </w:t>
      </w:r>
      <w:r w:rsidR="00CA1105">
        <w:rPr>
          <w:rFonts w:ascii="Arial" w:hAnsi="Arial" w:cs="Arial"/>
          <w:bCs/>
          <w:sz w:val="22"/>
          <w:szCs w:val="22"/>
        </w:rPr>
        <w:t>further</w:t>
      </w:r>
      <w:r w:rsidR="00F05E62">
        <w:rPr>
          <w:rFonts w:ascii="Arial" w:hAnsi="Arial" w:cs="Arial"/>
          <w:bCs/>
          <w:sz w:val="22"/>
          <w:szCs w:val="22"/>
        </w:rPr>
        <w:t xml:space="preserve"> discusses the story of American social reformer Fredrick Douglass</w:t>
      </w:r>
      <w:r w:rsidR="00CA1105">
        <w:rPr>
          <w:rFonts w:ascii="Arial" w:hAnsi="Arial" w:cs="Arial"/>
          <w:bCs/>
          <w:sz w:val="22"/>
          <w:szCs w:val="22"/>
        </w:rPr>
        <w:t xml:space="preserve">, </w:t>
      </w:r>
      <w:r w:rsidR="00F05E62">
        <w:rPr>
          <w:rFonts w:ascii="Arial" w:hAnsi="Arial" w:cs="Arial"/>
          <w:bCs/>
          <w:sz w:val="22"/>
          <w:szCs w:val="22"/>
        </w:rPr>
        <w:t xml:space="preserve">who managed to escape slavery by </w:t>
      </w:r>
      <w:r w:rsidR="00683770">
        <w:rPr>
          <w:rFonts w:ascii="Arial" w:hAnsi="Arial" w:cs="Arial"/>
          <w:bCs/>
          <w:sz w:val="22"/>
          <w:szCs w:val="22"/>
        </w:rPr>
        <w:t>disguising himself as a sailor</w:t>
      </w:r>
      <w:r w:rsidR="00CA1105">
        <w:rPr>
          <w:rFonts w:ascii="Arial" w:hAnsi="Arial" w:cs="Arial"/>
          <w:bCs/>
          <w:sz w:val="22"/>
          <w:szCs w:val="22"/>
        </w:rPr>
        <w:t>. H</w:t>
      </w:r>
      <w:r w:rsidR="00683770">
        <w:rPr>
          <w:rFonts w:ascii="Arial" w:hAnsi="Arial" w:cs="Arial"/>
          <w:bCs/>
          <w:sz w:val="22"/>
          <w:szCs w:val="22"/>
        </w:rPr>
        <w:t>e said this was down to his ability to ‘</w:t>
      </w:r>
      <w:r w:rsidR="00683770" w:rsidRPr="00CA1105">
        <w:rPr>
          <w:rFonts w:ascii="Arial" w:hAnsi="Arial" w:cs="Arial"/>
          <w:bCs/>
          <w:i/>
          <w:sz w:val="22"/>
          <w:szCs w:val="22"/>
        </w:rPr>
        <w:t>talk sailor like an old salt’</w:t>
      </w:r>
      <w:r w:rsidR="00683770">
        <w:rPr>
          <w:rStyle w:val="FootnoteReference"/>
          <w:rFonts w:ascii="Arial" w:hAnsi="Arial" w:cs="Arial"/>
          <w:bCs/>
          <w:sz w:val="22"/>
          <w:szCs w:val="22"/>
        </w:rPr>
        <w:footnoteReference w:id="9"/>
      </w:r>
      <w:r w:rsidR="00683770">
        <w:rPr>
          <w:rFonts w:ascii="Arial" w:hAnsi="Arial" w:cs="Arial"/>
          <w:bCs/>
          <w:sz w:val="22"/>
          <w:szCs w:val="22"/>
        </w:rPr>
        <w:t>. Douglass learnt of freedom in the North</w:t>
      </w:r>
      <w:r w:rsidR="00CA1105">
        <w:rPr>
          <w:rFonts w:ascii="Arial" w:hAnsi="Arial" w:cs="Arial"/>
          <w:bCs/>
          <w:sz w:val="22"/>
          <w:szCs w:val="22"/>
        </w:rPr>
        <w:t>,</w:t>
      </w:r>
      <w:r w:rsidR="00683770">
        <w:rPr>
          <w:rFonts w:ascii="Arial" w:hAnsi="Arial" w:cs="Arial"/>
          <w:bCs/>
          <w:sz w:val="22"/>
          <w:szCs w:val="22"/>
        </w:rPr>
        <w:t xml:space="preserve"> from Irish sailors when he was working as a ship caulker in Baltimore</w:t>
      </w:r>
      <w:r w:rsidR="00CA1105">
        <w:rPr>
          <w:rFonts w:ascii="Arial" w:hAnsi="Arial" w:cs="Arial"/>
          <w:bCs/>
          <w:sz w:val="22"/>
          <w:szCs w:val="22"/>
        </w:rPr>
        <w:t>. W</w:t>
      </w:r>
      <w:r w:rsidR="00AC33CA">
        <w:rPr>
          <w:rFonts w:ascii="Arial" w:hAnsi="Arial" w:cs="Arial"/>
          <w:bCs/>
          <w:sz w:val="22"/>
          <w:szCs w:val="22"/>
        </w:rPr>
        <w:t>hilst doing this he actually readied ships known as ‘Baltimore Clippers’ for sea, unbeknown</w:t>
      </w:r>
      <w:r w:rsidR="00CA1105">
        <w:rPr>
          <w:rFonts w:ascii="Arial" w:hAnsi="Arial" w:cs="Arial"/>
          <w:bCs/>
          <w:sz w:val="22"/>
          <w:szCs w:val="22"/>
        </w:rPr>
        <w:t xml:space="preserve">st that </w:t>
      </w:r>
      <w:r w:rsidR="00AC33CA">
        <w:rPr>
          <w:rFonts w:ascii="Arial" w:hAnsi="Arial" w:cs="Arial"/>
          <w:bCs/>
          <w:sz w:val="22"/>
          <w:szCs w:val="22"/>
        </w:rPr>
        <w:t>they were actually slavers (cargo ships which would be used to transport slaves)</w:t>
      </w:r>
      <w:r w:rsidR="00AC33CA">
        <w:rPr>
          <w:rStyle w:val="FootnoteReference"/>
          <w:rFonts w:ascii="Arial" w:hAnsi="Arial" w:cs="Arial"/>
          <w:bCs/>
          <w:sz w:val="22"/>
          <w:szCs w:val="22"/>
        </w:rPr>
        <w:footnoteReference w:id="10"/>
      </w:r>
      <w:r w:rsidR="00D24AB9">
        <w:rPr>
          <w:rFonts w:ascii="Arial" w:hAnsi="Arial" w:cs="Arial"/>
          <w:bCs/>
          <w:sz w:val="22"/>
          <w:szCs w:val="22"/>
        </w:rPr>
        <w:t xml:space="preserve">. </w:t>
      </w:r>
    </w:p>
    <w:p w14:paraId="5386D1A1" w14:textId="7624E2D4" w:rsidR="00D24AB9" w:rsidRDefault="00D24AB9" w:rsidP="00CA1105">
      <w:pPr>
        <w:spacing w:line="360" w:lineRule="auto"/>
        <w:ind w:right="567"/>
        <w:rPr>
          <w:rFonts w:ascii="Arial" w:hAnsi="Arial" w:cs="Arial"/>
          <w:bCs/>
          <w:sz w:val="22"/>
          <w:szCs w:val="22"/>
        </w:rPr>
      </w:pPr>
    </w:p>
    <w:p w14:paraId="20462DAB" w14:textId="3694251D" w:rsidR="005201EF" w:rsidRDefault="00CA1105" w:rsidP="00CA1105">
      <w:pPr>
        <w:spacing w:line="360" w:lineRule="auto"/>
        <w:ind w:right="567" w:firstLine="72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Moreover, </w:t>
      </w:r>
      <w:r w:rsidR="00D24AB9">
        <w:rPr>
          <w:rFonts w:ascii="Arial" w:hAnsi="Arial" w:cs="Arial"/>
          <w:bCs/>
          <w:sz w:val="22"/>
          <w:szCs w:val="22"/>
        </w:rPr>
        <w:t xml:space="preserve">Gilroy discusses a piece of art made by a J.M.W. Turner  originally titled </w:t>
      </w:r>
      <w:r w:rsidR="00D24AB9" w:rsidRPr="00D24AB9">
        <w:rPr>
          <w:rFonts w:ascii="Arial" w:hAnsi="Arial" w:cs="Arial"/>
          <w:bCs/>
          <w:sz w:val="22"/>
          <w:szCs w:val="22"/>
        </w:rPr>
        <w:t>‘</w:t>
      </w:r>
      <w:r w:rsidR="00D24AB9" w:rsidRPr="00D24AB9">
        <w:rPr>
          <w:rFonts w:ascii="Arial" w:hAnsi="Arial" w:cs="Arial"/>
          <w:sz w:val="22"/>
          <w:szCs w:val="22"/>
          <w:shd w:val="clear" w:color="auto" w:fill="FFFFFF"/>
        </w:rPr>
        <w:t>Slavers Throwing overboard the Dead and Dying—Typhoon coming on</w:t>
      </w:r>
      <w:r w:rsidR="00D24AB9">
        <w:rPr>
          <w:rFonts w:ascii="Arial" w:hAnsi="Arial" w:cs="Arial"/>
          <w:sz w:val="22"/>
          <w:szCs w:val="22"/>
          <w:shd w:val="clear" w:color="auto" w:fill="FFFFFF"/>
        </w:rPr>
        <w:t xml:space="preserve">’ and how it was exhibited at the Royal Academy to coincide with the world anti-slavery convention held in London in 1840. The painting which depicts a slave ship </w:t>
      </w:r>
      <w:r w:rsidR="004445F5">
        <w:rPr>
          <w:rFonts w:ascii="Arial" w:hAnsi="Arial" w:cs="Arial"/>
          <w:sz w:val="22"/>
          <w:szCs w:val="22"/>
          <w:shd w:val="clear" w:color="auto" w:fill="FFFFFF"/>
        </w:rPr>
        <w:t xml:space="preserve">throwing slaves </w:t>
      </w:r>
      <w:r w:rsidR="00E675F4">
        <w:rPr>
          <w:rFonts w:ascii="Arial" w:hAnsi="Arial" w:cs="Arial"/>
          <w:sz w:val="22"/>
          <w:szCs w:val="22"/>
          <w:shd w:val="clear" w:color="auto" w:fill="FFFFFF"/>
        </w:rPr>
        <w:t>into the ocean in order to make an insurance claim</w:t>
      </w:r>
      <w:r w:rsidR="00600434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E675F4">
        <w:rPr>
          <w:rStyle w:val="FootnoteReference"/>
          <w:rFonts w:ascii="Arial" w:hAnsi="Arial" w:cs="Arial"/>
          <w:sz w:val="22"/>
          <w:szCs w:val="22"/>
          <w:shd w:val="clear" w:color="auto" w:fill="FFFFFF"/>
        </w:rPr>
        <w:footnoteReference w:id="11"/>
      </w:r>
      <w:r w:rsidR="00E675F4">
        <w:rPr>
          <w:rFonts w:ascii="Arial" w:hAnsi="Arial" w:cs="Arial"/>
          <w:sz w:val="22"/>
          <w:szCs w:val="22"/>
          <w:shd w:val="clear" w:color="auto" w:fill="FFFFFF"/>
        </w:rPr>
        <w:t>.</w:t>
      </w:r>
      <w:r w:rsidR="001132F0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8F3153">
        <w:rPr>
          <w:rFonts w:ascii="Arial" w:hAnsi="Arial" w:cs="Arial"/>
          <w:sz w:val="22"/>
          <w:szCs w:val="22"/>
          <w:shd w:val="clear" w:color="auto" w:fill="FFFFFF"/>
        </w:rPr>
        <w:t>Finally,</w:t>
      </w:r>
      <w:r w:rsidR="001132F0">
        <w:rPr>
          <w:rFonts w:ascii="Arial" w:hAnsi="Arial" w:cs="Arial"/>
          <w:sz w:val="22"/>
          <w:szCs w:val="22"/>
          <w:shd w:val="clear" w:color="auto" w:fill="FFFFFF"/>
        </w:rPr>
        <w:t xml:space="preserve"> Gilroy places 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a </w:t>
      </w:r>
      <w:r w:rsidR="001132F0">
        <w:rPr>
          <w:rFonts w:ascii="Arial" w:hAnsi="Arial" w:cs="Arial"/>
          <w:sz w:val="22"/>
          <w:szCs w:val="22"/>
          <w:shd w:val="clear" w:color="auto" w:fill="FFFFFF"/>
        </w:rPr>
        <w:t>great importance o</w:t>
      </w:r>
      <w:r>
        <w:rPr>
          <w:rFonts w:ascii="Arial" w:hAnsi="Arial" w:cs="Arial"/>
          <w:sz w:val="22"/>
          <w:szCs w:val="22"/>
          <w:shd w:val="clear" w:color="auto" w:fill="FFFFFF"/>
        </w:rPr>
        <w:t>n</w:t>
      </w:r>
      <w:r w:rsidR="001132F0">
        <w:rPr>
          <w:rFonts w:ascii="Arial" w:hAnsi="Arial" w:cs="Arial"/>
          <w:sz w:val="22"/>
          <w:szCs w:val="22"/>
          <w:shd w:val="clear" w:color="auto" w:fill="FFFFFF"/>
        </w:rPr>
        <w:t xml:space="preserve"> the ships</w:t>
      </w:r>
      <w:r>
        <w:rPr>
          <w:rFonts w:ascii="Arial" w:hAnsi="Arial" w:cs="Arial"/>
          <w:sz w:val="22"/>
          <w:szCs w:val="22"/>
          <w:shd w:val="clear" w:color="auto" w:fill="FFFFFF"/>
        </w:rPr>
        <w:t>,</w:t>
      </w:r>
      <w:r w:rsidR="001132F0">
        <w:rPr>
          <w:rFonts w:ascii="Arial" w:hAnsi="Arial" w:cs="Arial"/>
          <w:sz w:val="22"/>
          <w:szCs w:val="22"/>
          <w:shd w:val="clear" w:color="auto" w:fill="FFFFFF"/>
        </w:rPr>
        <w:t xml:space="preserve"> as he believed that the ships were more than just a means of transportation</w:t>
      </w:r>
      <w:r>
        <w:rPr>
          <w:rFonts w:ascii="Arial" w:hAnsi="Arial" w:cs="Arial"/>
          <w:sz w:val="22"/>
          <w:szCs w:val="22"/>
          <w:shd w:val="clear" w:color="auto" w:fill="FFFFFF"/>
        </w:rPr>
        <w:t>,</w:t>
      </w:r>
      <w:r w:rsidR="001132F0">
        <w:rPr>
          <w:rFonts w:ascii="Arial" w:hAnsi="Arial" w:cs="Arial"/>
          <w:sz w:val="22"/>
          <w:szCs w:val="22"/>
          <w:shd w:val="clear" w:color="auto" w:fill="FFFFFF"/>
        </w:rPr>
        <w:t xml:space="preserve"> but rather the </w:t>
      </w:r>
      <w:r w:rsidR="001132F0">
        <w:rPr>
          <w:rFonts w:ascii="Arial" w:hAnsi="Arial" w:cs="Arial"/>
          <w:i/>
          <w:iCs/>
          <w:sz w:val="22"/>
          <w:szCs w:val="22"/>
          <w:shd w:val="clear" w:color="auto" w:fill="FFFFFF"/>
        </w:rPr>
        <w:t>‘Living means by which the points within the Atlantic world were joined. They were mobile elements that stood for the shifting spaces in between fixed places that they connected’’</w:t>
      </w:r>
      <w:r w:rsidR="001132F0">
        <w:rPr>
          <w:rStyle w:val="FootnoteReference"/>
          <w:rFonts w:ascii="Arial" w:hAnsi="Arial" w:cs="Arial"/>
          <w:i/>
          <w:iCs/>
          <w:sz w:val="22"/>
          <w:szCs w:val="22"/>
          <w:shd w:val="clear" w:color="auto" w:fill="FFFFFF"/>
        </w:rPr>
        <w:footnoteReference w:id="12"/>
      </w:r>
      <w:r>
        <w:rPr>
          <w:rFonts w:ascii="Arial" w:hAnsi="Arial" w:cs="Arial"/>
          <w:i/>
          <w:iCs/>
          <w:sz w:val="22"/>
          <w:szCs w:val="22"/>
          <w:shd w:val="clear" w:color="auto" w:fill="FFFFFF"/>
        </w:rPr>
        <w:t xml:space="preserve">. </w:t>
      </w:r>
      <w:r w:rsidRPr="00CA1105">
        <w:rPr>
          <w:rFonts w:ascii="Arial" w:hAnsi="Arial" w:cs="Arial"/>
          <w:iCs/>
          <w:sz w:val="22"/>
          <w:szCs w:val="22"/>
          <w:shd w:val="clear" w:color="auto" w:fill="FFFFFF"/>
        </w:rPr>
        <w:t>By this we perceive he</w:t>
      </w:r>
      <w:r w:rsidR="001132F0">
        <w:rPr>
          <w:rFonts w:ascii="Arial" w:hAnsi="Arial" w:cs="Arial"/>
          <w:i/>
          <w:iCs/>
          <w:sz w:val="22"/>
          <w:szCs w:val="22"/>
          <w:shd w:val="clear" w:color="auto" w:fill="FFFFFF"/>
        </w:rPr>
        <w:t xml:space="preserve"> </w:t>
      </w:r>
      <w:r w:rsidR="001132F0">
        <w:rPr>
          <w:rFonts w:ascii="Arial" w:hAnsi="Arial" w:cs="Arial"/>
          <w:sz w:val="22"/>
          <w:szCs w:val="22"/>
          <w:shd w:val="clear" w:color="auto" w:fill="FFFFFF"/>
        </w:rPr>
        <w:t>mean</w:t>
      </w:r>
      <w:r>
        <w:rPr>
          <w:rFonts w:ascii="Arial" w:hAnsi="Arial" w:cs="Arial"/>
          <w:sz w:val="22"/>
          <w:szCs w:val="22"/>
          <w:shd w:val="clear" w:color="auto" w:fill="FFFFFF"/>
        </w:rPr>
        <w:t>s that</w:t>
      </w:r>
      <w:r w:rsidR="001132F0">
        <w:rPr>
          <w:rFonts w:ascii="Arial" w:hAnsi="Arial" w:cs="Arial"/>
          <w:sz w:val="22"/>
          <w:szCs w:val="22"/>
          <w:shd w:val="clear" w:color="auto" w:fill="FFFFFF"/>
        </w:rPr>
        <w:t xml:space="preserve"> they were a key part of the trade and without these ships the </w:t>
      </w:r>
      <w:r w:rsidR="00BE2467">
        <w:rPr>
          <w:rFonts w:ascii="Arial" w:hAnsi="Arial" w:cs="Arial"/>
          <w:sz w:val="22"/>
          <w:szCs w:val="22"/>
          <w:shd w:val="clear" w:color="auto" w:fill="FFFFFF"/>
        </w:rPr>
        <w:t>triangular trade as we know it today would have never came to surface</w:t>
      </w:r>
      <w:r>
        <w:rPr>
          <w:rFonts w:ascii="Arial" w:hAnsi="Arial" w:cs="Arial"/>
          <w:sz w:val="22"/>
          <w:szCs w:val="22"/>
          <w:shd w:val="clear" w:color="auto" w:fill="FFFFFF"/>
        </w:rPr>
        <w:t>. T</w:t>
      </w:r>
      <w:r w:rsidR="00BE2467">
        <w:rPr>
          <w:rFonts w:ascii="Arial" w:hAnsi="Arial" w:cs="Arial"/>
          <w:sz w:val="22"/>
          <w:szCs w:val="22"/>
          <w:shd w:val="clear" w:color="auto" w:fill="FFFFFF"/>
        </w:rPr>
        <w:t xml:space="preserve">hey allowed a connection </w:t>
      </w:r>
      <w:r w:rsidR="00BE2467">
        <w:rPr>
          <w:rFonts w:ascii="Arial" w:hAnsi="Arial" w:cs="Arial"/>
          <w:sz w:val="22"/>
          <w:szCs w:val="22"/>
          <w:shd w:val="clear" w:color="auto" w:fill="FFFFFF"/>
        </w:rPr>
        <w:lastRenderedPageBreak/>
        <w:t xml:space="preserve">between the </w:t>
      </w:r>
      <w:r>
        <w:rPr>
          <w:rFonts w:ascii="Arial" w:hAnsi="Arial" w:cs="Arial"/>
          <w:sz w:val="22"/>
          <w:szCs w:val="22"/>
          <w:shd w:val="clear" w:color="auto" w:fill="FFFFFF"/>
        </w:rPr>
        <w:t>three</w:t>
      </w:r>
      <w:r w:rsidR="00BE2467">
        <w:rPr>
          <w:rFonts w:ascii="Arial" w:hAnsi="Arial" w:cs="Arial"/>
          <w:sz w:val="22"/>
          <w:szCs w:val="22"/>
          <w:shd w:val="clear" w:color="auto" w:fill="FFFFFF"/>
        </w:rPr>
        <w:t xml:space="preserve"> points in the Atlantic</w:t>
      </w:r>
      <w:r>
        <w:rPr>
          <w:rFonts w:ascii="Arial" w:hAnsi="Arial" w:cs="Arial"/>
          <w:sz w:val="22"/>
          <w:szCs w:val="22"/>
          <w:shd w:val="clear" w:color="auto" w:fill="FFFFFF"/>
        </w:rPr>
        <w:t>,</w:t>
      </w:r>
      <w:r w:rsidR="00BE2467">
        <w:rPr>
          <w:rFonts w:ascii="Arial" w:hAnsi="Arial" w:cs="Arial"/>
          <w:sz w:val="22"/>
          <w:szCs w:val="22"/>
          <w:shd w:val="clear" w:color="auto" w:fill="FFFFFF"/>
        </w:rPr>
        <w:t xml:space="preserve"> and carry great cultural and political significance</w:t>
      </w:r>
      <w:r w:rsidR="001132F0">
        <w:rPr>
          <w:rFonts w:ascii="Arial" w:hAnsi="Arial" w:cs="Arial"/>
          <w:sz w:val="22"/>
          <w:szCs w:val="22"/>
          <w:shd w:val="clear" w:color="auto" w:fill="FFFFFF"/>
        </w:rPr>
        <w:t>.</w:t>
      </w:r>
      <w:r w:rsidR="00A22418">
        <w:rPr>
          <w:rFonts w:ascii="Arial" w:hAnsi="Arial" w:cs="Arial"/>
          <w:bCs/>
          <w:sz w:val="22"/>
          <w:szCs w:val="22"/>
        </w:rPr>
        <w:t xml:space="preserve"> </w:t>
      </w:r>
    </w:p>
    <w:p w14:paraId="7FDB6AA5" w14:textId="1F9726A4" w:rsidR="00A22418" w:rsidRDefault="00A22418" w:rsidP="00CA1105">
      <w:pPr>
        <w:spacing w:line="360" w:lineRule="auto"/>
        <w:ind w:right="567"/>
        <w:rPr>
          <w:rFonts w:ascii="Arial" w:hAnsi="Arial" w:cs="Arial"/>
          <w:bCs/>
          <w:sz w:val="22"/>
          <w:szCs w:val="22"/>
        </w:rPr>
      </w:pPr>
    </w:p>
    <w:p w14:paraId="04B22E3C" w14:textId="1C71E363" w:rsidR="00A22418" w:rsidRDefault="00A22418" w:rsidP="00CA1105">
      <w:pPr>
        <w:spacing w:line="360" w:lineRule="auto"/>
        <w:ind w:right="567" w:firstLine="72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Gilroy believes that the idea of the ‘Black Atlantic’ aids in transcending national particularity because </w:t>
      </w:r>
      <w:r w:rsidR="000F4FBC">
        <w:rPr>
          <w:rFonts w:ascii="Arial" w:hAnsi="Arial" w:cs="Arial"/>
          <w:bCs/>
          <w:sz w:val="22"/>
          <w:szCs w:val="22"/>
        </w:rPr>
        <w:t>it allows for</w:t>
      </w:r>
      <w:r w:rsidR="00CA1105">
        <w:rPr>
          <w:rFonts w:ascii="Arial" w:hAnsi="Arial" w:cs="Arial"/>
          <w:bCs/>
          <w:sz w:val="22"/>
          <w:szCs w:val="22"/>
        </w:rPr>
        <w:t xml:space="preserve"> a black community to be formed; one</w:t>
      </w:r>
      <w:r w:rsidR="000F4FBC">
        <w:rPr>
          <w:rFonts w:ascii="Arial" w:hAnsi="Arial" w:cs="Arial"/>
          <w:bCs/>
          <w:sz w:val="22"/>
          <w:szCs w:val="22"/>
        </w:rPr>
        <w:t xml:space="preserve"> that otherwise would not exist due to the ‘contaminated world of black pop culture’ which forces the black community to believe that they are in exile</w:t>
      </w:r>
      <w:r w:rsidR="00CA1105">
        <w:rPr>
          <w:rFonts w:ascii="Arial" w:hAnsi="Arial" w:cs="Arial"/>
          <w:bCs/>
          <w:sz w:val="22"/>
          <w:szCs w:val="22"/>
        </w:rPr>
        <w:t>,</w:t>
      </w:r>
      <w:r w:rsidR="000F4FBC">
        <w:rPr>
          <w:rFonts w:ascii="Arial" w:hAnsi="Arial" w:cs="Arial"/>
          <w:bCs/>
          <w:sz w:val="22"/>
          <w:szCs w:val="22"/>
        </w:rPr>
        <w:t xml:space="preserve"> and that the community as a whole is on the ‘wrong path’ due to the </w:t>
      </w:r>
      <w:r w:rsidR="00CA1105">
        <w:rPr>
          <w:rFonts w:ascii="Arial" w:hAnsi="Arial" w:cs="Arial"/>
          <w:bCs/>
          <w:sz w:val="22"/>
          <w:szCs w:val="22"/>
        </w:rPr>
        <w:t>W</w:t>
      </w:r>
      <w:r w:rsidR="000F4FBC">
        <w:rPr>
          <w:rFonts w:ascii="Arial" w:hAnsi="Arial" w:cs="Arial"/>
          <w:bCs/>
          <w:sz w:val="22"/>
          <w:szCs w:val="22"/>
        </w:rPr>
        <w:t>esternisation of clothing and hair care products etc</w:t>
      </w:r>
      <w:r w:rsidR="000F4FBC">
        <w:rPr>
          <w:rStyle w:val="FootnoteReference"/>
          <w:rFonts w:ascii="Arial" w:hAnsi="Arial" w:cs="Arial"/>
          <w:bCs/>
          <w:sz w:val="22"/>
          <w:szCs w:val="22"/>
        </w:rPr>
        <w:footnoteReference w:id="13"/>
      </w:r>
      <w:r w:rsidR="000F4FBC">
        <w:rPr>
          <w:rFonts w:ascii="Arial" w:hAnsi="Arial" w:cs="Arial"/>
          <w:bCs/>
          <w:sz w:val="22"/>
          <w:szCs w:val="22"/>
        </w:rPr>
        <w:t xml:space="preserve">. </w:t>
      </w:r>
    </w:p>
    <w:p w14:paraId="7B8DBB81" w14:textId="075F2CB1" w:rsidR="000F4FBC" w:rsidRDefault="000F4FBC" w:rsidP="00A22418">
      <w:pPr>
        <w:spacing w:line="276" w:lineRule="auto"/>
        <w:ind w:right="567"/>
        <w:rPr>
          <w:rFonts w:ascii="Arial" w:hAnsi="Arial" w:cs="Arial"/>
          <w:bCs/>
          <w:sz w:val="22"/>
          <w:szCs w:val="22"/>
        </w:rPr>
      </w:pPr>
    </w:p>
    <w:p w14:paraId="69423A45" w14:textId="1EBA990F" w:rsidR="000F4FBC" w:rsidRPr="00A22418" w:rsidRDefault="00CA1105" w:rsidP="00CA1105">
      <w:pPr>
        <w:spacing w:line="360" w:lineRule="auto"/>
        <w:ind w:right="567" w:firstLine="72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Lastly, </w:t>
      </w:r>
      <w:r w:rsidR="000F4FBC">
        <w:rPr>
          <w:rFonts w:ascii="Arial" w:hAnsi="Arial" w:cs="Arial"/>
          <w:bCs/>
          <w:sz w:val="22"/>
          <w:szCs w:val="22"/>
        </w:rPr>
        <w:t xml:space="preserve">Gilroy </w:t>
      </w:r>
      <w:r>
        <w:rPr>
          <w:rFonts w:ascii="Arial" w:hAnsi="Arial" w:cs="Arial"/>
          <w:bCs/>
          <w:sz w:val="22"/>
          <w:szCs w:val="22"/>
        </w:rPr>
        <w:t xml:space="preserve">indicates </w:t>
      </w:r>
      <w:r w:rsidR="000F4FBC">
        <w:rPr>
          <w:rFonts w:ascii="Arial" w:hAnsi="Arial" w:cs="Arial"/>
          <w:bCs/>
          <w:sz w:val="22"/>
          <w:szCs w:val="22"/>
        </w:rPr>
        <w:t xml:space="preserve">that the </w:t>
      </w:r>
      <w:r w:rsidR="00174771">
        <w:rPr>
          <w:rFonts w:ascii="Arial" w:hAnsi="Arial" w:cs="Arial"/>
          <w:bCs/>
          <w:sz w:val="22"/>
          <w:szCs w:val="22"/>
        </w:rPr>
        <w:t xml:space="preserve">‘Black Atlantic’ allow intellectuals to </w:t>
      </w:r>
      <w:r w:rsidR="007F3A39">
        <w:rPr>
          <w:rFonts w:ascii="Arial" w:hAnsi="Arial" w:cs="Arial"/>
          <w:bCs/>
          <w:sz w:val="22"/>
          <w:szCs w:val="22"/>
        </w:rPr>
        <w:t xml:space="preserve">support the </w:t>
      </w:r>
      <w:r w:rsidR="00174771">
        <w:rPr>
          <w:rFonts w:ascii="Arial" w:hAnsi="Arial" w:cs="Arial"/>
          <w:bCs/>
          <w:sz w:val="22"/>
          <w:szCs w:val="22"/>
        </w:rPr>
        <w:t>restor</w:t>
      </w:r>
      <w:r w:rsidR="007F3A39">
        <w:rPr>
          <w:rFonts w:ascii="Arial" w:hAnsi="Arial" w:cs="Arial"/>
          <w:bCs/>
          <w:sz w:val="22"/>
          <w:szCs w:val="22"/>
        </w:rPr>
        <w:t>ation of</w:t>
      </w:r>
      <w:r w:rsidR="00174771">
        <w:rPr>
          <w:rFonts w:ascii="Arial" w:hAnsi="Arial" w:cs="Arial"/>
          <w:bCs/>
          <w:sz w:val="22"/>
          <w:szCs w:val="22"/>
        </w:rPr>
        <w:t xml:space="preserve"> their racial awareness to the masses</w:t>
      </w:r>
      <w:r w:rsidR="007F3A39">
        <w:rPr>
          <w:rFonts w:ascii="Arial" w:hAnsi="Arial" w:cs="Arial"/>
          <w:bCs/>
          <w:sz w:val="22"/>
          <w:szCs w:val="22"/>
        </w:rPr>
        <w:t>,</w:t>
      </w:r>
      <w:r w:rsidR="00174771">
        <w:rPr>
          <w:rFonts w:ascii="Arial" w:hAnsi="Arial" w:cs="Arial"/>
          <w:bCs/>
          <w:sz w:val="22"/>
          <w:szCs w:val="22"/>
        </w:rPr>
        <w:t xml:space="preserve"> and therefore</w:t>
      </w:r>
      <w:r w:rsidR="007F3A39">
        <w:rPr>
          <w:rFonts w:ascii="Arial" w:hAnsi="Arial" w:cs="Arial"/>
          <w:bCs/>
          <w:sz w:val="22"/>
          <w:szCs w:val="22"/>
        </w:rPr>
        <w:t>,</w:t>
      </w:r>
      <w:r w:rsidR="00174771">
        <w:rPr>
          <w:rFonts w:ascii="Arial" w:hAnsi="Arial" w:cs="Arial"/>
          <w:bCs/>
          <w:sz w:val="22"/>
          <w:szCs w:val="22"/>
        </w:rPr>
        <w:t xml:space="preserve"> lead</w:t>
      </w:r>
      <w:r w:rsidR="007F3A39">
        <w:rPr>
          <w:rFonts w:ascii="Arial" w:hAnsi="Arial" w:cs="Arial"/>
          <w:bCs/>
          <w:sz w:val="22"/>
          <w:szCs w:val="22"/>
        </w:rPr>
        <w:t xml:space="preserve"> them onto </w:t>
      </w:r>
      <w:r w:rsidR="00174771">
        <w:rPr>
          <w:rFonts w:ascii="Arial" w:hAnsi="Arial" w:cs="Arial"/>
          <w:bCs/>
          <w:sz w:val="22"/>
          <w:szCs w:val="22"/>
        </w:rPr>
        <w:t>the ‘correct’ path. Without these intellectuals</w:t>
      </w:r>
      <w:r w:rsidR="007F3A39">
        <w:rPr>
          <w:rFonts w:ascii="Arial" w:hAnsi="Arial" w:cs="Arial"/>
          <w:bCs/>
          <w:sz w:val="22"/>
          <w:szCs w:val="22"/>
        </w:rPr>
        <w:t>,</w:t>
      </w:r>
      <w:r w:rsidR="00174771">
        <w:rPr>
          <w:rFonts w:ascii="Arial" w:hAnsi="Arial" w:cs="Arial"/>
          <w:bCs/>
          <w:sz w:val="22"/>
          <w:szCs w:val="22"/>
        </w:rPr>
        <w:t xml:space="preserve"> Gilroy </w:t>
      </w:r>
      <w:r w:rsidR="007F3A39">
        <w:rPr>
          <w:rFonts w:ascii="Arial" w:hAnsi="Arial" w:cs="Arial"/>
          <w:bCs/>
          <w:sz w:val="22"/>
          <w:szCs w:val="22"/>
        </w:rPr>
        <w:t>suggests that</w:t>
      </w:r>
      <w:r w:rsidR="00174771">
        <w:rPr>
          <w:rFonts w:ascii="Arial" w:hAnsi="Arial" w:cs="Arial"/>
          <w:bCs/>
          <w:sz w:val="22"/>
          <w:szCs w:val="22"/>
        </w:rPr>
        <w:t xml:space="preserve"> there is no community due to the internalised segregation created by things such as sexuality, gender and religion etc. </w:t>
      </w:r>
      <w:r w:rsidR="00C822F3">
        <w:rPr>
          <w:rFonts w:ascii="Arial" w:hAnsi="Arial" w:cs="Arial"/>
          <w:bCs/>
          <w:sz w:val="22"/>
          <w:szCs w:val="22"/>
        </w:rPr>
        <w:t xml:space="preserve">which allows for </w:t>
      </w:r>
      <w:r w:rsidR="007F3A39">
        <w:rPr>
          <w:rFonts w:ascii="Arial" w:hAnsi="Arial" w:cs="Arial"/>
          <w:bCs/>
          <w:sz w:val="22"/>
          <w:szCs w:val="22"/>
        </w:rPr>
        <w:t xml:space="preserve">these </w:t>
      </w:r>
      <w:r w:rsidR="00C822F3">
        <w:rPr>
          <w:rFonts w:ascii="Arial" w:hAnsi="Arial" w:cs="Arial"/>
          <w:bCs/>
          <w:sz w:val="22"/>
          <w:szCs w:val="22"/>
        </w:rPr>
        <w:t xml:space="preserve">authoritarian regimes that want to police black cultural expression </w:t>
      </w:r>
      <w:r w:rsidR="00184629">
        <w:rPr>
          <w:rFonts w:ascii="Arial" w:hAnsi="Arial" w:cs="Arial"/>
          <w:bCs/>
          <w:sz w:val="22"/>
          <w:szCs w:val="22"/>
        </w:rPr>
        <w:t>in the name of their own to arise</w:t>
      </w:r>
      <w:r w:rsidR="00184629">
        <w:rPr>
          <w:rStyle w:val="FootnoteReference"/>
          <w:rFonts w:ascii="Arial" w:hAnsi="Arial" w:cs="Arial"/>
          <w:bCs/>
          <w:sz w:val="22"/>
          <w:szCs w:val="22"/>
        </w:rPr>
        <w:footnoteReference w:id="14"/>
      </w:r>
      <w:r w:rsidR="00184629">
        <w:rPr>
          <w:rFonts w:ascii="Arial" w:hAnsi="Arial" w:cs="Arial"/>
          <w:bCs/>
          <w:sz w:val="22"/>
          <w:szCs w:val="22"/>
        </w:rPr>
        <w:t>.</w:t>
      </w:r>
      <w:bookmarkStart w:id="0" w:name="_GoBack"/>
      <w:bookmarkEnd w:id="0"/>
    </w:p>
    <w:p w14:paraId="6B5CBAAC" w14:textId="34744041" w:rsidR="0076765B" w:rsidRDefault="0076765B" w:rsidP="004C59D9">
      <w:pPr>
        <w:spacing w:line="276" w:lineRule="auto"/>
      </w:pPr>
    </w:p>
    <w:p w14:paraId="6AD1C52B" w14:textId="1BC439AC" w:rsidR="0074538B" w:rsidRDefault="0074538B" w:rsidP="004C59D9">
      <w:pPr>
        <w:spacing w:line="276" w:lineRule="auto"/>
        <w:rPr>
          <w:rFonts w:ascii="Arial" w:hAnsi="Arial" w:cs="Arial"/>
          <w:sz w:val="24"/>
          <w:szCs w:val="24"/>
          <w:u w:val="single"/>
        </w:rPr>
      </w:pPr>
      <w:r w:rsidRPr="0074538B">
        <w:rPr>
          <w:rFonts w:ascii="Arial" w:hAnsi="Arial" w:cs="Arial"/>
          <w:sz w:val="24"/>
          <w:szCs w:val="24"/>
          <w:u w:val="single"/>
        </w:rPr>
        <w:t xml:space="preserve">Bibliography </w:t>
      </w:r>
    </w:p>
    <w:p w14:paraId="51E549C9" w14:textId="644C76BD" w:rsidR="0074538B" w:rsidRDefault="0074538B" w:rsidP="004C59D9">
      <w:pPr>
        <w:spacing w:line="276" w:lineRule="auto"/>
        <w:rPr>
          <w:rFonts w:ascii="Arial" w:hAnsi="Arial" w:cs="Arial"/>
          <w:sz w:val="24"/>
          <w:szCs w:val="24"/>
          <w:u w:val="single"/>
        </w:rPr>
      </w:pPr>
    </w:p>
    <w:p w14:paraId="64741EE1" w14:textId="652A3933" w:rsidR="0074538B" w:rsidRPr="0074538B" w:rsidRDefault="0074538B" w:rsidP="004C59D9">
      <w:pPr>
        <w:spacing w:line="276" w:lineRule="auto"/>
        <w:rPr>
          <w:rFonts w:ascii="Arial" w:hAnsi="Arial" w:cs="Arial"/>
          <w:sz w:val="24"/>
          <w:szCs w:val="24"/>
          <w:u w:val="single"/>
        </w:rPr>
      </w:pPr>
      <w:r w:rsidRPr="0074538B">
        <w:rPr>
          <w:rFonts w:ascii="Arial" w:hAnsi="Arial" w:cs="Arial"/>
        </w:rPr>
        <w:t>Gilroy</w:t>
      </w:r>
      <w:r>
        <w:rPr>
          <w:rFonts w:ascii="Arial" w:hAnsi="Arial" w:cs="Arial"/>
        </w:rPr>
        <w:t xml:space="preserve"> </w:t>
      </w:r>
      <w:r w:rsidRPr="0074538B">
        <w:rPr>
          <w:rFonts w:ascii="Arial" w:hAnsi="Arial" w:cs="Arial"/>
        </w:rPr>
        <w:t xml:space="preserve">Paul, </w:t>
      </w:r>
      <w:r w:rsidRPr="0074538B">
        <w:rPr>
          <w:rFonts w:ascii="Arial" w:hAnsi="Arial" w:cs="Arial"/>
          <w:i/>
          <w:iCs/>
        </w:rPr>
        <w:t>‘The Black Atlantic: modernity and double consciousness’</w:t>
      </w:r>
      <w:r w:rsidRPr="0074538B">
        <w:rPr>
          <w:rFonts w:ascii="Arial" w:hAnsi="Arial" w:cs="Arial"/>
        </w:rPr>
        <w:t>, Published by Harvard University press Cambridge 1993</w:t>
      </w:r>
      <w:r>
        <w:rPr>
          <w:rFonts w:ascii="Arial" w:hAnsi="Arial" w:cs="Arial"/>
        </w:rPr>
        <w:t>.</w:t>
      </w:r>
    </w:p>
    <w:sectPr w:rsidR="0074538B" w:rsidRPr="0074538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2CC08" w14:textId="77777777" w:rsidR="00FF66D1" w:rsidRDefault="00FF66D1" w:rsidP="0086159E">
      <w:r>
        <w:separator/>
      </w:r>
    </w:p>
  </w:endnote>
  <w:endnote w:type="continuationSeparator" w:id="0">
    <w:p w14:paraId="45758D6C" w14:textId="77777777" w:rsidR="00FF66D1" w:rsidRDefault="00FF66D1" w:rsidP="008615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9E4ED7" w14:textId="77777777" w:rsidR="007F3A39" w:rsidRDefault="007F3A3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7E180E" w14:textId="77777777" w:rsidR="007F3A39" w:rsidRDefault="007F3A3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A3D008" w14:textId="77777777" w:rsidR="007F3A39" w:rsidRDefault="007F3A3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E5C5B5" w14:textId="77777777" w:rsidR="00FF66D1" w:rsidRDefault="00FF66D1" w:rsidP="0086159E">
      <w:r>
        <w:separator/>
      </w:r>
    </w:p>
  </w:footnote>
  <w:footnote w:type="continuationSeparator" w:id="0">
    <w:p w14:paraId="68AC269A" w14:textId="77777777" w:rsidR="00FF66D1" w:rsidRDefault="00FF66D1" w:rsidP="0086159E">
      <w:r>
        <w:continuationSeparator/>
      </w:r>
    </w:p>
  </w:footnote>
  <w:footnote w:id="1">
    <w:p w14:paraId="3C05A46F" w14:textId="381A17E9" w:rsidR="000E18FF" w:rsidRPr="00DB6AF0" w:rsidRDefault="000E18F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F617E">
        <w:t xml:space="preserve">Paul Gilroy, </w:t>
      </w:r>
      <w:r w:rsidR="000F617E">
        <w:rPr>
          <w:i/>
          <w:iCs/>
        </w:rPr>
        <w:t>‘The Black Atlantic: modernity and double consciousness</w:t>
      </w:r>
      <w:r w:rsidR="00DB6AF0">
        <w:rPr>
          <w:i/>
          <w:iCs/>
        </w:rPr>
        <w:t>’</w:t>
      </w:r>
      <w:r w:rsidR="00DB6AF0">
        <w:t>, Published by Harvard University press Cambridge 1993, pg. 16.</w:t>
      </w:r>
    </w:p>
  </w:footnote>
  <w:footnote w:id="2">
    <w:p w14:paraId="5A9BC190" w14:textId="08452F3B" w:rsidR="00FF4841" w:rsidRDefault="00FF484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D2D16">
        <w:t xml:space="preserve">Paul Gilroy, </w:t>
      </w:r>
      <w:r w:rsidR="007D2D16">
        <w:rPr>
          <w:i/>
          <w:iCs/>
        </w:rPr>
        <w:t>‘The Black Atlantic: modernity and double consciousness’</w:t>
      </w:r>
      <w:r w:rsidR="007D2D16">
        <w:t>, Published by Harvard University press Cambridge 1993, pg. 16.</w:t>
      </w:r>
    </w:p>
  </w:footnote>
  <w:footnote w:id="3">
    <w:p w14:paraId="27CFC41C" w14:textId="465D2292" w:rsidR="00FF4841" w:rsidRDefault="00FF484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D2D16">
        <w:t xml:space="preserve">Paul Gilroy, </w:t>
      </w:r>
      <w:r w:rsidR="007D2D16">
        <w:rPr>
          <w:i/>
          <w:iCs/>
        </w:rPr>
        <w:t>‘The Black Atlantic: modernity and double consciousness’</w:t>
      </w:r>
      <w:r w:rsidR="007D2D16">
        <w:t>, Published by Harvard University press Cambridge 1993, pg. 16.</w:t>
      </w:r>
    </w:p>
  </w:footnote>
  <w:footnote w:id="4">
    <w:p w14:paraId="088E330C" w14:textId="007ECC70" w:rsidR="001C5715" w:rsidRDefault="001C571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D2D16">
        <w:t xml:space="preserve">Paul Gilroy, </w:t>
      </w:r>
      <w:r w:rsidR="007D2D16">
        <w:rPr>
          <w:i/>
          <w:iCs/>
        </w:rPr>
        <w:t>‘The Black Atlantic: modernity and double consciousness’</w:t>
      </w:r>
      <w:r w:rsidR="007D2D16">
        <w:t>, Published by Harvard University press Cambridge 1993, pg. 16.</w:t>
      </w:r>
    </w:p>
  </w:footnote>
  <w:footnote w:id="5">
    <w:p w14:paraId="7A49E06D" w14:textId="7B48B6CC" w:rsidR="00E12808" w:rsidRDefault="00E1280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D2D16">
        <w:t xml:space="preserve">Paul Gilroy, </w:t>
      </w:r>
      <w:r w:rsidR="007D2D16">
        <w:rPr>
          <w:i/>
          <w:iCs/>
        </w:rPr>
        <w:t>‘The Black Atlantic: modernity and double consciousness’</w:t>
      </w:r>
      <w:r w:rsidR="007D2D16">
        <w:t>, Published by Harvard University press Cambridge 1993, pg. 17.</w:t>
      </w:r>
    </w:p>
  </w:footnote>
  <w:footnote w:id="6">
    <w:p w14:paraId="4455485E" w14:textId="51254282" w:rsidR="0086159E" w:rsidRDefault="0086159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D2D16">
        <w:t xml:space="preserve">Paul Gilroy, </w:t>
      </w:r>
      <w:r w:rsidR="007D2D16">
        <w:rPr>
          <w:i/>
          <w:iCs/>
        </w:rPr>
        <w:t>‘The Black Atlantic: modernity and double consciousness’</w:t>
      </w:r>
      <w:r w:rsidR="007D2D16">
        <w:t>, Published by Harvard University press Cambridge 1993, pg. 13.</w:t>
      </w:r>
    </w:p>
  </w:footnote>
  <w:footnote w:id="7">
    <w:p w14:paraId="48C90107" w14:textId="34B99909" w:rsidR="001B5B59" w:rsidRDefault="001B5B5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4538B">
        <w:t xml:space="preserve">Paul Gilroy, </w:t>
      </w:r>
      <w:r w:rsidR="0074538B">
        <w:rPr>
          <w:i/>
          <w:iCs/>
        </w:rPr>
        <w:t>‘The Black Atlantic: modernity and double consciousness’</w:t>
      </w:r>
      <w:r w:rsidR="0074538B">
        <w:t>, Published by Harvard University press Cambridge 1993, pg. 12.</w:t>
      </w:r>
    </w:p>
  </w:footnote>
  <w:footnote w:id="8">
    <w:p w14:paraId="018E328A" w14:textId="793F191F" w:rsidR="00F05E62" w:rsidRDefault="00F05E6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4538B">
        <w:t xml:space="preserve">Paul Gilroy, </w:t>
      </w:r>
      <w:r w:rsidR="0074538B">
        <w:rPr>
          <w:i/>
          <w:iCs/>
        </w:rPr>
        <w:t>‘The Black Atlantic: modernity and double consciousness’</w:t>
      </w:r>
      <w:r w:rsidR="0074538B">
        <w:t>, Published by Harvard University press Cambridge 1993, pg. 13.</w:t>
      </w:r>
    </w:p>
  </w:footnote>
  <w:footnote w:id="9">
    <w:p w14:paraId="31699C7E" w14:textId="68E85899" w:rsidR="00683770" w:rsidRDefault="0068377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4538B">
        <w:t xml:space="preserve">Paul Gilroy, </w:t>
      </w:r>
      <w:r w:rsidR="0074538B">
        <w:rPr>
          <w:i/>
          <w:iCs/>
        </w:rPr>
        <w:t>‘The Black Atlantic: modernity and double consciousness’</w:t>
      </w:r>
      <w:r w:rsidR="0074538B">
        <w:t>, Published by Harvard University press Cambridge 1993, pg. 13.</w:t>
      </w:r>
    </w:p>
  </w:footnote>
  <w:footnote w:id="10">
    <w:p w14:paraId="78AC2CBB" w14:textId="3591D4BF" w:rsidR="00AC33CA" w:rsidRDefault="00AC33C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4538B">
        <w:t xml:space="preserve">Paul Gilroy, </w:t>
      </w:r>
      <w:r w:rsidR="0074538B">
        <w:rPr>
          <w:i/>
          <w:iCs/>
        </w:rPr>
        <w:t>‘The Black Atlantic: modernity and double consciousness’</w:t>
      </w:r>
      <w:r w:rsidR="0074538B">
        <w:t>, Published by Harvard University press Cambridge 1993, pg. 13.</w:t>
      </w:r>
    </w:p>
  </w:footnote>
  <w:footnote w:id="11">
    <w:p w14:paraId="1305E5A5" w14:textId="30BF836E" w:rsidR="00E675F4" w:rsidRDefault="00E675F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4538B">
        <w:t xml:space="preserve">Paul Gilroy, </w:t>
      </w:r>
      <w:r w:rsidR="0074538B">
        <w:rPr>
          <w:i/>
          <w:iCs/>
        </w:rPr>
        <w:t>‘The Black Atlantic: modernity and double consciousness’</w:t>
      </w:r>
      <w:r w:rsidR="0074538B">
        <w:t>, Published by Harvard University press Cambridge 1993, pg. 14.</w:t>
      </w:r>
    </w:p>
  </w:footnote>
  <w:footnote w:id="12">
    <w:p w14:paraId="5A84C993" w14:textId="356F72B1" w:rsidR="001132F0" w:rsidRDefault="001132F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4538B">
        <w:t xml:space="preserve">Paul Gilroy, </w:t>
      </w:r>
      <w:r w:rsidR="0074538B">
        <w:rPr>
          <w:i/>
          <w:iCs/>
        </w:rPr>
        <w:t>‘The Black Atlantic: modernity and double consciousness’</w:t>
      </w:r>
      <w:r w:rsidR="0074538B">
        <w:t>, Published by Harvard University press Cambridge 1993, pg. 16.</w:t>
      </w:r>
    </w:p>
  </w:footnote>
  <w:footnote w:id="13">
    <w:p w14:paraId="377E8290" w14:textId="355B57AF" w:rsidR="000F4FBC" w:rsidRDefault="000F4FB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4538B">
        <w:t xml:space="preserve">Paul Gilroy, </w:t>
      </w:r>
      <w:r w:rsidR="0074538B">
        <w:rPr>
          <w:i/>
          <w:iCs/>
        </w:rPr>
        <w:t>‘The Black Atlantic: modernity and double consciousness’</w:t>
      </w:r>
      <w:r w:rsidR="0074538B">
        <w:t>, Published by Harvard University press Cambridge 1993, pg. 32.</w:t>
      </w:r>
    </w:p>
  </w:footnote>
  <w:footnote w:id="14">
    <w:p w14:paraId="45570253" w14:textId="696A776B" w:rsidR="00184629" w:rsidRDefault="0018462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4538B">
        <w:t xml:space="preserve">Paul Gilroy, </w:t>
      </w:r>
      <w:r w:rsidR="0074538B">
        <w:rPr>
          <w:i/>
          <w:iCs/>
        </w:rPr>
        <w:t>‘The Black Atlantic: modernity and double consciousness’</w:t>
      </w:r>
      <w:r w:rsidR="0074538B">
        <w:t>, Published by Harvard University press Cambridge 1993, pg. 32.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A48B5C" w14:textId="77777777" w:rsidR="007F3A39" w:rsidRDefault="007F3A3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CF4CF" w14:textId="7646DD22" w:rsidR="000F617E" w:rsidRDefault="000F617E">
    <w:pPr>
      <w:pStyle w:val="Header"/>
    </w:pPr>
    <w:r>
      <w:t>Hollie Mcdonald</w:t>
    </w:r>
    <w:r w:rsidR="007F3A39">
      <w:t xml:space="preserve">  : </w:t>
    </w:r>
    <w:r>
      <w:t>1701849</w:t>
    </w:r>
  </w:p>
  <w:p w14:paraId="561DA126" w14:textId="77777777" w:rsidR="000F617E" w:rsidRDefault="000F617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0A1CE2" w14:textId="77777777" w:rsidR="007F3A39" w:rsidRDefault="007F3A3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9F0B28"/>
    <w:multiLevelType w:val="hybridMultilevel"/>
    <w:tmpl w:val="3F0070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00C"/>
    <w:rsid w:val="000B05B6"/>
    <w:rsid w:val="000E18FF"/>
    <w:rsid w:val="000F4FBC"/>
    <w:rsid w:val="000F617E"/>
    <w:rsid w:val="001132F0"/>
    <w:rsid w:val="00174771"/>
    <w:rsid w:val="00184629"/>
    <w:rsid w:val="001B5B59"/>
    <w:rsid w:val="001C5715"/>
    <w:rsid w:val="001E506A"/>
    <w:rsid w:val="003070AF"/>
    <w:rsid w:val="00410937"/>
    <w:rsid w:val="004222BD"/>
    <w:rsid w:val="004445F5"/>
    <w:rsid w:val="004C59D9"/>
    <w:rsid w:val="005201EF"/>
    <w:rsid w:val="00600434"/>
    <w:rsid w:val="00683770"/>
    <w:rsid w:val="00716B28"/>
    <w:rsid w:val="0074538B"/>
    <w:rsid w:val="0076765B"/>
    <w:rsid w:val="007D2D16"/>
    <w:rsid w:val="007F2E2F"/>
    <w:rsid w:val="007F3A39"/>
    <w:rsid w:val="00842633"/>
    <w:rsid w:val="0086159E"/>
    <w:rsid w:val="00881078"/>
    <w:rsid w:val="008F3153"/>
    <w:rsid w:val="009B500C"/>
    <w:rsid w:val="00A05412"/>
    <w:rsid w:val="00A22418"/>
    <w:rsid w:val="00A26FC5"/>
    <w:rsid w:val="00AC33CA"/>
    <w:rsid w:val="00AD160B"/>
    <w:rsid w:val="00B46C92"/>
    <w:rsid w:val="00B54DBB"/>
    <w:rsid w:val="00BC6997"/>
    <w:rsid w:val="00BE2467"/>
    <w:rsid w:val="00C822F3"/>
    <w:rsid w:val="00CA1105"/>
    <w:rsid w:val="00D24AB9"/>
    <w:rsid w:val="00DB6AF0"/>
    <w:rsid w:val="00E12808"/>
    <w:rsid w:val="00E3088B"/>
    <w:rsid w:val="00E675F4"/>
    <w:rsid w:val="00E80118"/>
    <w:rsid w:val="00F05E62"/>
    <w:rsid w:val="00F42D9A"/>
    <w:rsid w:val="00FF4841"/>
    <w:rsid w:val="00FF6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4346BF"/>
  <w15:docId w15:val="{700823C9-E7E4-4B24-B034-AEF2E631B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0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9B500C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qFormat/>
    <w:locked/>
    <w:rsid w:val="009B500C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6159E"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6159E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86159E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0F617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F617E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F617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F617E"/>
    <w:rPr>
      <w:rFonts w:ascii="Times New Roman" w:eastAsia="Times New Roman" w:hAnsi="Times New Roma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807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6D9003-F779-4AA3-9875-9137D0965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787</Words>
  <Characters>4487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Hollie x</dc:creator>
  <cp:lastModifiedBy>Hollie x</cp:lastModifiedBy>
  <cp:revision>2</cp:revision>
  <dcterms:created xsi:type="dcterms:W3CDTF">2020-01-12T16:58:00Z</dcterms:created>
  <dcterms:modified xsi:type="dcterms:W3CDTF">2020-01-12T16:58:00Z</dcterms:modified>
</cp:coreProperties>
</file>