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09EA25E6"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273D6390"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C963C3">
        <w:rPr>
          <w:rFonts w:asciiTheme="minorBidi" w:hAnsiTheme="minorBidi"/>
          <w:b/>
          <w:bCs/>
          <w:sz w:val="48"/>
          <w:szCs w:val="48"/>
        </w:rPr>
        <w:t>1</w:t>
      </w:r>
      <w:r w:rsidRPr="0040098D">
        <w:rPr>
          <w:rFonts w:asciiTheme="minorBidi" w:hAnsiTheme="minorBidi"/>
          <w:b/>
          <w:bCs/>
          <w:sz w:val="48"/>
          <w:szCs w:val="48"/>
        </w:rPr>
        <w:t xml:space="preserve">: </w:t>
      </w:r>
      <w:r w:rsidR="00D44A3B">
        <w:rPr>
          <w:rFonts w:asciiTheme="minorBidi" w:hAnsiTheme="minorBidi"/>
          <w:b/>
          <w:bCs/>
          <w:sz w:val="48"/>
          <w:szCs w:val="48"/>
        </w:rPr>
        <w:t>E-Portfolio</w:t>
      </w:r>
    </w:p>
    <w:p w14:paraId="14F1CDB2" w14:textId="22AA686F"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D44A3B">
        <w:rPr>
          <w:rFonts w:asciiTheme="minorBidi" w:hAnsiTheme="minorBidi"/>
          <w:b/>
          <w:sz w:val="48"/>
          <w:szCs w:val="48"/>
        </w:rPr>
        <w:t xml:space="preserve"> </w:t>
      </w:r>
      <w:proofErr w:type="spellStart"/>
      <w:r w:rsidR="00D44A3B">
        <w:rPr>
          <w:rFonts w:asciiTheme="minorBidi" w:hAnsiTheme="minorBidi"/>
          <w:b/>
          <w:sz w:val="48"/>
          <w:szCs w:val="48"/>
        </w:rPr>
        <w:t>Elleesha</w:t>
      </w:r>
      <w:proofErr w:type="spellEnd"/>
      <w:r w:rsidR="00D44A3B">
        <w:rPr>
          <w:rFonts w:asciiTheme="minorBidi" w:hAnsiTheme="minorBidi"/>
          <w:b/>
          <w:sz w:val="48"/>
          <w:szCs w:val="48"/>
        </w:rPr>
        <w:t xml:space="preserve"> Lewis </w:t>
      </w:r>
    </w:p>
    <w:p w14:paraId="1B6CEBE0" w14:textId="7A45AD1E"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D44A3B">
        <w:rPr>
          <w:rFonts w:asciiTheme="minorBidi" w:hAnsiTheme="minorBidi"/>
          <w:b/>
          <w:sz w:val="48"/>
          <w:szCs w:val="48"/>
        </w:rPr>
        <w:t xml:space="preserve"> 2528501</w:t>
      </w:r>
    </w:p>
    <w:p w14:paraId="3CA1AB6B" w14:textId="6E382133"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D44A3B">
        <w:rPr>
          <w:rFonts w:asciiTheme="minorBidi" w:hAnsiTheme="minorBidi"/>
          <w:b/>
          <w:sz w:val="48"/>
          <w:szCs w:val="48"/>
        </w:rPr>
        <w:t xml:space="preserve">Scott James </w:t>
      </w:r>
      <w:r w:rsidRPr="0040098D">
        <w:rPr>
          <w:rFonts w:asciiTheme="minorBidi" w:hAnsiTheme="minorBidi"/>
          <w:b/>
          <w:sz w:val="48"/>
          <w:szCs w:val="48"/>
        </w:rPr>
        <w:br/>
        <w:t xml:space="preserve">Deadline: </w:t>
      </w:r>
      <w:r w:rsidR="00D44A3B">
        <w:rPr>
          <w:rFonts w:asciiTheme="minorBidi" w:hAnsiTheme="minorBidi"/>
          <w:b/>
          <w:sz w:val="48"/>
          <w:szCs w:val="48"/>
        </w:rPr>
        <w:t>Friday 27</w:t>
      </w:r>
      <w:r w:rsidR="00D44A3B" w:rsidRPr="00D44A3B">
        <w:rPr>
          <w:rFonts w:asciiTheme="minorBidi" w:hAnsiTheme="minorBidi"/>
          <w:b/>
          <w:sz w:val="48"/>
          <w:szCs w:val="48"/>
          <w:vertAlign w:val="superscript"/>
        </w:rPr>
        <w:t>th</w:t>
      </w:r>
      <w:r w:rsidR="00D44A3B">
        <w:rPr>
          <w:rFonts w:asciiTheme="minorBidi" w:hAnsiTheme="minorBidi"/>
          <w:b/>
          <w:sz w:val="48"/>
          <w:szCs w:val="48"/>
        </w:rPr>
        <w:t xml:space="preserve"> February</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71B8EB4E" w14:textId="497D484D" w:rsidR="00E6780D" w:rsidRDefault="00C963C3" w:rsidP="00E6780D">
      <w:pPr>
        <w:rPr>
          <w:rFonts w:ascii="Aptos" w:hAnsi="Aptos"/>
          <w:b/>
          <w:bCs/>
          <w:sz w:val="32"/>
          <w:szCs w:val="32"/>
        </w:rPr>
      </w:pPr>
      <w:r>
        <w:rPr>
          <w:rFonts w:ascii="Aptos" w:hAnsi="Aptos"/>
          <w:b/>
          <w:bCs/>
          <w:sz w:val="32"/>
          <w:szCs w:val="32"/>
        </w:rPr>
        <w:t>Wordcount:</w:t>
      </w:r>
      <w:r w:rsidR="00263712">
        <w:rPr>
          <w:rFonts w:ascii="Aptos" w:hAnsi="Aptos"/>
          <w:b/>
          <w:bCs/>
          <w:sz w:val="32"/>
          <w:szCs w:val="32"/>
        </w:rPr>
        <w:t xml:space="preserve"> 1628</w:t>
      </w:r>
      <w:r>
        <w:rPr>
          <w:rFonts w:ascii="Aptos" w:hAnsi="Aptos"/>
          <w:b/>
          <w:bCs/>
          <w:sz w:val="32"/>
          <w:szCs w:val="32"/>
        </w:rPr>
        <w:br/>
      </w:r>
    </w:p>
    <w:p w14:paraId="5E6295B9" w14:textId="507FBE73" w:rsidR="00C963C3" w:rsidRPr="00444943" w:rsidRDefault="00C963C3" w:rsidP="00444943">
      <w:pPr>
        <w:rPr>
          <w:rFonts w:ascii="Arial" w:hAnsi="Arial" w:cs="Arial"/>
          <w:b/>
          <w:bCs/>
        </w:rPr>
      </w:pPr>
      <w:r w:rsidRPr="009F24C9">
        <w:rPr>
          <w:rFonts w:ascii="Arial" w:hAnsi="Arial" w:cs="Arial"/>
          <w:b/>
          <w:bCs/>
        </w:rPr>
        <w:lastRenderedPageBreak/>
        <w:t>AI Acknowledgement</w:t>
      </w:r>
    </w:p>
    <w:p w14:paraId="078665C0" w14:textId="77777777" w:rsidR="00C963C3" w:rsidRPr="009F24C9" w:rsidRDefault="00C963C3" w:rsidP="00C963C3">
      <w:pPr>
        <w:rPr>
          <w:rFonts w:ascii="Arial" w:hAnsi="Arial" w:cs="Arial"/>
        </w:rPr>
        <w:sectPr w:rsidR="00C963C3" w:rsidRPr="009F24C9">
          <w:pgSz w:w="11906" w:h="16838"/>
          <w:pgMar w:top="1440" w:right="1440" w:bottom="1440" w:left="1440" w:header="708" w:footer="708" w:gutter="0"/>
          <w:cols w:space="708"/>
          <w:docGrid w:linePitch="360"/>
        </w:sectPr>
      </w:pPr>
      <w:r w:rsidRPr="009F24C9">
        <w:rPr>
          <w:rFonts w:ascii="Arial" w:hAnsi="Arial" w:cs="Arial"/>
        </w:rPr>
        <w:t>I confirm that I have not presented any AI-generated text as my own work. I confirm that I have retained copies of drafts, notes, and resources used before and after the use of AI tools.</w:t>
      </w:r>
    </w:p>
    <w:sdt>
      <w:sdtPr>
        <w:rPr>
          <w:rFonts w:ascii="Arial" w:eastAsiaTheme="minorEastAsia" w:hAnsi="Arial" w:cs="Arial"/>
          <w:color w:val="auto"/>
          <w:kern w:val="2"/>
          <w:sz w:val="24"/>
          <w:szCs w:val="24"/>
          <w:lang w:val="en-GB" w:eastAsia="zh-CN"/>
          <w14:ligatures w14:val="standardContextual"/>
        </w:rPr>
        <w:id w:val="-1599325537"/>
        <w:docPartObj>
          <w:docPartGallery w:val="Table of Contents"/>
          <w:docPartUnique/>
        </w:docPartObj>
      </w:sdtPr>
      <w:sdtEndPr>
        <w:rPr>
          <w:b/>
          <w:bCs/>
          <w:noProof/>
        </w:rPr>
      </w:sdtEndPr>
      <w:sdtContent>
        <w:p w14:paraId="53E499C3" w14:textId="2BB85D98" w:rsidR="00C963C3" w:rsidRPr="009F24C9" w:rsidRDefault="00C963C3">
          <w:pPr>
            <w:pStyle w:val="TOCHeading"/>
            <w:rPr>
              <w:rFonts w:ascii="Arial" w:hAnsi="Arial" w:cs="Arial"/>
            </w:rPr>
          </w:pPr>
          <w:r w:rsidRPr="009F24C9">
            <w:rPr>
              <w:rFonts w:ascii="Arial" w:hAnsi="Arial" w:cs="Arial"/>
            </w:rPr>
            <w:t>Contents</w:t>
          </w:r>
        </w:p>
        <w:p w14:paraId="6E985652" w14:textId="5D601D0A" w:rsidR="009F24C9" w:rsidRDefault="00C963C3">
          <w:pPr>
            <w:pStyle w:val="TOC1"/>
            <w:tabs>
              <w:tab w:val="right" w:leader="dot" w:pos="9016"/>
            </w:tabs>
            <w:rPr>
              <w:noProof/>
            </w:rPr>
          </w:pPr>
          <w:r w:rsidRPr="009F24C9">
            <w:rPr>
              <w:rFonts w:ascii="Arial" w:hAnsi="Arial" w:cs="Arial"/>
            </w:rPr>
            <w:fldChar w:fldCharType="begin"/>
          </w:r>
          <w:r w:rsidRPr="009F24C9">
            <w:rPr>
              <w:rFonts w:ascii="Arial" w:hAnsi="Arial" w:cs="Arial"/>
            </w:rPr>
            <w:instrText xml:space="preserve"> TOC \o "1-3" \h \z \u </w:instrText>
          </w:r>
          <w:r w:rsidRPr="009F24C9">
            <w:rPr>
              <w:rFonts w:ascii="Arial" w:hAnsi="Arial" w:cs="Arial"/>
            </w:rPr>
            <w:fldChar w:fldCharType="separate"/>
          </w:r>
          <w:hyperlink w:anchor="_Toc218876933" w:history="1">
            <w:r w:rsidR="009F24C9" w:rsidRPr="00731828">
              <w:rPr>
                <w:rStyle w:val="Hyperlink"/>
                <w:rFonts w:ascii="Arial" w:hAnsi="Arial" w:cs="Arial"/>
                <w:noProof/>
              </w:rPr>
              <w:t>Component 1 – Development of Academic Skills (500 words)</w:t>
            </w:r>
            <w:r w:rsidR="009F24C9">
              <w:rPr>
                <w:noProof/>
                <w:webHidden/>
              </w:rPr>
              <w:tab/>
            </w:r>
            <w:r w:rsidR="009F24C9">
              <w:rPr>
                <w:noProof/>
                <w:webHidden/>
              </w:rPr>
              <w:fldChar w:fldCharType="begin"/>
            </w:r>
            <w:r w:rsidR="009F24C9">
              <w:rPr>
                <w:noProof/>
                <w:webHidden/>
              </w:rPr>
              <w:instrText xml:space="preserve"> PAGEREF _Toc218876933 \h </w:instrText>
            </w:r>
            <w:r w:rsidR="009F24C9">
              <w:rPr>
                <w:noProof/>
                <w:webHidden/>
              </w:rPr>
            </w:r>
            <w:r w:rsidR="009F24C9">
              <w:rPr>
                <w:noProof/>
                <w:webHidden/>
              </w:rPr>
              <w:fldChar w:fldCharType="separate"/>
            </w:r>
            <w:r w:rsidR="009F24C9">
              <w:rPr>
                <w:noProof/>
                <w:webHidden/>
              </w:rPr>
              <w:t>4</w:t>
            </w:r>
            <w:r w:rsidR="009F24C9">
              <w:rPr>
                <w:noProof/>
                <w:webHidden/>
              </w:rPr>
              <w:fldChar w:fldCharType="end"/>
            </w:r>
          </w:hyperlink>
        </w:p>
        <w:p w14:paraId="65348511" w14:textId="7D871E4B" w:rsidR="009F24C9" w:rsidRDefault="009F24C9">
          <w:pPr>
            <w:pStyle w:val="TOC1"/>
            <w:tabs>
              <w:tab w:val="right" w:leader="dot" w:pos="9016"/>
            </w:tabs>
            <w:rPr>
              <w:noProof/>
            </w:rPr>
          </w:pPr>
          <w:hyperlink w:anchor="_Toc218876934" w:history="1">
            <w:r w:rsidRPr="00731828">
              <w:rPr>
                <w:rStyle w:val="Hyperlink"/>
                <w:rFonts w:ascii="Arial" w:hAnsi="Arial" w:cs="Arial"/>
                <w:noProof/>
              </w:rPr>
              <w:t>Component 2 – Application of Academic Skills (1,000 words)</w:t>
            </w:r>
            <w:r>
              <w:rPr>
                <w:noProof/>
                <w:webHidden/>
              </w:rPr>
              <w:tab/>
            </w:r>
            <w:r>
              <w:rPr>
                <w:noProof/>
                <w:webHidden/>
              </w:rPr>
              <w:fldChar w:fldCharType="begin"/>
            </w:r>
            <w:r>
              <w:rPr>
                <w:noProof/>
                <w:webHidden/>
              </w:rPr>
              <w:instrText xml:space="preserve"> PAGEREF _Toc218876934 \h </w:instrText>
            </w:r>
            <w:r>
              <w:rPr>
                <w:noProof/>
                <w:webHidden/>
              </w:rPr>
            </w:r>
            <w:r>
              <w:rPr>
                <w:noProof/>
                <w:webHidden/>
              </w:rPr>
              <w:fldChar w:fldCharType="separate"/>
            </w:r>
            <w:r>
              <w:rPr>
                <w:noProof/>
                <w:webHidden/>
              </w:rPr>
              <w:t>6</w:t>
            </w:r>
            <w:r>
              <w:rPr>
                <w:noProof/>
                <w:webHidden/>
              </w:rPr>
              <w:fldChar w:fldCharType="end"/>
            </w:r>
          </w:hyperlink>
        </w:p>
        <w:p w14:paraId="2AE1D1FE" w14:textId="3C53DA40" w:rsidR="009F24C9" w:rsidRDefault="009F24C9">
          <w:pPr>
            <w:pStyle w:val="TOC1"/>
            <w:tabs>
              <w:tab w:val="right" w:leader="dot" w:pos="9016"/>
            </w:tabs>
            <w:rPr>
              <w:noProof/>
            </w:rPr>
          </w:pPr>
          <w:hyperlink w:anchor="_Toc218876935" w:history="1">
            <w:r w:rsidRPr="00731828">
              <w:rPr>
                <w:rStyle w:val="Hyperlink"/>
                <w:rFonts w:ascii="Arial" w:hAnsi="Arial" w:cs="Arial"/>
                <w:noProof/>
              </w:rPr>
              <w:t>Component 3 – Academic Poster</w:t>
            </w:r>
            <w:r>
              <w:rPr>
                <w:noProof/>
                <w:webHidden/>
              </w:rPr>
              <w:tab/>
            </w:r>
            <w:r>
              <w:rPr>
                <w:noProof/>
                <w:webHidden/>
              </w:rPr>
              <w:fldChar w:fldCharType="begin"/>
            </w:r>
            <w:r>
              <w:rPr>
                <w:noProof/>
                <w:webHidden/>
              </w:rPr>
              <w:instrText xml:space="preserve"> PAGEREF _Toc218876935 \h </w:instrText>
            </w:r>
            <w:r>
              <w:rPr>
                <w:noProof/>
                <w:webHidden/>
              </w:rPr>
            </w:r>
            <w:r>
              <w:rPr>
                <w:noProof/>
                <w:webHidden/>
              </w:rPr>
              <w:fldChar w:fldCharType="separate"/>
            </w:r>
            <w:r>
              <w:rPr>
                <w:noProof/>
                <w:webHidden/>
              </w:rPr>
              <w:t>8</w:t>
            </w:r>
            <w:r>
              <w:rPr>
                <w:noProof/>
                <w:webHidden/>
              </w:rPr>
              <w:fldChar w:fldCharType="end"/>
            </w:r>
          </w:hyperlink>
        </w:p>
        <w:p w14:paraId="03EBA343" w14:textId="3441B792" w:rsidR="00C963C3" w:rsidRPr="009F24C9" w:rsidRDefault="00C963C3">
          <w:pPr>
            <w:rPr>
              <w:rFonts w:ascii="Arial" w:hAnsi="Arial" w:cs="Arial"/>
            </w:rPr>
          </w:pPr>
          <w:r w:rsidRPr="009F24C9">
            <w:rPr>
              <w:rFonts w:ascii="Arial" w:hAnsi="Arial" w:cs="Arial"/>
              <w:b/>
              <w:bCs/>
              <w:noProof/>
            </w:rPr>
            <w:fldChar w:fldCharType="end"/>
          </w:r>
        </w:p>
      </w:sdtContent>
    </w:sdt>
    <w:p w14:paraId="1AF98FE6" w14:textId="77777777" w:rsidR="00C963C3" w:rsidRPr="009F24C9" w:rsidRDefault="00C963C3" w:rsidP="00C963C3">
      <w:pPr>
        <w:rPr>
          <w:rFonts w:ascii="Arial" w:hAnsi="Arial" w:cs="Arial"/>
        </w:rPr>
        <w:sectPr w:rsidR="00C963C3" w:rsidRPr="009F24C9">
          <w:pgSz w:w="11906" w:h="16838"/>
          <w:pgMar w:top="1440" w:right="1440" w:bottom="1440" w:left="1440" w:header="708" w:footer="708" w:gutter="0"/>
          <w:cols w:space="708"/>
          <w:docGrid w:linePitch="360"/>
        </w:sectPr>
      </w:pPr>
    </w:p>
    <w:p w14:paraId="63D51CAB" w14:textId="2C511B18" w:rsidR="00C963C3" w:rsidRDefault="00C963C3" w:rsidP="00C963C3">
      <w:pPr>
        <w:pStyle w:val="Heading1"/>
        <w:rPr>
          <w:rFonts w:ascii="Arial" w:hAnsi="Arial" w:cs="Arial"/>
        </w:rPr>
      </w:pPr>
      <w:bookmarkStart w:id="0" w:name="_Toc218876933"/>
      <w:r w:rsidRPr="009F24C9">
        <w:rPr>
          <w:rFonts w:ascii="Arial" w:hAnsi="Arial" w:cs="Arial"/>
        </w:rPr>
        <w:lastRenderedPageBreak/>
        <w:t xml:space="preserve">Component 1 – Development of Academic Skills </w:t>
      </w:r>
      <w:bookmarkEnd w:id="0"/>
    </w:p>
    <w:p w14:paraId="22DCEBBA" w14:textId="77777777" w:rsidR="002230CC" w:rsidRDefault="002230CC" w:rsidP="002230CC">
      <w:pPr>
        <w:pStyle w:val="Heading2"/>
      </w:pPr>
      <w:r>
        <w:t>Step 1: CRAAP Test</w:t>
      </w:r>
    </w:p>
    <w:p w14:paraId="104C0ADA" w14:textId="23513D1C" w:rsidR="002230CC" w:rsidRDefault="002230CC" w:rsidP="002230CC">
      <w:r>
        <w:t>This source was published in 2024, making it current and suitable for examining how students experience digital learning in higher education. Using a recent source is important because</w:t>
      </w:r>
      <w:r w:rsidR="00AB6E68">
        <w:t xml:space="preserve"> the</w:t>
      </w:r>
      <w:r>
        <w:t xml:space="preserve"> digital learning environments continue to change as institutions </w:t>
      </w:r>
      <w:r w:rsidR="00AB6E68">
        <w:t xml:space="preserve"> and </w:t>
      </w:r>
      <w:r>
        <w:t xml:space="preserve">adopt </w:t>
      </w:r>
      <w:r w:rsidR="00AB6E68">
        <w:t xml:space="preserve">the </w:t>
      </w:r>
      <w:r>
        <w:t>new systems and approaches.</w:t>
      </w:r>
      <w:r>
        <w:br/>
      </w:r>
      <w:r>
        <w:br/>
        <w:t>The report is relevant because it focuses directly on students’ digital learning experiences including access to online materials, engagement, and confidence when using digital tools (Jisc, 2024).</w:t>
      </w:r>
      <w:r>
        <w:br/>
      </w:r>
      <w:r>
        <w:br/>
        <w:t>Jisc is a well-established UK organisation that supports universities and colleges with</w:t>
      </w:r>
      <w:r w:rsidR="00AB6E68">
        <w:t xml:space="preserve"> the</w:t>
      </w:r>
      <w:r>
        <w:t xml:space="preserve"> digital practice and research, which gives the report </w:t>
      </w:r>
      <w:r w:rsidR="00AB6E68">
        <w:t xml:space="preserve">a </w:t>
      </w:r>
      <w:r>
        <w:t>strong authority and credibility.</w:t>
      </w:r>
      <w:r>
        <w:br/>
      </w:r>
      <w:r>
        <w:br/>
        <w:t>The findings are based on</w:t>
      </w:r>
      <w:r w:rsidR="00AB6E68">
        <w:t xml:space="preserve"> the</w:t>
      </w:r>
      <w:r>
        <w:t xml:space="preserve"> structured survey data collected from students across</w:t>
      </w:r>
      <w:r w:rsidR="00AB6E68">
        <w:t xml:space="preserve"> the</w:t>
      </w:r>
      <w:r>
        <w:t xml:space="preserve"> UK</w:t>
      </w:r>
      <w:r w:rsidR="00AB6E68">
        <w:t xml:space="preserve"> in</w:t>
      </w:r>
      <w:r>
        <w:t xml:space="preserve"> higher education institutions, </w:t>
      </w:r>
      <w:r w:rsidR="00AB6E68">
        <w:t xml:space="preserve">and </w:t>
      </w:r>
      <w:r>
        <w:t>supporting the accuracy and reliability of the information.</w:t>
      </w:r>
      <w:r>
        <w:br/>
      </w:r>
      <w:r>
        <w:br/>
        <w:t>The purpose of the report is to inform</w:t>
      </w:r>
      <w:r w:rsidR="00AB6E68">
        <w:t xml:space="preserve"> the</w:t>
      </w:r>
      <w:r>
        <w:t xml:space="preserve"> improvements in digital learning and student support, rather than to promote</w:t>
      </w:r>
      <w:r w:rsidR="00AB6E68">
        <w:t xml:space="preserve"> the</w:t>
      </w:r>
      <w:r>
        <w:t xml:space="preserve"> products.</w:t>
      </w:r>
      <w:r>
        <w:br/>
      </w:r>
      <w:r>
        <w:br/>
        <w:t xml:space="preserve">This second report was published in 2023 </w:t>
      </w:r>
      <w:r w:rsidR="008C305F">
        <w:t xml:space="preserve">which makes it current because it </w:t>
      </w:r>
      <w:r>
        <w:t xml:space="preserve">reflects recent student experiences with </w:t>
      </w:r>
      <w:r w:rsidR="00AB6E68">
        <w:t xml:space="preserve">the </w:t>
      </w:r>
      <w:r>
        <w:t>technology in higher education.</w:t>
      </w:r>
      <w:r>
        <w:br/>
      </w:r>
      <w:r>
        <w:br/>
        <w:t>It is relevant as it explores how</w:t>
      </w:r>
      <w:r w:rsidR="00444943">
        <w:t xml:space="preserve"> all</w:t>
      </w:r>
      <w:r>
        <w:t xml:space="preserve"> students use digital tools for learning and identifies both advantages and challenges, such as flexibility, distraction, and consistency across modules (McCormack, 2023).</w:t>
      </w:r>
      <w:r>
        <w:br/>
      </w:r>
      <w:r>
        <w:br/>
        <w:t>The report is produced by EDUCAUSE, a recognised organisation for higher education technology research, which supports its credibility.</w:t>
      </w:r>
      <w:r>
        <w:br/>
      </w:r>
      <w:r>
        <w:br/>
        <w:t>It is based on large-scale student survey data, supporting the accuracy of the findings. The purpose of this report is to help institutions better understand and respond to student needs.</w:t>
      </w:r>
    </w:p>
    <w:p w14:paraId="5048FD39" w14:textId="77777777" w:rsidR="002230CC" w:rsidRDefault="002230CC" w:rsidP="002230CC">
      <w:pPr>
        <w:pStyle w:val="Heading2"/>
      </w:pPr>
      <w:r>
        <w:t>Step 2: Synthesis</w:t>
      </w:r>
    </w:p>
    <w:p w14:paraId="1B275E1C" w14:textId="5658B73E" w:rsidR="002230CC" w:rsidRDefault="002230CC" w:rsidP="002230CC">
      <w:r>
        <w:t>Both sources show that digital learning can benefit students, but only when it is well supported. Jisc (2024) suggests that</w:t>
      </w:r>
      <w:r w:rsidR="00444943">
        <w:t xml:space="preserve"> the</w:t>
      </w:r>
      <w:r>
        <w:t xml:space="preserve"> digital learning improves access to </w:t>
      </w:r>
      <w:r w:rsidR="00444943">
        <w:t xml:space="preserve">the </w:t>
      </w:r>
      <w:r>
        <w:lastRenderedPageBreak/>
        <w:t>materials and offers flexibility, which can help</w:t>
      </w:r>
      <w:r w:rsidR="00444943">
        <w:t xml:space="preserve"> the</w:t>
      </w:r>
      <w:r>
        <w:t xml:space="preserve"> students manage </w:t>
      </w:r>
      <w:r w:rsidR="00444943">
        <w:t xml:space="preserve">and </w:t>
      </w:r>
      <w:r>
        <w:t>study alongside other responsibilities. However, it also highlights that students experience digital learning differently, with some facing issues such as limited access to devices or lower confidence using technology.</w:t>
      </w:r>
      <w:r>
        <w:br/>
      </w:r>
      <w:r>
        <w:br/>
        <w:t>McCormack (2023) presents similar findings from a student perspective, showing that learners value flexibility and choice, but can struggle with distraction and inconsistent use of technology across modules. Together, the sources suggest that digital learning is most effective when tools are used consistently and students receive appropriate support.</w:t>
      </w:r>
      <w:r>
        <w:br/>
      </w:r>
      <w:r>
        <w:br/>
        <w:t xml:space="preserve">A key difference is </w:t>
      </w:r>
      <w:r w:rsidR="008C305F">
        <w:t>context,</w:t>
      </w:r>
      <w:r w:rsidR="00363789">
        <w:t xml:space="preserve"> </w:t>
      </w:r>
      <w:r>
        <w:t>Jisc (2024) focuses on UK higher education institutions, while McCormack (2023) provides insight based on student survey data from the United States.</w:t>
      </w:r>
    </w:p>
    <w:p w14:paraId="0E6EADE7" w14:textId="77777777" w:rsidR="008C305F" w:rsidRDefault="008C305F" w:rsidP="002230CC"/>
    <w:p w14:paraId="505208F3" w14:textId="77777777" w:rsidR="002230CC" w:rsidRDefault="002230CC" w:rsidP="002230CC">
      <w:pPr>
        <w:pStyle w:val="Heading2"/>
      </w:pPr>
      <w:r>
        <w:t>Step 3: Challenge and Opportunity</w:t>
      </w:r>
    </w:p>
    <w:p w14:paraId="762E35A1" w14:textId="77777777" w:rsidR="002230CC" w:rsidRDefault="002230CC" w:rsidP="002230CC">
      <w:r>
        <w:t>One key challenge of learning in the digital era is inequality in access to technology and digital confidence. Students without reliable devices, internet access, or strong digital skills may struggle to engage fully, which can affect motivation and academic progress (Jisc, 2024). Online learning can also increase distraction, making it harder for some students to stay focused (McCormack, 2023).</w:t>
      </w:r>
      <w:r>
        <w:br/>
      </w:r>
      <w:r>
        <w:br/>
        <w:t>An important opportunity is that digital learning increases flexibility and access to resources. Students can study at times that suit them and revisit materials when needed. It also supports the development of transferable digital skills that are important for future study and employment.</w:t>
      </w:r>
    </w:p>
    <w:p w14:paraId="65CC5C25" w14:textId="77777777" w:rsidR="002230CC" w:rsidRDefault="002230CC" w:rsidP="002230CC">
      <w:pPr>
        <w:pStyle w:val="Heading2"/>
      </w:pPr>
      <w:r>
        <w:t>Step 4: Academic Planning</w:t>
      </w:r>
    </w:p>
    <w:p w14:paraId="0E74FC45" w14:textId="77777777" w:rsidR="009A129C" w:rsidRPr="009A129C" w:rsidRDefault="009A129C" w:rsidP="009A129C">
      <w:r w:rsidRPr="009A129C">
        <w:t>To complete Component 2, I will prioritise planning the structure of the essay before beginning detailed writing. I will focus first on developing a clear introduction and identifying key themes supported by academic evidence. I intend to further develop my academic skills in critical analysis, referencing using Harvard style, and integrating sources effectively. Component 2 will be structured with an introduction, a main discussion section organised by key themes, and a clear conclusion. I will allow time for drafting, reviewing, and editing to ensure clarity, coherence, and academic quality.</w:t>
      </w:r>
    </w:p>
    <w:p w14:paraId="102E2571" w14:textId="77777777" w:rsidR="009A129C" w:rsidRDefault="009A129C" w:rsidP="00C963C3">
      <w:pPr>
        <w:rPr>
          <w:rFonts w:ascii="Arial" w:hAnsi="Arial" w:cs="Arial"/>
          <w:b/>
          <w:bCs/>
        </w:rPr>
      </w:pPr>
    </w:p>
    <w:p w14:paraId="3A913E52" w14:textId="77777777" w:rsidR="009A129C" w:rsidRDefault="009A129C" w:rsidP="00C963C3">
      <w:pPr>
        <w:rPr>
          <w:rFonts w:ascii="Arial" w:hAnsi="Arial" w:cs="Arial"/>
          <w:b/>
          <w:bCs/>
        </w:rPr>
      </w:pPr>
    </w:p>
    <w:p w14:paraId="261D649D" w14:textId="77777777" w:rsidR="009A129C" w:rsidRDefault="009A129C" w:rsidP="00C963C3">
      <w:pPr>
        <w:rPr>
          <w:rFonts w:ascii="Arial" w:hAnsi="Arial" w:cs="Arial"/>
          <w:b/>
          <w:bCs/>
        </w:rPr>
      </w:pPr>
    </w:p>
    <w:p w14:paraId="14BE7E67" w14:textId="77777777" w:rsidR="009A129C" w:rsidRDefault="009A129C" w:rsidP="00C963C3">
      <w:pPr>
        <w:rPr>
          <w:rFonts w:ascii="Arial" w:hAnsi="Arial" w:cs="Arial"/>
          <w:b/>
          <w:bCs/>
        </w:rPr>
      </w:pPr>
    </w:p>
    <w:p w14:paraId="52910193" w14:textId="50A994CE" w:rsidR="00C963C3" w:rsidRPr="009F24C9" w:rsidRDefault="00C963C3" w:rsidP="00C963C3">
      <w:pPr>
        <w:rPr>
          <w:rFonts w:ascii="Arial" w:hAnsi="Arial" w:cs="Arial"/>
          <w:b/>
          <w:bCs/>
        </w:rPr>
      </w:pPr>
      <w:r w:rsidRPr="009F24C9">
        <w:rPr>
          <w:rFonts w:ascii="Arial" w:hAnsi="Arial" w:cs="Arial"/>
          <w:b/>
          <w:bCs/>
        </w:rPr>
        <w:t>Timeline</w:t>
      </w:r>
    </w:p>
    <w:tbl>
      <w:tblPr>
        <w:tblStyle w:val="TableGrid"/>
        <w:tblW w:w="0" w:type="auto"/>
        <w:tblLook w:val="04A0" w:firstRow="1" w:lastRow="0" w:firstColumn="1" w:lastColumn="0" w:noHBand="0" w:noVBand="1"/>
      </w:tblPr>
      <w:tblGrid>
        <w:gridCol w:w="4511"/>
        <w:gridCol w:w="4505"/>
      </w:tblGrid>
      <w:tr w:rsidR="00B668ED" w:rsidRPr="009F24C9" w14:paraId="6E7EE347" w14:textId="77777777" w:rsidTr="00C226A7">
        <w:tc>
          <w:tcPr>
            <w:tcW w:w="5552" w:type="dxa"/>
          </w:tcPr>
          <w:p w14:paraId="7310234C" w14:textId="77777777" w:rsidR="00B668ED" w:rsidRPr="009F24C9" w:rsidRDefault="00B668ED" w:rsidP="00C226A7">
            <w:pPr>
              <w:spacing w:after="160" w:line="278" w:lineRule="auto"/>
              <w:jc w:val="center"/>
              <w:rPr>
                <w:rFonts w:ascii="Arial" w:hAnsi="Arial" w:cs="Arial"/>
                <w:b/>
                <w:bCs/>
              </w:rPr>
            </w:pPr>
            <w:r w:rsidRPr="009F24C9">
              <w:rPr>
                <w:rFonts w:ascii="Arial" w:hAnsi="Arial" w:cs="Arial"/>
                <w:b/>
                <w:bCs/>
              </w:rPr>
              <w:t>Task</w:t>
            </w:r>
          </w:p>
        </w:tc>
        <w:tc>
          <w:tcPr>
            <w:tcW w:w="5552" w:type="dxa"/>
          </w:tcPr>
          <w:p w14:paraId="4D270F33" w14:textId="77777777" w:rsidR="00B668ED" w:rsidRPr="009F24C9" w:rsidRDefault="00B668ED" w:rsidP="00C226A7">
            <w:pPr>
              <w:spacing w:after="160" w:line="278" w:lineRule="auto"/>
              <w:jc w:val="center"/>
              <w:rPr>
                <w:rFonts w:ascii="Arial" w:hAnsi="Arial" w:cs="Arial"/>
                <w:b/>
                <w:bCs/>
              </w:rPr>
            </w:pPr>
            <w:r w:rsidRPr="009F24C9">
              <w:rPr>
                <w:rFonts w:ascii="Arial" w:hAnsi="Arial" w:cs="Arial"/>
                <w:b/>
                <w:bCs/>
              </w:rPr>
              <w:t>Date/ Deadline</w:t>
            </w:r>
          </w:p>
        </w:tc>
      </w:tr>
      <w:tr w:rsidR="00B668ED" w:rsidRPr="009F24C9" w14:paraId="17AE3C0F" w14:textId="77777777" w:rsidTr="00C226A7">
        <w:tc>
          <w:tcPr>
            <w:tcW w:w="5552" w:type="dxa"/>
          </w:tcPr>
          <w:p w14:paraId="14E20D23" w14:textId="77777777" w:rsidR="00B668ED" w:rsidRPr="009F24C9" w:rsidRDefault="00B668ED" w:rsidP="00C226A7">
            <w:pPr>
              <w:spacing w:after="160" w:line="278" w:lineRule="auto"/>
              <w:jc w:val="center"/>
              <w:rPr>
                <w:rFonts w:ascii="Arial" w:hAnsi="Arial" w:cs="Arial"/>
              </w:rPr>
            </w:pPr>
            <w:r w:rsidRPr="009F24C9">
              <w:rPr>
                <w:rFonts w:ascii="Arial" w:hAnsi="Arial" w:cs="Arial"/>
              </w:rPr>
              <w:t>Finish research</w:t>
            </w:r>
          </w:p>
        </w:tc>
        <w:tc>
          <w:tcPr>
            <w:tcW w:w="5552" w:type="dxa"/>
          </w:tcPr>
          <w:p w14:paraId="3F1EB262" w14:textId="5979E3D9" w:rsidR="00B668ED" w:rsidRPr="009F24C9" w:rsidRDefault="006A5C5F" w:rsidP="00C226A7">
            <w:pPr>
              <w:spacing w:after="160" w:line="278" w:lineRule="auto"/>
              <w:jc w:val="center"/>
              <w:rPr>
                <w:rFonts w:ascii="Arial" w:hAnsi="Arial" w:cs="Arial"/>
              </w:rPr>
            </w:pPr>
            <w:r>
              <w:rPr>
                <w:rFonts w:ascii="Arial" w:hAnsi="Arial" w:cs="Arial"/>
              </w:rPr>
              <w:t>17</w:t>
            </w:r>
            <w:r w:rsidRPr="006A5C5F">
              <w:rPr>
                <w:rFonts w:ascii="Arial" w:hAnsi="Arial" w:cs="Arial"/>
                <w:vertAlign w:val="superscript"/>
              </w:rPr>
              <w:t>th</w:t>
            </w:r>
            <w:r>
              <w:rPr>
                <w:rFonts w:ascii="Arial" w:hAnsi="Arial" w:cs="Arial"/>
              </w:rPr>
              <w:t xml:space="preserve"> February 2026</w:t>
            </w:r>
          </w:p>
        </w:tc>
      </w:tr>
      <w:tr w:rsidR="00B668ED" w:rsidRPr="009F24C9" w14:paraId="122F8C21" w14:textId="77777777" w:rsidTr="00C226A7">
        <w:tc>
          <w:tcPr>
            <w:tcW w:w="5552" w:type="dxa"/>
          </w:tcPr>
          <w:p w14:paraId="1242D8DA" w14:textId="77777777" w:rsidR="00B668ED" w:rsidRPr="009F24C9" w:rsidRDefault="00B668ED" w:rsidP="00C226A7">
            <w:pPr>
              <w:spacing w:after="160" w:line="278" w:lineRule="auto"/>
              <w:jc w:val="center"/>
              <w:rPr>
                <w:rFonts w:ascii="Arial" w:hAnsi="Arial" w:cs="Arial"/>
              </w:rPr>
            </w:pPr>
            <w:r w:rsidRPr="009F24C9">
              <w:rPr>
                <w:rFonts w:ascii="Arial" w:hAnsi="Arial" w:cs="Arial"/>
              </w:rPr>
              <w:t>Draft first section</w:t>
            </w:r>
          </w:p>
        </w:tc>
        <w:tc>
          <w:tcPr>
            <w:tcW w:w="5552" w:type="dxa"/>
          </w:tcPr>
          <w:p w14:paraId="2985EF06" w14:textId="7AC7AA2F" w:rsidR="00B668ED" w:rsidRPr="009F24C9" w:rsidRDefault="006A5C5F" w:rsidP="00C226A7">
            <w:pPr>
              <w:spacing w:after="160" w:line="278" w:lineRule="auto"/>
              <w:jc w:val="center"/>
              <w:rPr>
                <w:rFonts w:ascii="Arial" w:hAnsi="Arial" w:cs="Arial"/>
              </w:rPr>
            </w:pPr>
            <w:r>
              <w:rPr>
                <w:rFonts w:ascii="Arial" w:hAnsi="Arial" w:cs="Arial"/>
              </w:rPr>
              <w:t>21st February 2026</w:t>
            </w:r>
          </w:p>
        </w:tc>
      </w:tr>
      <w:tr w:rsidR="00B668ED" w:rsidRPr="009F24C9" w14:paraId="15A9300C" w14:textId="77777777" w:rsidTr="00C226A7">
        <w:tc>
          <w:tcPr>
            <w:tcW w:w="5552" w:type="dxa"/>
          </w:tcPr>
          <w:p w14:paraId="451F8463" w14:textId="77777777" w:rsidR="00B668ED" w:rsidRPr="009F24C9" w:rsidRDefault="00B668ED" w:rsidP="00C226A7">
            <w:pPr>
              <w:spacing w:after="160" w:line="278" w:lineRule="auto"/>
              <w:jc w:val="center"/>
              <w:rPr>
                <w:rFonts w:ascii="Arial" w:hAnsi="Arial" w:cs="Arial"/>
              </w:rPr>
            </w:pPr>
            <w:r w:rsidRPr="009F24C9">
              <w:rPr>
                <w:rFonts w:ascii="Arial" w:hAnsi="Arial" w:cs="Arial"/>
              </w:rPr>
              <w:t>Complete first draft</w:t>
            </w:r>
          </w:p>
        </w:tc>
        <w:tc>
          <w:tcPr>
            <w:tcW w:w="5552" w:type="dxa"/>
          </w:tcPr>
          <w:p w14:paraId="65269EDB" w14:textId="76CE8FBE" w:rsidR="00B668ED" w:rsidRPr="009F24C9" w:rsidRDefault="006A5C5F" w:rsidP="00C226A7">
            <w:pPr>
              <w:spacing w:after="160" w:line="278" w:lineRule="auto"/>
              <w:jc w:val="center"/>
              <w:rPr>
                <w:rFonts w:ascii="Arial" w:hAnsi="Arial" w:cs="Arial"/>
              </w:rPr>
            </w:pPr>
            <w:r>
              <w:rPr>
                <w:rFonts w:ascii="Arial" w:hAnsi="Arial" w:cs="Arial"/>
              </w:rPr>
              <w:t>25</w:t>
            </w:r>
            <w:r w:rsidRPr="006A5C5F">
              <w:rPr>
                <w:rFonts w:ascii="Arial" w:hAnsi="Arial" w:cs="Arial"/>
                <w:vertAlign w:val="superscript"/>
              </w:rPr>
              <w:t>th</w:t>
            </w:r>
            <w:r>
              <w:rPr>
                <w:rFonts w:ascii="Arial" w:hAnsi="Arial" w:cs="Arial"/>
              </w:rPr>
              <w:t xml:space="preserve"> February 2026</w:t>
            </w:r>
          </w:p>
        </w:tc>
      </w:tr>
      <w:tr w:rsidR="00B668ED" w:rsidRPr="009F24C9" w14:paraId="3C106586" w14:textId="77777777" w:rsidTr="00C226A7">
        <w:tc>
          <w:tcPr>
            <w:tcW w:w="5552" w:type="dxa"/>
          </w:tcPr>
          <w:p w14:paraId="16A4F2D6" w14:textId="77777777" w:rsidR="00B668ED" w:rsidRPr="009F24C9" w:rsidRDefault="00B668ED" w:rsidP="00C226A7">
            <w:pPr>
              <w:spacing w:after="160" w:line="278" w:lineRule="auto"/>
              <w:jc w:val="center"/>
              <w:rPr>
                <w:rFonts w:ascii="Arial" w:hAnsi="Arial" w:cs="Arial"/>
              </w:rPr>
            </w:pPr>
            <w:r w:rsidRPr="009F24C9">
              <w:rPr>
                <w:rFonts w:ascii="Arial" w:hAnsi="Arial" w:cs="Arial"/>
              </w:rPr>
              <w:t>Final editing</w:t>
            </w:r>
          </w:p>
        </w:tc>
        <w:tc>
          <w:tcPr>
            <w:tcW w:w="5552" w:type="dxa"/>
          </w:tcPr>
          <w:p w14:paraId="5104B13E" w14:textId="42E36EEE" w:rsidR="00B668ED" w:rsidRPr="009F24C9" w:rsidRDefault="006A5C5F" w:rsidP="00C226A7">
            <w:pPr>
              <w:spacing w:after="160" w:line="278" w:lineRule="auto"/>
              <w:jc w:val="center"/>
              <w:rPr>
                <w:rFonts w:ascii="Arial" w:hAnsi="Arial" w:cs="Arial"/>
              </w:rPr>
            </w:pPr>
            <w:r>
              <w:rPr>
                <w:rFonts w:ascii="Arial" w:hAnsi="Arial" w:cs="Arial"/>
              </w:rPr>
              <w:t>27</w:t>
            </w:r>
            <w:r w:rsidRPr="006A5C5F">
              <w:rPr>
                <w:rFonts w:ascii="Arial" w:hAnsi="Arial" w:cs="Arial"/>
                <w:vertAlign w:val="superscript"/>
              </w:rPr>
              <w:t>th</w:t>
            </w:r>
            <w:r>
              <w:rPr>
                <w:rFonts w:ascii="Arial" w:hAnsi="Arial" w:cs="Arial"/>
              </w:rPr>
              <w:t xml:space="preserve"> February 2026</w:t>
            </w:r>
          </w:p>
        </w:tc>
      </w:tr>
    </w:tbl>
    <w:p w14:paraId="622CA990" w14:textId="7719488C" w:rsidR="00C963C3" w:rsidRPr="009F24C9" w:rsidRDefault="00C963C3" w:rsidP="00C963C3">
      <w:pPr>
        <w:rPr>
          <w:rFonts w:ascii="Arial" w:hAnsi="Arial" w:cs="Arial"/>
        </w:rPr>
      </w:pPr>
    </w:p>
    <w:p w14:paraId="6671D21A" w14:textId="77777777" w:rsidR="00C963C3" w:rsidRPr="009F24C9" w:rsidRDefault="00C963C3" w:rsidP="00C963C3">
      <w:pPr>
        <w:rPr>
          <w:rFonts w:ascii="Arial" w:hAnsi="Arial" w:cs="Arial"/>
          <w:b/>
          <w:bCs/>
        </w:rPr>
      </w:pPr>
      <w:r w:rsidRPr="009F24C9">
        <w:rPr>
          <w:rFonts w:ascii="Arial" w:hAnsi="Arial" w:cs="Arial"/>
          <w:b/>
          <w:bCs/>
        </w:rPr>
        <w:t>Reference List – Component 1</w:t>
      </w:r>
    </w:p>
    <w:p w14:paraId="72557085" w14:textId="65B0D9BC" w:rsidR="00C963C3" w:rsidRPr="009F24C9" w:rsidRDefault="00C963C3" w:rsidP="00C963C3">
      <w:pPr>
        <w:rPr>
          <w:rFonts w:ascii="Arial" w:hAnsi="Arial" w:cs="Arial"/>
        </w:rPr>
      </w:pPr>
    </w:p>
    <w:p w14:paraId="3618F6ED" w14:textId="77777777" w:rsidR="006A5C5F" w:rsidRDefault="006A5C5F" w:rsidP="006A5C5F">
      <w:r>
        <w:t xml:space="preserve">Jisc (2024) ‘2023/24 UK higher education students digital experience insights survey </w:t>
      </w:r>
      <w:proofErr w:type="gramStart"/>
      <w:r>
        <w:t>findings’</w:t>
      </w:r>
      <w:proofErr w:type="gramEnd"/>
      <w:r>
        <w:t>. Bristol: Jisc. Available at: https://digitalinsights.jisc.ac.uk/reports-and-briefings/our-reports/2023-24-uk-higher-education-students-digital-experience-insights-survey-findings/ (Accessed: 10 February 2026).</w:t>
      </w:r>
      <w:r>
        <w:br/>
      </w:r>
      <w:r>
        <w:br/>
        <w:t>McCormack, M. (2023) ‘2023 Students and Technology Report: Flexibility, Choice, and Equity in the Student Experience’. Louisville, CO: EDUCAUSE. Available at: https://library.educause.edu/resources/2023/8/2023-students-and-technology-report-flexibility-choice-and-equity-in-the-student-experience (Accessed: 10 February 2026).</w:t>
      </w:r>
    </w:p>
    <w:p w14:paraId="7B1AEA4C" w14:textId="77777777" w:rsidR="00B668ED" w:rsidRPr="009F24C9" w:rsidRDefault="00B668ED" w:rsidP="00C963C3">
      <w:pPr>
        <w:pStyle w:val="Heading1"/>
        <w:rPr>
          <w:rFonts w:ascii="Arial" w:hAnsi="Arial" w:cs="Arial"/>
        </w:rPr>
        <w:sectPr w:rsidR="00B668ED" w:rsidRPr="009F24C9">
          <w:pgSz w:w="11906" w:h="16838"/>
          <w:pgMar w:top="1440" w:right="1440" w:bottom="1440" w:left="1440" w:header="708" w:footer="708" w:gutter="0"/>
          <w:cols w:space="708"/>
          <w:docGrid w:linePitch="360"/>
        </w:sectPr>
      </w:pPr>
    </w:p>
    <w:p w14:paraId="53D4117B" w14:textId="16B82AC1" w:rsidR="00C963C3" w:rsidRPr="00787332" w:rsidRDefault="00C963C3" w:rsidP="00787332">
      <w:pPr>
        <w:pStyle w:val="Heading1"/>
        <w:rPr>
          <w:rFonts w:ascii="Arial" w:hAnsi="Arial" w:cs="Arial"/>
          <w:color w:val="A02B93" w:themeColor="accent5"/>
        </w:rPr>
      </w:pPr>
      <w:bookmarkStart w:id="1" w:name="_Toc218876934"/>
      <w:r w:rsidRPr="00787332">
        <w:rPr>
          <w:rFonts w:ascii="Arial" w:hAnsi="Arial" w:cs="Arial"/>
          <w:color w:val="A02B93" w:themeColor="accent5"/>
        </w:rPr>
        <w:lastRenderedPageBreak/>
        <w:t>Component 2 – Application of Academic Skills</w:t>
      </w:r>
      <w:r w:rsidR="002F5576">
        <w:rPr>
          <w:rFonts w:ascii="Arial" w:hAnsi="Arial" w:cs="Arial"/>
          <w:color w:val="A02B93" w:themeColor="accent5"/>
        </w:rPr>
        <w:t xml:space="preserve"> </w:t>
      </w:r>
      <w:bookmarkEnd w:id="1"/>
    </w:p>
    <w:p w14:paraId="5071C59A" w14:textId="77777777" w:rsidR="00B668ED" w:rsidRPr="00787332" w:rsidRDefault="00B668ED" w:rsidP="00C963C3">
      <w:pPr>
        <w:pStyle w:val="Heading1"/>
        <w:rPr>
          <w:color w:val="A02B93" w:themeColor="accent5"/>
        </w:rPr>
      </w:pPr>
    </w:p>
    <w:p w14:paraId="358AC809" w14:textId="77777777" w:rsidR="00787332" w:rsidRPr="00787332" w:rsidRDefault="00787332" w:rsidP="00787332">
      <w:pPr>
        <w:rPr>
          <w:b/>
          <w:bCs/>
          <w:color w:val="A02B93" w:themeColor="accent5"/>
          <w:sz w:val="28"/>
          <w:szCs w:val="28"/>
          <w:lang w:val="en-US"/>
        </w:rPr>
      </w:pPr>
      <w:r w:rsidRPr="00787332">
        <w:rPr>
          <w:b/>
          <w:bCs/>
          <w:color w:val="A02B93" w:themeColor="accent5"/>
          <w:sz w:val="28"/>
          <w:szCs w:val="28"/>
          <w:lang w:val="en-US"/>
        </w:rPr>
        <w:t>Introduction</w:t>
      </w:r>
    </w:p>
    <w:p w14:paraId="2828CB9A" w14:textId="77777777" w:rsidR="00787332" w:rsidRPr="00787332" w:rsidRDefault="00787332" w:rsidP="00787332">
      <w:pPr>
        <w:rPr>
          <w:color w:val="A02B93" w:themeColor="accent5"/>
          <w:lang w:val="en-US"/>
        </w:rPr>
      </w:pPr>
      <w:r w:rsidRPr="00787332">
        <w:rPr>
          <w:lang w:val="en-US"/>
        </w:rPr>
        <w:t xml:space="preserve">Digital learning is now firmly established within higher education, with universities relying on virtual learning environments, online assessment systems and digital communication platforms to deliver teaching and academic support. This transformation has reshaped how students access information, interact with lecturers and collaborate with peers. Learning is no longer confined to physical classrooms; instead, students engage with materials through recordings, discussion forums, digital libraries and interactive platforms. While this shift has improved flexibility and widened access to knowledge, it has also created new academic, technical and motivational challenges. As digital systems continue to develop, students must adapt to increasingly independent and technology-driven learning environments. It is therefore essential to critically examine both the challenges and opportunities associated with digital learning </w:t>
      </w:r>
      <w:proofErr w:type="gramStart"/>
      <w:r w:rsidRPr="00787332">
        <w:rPr>
          <w:lang w:val="en-US"/>
        </w:rPr>
        <w:t>in order to</w:t>
      </w:r>
      <w:proofErr w:type="gramEnd"/>
      <w:r w:rsidRPr="00787332">
        <w:rPr>
          <w:lang w:val="en-US"/>
        </w:rPr>
        <w:t xml:space="preserve"> understand its impact on academic performance. This report explores two major challenges faced by students in the digital era: digital inequality and online distraction. It then evaluates key opportunities, including flexible access to learning and the development of transferable digital skills. Finally, it proposes three practical strategies that students can implement to strengthen academic success in digital higher education.</w:t>
      </w:r>
    </w:p>
    <w:p w14:paraId="40178D9D" w14:textId="77777777" w:rsidR="00787332" w:rsidRPr="00787332" w:rsidRDefault="00787332" w:rsidP="00787332">
      <w:pPr>
        <w:rPr>
          <w:b/>
          <w:bCs/>
          <w:color w:val="A02B93" w:themeColor="accent5"/>
          <w:sz w:val="28"/>
          <w:szCs w:val="28"/>
          <w:lang w:val="en-US"/>
        </w:rPr>
      </w:pPr>
      <w:r w:rsidRPr="00787332">
        <w:rPr>
          <w:b/>
          <w:bCs/>
          <w:color w:val="A02B93" w:themeColor="accent5"/>
          <w:sz w:val="28"/>
          <w:szCs w:val="28"/>
          <w:lang w:val="en-US"/>
        </w:rPr>
        <w:t>Challenges for Students in the Digital Era</w:t>
      </w:r>
    </w:p>
    <w:p w14:paraId="62A0A27D" w14:textId="77777777" w:rsidR="00787332" w:rsidRPr="00787332" w:rsidRDefault="00787332" w:rsidP="00787332">
      <w:pPr>
        <w:rPr>
          <w:lang w:val="en-US"/>
        </w:rPr>
      </w:pPr>
      <w:r w:rsidRPr="00787332">
        <w:rPr>
          <w:lang w:val="en-US"/>
        </w:rPr>
        <w:t xml:space="preserve">One of the most significant challenges in digital learning is inequality in access to technology and variation in digital confidence. </w:t>
      </w:r>
      <w:proofErr w:type="spellStart"/>
      <w:r w:rsidRPr="00787332">
        <w:rPr>
          <w:lang w:val="en-US"/>
        </w:rPr>
        <w:t>Jisc</w:t>
      </w:r>
      <w:proofErr w:type="spellEnd"/>
      <w:r w:rsidRPr="00787332">
        <w:rPr>
          <w:lang w:val="en-US"/>
        </w:rPr>
        <w:t xml:space="preserve"> (2024) highlights that students’ digital experiences differ considerably, with some lacking reliable devices, stable internet connections or quiet study environments. These limitations can reduce participation in live sessions, delay submission of coursework and limit access to online resources. Digital inequality can therefore widen achievement gaps between students. In addition to structural access issues, differences in digital confidence can affect engagement. Students who are uncertain about navigating online platforms may avoid discussion forums, hesitate to contact lecturers or struggle to interpret digital instructions correctly. This can increase academic anxiety and negatively influence overall performance.</w:t>
      </w:r>
      <w:r w:rsidRPr="00787332">
        <w:rPr>
          <w:lang w:val="en-US"/>
        </w:rPr>
        <w:br/>
      </w:r>
      <w:r w:rsidRPr="00787332">
        <w:rPr>
          <w:lang w:val="en-US"/>
        </w:rPr>
        <w:br/>
        <w:t xml:space="preserve">A further challenge relates to distraction and reduced concentration within online environments. McCormack (2023) reports that students frequently experience inconsistent use of digital tools across modules, which can increase confusion and </w:t>
      </w:r>
      <w:r w:rsidRPr="00787332">
        <w:rPr>
          <w:lang w:val="en-US"/>
        </w:rPr>
        <w:lastRenderedPageBreak/>
        <w:t xml:space="preserve">cognitive load. Studying through digital devices also exposes students to constant notifications, social media and multitasking opportunities. Broadbent and Poon (2015) argue that online learning requires strong self-regulation and time management skills, as students have greater responsibility for structuring their own study time. Without these skills, learners may procrastinate, experience reduced motivation or submit lower-quality work. These challenges demonstrate that digital learning demands higher levels of independence, </w:t>
      </w:r>
      <w:proofErr w:type="spellStart"/>
      <w:r w:rsidRPr="00787332">
        <w:rPr>
          <w:lang w:val="en-US"/>
        </w:rPr>
        <w:t>organisation</w:t>
      </w:r>
      <w:proofErr w:type="spellEnd"/>
      <w:r w:rsidRPr="00787332">
        <w:rPr>
          <w:lang w:val="en-US"/>
        </w:rPr>
        <w:t xml:space="preserve"> and self-discipline than traditional classroom-based education.</w:t>
      </w:r>
    </w:p>
    <w:p w14:paraId="4786892D" w14:textId="77777777" w:rsidR="00787332" w:rsidRPr="00787332" w:rsidRDefault="00787332" w:rsidP="00787332">
      <w:pPr>
        <w:rPr>
          <w:b/>
          <w:bCs/>
          <w:color w:val="A02B93" w:themeColor="accent5"/>
          <w:sz w:val="28"/>
          <w:szCs w:val="28"/>
          <w:lang w:val="en-US"/>
        </w:rPr>
      </w:pPr>
      <w:r w:rsidRPr="00787332">
        <w:rPr>
          <w:b/>
          <w:bCs/>
          <w:color w:val="A02B93" w:themeColor="accent5"/>
          <w:sz w:val="28"/>
          <w:szCs w:val="28"/>
          <w:lang w:val="en-US"/>
        </w:rPr>
        <w:t>Opportunities in the Digital Era</w:t>
      </w:r>
    </w:p>
    <w:p w14:paraId="0F494F2E" w14:textId="77777777" w:rsidR="00787332" w:rsidRPr="00787332" w:rsidRDefault="00787332" w:rsidP="00787332">
      <w:pPr>
        <w:rPr>
          <w:lang w:val="en-US"/>
        </w:rPr>
      </w:pPr>
      <w:r w:rsidRPr="00787332">
        <w:rPr>
          <w:lang w:val="en-US"/>
        </w:rPr>
        <w:t xml:space="preserve">Despite these difficulties, digital learning also provides meaningful opportunities for academic development. One major advantage is flexibility. </w:t>
      </w:r>
      <w:proofErr w:type="spellStart"/>
      <w:r w:rsidRPr="00787332">
        <w:rPr>
          <w:lang w:val="en-US"/>
        </w:rPr>
        <w:t>Jisc</w:t>
      </w:r>
      <w:proofErr w:type="spellEnd"/>
      <w:r w:rsidRPr="00787332">
        <w:rPr>
          <w:lang w:val="en-US"/>
        </w:rPr>
        <w:t xml:space="preserve"> (2024) explains that digital platforms allow students to access recorded lectures, presentation slides and supplementary materials at times that suit their personal schedules. This flexibility can benefit students balancing study with employment or caring responsibilities, enabling more inclusive participation in higher education. Access to recordings also allows students to revisit complex topics, pause explanations and take detailed notes, which may strengthen comprehension and long-term retention of knowledge.</w:t>
      </w:r>
      <w:r w:rsidRPr="00787332">
        <w:rPr>
          <w:lang w:val="en-US"/>
        </w:rPr>
        <w:br/>
      </w:r>
      <w:r w:rsidRPr="00787332">
        <w:rPr>
          <w:lang w:val="en-US"/>
        </w:rPr>
        <w:br/>
        <w:t>Another significant opportunity lies in the development of transferable digital skills. Redecker (2017) defines digital competence as including information evaluation, digital communication, collaboration and problem-solving using technology. These abilities are essential for academic research and are increasingly valued within professional environments. McCormack (2023) notes that students appreciate digital tools that support collaboration and efficient access to resources, suggesting that technology can enhance engagement when applied consistently. Furthermore, digital learning encourages independent research skills, as students often navigate online databases and academic journals autonomously. However, these opportunities are most effective when digital tools are clearly structured and expectations are transparent. If platforms are used inconsistently or without guidance, students may struggle to fully benefit from available resources.</w:t>
      </w:r>
    </w:p>
    <w:p w14:paraId="0A6F444C" w14:textId="77777777" w:rsidR="00787332" w:rsidRPr="00787332" w:rsidRDefault="00787332" w:rsidP="00787332">
      <w:pPr>
        <w:rPr>
          <w:b/>
          <w:bCs/>
          <w:color w:val="A02B93" w:themeColor="accent5"/>
          <w:sz w:val="28"/>
          <w:szCs w:val="28"/>
          <w:lang w:val="en-US"/>
        </w:rPr>
      </w:pPr>
      <w:r w:rsidRPr="00787332">
        <w:rPr>
          <w:b/>
          <w:bCs/>
          <w:color w:val="A02B93" w:themeColor="accent5"/>
          <w:sz w:val="28"/>
          <w:szCs w:val="28"/>
          <w:lang w:val="en-US"/>
        </w:rPr>
        <w:t>How Students Can Adapt to Succeed</w:t>
      </w:r>
    </w:p>
    <w:p w14:paraId="699BCE01" w14:textId="77777777" w:rsidR="00787332" w:rsidRPr="00787332" w:rsidRDefault="00787332" w:rsidP="00787332">
      <w:pPr>
        <w:rPr>
          <w:lang w:val="en-US"/>
        </w:rPr>
      </w:pPr>
      <w:proofErr w:type="gramStart"/>
      <w:r w:rsidRPr="00787332">
        <w:rPr>
          <w:lang w:val="en-US"/>
        </w:rPr>
        <w:t>In order to</w:t>
      </w:r>
      <w:proofErr w:type="gramEnd"/>
      <w:r w:rsidRPr="00787332">
        <w:rPr>
          <w:lang w:val="en-US"/>
        </w:rPr>
        <w:t xml:space="preserve"> adapt effectively to digital higher education, students must actively develop academic strategies that respond to these challenges while </w:t>
      </w:r>
      <w:proofErr w:type="spellStart"/>
      <w:r w:rsidRPr="00787332">
        <w:rPr>
          <w:lang w:val="en-US"/>
        </w:rPr>
        <w:t>maximising</w:t>
      </w:r>
      <w:proofErr w:type="spellEnd"/>
      <w:r w:rsidRPr="00787332">
        <w:rPr>
          <w:lang w:val="en-US"/>
        </w:rPr>
        <w:t xml:space="preserve"> opportunities.</w:t>
      </w:r>
      <w:r w:rsidRPr="00787332">
        <w:rPr>
          <w:lang w:val="en-US"/>
        </w:rPr>
        <w:br/>
      </w:r>
      <w:r w:rsidRPr="00787332">
        <w:rPr>
          <w:lang w:val="en-US"/>
        </w:rPr>
        <w:br/>
        <w:t xml:space="preserve">Firstly, implementing structured digital time management is essential. This includes creating weekly study schedules, setting specific academic goals and </w:t>
      </w:r>
      <w:proofErr w:type="spellStart"/>
      <w:r w:rsidRPr="00787332">
        <w:rPr>
          <w:lang w:val="en-US"/>
        </w:rPr>
        <w:t>minimising</w:t>
      </w:r>
      <w:proofErr w:type="spellEnd"/>
      <w:r w:rsidRPr="00787332">
        <w:rPr>
          <w:lang w:val="en-US"/>
        </w:rPr>
        <w:t xml:space="preserve"> distractions during study sessions. Broadbent and Poon (2015) </w:t>
      </w:r>
      <w:proofErr w:type="spellStart"/>
      <w:r w:rsidRPr="00787332">
        <w:rPr>
          <w:lang w:val="en-US"/>
        </w:rPr>
        <w:t>emphasise</w:t>
      </w:r>
      <w:proofErr w:type="spellEnd"/>
      <w:r w:rsidRPr="00787332">
        <w:rPr>
          <w:lang w:val="en-US"/>
        </w:rPr>
        <w:t xml:space="preserve"> that self-regulated learning strategies significantly predict academic achievement in online environments. By monitoring progress and reflecting on study habits, students can </w:t>
      </w:r>
      <w:r w:rsidRPr="00787332">
        <w:rPr>
          <w:lang w:val="en-US"/>
        </w:rPr>
        <w:lastRenderedPageBreak/>
        <w:t xml:space="preserve">improve focus and productivity. This strategy strengthens </w:t>
      </w:r>
      <w:proofErr w:type="spellStart"/>
      <w:r w:rsidRPr="00787332">
        <w:rPr>
          <w:lang w:val="en-US"/>
        </w:rPr>
        <w:t>organisation</w:t>
      </w:r>
      <w:proofErr w:type="spellEnd"/>
      <w:r w:rsidRPr="00787332">
        <w:rPr>
          <w:lang w:val="en-US"/>
        </w:rPr>
        <w:t xml:space="preserve"> and independence while directly addressing the challenge of distraction.</w:t>
      </w:r>
      <w:r w:rsidRPr="00787332">
        <w:rPr>
          <w:lang w:val="en-US"/>
        </w:rPr>
        <w:br/>
      </w:r>
      <w:r w:rsidRPr="00787332">
        <w:rPr>
          <w:lang w:val="en-US"/>
        </w:rPr>
        <w:br/>
        <w:t>Secondly, students should strengthen their digital literacy and critical evaluation skills. In an era where large volumes of information are accessible online, the ability to judge reliability and relevance is crucial. Applying frameworks such as the CRAAP test supports evaluation of authority, accuracy and currency in academic sources. Redecker (2017) highlights that critical and responsible use of digital information is central to digital competence. Developing this skill improves academic writing, supports evidence-based arguments and reduces the risk of misinformation.</w:t>
      </w:r>
      <w:r w:rsidRPr="00787332">
        <w:rPr>
          <w:lang w:val="en-US"/>
        </w:rPr>
        <w:br/>
      </w:r>
      <w:r w:rsidRPr="00787332">
        <w:rPr>
          <w:lang w:val="en-US"/>
        </w:rPr>
        <w:br/>
        <w:t>Thirdly, active engagement with digital learning communities is vital. Participating in discussion forums, attending virtual workshops and collaborating on group tasks can deepen understanding and strengthen communication skills. McCormack (2023) suggests that students who interact consistently with digital tools often report higher satisfaction and confidence. Active engagement also promotes reflective learning, allowing students to evaluate feedback and identify areas for improvement. Through consistent participation and proactive communication, students can build academic resilience and enhance overall performance. Together, these strategies demonstrate that digital learning can become a productive academic environment when students take responsibility for their own development.</w:t>
      </w:r>
    </w:p>
    <w:p w14:paraId="193AF79F" w14:textId="77777777" w:rsidR="00787332" w:rsidRPr="00787332" w:rsidRDefault="00787332" w:rsidP="00787332">
      <w:pPr>
        <w:rPr>
          <w:b/>
          <w:bCs/>
          <w:sz w:val="28"/>
          <w:szCs w:val="28"/>
          <w:lang w:val="en-US"/>
        </w:rPr>
      </w:pPr>
      <w:r w:rsidRPr="00787332">
        <w:rPr>
          <w:b/>
          <w:bCs/>
          <w:color w:val="A02B93" w:themeColor="accent5"/>
          <w:sz w:val="28"/>
          <w:szCs w:val="28"/>
          <w:lang w:val="en-US"/>
        </w:rPr>
        <w:t>Conclusion</w:t>
      </w:r>
    </w:p>
    <w:p w14:paraId="063A60E3" w14:textId="77777777" w:rsidR="00787332" w:rsidRPr="00787332" w:rsidRDefault="00787332" w:rsidP="00787332">
      <w:pPr>
        <w:rPr>
          <w:lang w:val="en-US"/>
        </w:rPr>
      </w:pPr>
      <w:r w:rsidRPr="00787332">
        <w:rPr>
          <w:lang w:val="en-US"/>
        </w:rPr>
        <w:t xml:space="preserve">In conclusion, digital learning in higher education presents both complex challenges and valuable opportunities. Inequality in access to technology and the risk of distraction can negatively affect engagement and academic outcomes if not carefully managed. However, digital platforms also provide flexibility and opportunities to develop essential transferable skills that extend beyond university study. The overall effectiveness of digital education depends on institutional design as well as students’ ability to apply core academic competencies. By developing structured time management, strengthening digital literacy and engaging actively with online tools, students can overcome barriers and </w:t>
      </w:r>
      <w:proofErr w:type="spellStart"/>
      <w:r w:rsidRPr="00787332">
        <w:rPr>
          <w:lang w:val="en-US"/>
        </w:rPr>
        <w:t>maximise</w:t>
      </w:r>
      <w:proofErr w:type="spellEnd"/>
      <w:r w:rsidRPr="00787332">
        <w:rPr>
          <w:lang w:val="en-US"/>
        </w:rPr>
        <w:t xml:space="preserve"> the advantages of digital learning. A balanced understanding of both the risks and benefits of digital education is therefore essential for achieving sustained academic success in contemporary higher education.</w:t>
      </w:r>
    </w:p>
    <w:p w14:paraId="2A27903B" w14:textId="77777777" w:rsidR="00A74937" w:rsidRDefault="00A74937" w:rsidP="00787332">
      <w:pPr>
        <w:rPr>
          <w:b/>
          <w:bCs/>
          <w:color w:val="A02B93" w:themeColor="accent5"/>
          <w:sz w:val="28"/>
          <w:szCs w:val="28"/>
          <w:lang w:val="en-US"/>
        </w:rPr>
      </w:pPr>
    </w:p>
    <w:p w14:paraId="64B3793C" w14:textId="77777777" w:rsidR="00A74937" w:rsidRDefault="00A74937" w:rsidP="00787332">
      <w:pPr>
        <w:rPr>
          <w:b/>
          <w:bCs/>
          <w:color w:val="A02B93" w:themeColor="accent5"/>
          <w:sz w:val="28"/>
          <w:szCs w:val="28"/>
          <w:lang w:val="en-US"/>
        </w:rPr>
      </w:pPr>
    </w:p>
    <w:p w14:paraId="0AFD9B35" w14:textId="77777777" w:rsidR="00A74937" w:rsidRDefault="00A74937" w:rsidP="00787332">
      <w:pPr>
        <w:rPr>
          <w:b/>
          <w:bCs/>
          <w:color w:val="A02B93" w:themeColor="accent5"/>
          <w:sz w:val="28"/>
          <w:szCs w:val="28"/>
          <w:lang w:val="en-US"/>
        </w:rPr>
      </w:pPr>
    </w:p>
    <w:p w14:paraId="01A85477" w14:textId="77777777" w:rsidR="00A74937" w:rsidRDefault="00A74937" w:rsidP="00787332">
      <w:pPr>
        <w:rPr>
          <w:b/>
          <w:bCs/>
          <w:color w:val="A02B93" w:themeColor="accent5"/>
          <w:sz w:val="28"/>
          <w:szCs w:val="28"/>
          <w:lang w:val="en-US"/>
        </w:rPr>
      </w:pPr>
    </w:p>
    <w:p w14:paraId="08A39AF1" w14:textId="3E37E711" w:rsidR="00787332" w:rsidRPr="00787332" w:rsidRDefault="00787332" w:rsidP="00787332">
      <w:pPr>
        <w:rPr>
          <w:b/>
          <w:bCs/>
          <w:color w:val="A02B93" w:themeColor="accent5"/>
          <w:sz w:val="28"/>
          <w:szCs w:val="28"/>
          <w:lang w:val="en-US"/>
        </w:rPr>
      </w:pPr>
      <w:r w:rsidRPr="00787332">
        <w:rPr>
          <w:b/>
          <w:bCs/>
          <w:color w:val="A02B93" w:themeColor="accent5"/>
          <w:sz w:val="28"/>
          <w:szCs w:val="28"/>
          <w:lang w:val="en-US"/>
        </w:rPr>
        <w:lastRenderedPageBreak/>
        <w:t>Reference List – Component 2</w:t>
      </w:r>
    </w:p>
    <w:p w14:paraId="077BC50E" w14:textId="77777777" w:rsidR="00787332" w:rsidRPr="00787332" w:rsidRDefault="00787332" w:rsidP="00787332">
      <w:pPr>
        <w:rPr>
          <w:lang w:val="en-US"/>
        </w:rPr>
      </w:pPr>
      <w:r w:rsidRPr="00787332">
        <w:rPr>
          <w:lang w:val="en-US"/>
        </w:rPr>
        <w:t>Broadbent, J. and Poon, W.L. (2015) ‘Self-regulated learning strategies &amp; academic achievement in online higher education learning environments’, Internet and Higher Education, 27, pp. 1–13.</w:t>
      </w:r>
      <w:r w:rsidRPr="00787332">
        <w:rPr>
          <w:lang w:val="en-US"/>
        </w:rPr>
        <w:br/>
      </w:r>
      <w:r w:rsidRPr="00787332">
        <w:rPr>
          <w:lang w:val="en-US"/>
        </w:rPr>
        <w:br/>
      </w:r>
      <w:proofErr w:type="spellStart"/>
      <w:r w:rsidRPr="00787332">
        <w:rPr>
          <w:lang w:val="en-US"/>
        </w:rPr>
        <w:t>Jisc</w:t>
      </w:r>
      <w:proofErr w:type="spellEnd"/>
      <w:r w:rsidRPr="00787332">
        <w:rPr>
          <w:lang w:val="en-US"/>
        </w:rPr>
        <w:t xml:space="preserve"> (2024) 2023/24 UK higher education students digital experience insights survey findings. Bristol: </w:t>
      </w:r>
      <w:proofErr w:type="spellStart"/>
      <w:r w:rsidRPr="00787332">
        <w:rPr>
          <w:lang w:val="en-US"/>
        </w:rPr>
        <w:t>Jisc</w:t>
      </w:r>
      <w:proofErr w:type="spellEnd"/>
      <w:r w:rsidRPr="00787332">
        <w:rPr>
          <w:lang w:val="en-US"/>
        </w:rPr>
        <w:t>.</w:t>
      </w:r>
      <w:r w:rsidRPr="00787332">
        <w:rPr>
          <w:lang w:val="en-US"/>
        </w:rPr>
        <w:br/>
      </w:r>
      <w:r w:rsidRPr="00787332">
        <w:rPr>
          <w:lang w:val="en-US"/>
        </w:rPr>
        <w:br/>
        <w:t>McCormack, M. (2023) 2023 Students and Technology Report: Flexibility, Choice, and Equity in the Student Experience. Louisville, CO: EDUCAUSE.</w:t>
      </w:r>
      <w:r w:rsidRPr="00787332">
        <w:rPr>
          <w:lang w:val="en-US"/>
        </w:rPr>
        <w:br/>
      </w:r>
      <w:r w:rsidRPr="00787332">
        <w:rPr>
          <w:lang w:val="en-US"/>
        </w:rPr>
        <w:br/>
        <w:t>Redecker, C. (2017) European framework for the digital competence of educators. Luxembourg: Publications Office of the European Union.</w:t>
      </w:r>
    </w:p>
    <w:p w14:paraId="5386178D" w14:textId="77777777" w:rsidR="00787332" w:rsidRDefault="00787332" w:rsidP="00787332"/>
    <w:p w14:paraId="4D8DABF6" w14:textId="77777777" w:rsidR="002F5576" w:rsidRDefault="002F5576" w:rsidP="00787332"/>
    <w:p w14:paraId="705AC34F" w14:textId="77777777" w:rsidR="002F5576" w:rsidRDefault="002F5576" w:rsidP="00787332"/>
    <w:p w14:paraId="55AF9138" w14:textId="77777777" w:rsidR="002F5576" w:rsidRDefault="002F5576" w:rsidP="00787332"/>
    <w:p w14:paraId="2CBFDD6E" w14:textId="77777777" w:rsidR="002F5576" w:rsidRDefault="002F5576" w:rsidP="00787332"/>
    <w:p w14:paraId="77B578E1" w14:textId="77777777" w:rsidR="002F5576" w:rsidRDefault="002F5576" w:rsidP="00787332"/>
    <w:p w14:paraId="4AF52D92" w14:textId="77777777" w:rsidR="002F5576" w:rsidRDefault="002F5576" w:rsidP="002F5576">
      <w:pPr>
        <w:pStyle w:val="Heading1"/>
        <w:rPr>
          <w:rFonts w:ascii="Arial" w:hAnsi="Arial" w:cs="Arial"/>
          <w:color w:val="A02B93" w:themeColor="accent5"/>
        </w:rPr>
      </w:pPr>
    </w:p>
    <w:p w14:paraId="0BE84A05" w14:textId="77777777" w:rsidR="002F5576" w:rsidRDefault="002F5576" w:rsidP="002F5576">
      <w:pPr>
        <w:pStyle w:val="Heading1"/>
        <w:rPr>
          <w:rFonts w:ascii="Arial" w:hAnsi="Arial" w:cs="Arial"/>
          <w:color w:val="A02B93" w:themeColor="accent5"/>
        </w:rPr>
      </w:pPr>
    </w:p>
    <w:p w14:paraId="7D8C5ED8" w14:textId="77777777" w:rsidR="002F5576" w:rsidRDefault="002F5576" w:rsidP="002F5576">
      <w:pPr>
        <w:pStyle w:val="Heading1"/>
        <w:rPr>
          <w:rFonts w:ascii="Arial" w:hAnsi="Arial" w:cs="Arial"/>
          <w:color w:val="A02B93" w:themeColor="accent5"/>
        </w:rPr>
      </w:pPr>
    </w:p>
    <w:p w14:paraId="0C17D8E9" w14:textId="77777777" w:rsidR="002F5576" w:rsidRDefault="002F5576" w:rsidP="002F5576">
      <w:pPr>
        <w:pStyle w:val="Heading1"/>
        <w:rPr>
          <w:rFonts w:ascii="Arial" w:hAnsi="Arial" w:cs="Arial"/>
          <w:color w:val="A02B93" w:themeColor="accent5"/>
        </w:rPr>
      </w:pPr>
    </w:p>
    <w:p w14:paraId="4C44E8FB" w14:textId="77777777" w:rsidR="002F5576" w:rsidRDefault="002F5576" w:rsidP="002F5576">
      <w:pPr>
        <w:pStyle w:val="Heading1"/>
        <w:rPr>
          <w:rFonts w:ascii="Arial" w:hAnsi="Arial" w:cs="Arial"/>
          <w:color w:val="A02B93" w:themeColor="accent5"/>
        </w:rPr>
      </w:pPr>
    </w:p>
    <w:p w14:paraId="515B52C7" w14:textId="77777777" w:rsidR="002F5576" w:rsidRDefault="002F5576" w:rsidP="002F5576">
      <w:pPr>
        <w:pStyle w:val="Heading1"/>
        <w:rPr>
          <w:rFonts w:ascii="Arial" w:hAnsi="Arial" w:cs="Arial"/>
          <w:color w:val="A02B93" w:themeColor="accent5"/>
        </w:rPr>
      </w:pPr>
    </w:p>
    <w:p w14:paraId="488BB135" w14:textId="77777777" w:rsidR="002F5576" w:rsidRDefault="002F5576" w:rsidP="002F5576">
      <w:pPr>
        <w:pStyle w:val="Heading1"/>
        <w:rPr>
          <w:rFonts w:ascii="Arial" w:hAnsi="Arial" w:cs="Arial"/>
          <w:color w:val="A02B93" w:themeColor="accent5"/>
        </w:rPr>
      </w:pPr>
    </w:p>
    <w:p w14:paraId="07EB4947" w14:textId="378370D0" w:rsidR="002F5576" w:rsidRPr="00787332" w:rsidRDefault="002F5576" w:rsidP="002F5576">
      <w:pPr>
        <w:pStyle w:val="Heading1"/>
        <w:rPr>
          <w:rFonts w:ascii="Arial" w:hAnsi="Arial" w:cs="Arial"/>
          <w:color w:val="A02B93" w:themeColor="accent5"/>
        </w:rPr>
      </w:pPr>
      <w:r>
        <w:rPr>
          <w:rFonts w:ascii="Arial" w:hAnsi="Arial" w:cs="Arial"/>
          <w:color w:val="A02B93" w:themeColor="accent5"/>
        </w:rPr>
        <w:t>Component 3 – Academic Poster</w:t>
      </w:r>
      <w:r w:rsidRPr="00787332">
        <w:rPr>
          <w:rFonts w:ascii="Arial" w:hAnsi="Arial" w:cs="Arial"/>
          <w:color w:val="A02B93" w:themeColor="accent5"/>
        </w:rPr>
        <w:t xml:space="preserve"> </w:t>
      </w:r>
    </w:p>
    <w:p w14:paraId="0238A94E" w14:textId="09FED39A" w:rsidR="002F5576" w:rsidRPr="00787332" w:rsidRDefault="002F5576" w:rsidP="00787332">
      <w:pPr>
        <w:sectPr w:rsidR="002F5576" w:rsidRPr="00787332">
          <w:pgSz w:w="11906" w:h="16838"/>
          <w:pgMar w:top="1440" w:right="1440" w:bottom="1440" w:left="1440" w:header="708" w:footer="708" w:gutter="0"/>
          <w:cols w:space="708"/>
          <w:docGrid w:linePitch="360"/>
        </w:sectPr>
      </w:pPr>
    </w:p>
    <w:tbl>
      <w:tblPr>
        <w:tblW w:w="0" w:type="auto"/>
        <w:tblLook w:val="04A0" w:firstRow="1" w:lastRow="0" w:firstColumn="1" w:lastColumn="0" w:noHBand="0" w:noVBand="1"/>
      </w:tblPr>
      <w:tblGrid>
        <w:gridCol w:w="14640"/>
      </w:tblGrid>
      <w:tr w:rsidR="00A74937" w:rsidRPr="00A74937" w14:paraId="16B55F2A" w14:textId="77777777" w:rsidTr="00FF571A">
        <w:tc>
          <w:tcPr>
            <w:tcW w:w="14640" w:type="dxa"/>
            <w:shd w:val="clear" w:color="auto" w:fill="F2F2F2"/>
          </w:tcPr>
          <w:p w14:paraId="6642409B" w14:textId="77777777" w:rsidR="00A74937" w:rsidRPr="00A74937" w:rsidRDefault="00A74937" w:rsidP="00A74937">
            <w:pPr>
              <w:spacing w:after="200" w:line="276" w:lineRule="auto"/>
              <w:rPr>
                <w:rFonts w:ascii="Cambria" w:eastAsia="MS Mincho" w:hAnsi="Cambria" w:cs="Times New Roman"/>
                <w:kern w:val="0"/>
                <w:sz w:val="22"/>
                <w:szCs w:val="22"/>
                <w:lang w:val="en-US" w:eastAsia="en-US"/>
                <w14:ligatures w14:val="none"/>
              </w:rPr>
            </w:pPr>
          </w:p>
        </w:tc>
      </w:tr>
    </w:tbl>
    <w:p w14:paraId="47109477" w14:textId="77777777" w:rsidR="00A74937" w:rsidRPr="00A74937" w:rsidRDefault="00A74937" w:rsidP="00A74937">
      <w:pPr>
        <w:spacing w:after="200" w:line="276" w:lineRule="auto"/>
        <w:jc w:val="center"/>
        <w:rPr>
          <w:rFonts w:ascii="Cambria" w:eastAsia="MS Mincho" w:hAnsi="Cambria" w:cs="Times New Roman"/>
          <w:kern w:val="0"/>
          <w:sz w:val="22"/>
          <w:szCs w:val="22"/>
          <w:lang w:val="en-US" w:eastAsia="en-US"/>
          <w14:ligatures w14:val="none"/>
        </w:rPr>
      </w:pPr>
      <w:r w:rsidRPr="00A74937">
        <w:rPr>
          <w:rFonts w:ascii="Cambria" w:eastAsia="MS Mincho" w:hAnsi="Cambria" w:cs="Times New Roman"/>
          <w:b/>
          <w:color w:val="1F4E79"/>
          <w:kern w:val="0"/>
          <w:sz w:val="72"/>
          <w:szCs w:val="22"/>
          <w:lang w:val="en-US" w:eastAsia="en-US"/>
          <w14:ligatures w14:val="none"/>
        </w:rPr>
        <w:t>DIGITAL LEARNING SUCCESS</w:t>
      </w:r>
    </w:p>
    <w:p w14:paraId="621C7AA3" w14:textId="77777777" w:rsidR="00A74937" w:rsidRPr="00A74937" w:rsidRDefault="00A74937" w:rsidP="00A74937">
      <w:pPr>
        <w:spacing w:after="200" w:line="276" w:lineRule="auto"/>
        <w:jc w:val="center"/>
        <w:rPr>
          <w:rFonts w:ascii="Cambria" w:eastAsia="MS Mincho" w:hAnsi="Cambria" w:cs="Times New Roman"/>
          <w:kern w:val="0"/>
          <w:sz w:val="22"/>
          <w:szCs w:val="22"/>
          <w:lang w:val="en-US" w:eastAsia="en-US"/>
          <w14:ligatures w14:val="none"/>
        </w:rPr>
      </w:pPr>
      <w:r w:rsidRPr="00A74937">
        <w:rPr>
          <w:rFonts w:ascii="Cambria" w:eastAsia="MS Mincho" w:hAnsi="Cambria" w:cs="Times New Roman"/>
          <w:i/>
          <w:kern w:val="0"/>
          <w:sz w:val="32"/>
          <w:szCs w:val="22"/>
          <w:lang w:val="en-US" w:eastAsia="en-US"/>
          <w14:ligatures w14:val="none"/>
        </w:rPr>
        <w:t>Three Essential Academic Skills for Higher Education</w:t>
      </w:r>
    </w:p>
    <w:p w14:paraId="79999E25" w14:textId="77777777" w:rsidR="00A74937" w:rsidRPr="00A74937" w:rsidRDefault="00A74937" w:rsidP="00A74937">
      <w:pPr>
        <w:spacing w:after="200" w:line="276" w:lineRule="auto"/>
        <w:rPr>
          <w:rFonts w:ascii="Cambria" w:eastAsia="MS Mincho" w:hAnsi="Cambria" w:cs="Times New Roman"/>
          <w:kern w:val="0"/>
          <w:sz w:val="22"/>
          <w:szCs w:val="22"/>
          <w:lang w:val="en-US" w:eastAsia="en-US"/>
          <w14:ligatures w14:val="none"/>
        </w:rPr>
      </w:pPr>
    </w:p>
    <w:p w14:paraId="1554F6F7" w14:textId="77777777" w:rsidR="00A74937" w:rsidRPr="00A74937" w:rsidRDefault="00A74937" w:rsidP="00A74937">
      <w:pPr>
        <w:spacing w:after="200" w:line="276" w:lineRule="auto"/>
        <w:rPr>
          <w:rFonts w:ascii="Cambria" w:eastAsia="MS Mincho" w:hAnsi="Cambria" w:cs="Times New Roman"/>
          <w:kern w:val="0"/>
          <w:sz w:val="22"/>
          <w:szCs w:val="22"/>
          <w:lang w:val="en-US" w:eastAsia="en-US"/>
          <w14:ligatures w14:val="none"/>
        </w:rPr>
        <w:sectPr w:rsidR="00A74937" w:rsidRPr="00A74937" w:rsidSect="00A74937">
          <w:pgSz w:w="15840" w:h="12240" w:orient="landscape"/>
          <w:pgMar w:top="500" w:right="600" w:bottom="500" w:left="600" w:header="720" w:footer="720" w:gutter="0"/>
          <w:cols w:space="720"/>
          <w:docGrid w:linePitch="360"/>
        </w:sectPr>
      </w:pPr>
    </w:p>
    <w:tbl>
      <w:tblPr>
        <w:tblW w:w="0" w:type="auto"/>
        <w:tblLook w:val="04A0" w:firstRow="1" w:lastRow="0" w:firstColumn="1" w:lastColumn="0" w:noHBand="0" w:noVBand="1"/>
      </w:tblPr>
      <w:tblGrid>
        <w:gridCol w:w="6960"/>
      </w:tblGrid>
      <w:tr w:rsidR="00A74937" w:rsidRPr="00A74937" w14:paraId="4B54EE26" w14:textId="77777777" w:rsidTr="00FF571A">
        <w:tc>
          <w:tcPr>
            <w:tcW w:w="14640" w:type="dxa"/>
            <w:shd w:val="clear" w:color="auto" w:fill="E8F1FA"/>
          </w:tcPr>
          <w:p w14:paraId="77932F94" w14:textId="77777777" w:rsidR="00A74937" w:rsidRPr="00A74937" w:rsidRDefault="00A74937" w:rsidP="00A74937">
            <w:pPr>
              <w:spacing w:after="200" w:line="276" w:lineRule="auto"/>
              <w:rPr>
                <w:rFonts w:ascii="Cambria" w:eastAsia="MS Mincho" w:hAnsi="Cambria" w:cs="Times New Roman"/>
                <w:kern w:val="0"/>
                <w:szCs w:val="22"/>
                <w:lang w:val="en-US" w:eastAsia="en-US"/>
                <w14:ligatures w14:val="none"/>
              </w:rPr>
            </w:pPr>
            <w:r w:rsidRPr="00A74937">
              <w:rPr>
                <w:rFonts w:ascii="Segoe UI Emoji" w:eastAsia="MS Mincho" w:hAnsi="Segoe UI Emoji" w:cs="Segoe UI Emoji"/>
                <w:b/>
                <w:kern w:val="0"/>
                <w:sz w:val="36"/>
                <w:szCs w:val="22"/>
                <w:lang w:val="en-US" w:eastAsia="en-US"/>
                <w14:ligatures w14:val="none"/>
              </w:rPr>
              <w:t>💻</w:t>
            </w:r>
            <w:r w:rsidRPr="00A74937">
              <w:rPr>
                <w:rFonts w:ascii="Cambria" w:eastAsia="MS Mincho" w:hAnsi="Cambria" w:cs="Times New Roman"/>
                <w:b/>
                <w:kern w:val="0"/>
                <w:sz w:val="36"/>
                <w:szCs w:val="22"/>
                <w:lang w:val="en-US" w:eastAsia="en-US"/>
                <w14:ligatures w14:val="none"/>
              </w:rPr>
              <w:t xml:space="preserve"> DIGITAL LITERACY</w:t>
            </w:r>
            <w:r w:rsidRPr="00A74937">
              <w:rPr>
                <w:rFonts w:ascii="Cambria" w:eastAsia="MS Mincho" w:hAnsi="Cambria" w:cs="Times New Roman"/>
                <w:b/>
                <w:kern w:val="0"/>
                <w:sz w:val="36"/>
                <w:szCs w:val="22"/>
                <w:lang w:val="en-US" w:eastAsia="en-US"/>
                <w14:ligatures w14:val="none"/>
              </w:rPr>
              <w:br/>
            </w:r>
          </w:p>
          <w:p w14:paraId="64953667" w14:textId="77777777" w:rsidR="00A74937" w:rsidRPr="00A74937" w:rsidRDefault="00A74937" w:rsidP="00A74937">
            <w:pPr>
              <w:spacing w:after="200" w:line="276" w:lineRule="auto"/>
              <w:rPr>
                <w:rFonts w:ascii="Cambria" w:eastAsia="MS Mincho" w:hAnsi="Cambria" w:cs="Times New Roman"/>
                <w:kern w:val="0"/>
                <w:szCs w:val="22"/>
                <w:lang w:val="en-US" w:eastAsia="en-US"/>
                <w14:ligatures w14:val="none"/>
              </w:rPr>
            </w:pPr>
            <w:r w:rsidRPr="00A74937">
              <w:rPr>
                <w:rFonts w:ascii="Cambria" w:eastAsia="MS Mincho" w:hAnsi="Cambria" w:cs="Times New Roman"/>
                <w:kern w:val="0"/>
                <w:szCs w:val="22"/>
                <w:lang w:val="en-US" w:eastAsia="en-US"/>
                <w14:ligatures w14:val="none"/>
              </w:rPr>
              <w:t>Redecker (2017) identifies critical thinking and responsible use of information as central to digital competence.</w:t>
            </w:r>
            <w:r w:rsidRPr="00A74937">
              <w:rPr>
                <w:rFonts w:ascii="Cambria" w:eastAsia="MS Mincho" w:hAnsi="Cambria" w:cs="Times New Roman"/>
                <w:kern w:val="0"/>
                <w:szCs w:val="22"/>
                <w:lang w:val="en-US" w:eastAsia="en-US"/>
                <w14:ligatures w14:val="none"/>
              </w:rPr>
              <w:br/>
            </w:r>
            <w:r w:rsidRPr="00A74937">
              <w:rPr>
                <w:rFonts w:ascii="Cambria" w:eastAsia="MS Mincho" w:hAnsi="Cambria" w:cs="Times New Roman"/>
                <w:kern w:val="0"/>
                <w:szCs w:val="22"/>
                <w:lang w:val="en-US" w:eastAsia="en-US"/>
                <w14:ligatures w14:val="none"/>
              </w:rPr>
              <w:br/>
            </w:r>
            <w:r w:rsidRPr="00A74937">
              <w:rPr>
                <w:rFonts w:ascii="Segoe UI Symbol" w:eastAsia="MS Mincho" w:hAnsi="Segoe UI Symbol" w:cs="Segoe UI Symbol"/>
                <w:kern w:val="0"/>
                <w:szCs w:val="22"/>
                <w:lang w:val="en-US" w:eastAsia="en-US"/>
                <w14:ligatures w14:val="none"/>
              </w:rPr>
              <w:t>✓</w:t>
            </w:r>
            <w:r w:rsidRPr="00A74937">
              <w:rPr>
                <w:rFonts w:ascii="Cambria" w:eastAsia="MS Mincho" w:hAnsi="Cambria" w:cs="Times New Roman"/>
                <w:kern w:val="0"/>
                <w:szCs w:val="22"/>
                <w:lang w:val="en-US" w:eastAsia="en-US"/>
                <w14:ligatures w14:val="none"/>
              </w:rPr>
              <w:t xml:space="preserve"> Evaluate credibility of online sources</w:t>
            </w:r>
            <w:r w:rsidRPr="00A74937">
              <w:rPr>
                <w:rFonts w:ascii="Cambria" w:eastAsia="MS Mincho" w:hAnsi="Cambria" w:cs="Times New Roman"/>
                <w:kern w:val="0"/>
                <w:szCs w:val="22"/>
                <w:lang w:val="en-US" w:eastAsia="en-US"/>
                <w14:ligatures w14:val="none"/>
              </w:rPr>
              <w:br/>
            </w:r>
            <w:r w:rsidRPr="00A74937">
              <w:rPr>
                <w:rFonts w:ascii="Segoe UI Symbol" w:eastAsia="MS Mincho" w:hAnsi="Segoe UI Symbol" w:cs="Segoe UI Symbol"/>
                <w:kern w:val="0"/>
                <w:szCs w:val="22"/>
                <w:lang w:val="en-US" w:eastAsia="en-US"/>
                <w14:ligatures w14:val="none"/>
              </w:rPr>
              <w:t>✓</w:t>
            </w:r>
            <w:r w:rsidRPr="00A74937">
              <w:rPr>
                <w:rFonts w:ascii="Cambria" w:eastAsia="MS Mincho" w:hAnsi="Cambria" w:cs="Times New Roman"/>
                <w:kern w:val="0"/>
                <w:szCs w:val="22"/>
                <w:lang w:val="en-US" w:eastAsia="en-US"/>
                <w14:ligatures w14:val="none"/>
              </w:rPr>
              <w:t xml:space="preserve"> Use peer-reviewed academic journals</w:t>
            </w:r>
            <w:r w:rsidRPr="00A74937">
              <w:rPr>
                <w:rFonts w:ascii="Cambria" w:eastAsia="MS Mincho" w:hAnsi="Cambria" w:cs="Times New Roman"/>
                <w:kern w:val="0"/>
                <w:szCs w:val="22"/>
                <w:lang w:val="en-US" w:eastAsia="en-US"/>
                <w14:ligatures w14:val="none"/>
              </w:rPr>
              <w:br/>
            </w:r>
            <w:r w:rsidRPr="00A74937">
              <w:rPr>
                <w:rFonts w:ascii="Segoe UI Symbol" w:eastAsia="MS Mincho" w:hAnsi="Segoe UI Symbol" w:cs="Segoe UI Symbol"/>
                <w:kern w:val="0"/>
                <w:szCs w:val="22"/>
                <w:lang w:val="en-US" w:eastAsia="en-US"/>
                <w14:ligatures w14:val="none"/>
              </w:rPr>
              <w:t>✓</w:t>
            </w:r>
            <w:r w:rsidRPr="00A74937">
              <w:rPr>
                <w:rFonts w:ascii="Cambria" w:eastAsia="MS Mincho" w:hAnsi="Cambria" w:cs="Times New Roman"/>
                <w:kern w:val="0"/>
                <w:szCs w:val="22"/>
                <w:lang w:val="en-US" w:eastAsia="en-US"/>
                <w14:ligatures w14:val="none"/>
              </w:rPr>
              <w:t xml:space="preserve"> Check authority, relevance and currency</w:t>
            </w:r>
          </w:p>
        </w:tc>
      </w:tr>
    </w:tbl>
    <w:p w14:paraId="144114C1" w14:textId="77777777" w:rsidR="00A74937" w:rsidRPr="00A74937" w:rsidRDefault="00A74937" w:rsidP="00A74937">
      <w:pPr>
        <w:spacing w:after="200" w:line="276" w:lineRule="auto"/>
        <w:rPr>
          <w:rFonts w:ascii="Cambria" w:eastAsia="MS Mincho" w:hAnsi="Cambria" w:cs="Times New Roman"/>
          <w:kern w:val="0"/>
          <w:sz w:val="22"/>
          <w:szCs w:val="22"/>
          <w:lang w:val="en-US" w:eastAsia="en-US"/>
          <w14:ligatures w14:val="none"/>
        </w:rPr>
      </w:pPr>
    </w:p>
    <w:tbl>
      <w:tblPr>
        <w:tblW w:w="0" w:type="auto"/>
        <w:tblLook w:val="04A0" w:firstRow="1" w:lastRow="0" w:firstColumn="1" w:lastColumn="0" w:noHBand="0" w:noVBand="1"/>
      </w:tblPr>
      <w:tblGrid>
        <w:gridCol w:w="6960"/>
      </w:tblGrid>
      <w:tr w:rsidR="00A74937" w:rsidRPr="00A74937" w14:paraId="64BE0F87" w14:textId="77777777" w:rsidTr="00FF571A">
        <w:tc>
          <w:tcPr>
            <w:tcW w:w="14640" w:type="dxa"/>
            <w:shd w:val="clear" w:color="auto" w:fill="EAF7E6"/>
          </w:tcPr>
          <w:p w14:paraId="1FC5E7A3" w14:textId="77777777" w:rsidR="00A74937" w:rsidRPr="00A74937" w:rsidRDefault="00A74937" w:rsidP="00A74937">
            <w:pPr>
              <w:spacing w:after="200" w:line="276" w:lineRule="auto"/>
              <w:rPr>
                <w:rFonts w:ascii="Cambria" w:eastAsia="MS Mincho" w:hAnsi="Cambria" w:cs="Times New Roman"/>
                <w:kern w:val="0"/>
                <w:sz w:val="22"/>
                <w:szCs w:val="22"/>
                <w:lang w:val="en-US" w:eastAsia="en-US"/>
                <w14:ligatures w14:val="none"/>
              </w:rPr>
            </w:pPr>
            <w:r w:rsidRPr="00A74937">
              <w:rPr>
                <w:rFonts w:ascii="Segoe UI Emoji" w:eastAsia="MS Mincho" w:hAnsi="Segoe UI Emoji" w:cs="Segoe UI Emoji"/>
                <w:b/>
                <w:kern w:val="0"/>
                <w:sz w:val="36"/>
                <w:szCs w:val="22"/>
                <w:lang w:val="en-US" w:eastAsia="en-US"/>
                <w14:ligatures w14:val="none"/>
              </w:rPr>
              <w:t>💬</w:t>
            </w:r>
            <w:r w:rsidRPr="00A74937">
              <w:rPr>
                <w:rFonts w:ascii="Cambria" w:eastAsia="MS Mincho" w:hAnsi="Cambria" w:cs="Times New Roman"/>
                <w:b/>
                <w:kern w:val="0"/>
                <w:sz w:val="36"/>
                <w:szCs w:val="22"/>
                <w:lang w:val="en-US" w:eastAsia="en-US"/>
                <w14:ligatures w14:val="none"/>
              </w:rPr>
              <w:t xml:space="preserve"> ACTIVE ENGAGEMENT</w:t>
            </w:r>
            <w:r w:rsidRPr="00A74937">
              <w:rPr>
                <w:rFonts w:ascii="Cambria" w:eastAsia="MS Mincho" w:hAnsi="Cambria" w:cs="Times New Roman"/>
                <w:b/>
                <w:kern w:val="0"/>
                <w:sz w:val="36"/>
                <w:szCs w:val="22"/>
                <w:lang w:val="en-US" w:eastAsia="en-US"/>
                <w14:ligatures w14:val="none"/>
              </w:rPr>
              <w:br/>
            </w:r>
          </w:p>
          <w:p w14:paraId="0654228C" w14:textId="77777777" w:rsidR="00A74937" w:rsidRPr="00A74937" w:rsidRDefault="00A74937" w:rsidP="00A74937">
            <w:pPr>
              <w:spacing w:after="200" w:line="276" w:lineRule="auto"/>
              <w:rPr>
                <w:rFonts w:ascii="Cambria" w:eastAsia="MS Mincho" w:hAnsi="Cambria" w:cs="Times New Roman"/>
                <w:kern w:val="0"/>
                <w:sz w:val="22"/>
                <w:szCs w:val="22"/>
                <w:lang w:val="en-US" w:eastAsia="en-US"/>
                <w14:ligatures w14:val="none"/>
              </w:rPr>
            </w:pPr>
            <w:r w:rsidRPr="00A74937">
              <w:rPr>
                <w:rFonts w:ascii="Cambria" w:eastAsia="MS Mincho" w:hAnsi="Cambria" w:cs="Times New Roman"/>
                <w:kern w:val="0"/>
                <w:szCs w:val="22"/>
                <w:lang w:val="en-US" w:eastAsia="en-US"/>
                <w14:ligatures w14:val="none"/>
              </w:rPr>
              <w:t>McCormack (2023) reports that students who actively engage with digital tools show higher satisfaction and improved learning outcomes.</w:t>
            </w:r>
            <w:r w:rsidRPr="00A74937">
              <w:rPr>
                <w:rFonts w:ascii="Cambria" w:eastAsia="MS Mincho" w:hAnsi="Cambria" w:cs="Times New Roman"/>
                <w:kern w:val="0"/>
                <w:szCs w:val="22"/>
                <w:lang w:val="en-US" w:eastAsia="en-US"/>
                <w14:ligatures w14:val="none"/>
              </w:rPr>
              <w:br/>
            </w:r>
            <w:r w:rsidRPr="00A74937">
              <w:rPr>
                <w:rFonts w:ascii="Cambria" w:eastAsia="MS Mincho" w:hAnsi="Cambria" w:cs="Times New Roman"/>
                <w:kern w:val="0"/>
                <w:szCs w:val="22"/>
                <w:lang w:val="en-US" w:eastAsia="en-US"/>
                <w14:ligatures w14:val="none"/>
              </w:rPr>
              <w:br/>
            </w:r>
            <w:r w:rsidRPr="00A74937">
              <w:rPr>
                <w:rFonts w:ascii="Segoe UI Symbol" w:eastAsia="MS Mincho" w:hAnsi="Segoe UI Symbol" w:cs="Segoe UI Symbol"/>
                <w:kern w:val="0"/>
                <w:szCs w:val="22"/>
                <w:lang w:val="en-US" w:eastAsia="en-US"/>
                <w14:ligatures w14:val="none"/>
              </w:rPr>
              <w:t>✓</w:t>
            </w:r>
            <w:r w:rsidRPr="00A74937">
              <w:rPr>
                <w:rFonts w:ascii="Cambria" w:eastAsia="MS Mincho" w:hAnsi="Cambria" w:cs="Times New Roman"/>
                <w:kern w:val="0"/>
                <w:szCs w:val="22"/>
                <w:lang w:val="en-US" w:eastAsia="en-US"/>
                <w14:ligatures w14:val="none"/>
              </w:rPr>
              <w:t xml:space="preserve"> Participate in discussion forums</w:t>
            </w:r>
            <w:r w:rsidRPr="00A74937">
              <w:rPr>
                <w:rFonts w:ascii="Cambria" w:eastAsia="MS Mincho" w:hAnsi="Cambria" w:cs="Times New Roman"/>
                <w:kern w:val="0"/>
                <w:szCs w:val="22"/>
                <w:lang w:val="en-US" w:eastAsia="en-US"/>
                <w14:ligatures w14:val="none"/>
              </w:rPr>
              <w:br/>
            </w:r>
            <w:r w:rsidRPr="00A74937">
              <w:rPr>
                <w:rFonts w:ascii="Segoe UI Symbol" w:eastAsia="MS Mincho" w:hAnsi="Segoe UI Symbol" w:cs="Segoe UI Symbol"/>
                <w:kern w:val="0"/>
                <w:szCs w:val="22"/>
                <w:lang w:val="en-US" w:eastAsia="en-US"/>
                <w14:ligatures w14:val="none"/>
              </w:rPr>
              <w:t>✓</w:t>
            </w:r>
            <w:r w:rsidRPr="00A74937">
              <w:rPr>
                <w:rFonts w:ascii="Cambria" w:eastAsia="MS Mincho" w:hAnsi="Cambria" w:cs="Times New Roman"/>
                <w:kern w:val="0"/>
                <w:szCs w:val="22"/>
                <w:lang w:val="en-US" w:eastAsia="en-US"/>
                <w14:ligatures w14:val="none"/>
              </w:rPr>
              <w:t xml:space="preserve"> Collaborate in group activities</w:t>
            </w:r>
            <w:r w:rsidRPr="00A74937">
              <w:rPr>
                <w:rFonts w:ascii="Cambria" w:eastAsia="MS Mincho" w:hAnsi="Cambria" w:cs="Times New Roman"/>
                <w:kern w:val="0"/>
                <w:szCs w:val="22"/>
                <w:lang w:val="en-US" w:eastAsia="en-US"/>
                <w14:ligatures w14:val="none"/>
              </w:rPr>
              <w:br/>
            </w:r>
            <w:r w:rsidRPr="00A74937">
              <w:rPr>
                <w:rFonts w:ascii="Segoe UI Symbol" w:eastAsia="MS Mincho" w:hAnsi="Segoe UI Symbol" w:cs="Segoe UI Symbol"/>
                <w:kern w:val="0"/>
                <w:szCs w:val="22"/>
                <w:lang w:val="en-US" w:eastAsia="en-US"/>
                <w14:ligatures w14:val="none"/>
              </w:rPr>
              <w:t>✓</w:t>
            </w:r>
            <w:r w:rsidRPr="00A74937">
              <w:rPr>
                <w:rFonts w:ascii="Cambria" w:eastAsia="MS Mincho" w:hAnsi="Cambria" w:cs="Times New Roman"/>
                <w:kern w:val="0"/>
                <w:szCs w:val="22"/>
                <w:lang w:val="en-US" w:eastAsia="en-US"/>
                <w14:ligatures w14:val="none"/>
              </w:rPr>
              <w:t xml:space="preserve"> Communicate regularly with lecturers</w:t>
            </w:r>
          </w:p>
        </w:tc>
      </w:tr>
    </w:tbl>
    <w:p w14:paraId="6A66907F" w14:textId="77777777" w:rsidR="00A74937" w:rsidRPr="00A74937" w:rsidRDefault="00A74937" w:rsidP="00A74937">
      <w:pPr>
        <w:spacing w:after="200" w:line="276" w:lineRule="auto"/>
        <w:rPr>
          <w:rFonts w:ascii="Cambria" w:eastAsia="MS Mincho" w:hAnsi="Cambria" w:cs="Times New Roman"/>
          <w:kern w:val="0"/>
          <w:sz w:val="22"/>
          <w:szCs w:val="22"/>
          <w:lang w:val="en-US" w:eastAsia="en-US"/>
          <w14:ligatures w14:val="none"/>
        </w:rPr>
      </w:pPr>
    </w:p>
    <w:tbl>
      <w:tblPr>
        <w:tblW w:w="0" w:type="auto"/>
        <w:tblLook w:val="04A0" w:firstRow="1" w:lastRow="0" w:firstColumn="1" w:lastColumn="0" w:noHBand="0" w:noVBand="1"/>
      </w:tblPr>
      <w:tblGrid>
        <w:gridCol w:w="6960"/>
      </w:tblGrid>
      <w:tr w:rsidR="00A74937" w:rsidRPr="00A74937" w14:paraId="16E47A56" w14:textId="77777777" w:rsidTr="00FF571A">
        <w:tc>
          <w:tcPr>
            <w:tcW w:w="14640" w:type="dxa"/>
            <w:shd w:val="clear" w:color="auto" w:fill="FFF4E5"/>
          </w:tcPr>
          <w:p w14:paraId="7BC24BE6" w14:textId="77777777" w:rsidR="00A74937" w:rsidRPr="00A74937" w:rsidRDefault="00A74937" w:rsidP="00A74937">
            <w:pPr>
              <w:spacing w:after="200" w:line="276" w:lineRule="auto"/>
              <w:rPr>
                <w:rFonts w:ascii="Cambria" w:eastAsia="MS Mincho" w:hAnsi="Cambria" w:cs="Times New Roman"/>
                <w:kern w:val="0"/>
                <w:sz w:val="22"/>
                <w:szCs w:val="22"/>
                <w:lang w:val="en-US" w:eastAsia="en-US"/>
                <w14:ligatures w14:val="none"/>
              </w:rPr>
            </w:pPr>
            <w:r w:rsidRPr="00A74937">
              <w:rPr>
                <w:rFonts w:ascii="Segoe UI Emoji" w:eastAsia="MS Mincho" w:hAnsi="Segoe UI Emoji" w:cs="Segoe UI Emoji"/>
                <w:b/>
                <w:kern w:val="0"/>
                <w:sz w:val="36"/>
                <w:szCs w:val="22"/>
                <w:lang w:val="en-US" w:eastAsia="en-US"/>
                <w14:ligatures w14:val="none"/>
              </w:rPr>
              <w:t>⏳</w:t>
            </w:r>
            <w:r w:rsidRPr="00A74937">
              <w:rPr>
                <w:rFonts w:ascii="Cambria" w:eastAsia="MS Mincho" w:hAnsi="Cambria" w:cs="Times New Roman"/>
                <w:b/>
                <w:kern w:val="0"/>
                <w:sz w:val="36"/>
                <w:szCs w:val="22"/>
                <w:lang w:val="en-US" w:eastAsia="en-US"/>
                <w14:ligatures w14:val="none"/>
              </w:rPr>
              <w:t xml:space="preserve"> TIME MANAGEMENT</w:t>
            </w:r>
            <w:r w:rsidRPr="00A74937">
              <w:rPr>
                <w:rFonts w:ascii="Cambria" w:eastAsia="MS Mincho" w:hAnsi="Cambria" w:cs="Times New Roman"/>
                <w:b/>
                <w:kern w:val="0"/>
                <w:sz w:val="36"/>
                <w:szCs w:val="22"/>
                <w:lang w:val="en-US" w:eastAsia="en-US"/>
                <w14:ligatures w14:val="none"/>
              </w:rPr>
              <w:br/>
            </w:r>
          </w:p>
          <w:p w14:paraId="67E6A8BE" w14:textId="77777777" w:rsidR="00A74937" w:rsidRPr="00A74937" w:rsidRDefault="00A74937" w:rsidP="00A74937">
            <w:pPr>
              <w:spacing w:after="200" w:line="276" w:lineRule="auto"/>
              <w:rPr>
                <w:rFonts w:ascii="Cambria" w:eastAsia="MS Mincho" w:hAnsi="Cambria" w:cs="Times New Roman"/>
                <w:kern w:val="0"/>
                <w:sz w:val="22"/>
                <w:szCs w:val="22"/>
                <w:lang w:val="en-US" w:eastAsia="en-US"/>
                <w14:ligatures w14:val="none"/>
              </w:rPr>
            </w:pPr>
            <w:r w:rsidRPr="00A74937">
              <w:rPr>
                <w:rFonts w:ascii="Cambria" w:eastAsia="MS Mincho" w:hAnsi="Cambria" w:cs="Times New Roman"/>
                <w:kern w:val="0"/>
                <w:szCs w:val="22"/>
                <w:lang w:val="en-US" w:eastAsia="en-US"/>
                <w14:ligatures w14:val="none"/>
              </w:rPr>
              <w:t>Broadbent and Poon (2015) found that self-regulated learning significantly predicts academic success in online environments.</w:t>
            </w:r>
            <w:r w:rsidRPr="00A74937">
              <w:rPr>
                <w:rFonts w:ascii="Cambria" w:eastAsia="MS Mincho" w:hAnsi="Cambria" w:cs="Times New Roman"/>
                <w:kern w:val="0"/>
                <w:szCs w:val="22"/>
                <w:lang w:val="en-US" w:eastAsia="en-US"/>
                <w14:ligatures w14:val="none"/>
              </w:rPr>
              <w:br/>
            </w:r>
            <w:r w:rsidRPr="00A74937">
              <w:rPr>
                <w:rFonts w:ascii="Cambria" w:eastAsia="MS Mincho" w:hAnsi="Cambria" w:cs="Times New Roman"/>
                <w:kern w:val="0"/>
                <w:szCs w:val="22"/>
                <w:lang w:val="en-US" w:eastAsia="en-US"/>
                <w14:ligatures w14:val="none"/>
              </w:rPr>
              <w:br/>
            </w:r>
            <w:r w:rsidRPr="00A74937">
              <w:rPr>
                <w:rFonts w:ascii="Segoe UI Symbol" w:eastAsia="MS Mincho" w:hAnsi="Segoe UI Symbol" w:cs="Segoe UI Symbol"/>
                <w:kern w:val="0"/>
                <w:szCs w:val="22"/>
                <w:lang w:val="en-US" w:eastAsia="en-US"/>
                <w14:ligatures w14:val="none"/>
              </w:rPr>
              <w:t>✓</w:t>
            </w:r>
            <w:r w:rsidRPr="00A74937">
              <w:rPr>
                <w:rFonts w:ascii="Cambria" w:eastAsia="MS Mincho" w:hAnsi="Cambria" w:cs="Times New Roman"/>
                <w:kern w:val="0"/>
                <w:szCs w:val="22"/>
                <w:lang w:val="en-US" w:eastAsia="en-US"/>
                <w14:ligatures w14:val="none"/>
              </w:rPr>
              <w:t xml:space="preserve"> Plan weekly study schedules</w:t>
            </w:r>
            <w:r w:rsidRPr="00A74937">
              <w:rPr>
                <w:rFonts w:ascii="Cambria" w:eastAsia="MS Mincho" w:hAnsi="Cambria" w:cs="Times New Roman"/>
                <w:kern w:val="0"/>
                <w:szCs w:val="22"/>
                <w:lang w:val="en-US" w:eastAsia="en-US"/>
                <w14:ligatures w14:val="none"/>
              </w:rPr>
              <w:br/>
            </w:r>
            <w:r w:rsidRPr="00A74937">
              <w:rPr>
                <w:rFonts w:ascii="Segoe UI Symbol" w:eastAsia="MS Mincho" w:hAnsi="Segoe UI Symbol" w:cs="Segoe UI Symbol"/>
                <w:kern w:val="0"/>
                <w:szCs w:val="22"/>
                <w:lang w:val="en-US" w:eastAsia="en-US"/>
                <w14:ligatures w14:val="none"/>
              </w:rPr>
              <w:t>✓</w:t>
            </w:r>
            <w:r w:rsidRPr="00A74937">
              <w:rPr>
                <w:rFonts w:ascii="Cambria" w:eastAsia="MS Mincho" w:hAnsi="Cambria" w:cs="Times New Roman"/>
                <w:kern w:val="0"/>
                <w:szCs w:val="22"/>
                <w:lang w:val="en-US" w:eastAsia="en-US"/>
                <w14:ligatures w14:val="none"/>
              </w:rPr>
              <w:t xml:space="preserve"> Break tasks into manageable stages</w:t>
            </w:r>
            <w:r w:rsidRPr="00A74937">
              <w:rPr>
                <w:rFonts w:ascii="Cambria" w:eastAsia="MS Mincho" w:hAnsi="Cambria" w:cs="Times New Roman"/>
                <w:kern w:val="0"/>
                <w:szCs w:val="22"/>
                <w:lang w:val="en-US" w:eastAsia="en-US"/>
                <w14:ligatures w14:val="none"/>
              </w:rPr>
              <w:br/>
            </w:r>
            <w:r w:rsidRPr="00A74937">
              <w:rPr>
                <w:rFonts w:ascii="Segoe UI Symbol" w:eastAsia="MS Mincho" w:hAnsi="Segoe UI Symbol" w:cs="Segoe UI Symbol"/>
                <w:kern w:val="0"/>
                <w:szCs w:val="22"/>
                <w:lang w:val="en-US" w:eastAsia="en-US"/>
                <w14:ligatures w14:val="none"/>
              </w:rPr>
              <w:t>✓</w:t>
            </w:r>
            <w:r w:rsidRPr="00A74937">
              <w:rPr>
                <w:rFonts w:ascii="Cambria" w:eastAsia="MS Mincho" w:hAnsi="Cambria" w:cs="Times New Roman"/>
                <w:kern w:val="0"/>
                <w:szCs w:val="22"/>
                <w:lang w:val="en-US" w:eastAsia="en-US"/>
                <w14:ligatures w14:val="none"/>
              </w:rPr>
              <w:t xml:space="preserve"> Reduce digital distractions</w:t>
            </w:r>
          </w:p>
        </w:tc>
      </w:tr>
    </w:tbl>
    <w:p w14:paraId="5635EBA4" w14:textId="77777777" w:rsidR="00A74937" w:rsidRPr="00A74937" w:rsidRDefault="00A74937" w:rsidP="00A74937">
      <w:pPr>
        <w:spacing w:after="200" w:line="276" w:lineRule="auto"/>
        <w:rPr>
          <w:rFonts w:ascii="Cambria" w:eastAsia="MS Mincho" w:hAnsi="Cambria" w:cs="Times New Roman"/>
          <w:kern w:val="0"/>
          <w:sz w:val="22"/>
          <w:szCs w:val="22"/>
          <w:lang w:val="en-US" w:eastAsia="en-US"/>
          <w14:ligatures w14:val="none"/>
        </w:rPr>
      </w:pPr>
    </w:p>
    <w:p w14:paraId="6D9DC778" w14:textId="77777777" w:rsidR="00A74937" w:rsidRPr="00A74937" w:rsidRDefault="00A74937" w:rsidP="00A74937">
      <w:pPr>
        <w:spacing w:after="200" w:line="276" w:lineRule="auto"/>
        <w:rPr>
          <w:rFonts w:ascii="Cambria" w:eastAsia="MS Mincho" w:hAnsi="Cambria" w:cs="Times New Roman"/>
          <w:kern w:val="0"/>
          <w:sz w:val="22"/>
          <w:szCs w:val="22"/>
          <w:lang w:val="en-US" w:eastAsia="en-US"/>
          <w14:ligatures w14:val="none"/>
        </w:rPr>
      </w:pPr>
      <w:r w:rsidRPr="00A74937">
        <w:rPr>
          <w:rFonts w:ascii="MS Mincho" w:eastAsia="MS Mincho" w:hAnsi="MS Mincho" w:cs="MS Mincho" w:hint="eastAsia"/>
          <w:kern w:val="0"/>
          <w:sz w:val="22"/>
          <w:szCs w:val="22"/>
          <w:lang w:val="en-US" w:eastAsia="en-US"/>
          <w14:ligatures w14:val="none"/>
        </w:rPr>
        <w:t>━━━━━━━━━━━━━━━━━━━━━━━━━━━━━━━━</w:t>
      </w:r>
    </w:p>
    <w:p w14:paraId="58FA3F14" w14:textId="77777777" w:rsidR="00A74937" w:rsidRPr="00A74937" w:rsidRDefault="00A74937" w:rsidP="00A74937">
      <w:pPr>
        <w:spacing w:after="200" w:line="276" w:lineRule="auto"/>
        <w:rPr>
          <w:rFonts w:ascii="Cambria" w:eastAsia="MS Mincho" w:hAnsi="Cambria" w:cs="Times New Roman"/>
          <w:kern w:val="0"/>
          <w:sz w:val="22"/>
          <w:szCs w:val="22"/>
          <w:lang w:val="en-US" w:eastAsia="en-US"/>
          <w14:ligatures w14:val="none"/>
        </w:rPr>
      </w:pPr>
      <w:r w:rsidRPr="00A74937">
        <w:rPr>
          <w:rFonts w:ascii="Cambria" w:eastAsia="MS Mincho" w:hAnsi="Cambria" w:cs="Times New Roman"/>
          <w:b/>
          <w:kern w:val="0"/>
          <w:sz w:val="32"/>
          <w:szCs w:val="22"/>
          <w:lang w:val="en-US" w:eastAsia="en-US"/>
          <w14:ligatures w14:val="none"/>
        </w:rPr>
        <w:t>WHY THIS MATTERS</w:t>
      </w:r>
      <w:r w:rsidRPr="00A74937">
        <w:rPr>
          <w:rFonts w:ascii="Cambria" w:eastAsia="MS Mincho" w:hAnsi="Cambria" w:cs="Times New Roman"/>
          <w:b/>
          <w:kern w:val="0"/>
          <w:sz w:val="32"/>
          <w:szCs w:val="22"/>
          <w:lang w:val="en-US" w:eastAsia="en-US"/>
          <w14:ligatures w14:val="none"/>
        </w:rPr>
        <w:br/>
      </w:r>
    </w:p>
    <w:p w14:paraId="1352BF1B" w14:textId="77777777" w:rsidR="00A74937" w:rsidRPr="00A74937" w:rsidRDefault="00A74937" w:rsidP="00A74937">
      <w:pPr>
        <w:spacing w:after="200" w:line="276" w:lineRule="auto"/>
        <w:rPr>
          <w:rFonts w:ascii="Cambria" w:eastAsia="MS Mincho" w:hAnsi="Cambria" w:cs="Times New Roman"/>
          <w:kern w:val="0"/>
          <w:sz w:val="22"/>
          <w:szCs w:val="22"/>
          <w:lang w:val="en-US" w:eastAsia="en-US"/>
          <w14:ligatures w14:val="none"/>
        </w:rPr>
      </w:pPr>
      <w:r w:rsidRPr="00A74937">
        <w:rPr>
          <w:rFonts w:ascii="Cambria" w:eastAsia="MS Mincho" w:hAnsi="Cambria" w:cs="Times New Roman"/>
          <w:kern w:val="0"/>
          <w:sz w:val="22"/>
          <w:szCs w:val="22"/>
          <w:lang w:val="en-US" w:eastAsia="en-US"/>
          <w14:ligatures w14:val="none"/>
        </w:rPr>
        <w:t xml:space="preserve">Academic success in digital higher education depends on how effectively students </w:t>
      </w:r>
      <w:proofErr w:type="gramStart"/>
      <w:r w:rsidRPr="00A74937">
        <w:rPr>
          <w:rFonts w:ascii="Cambria" w:eastAsia="MS Mincho" w:hAnsi="Cambria" w:cs="Times New Roman"/>
          <w:kern w:val="0"/>
          <w:sz w:val="22"/>
          <w:szCs w:val="22"/>
          <w:lang w:val="en-US" w:eastAsia="en-US"/>
          <w14:ligatures w14:val="none"/>
        </w:rPr>
        <w:t>apply</w:t>
      </w:r>
      <w:proofErr w:type="gramEnd"/>
      <w:r w:rsidRPr="00A74937">
        <w:rPr>
          <w:rFonts w:ascii="Cambria" w:eastAsia="MS Mincho" w:hAnsi="Cambria" w:cs="Times New Roman"/>
          <w:kern w:val="0"/>
          <w:sz w:val="22"/>
          <w:szCs w:val="22"/>
          <w:lang w:val="en-US" w:eastAsia="en-US"/>
          <w14:ligatures w14:val="none"/>
        </w:rPr>
        <w:t xml:space="preserve"> key skills. Developing digital literacy, active engagement and structured time management enables students to </w:t>
      </w:r>
      <w:proofErr w:type="spellStart"/>
      <w:r w:rsidRPr="00A74937">
        <w:rPr>
          <w:rFonts w:ascii="Cambria" w:eastAsia="MS Mincho" w:hAnsi="Cambria" w:cs="Times New Roman"/>
          <w:kern w:val="0"/>
          <w:sz w:val="22"/>
          <w:szCs w:val="22"/>
          <w:lang w:val="en-US" w:eastAsia="en-US"/>
          <w14:ligatures w14:val="none"/>
        </w:rPr>
        <w:t>maximise</w:t>
      </w:r>
      <w:proofErr w:type="spellEnd"/>
      <w:r w:rsidRPr="00A74937">
        <w:rPr>
          <w:rFonts w:ascii="Cambria" w:eastAsia="MS Mincho" w:hAnsi="Cambria" w:cs="Times New Roman"/>
          <w:kern w:val="0"/>
          <w:sz w:val="22"/>
          <w:szCs w:val="22"/>
          <w:lang w:val="en-US" w:eastAsia="en-US"/>
          <w14:ligatures w14:val="none"/>
        </w:rPr>
        <w:t xml:space="preserve"> opportunities and overcome challenges.</w:t>
      </w:r>
    </w:p>
    <w:p w14:paraId="687A244E" w14:textId="77777777" w:rsidR="00A74937" w:rsidRPr="00A74937" w:rsidRDefault="00A74937" w:rsidP="00A74937">
      <w:pPr>
        <w:spacing w:after="200" w:line="276" w:lineRule="auto"/>
        <w:rPr>
          <w:rFonts w:ascii="Cambria" w:eastAsia="MS Mincho" w:hAnsi="Cambria" w:cs="Times New Roman"/>
          <w:kern w:val="0"/>
          <w:sz w:val="22"/>
          <w:szCs w:val="22"/>
          <w:lang w:val="en-US" w:eastAsia="en-US"/>
          <w14:ligatures w14:val="none"/>
        </w:rPr>
      </w:pPr>
      <w:r w:rsidRPr="00A74937">
        <w:rPr>
          <w:rFonts w:ascii="Cambria" w:eastAsia="MS Mincho" w:hAnsi="Cambria" w:cs="Times New Roman"/>
          <w:b/>
          <w:kern w:val="0"/>
          <w:sz w:val="22"/>
          <w:szCs w:val="22"/>
          <w:lang w:val="en-US" w:eastAsia="en-US"/>
          <w14:ligatures w14:val="none"/>
        </w:rPr>
        <w:t>REFERENCES</w:t>
      </w:r>
    </w:p>
    <w:p w14:paraId="30CFB8B3" w14:textId="77777777" w:rsidR="00A74937" w:rsidRPr="00A74937" w:rsidRDefault="00A74937" w:rsidP="00A74937">
      <w:pPr>
        <w:spacing w:after="200" w:line="276" w:lineRule="auto"/>
        <w:rPr>
          <w:rFonts w:ascii="Cambria" w:eastAsia="MS Mincho" w:hAnsi="Cambria" w:cs="Times New Roman"/>
          <w:kern w:val="0"/>
          <w:sz w:val="10"/>
          <w:szCs w:val="10"/>
          <w:lang w:val="en-US" w:eastAsia="en-US"/>
          <w14:ligatures w14:val="none"/>
        </w:rPr>
      </w:pPr>
      <w:r w:rsidRPr="00A74937">
        <w:rPr>
          <w:rFonts w:ascii="Cambria" w:eastAsia="MS Mincho" w:hAnsi="Cambria" w:cs="Times New Roman"/>
          <w:kern w:val="0"/>
          <w:sz w:val="10"/>
          <w:szCs w:val="10"/>
          <w:lang w:val="en-US" w:eastAsia="en-US"/>
          <w14:ligatures w14:val="none"/>
        </w:rPr>
        <w:t>Broadbent, J. and Poon, W.L. (2015) ‘Self-regulated learning strategies and academic achievement in online higher education learning environments’, Internet and Higher Education, 27, pp. 1–13.</w:t>
      </w:r>
    </w:p>
    <w:p w14:paraId="2BED883D" w14:textId="77777777" w:rsidR="00A74937" w:rsidRPr="00A74937" w:rsidRDefault="00A74937" w:rsidP="00A74937">
      <w:pPr>
        <w:spacing w:after="200" w:line="276" w:lineRule="auto"/>
        <w:rPr>
          <w:rFonts w:ascii="Cambria" w:eastAsia="MS Mincho" w:hAnsi="Cambria" w:cs="Times New Roman"/>
          <w:kern w:val="0"/>
          <w:sz w:val="10"/>
          <w:szCs w:val="10"/>
          <w:lang w:val="en-US" w:eastAsia="en-US"/>
          <w14:ligatures w14:val="none"/>
        </w:rPr>
      </w:pPr>
      <w:r w:rsidRPr="00A74937">
        <w:rPr>
          <w:rFonts w:ascii="Cambria" w:eastAsia="MS Mincho" w:hAnsi="Cambria" w:cs="Times New Roman"/>
          <w:kern w:val="0"/>
          <w:sz w:val="10"/>
          <w:szCs w:val="10"/>
          <w:lang w:val="en-US" w:eastAsia="en-US"/>
          <w14:ligatures w14:val="none"/>
        </w:rPr>
        <w:t>McCormack, M. (2023) Students and Technology Report: Flexibility, Choice, and Equity in the Student Experience. Louisville, CO: EDUCAUSE.</w:t>
      </w:r>
    </w:p>
    <w:p w14:paraId="52906480" w14:textId="77777777" w:rsidR="00A74937" w:rsidRPr="00A74937" w:rsidRDefault="00A74937" w:rsidP="00A74937">
      <w:pPr>
        <w:spacing w:after="200" w:line="276" w:lineRule="auto"/>
        <w:rPr>
          <w:rFonts w:ascii="Cambria" w:eastAsia="MS Mincho" w:hAnsi="Cambria" w:cs="Times New Roman"/>
          <w:kern w:val="0"/>
          <w:sz w:val="10"/>
          <w:szCs w:val="10"/>
          <w:lang w:val="en-US" w:eastAsia="en-US"/>
          <w14:ligatures w14:val="none"/>
        </w:rPr>
      </w:pPr>
      <w:r w:rsidRPr="00A74937">
        <w:rPr>
          <w:rFonts w:ascii="Cambria" w:eastAsia="MS Mincho" w:hAnsi="Cambria" w:cs="Times New Roman"/>
          <w:kern w:val="0"/>
          <w:sz w:val="10"/>
          <w:szCs w:val="10"/>
          <w:lang w:val="en-US" w:eastAsia="en-US"/>
          <w14:ligatures w14:val="none"/>
        </w:rPr>
        <w:t>Redecker, C. (2017) European framework for the digital competence of educators. Luxembourg: Publications Office of the European Union.</w:t>
      </w:r>
    </w:p>
    <w:p w14:paraId="177D6731" w14:textId="3BA718A1" w:rsidR="00C963C3" w:rsidRPr="00E6780D" w:rsidRDefault="00C963C3" w:rsidP="00C963C3">
      <w:pPr>
        <w:ind w:left="720"/>
      </w:pPr>
    </w:p>
    <w:sectPr w:rsidR="00C963C3" w:rsidRPr="00E6780D" w:rsidSect="00A74937">
      <w:type w:val="continuous"/>
      <w:pgSz w:w="15840" w:h="12240" w:orient="landscape"/>
      <w:pgMar w:top="500" w:right="600" w:bottom="500" w:left="60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DB1A2" w14:textId="77777777" w:rsidR="00CF52CC" w:rsidRDefault="00CF52CC" w:rsidP="006D4055">
      <w:pPr>
        <w:spacing w:after="0" w:line="240" w:lineRule="auto"/>
      </w:pPr>
      <w:r>
        <w:separator/>
      </w:r>
    </w:p>
  </w:endnote>
  <w:endnote w:type="continuationSeparator" w:id="0">
    <w:p w14:paraId="4666BD04" w14:textId="77777777" w:rsidR="00CF52CC" w:rsidRDefault="00CF52CC"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A7257" w14:textId="77777777" w:rsidR="00CF52CC" w:rsidRDefault="00CF52CC" w:rsidP="006D4055">
      <w:pPr>
        <w:spacing w:after="0" w:line="240" w:lineRule="auto"/>
      </w:pPr>
      <w:r>
        <w:separator/>
      </w:r>
    </w:p>
  </w:footnote>
  <w:footnote w:type="continuationSeparator" w:id="0">
    <w:p w14:paraId="3266F2B6" w14:textId="77777777" w:rsidR="00CF52CC" w:rsidRDefault="00CF52CC"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12AA9"/>
    <w:multiLevelType w:val="multilevel"/>
    <w:tmpl w:val="C1F2F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77F30"/>
    <w:multiLevelType w:val="multilevel"/>
    <w:tmpl w:val="4F9A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06E6B"/>
    <w:multiLevelType w:val="multilevel"/>
    <w:tmpl w:val="7C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D0311A"/>
    <w:multiLevelType w:val="multilevel"/>
    <w:tmpl w:val="F84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BA60B6"/>
    <w:multiLevelType w:val="multilevel"/>
    <w:tmpl w:val="F110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35B2B"/>
    <w:multiLevelType w:val="multilevel"/>
    <w:tmpl w:val="9312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EB2C06"/>
    <w:multiLevelType w:val="multilevel"/>
    <w:tmpl w:val="1D5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7E1010"/>
    <w:multiLevelType w:val="multilevel"/>
    <w:tmpl w:val="E9C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5A7281"/>
    <w:multiLevelType w:val="multilevel"/>
    <w:tmpl w:val="3AE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C75567"/>
    <w:multiLevelType w:val="multilevel"/>
    <w:tmpl w:val="32B2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5718AF"/>
    <w:multiLevelType w:val="multilevel"/>
    <w:tmpl w:val="4F1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F0230E"/>
    <w:multiLevelType w:val="multilevel"/>
    <w:tmpl w:val="21CA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B73280"/>
    <w:multiLevelType w:val="multilevel"/>
    <w:tmpl w:val="0696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285E44"/>
    <w:multiLevelType w:val="multilevel"/>
    <w:tmpl w:val="23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4F694E"/>
    <w:multiLevelType w:val="multilevel"/>
    <w:tmpl w:val="43AE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8F7655"/>
    <w:multiLevelType w:val="multilevel"/>
    <w:tmpl w:val="BBE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530266"/>
    <w:multiLevelType w:val="multilevel"/>
    <w:tmpl w:val="490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3C7382"/>
    <w:multiLevelType w:val="multilevel"/>
    <w:tmpl w:val="133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777BEF"/>
    <w:multiLevelType w:val="multilevel"/>
    <w:tmpl w:val="CC78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1101B0"/>
    <w:multiLevelType w:val="multilevel"/>
    <w:tmpl w:val="F538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5623D5"/>
    <w:multiLevelType w:val="multilevel"/>
    <w:tmpl w:val="9E92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D320EA"/>
    <w:multiLevelType w:val="multilevel"/>
    <w:tmpl w:val="F190E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0660F7"/>
    <w:multiLevelType w:val="multilevel"/>
    <w:tmpl w:val="593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9BC757D"/>
    <w:multiLevelType w:val="multilevel"/>
    <w:tmpl w:val="0914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FD574A"/>
    <w:multiLevelType w:val="multilevel"/>
    <w:tmpl w:val="FE98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057566">
    <w:abstractNumId w:val="14"/>
  </w:num>
  <w:num w:numId="2" w16cid:durableId="93602246">
    <w:abstractNumId w:val="26"/>
  </w:num>
  <w:num w:numId="3" w16cid:durableId="1344435272">
    <w:abstractNumId w:val="6"/>
  </w:num>
  <w:num w:numId="4" w16cid:durableId="1712344868">
    <w:abstractNumId w:val="11"/>
  </w:num>
  <w:num w:numId="5" w16cid:durableId="1352295286">
    <w:abstractNumId w:val="18"/>
  </w:num>
  <w:num w:numId="6" w16cid:durableId="2115124356">
    <w:abstractNumId w:val="29"/>
  </w:num>
  <w:num w:numId="7" w16cid:durableId="2086759185">
    <w:abstractNumId w:val="17"/>
  </w:num>
  <w:num w:numId="8" w16cid:durableId="872960361">
    <w:abstractNumId w:val="16"/>
  </w:num>
  <w:num w:numId="9" w16cid:durableId="634411233">
    <w:abstractNumId w:val="27"/>
  </w:num>
  <w:num w:numId="10" w16cid:durableId="238636803">
    <w:abstractNumId w:val="7"/>
  </w:num>
  <w:num w:numId="11" w16cid:durableId="843322808">
    <w:abstractNumId w:val="20"/>
  </w:num>
  <w:num w:numId="12" w16cid:durableId="2017271467">
    <w:abstractNumId w:val="22"/>
  </w:num>
  <w:num w:numId="13" w16cid:durableId="367410237">
    <w:abstractNumId w:val="15"/>
  </w:num>
  <w:num w:numId="14" w16cid:durableId="967859512">
    <w:abstractNumId w:val="13"/>
  </w:num>
  <w:num w:numId="15" w16cid:durableId="1302073288">
    <w:abstractNumId w:val="23"/>
  </w:num>
  <w:num w:numId="16" w16cid:durableId="1710840803">
    <w:abstractNumId w:val="10"/>
  </w:num>
  <w:num w:numId="17" w16cid:durableId="1389962408">
    <w:abstractNumId w:val="19"/>
  </w:num>
  <w:num w:numId="18" w16cid:durableId="1867601031">
    <w:abstractNumId w:val="28"/>
  </w:num>
  <w:num w:numId="19" w16cid:durableId="1049035496">
    <w:abstractNumId w:val="2"/>
  </w:num>
  <w:num w:numId="20" w16cid:durableId="442461968">
    <w:abstractNumId w:val="5"/>
  </w:num>
  <w:num w:numId="21" w16cid:durableId="257644272">
    <w:abstractNumId w:val="3"/>
  </w:num>
  <w:num w:numId="22" w16cid:durableId="199050719">
    <w:abstractNumId w:val="1"/>
  </w:num>
  <w:num w:numId="23" w16cid:durableId="1524661628">
    <w:abstractNumId w:val="4"/>
  </w:num>
  <w:num w:numId="24" w16cid:durableId="1146701939">
    <w:abstractNumId w:val="21"/>
  </w:num>
  <w:num w:numId="25" w16cid:durableId="1110588447">
    <w:abstractNumId w:val="12"/>
  </w:num>
  <w:num w:numId="26" w16cid:durableId="721754015">
    <w:abstractNumId w:val="9"/>
  </w:num>
  <w:num w:numId="27" w16cid:durableId="1039814628">
    <w:abstractNumId w:val="25"/>
  </w:num>
  <w:num w:numId="28" w16cid:durableId="1120413274">
    <w:abstractNumId w:val="8"/>
  </w:num>
  <w:num w:numId="29" w16cid:durableId="498352621">
    <w:abstractNumId w:val="0"/>
  </w:num>
  <w:num w:numId="30" w16cid:durableId="113629509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53EBA"/>
    <w:rsid w:val="000B5D92"/>
    <w:rsid w:val="0019149B"/>
    <w:rsid w:val="002230CC"/>
    <w:rsid w:val="00263712"/>
    <w:rsid w:val="002D1900"/>
    <w:rsid w:val="002F5576"/>
    <w:rsid w:val="00307CD3"/>
    <w:rsid w:val="00363789"/>
    <w:rsid w:val="00391124"/>
    <w:rsid w:val="003B1399"/>
    <w:rsid w:val="003C3B5F"/>
    <w:rsid w:val="003E5E22"/>
    <w:rsid w:val="003F63C4"/>
    <w:rsid w:val="00434A22"/>
    <w:rsid w:val="00444943"/>
    <w:rsid w:val="004921FD"/>
    <w:rsid w:val="004B3716"/>
    <w:rsid w:val="004C1AA2"/>
    <w:rsid w:val="00692819"/>
    <w:rsid w:val="006A5C5F"/>
    <w:rsid w:val="006B3C7C"/>
    <w:rsid w:val="006D4055"/>
    <w:rsid w:val="006F18EA"/>
    <w:rsid w:val="007421E0"/>
    <w:rsid w:val="00742574"/>
    <w:rsid w:val="007533FC"/>
    <w:rsid w:val="00753E19"/>
    <w:rsid w:val="00787332"/>
    <w:rsid w:val="007946CC"/>
    <w:rsid w:val="00813EB3"/>
    <w:rsid w:val="00842AC9"/>
    <w:rsid w:val="00895E11"/>
    <w:rsid w:val="008C305F"/>
    <w:rsid w:val="0093079D"/>
    <w:rsid w:val="0097469F"/>
    <w:rsid w:val="0098626B"/>
    <w:rsid w:val="009A129C"/>
    <w:rsid w:val="009A41CE"/>
    <w:rsid w:val="009F24C9"/>
    <w:rsid w:val="009F6CF3"/>
    <w:rsid w:val="00A74937"/>
    <w:rsid w:val="00A85354"/>
    <w:rsid w:val="00AB6E68"/>
    <w:rsid w:val="00AC473C"/>
    <w:rsid w:val="00AD4604"/>
    <w:rsid w:val="00B668ED"/>
    <w:rsid w:val="00BA34E0"/>
    <w:rsid w:val="00BB244D"/>
    <w:rsid w:val="00BE61EA"/>
    <w:rsid w:val="00C2278C"/>
    <w:rsid w:val="00C963C3"/>
    <w:rsid w:val="00CF52CC"/>
    <w:rsid w:val="00D14056"/>
    <w:rsid w:val="00D23C8B"/>
    <w:rsid w:val="00D44A3B"/>
    <w:rsid w:val="00D8134F"/>
    <w:rsid w:val="00D95C9F"/>
    <w:rsid w:val="00DB3AE7"/>
    <w:rsid w:val="00DE22B3"/>
    <w:rsid w:val="00E6780D"/>
    <w:rsid w:val="00EC2CD8"/>
    <w:rsid w:val="00EF669D"/>
    <w:rsid w:val="00EF71BD"/>
    <w:rsid w:val="00F00140"/>
    <w:rsid w:val="00F80DBD"/>
    <w:rsid w:val="00F974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TOCHeading">
    <w:name w:val="TOC Heading"/>
    <w:basedOn w:val="Heading1"/>
    <w:next w:val="Normal"/>
    <w:uiPriority w:val="39"/>
    <w:unhideWhenUsed/>
    <w:qFormat/>
    <w:rsid w:val="00C963C3"/>
    <w:pPr>
      <w:spacing w:before="240" w:after="0" w:line="259" w:lineRule="auto"/>
      <w:outlineLvl w:val="9"/>
    </w:pPr>
    <w:rPr>
      <w:kern w:val="0"/>
      <w:sz w:val="32"/>
      <w:szCs w:val="32"/>
      <w:lang w:val="en-US" w:eastAsia="en-US"/>
      <w14:ligatures w14:val="none"/>
    </w:rPr>
  </w:style>
  <w:style w:type="table" w:styleId="TableGrid">
    <w:name w:val="Table Grid"/>
    <w:basedOn w:val="TableNormal"/>
    <w:uiPriority w:val="39"/>
    <w:rsid w:val="00B6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668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13</Pages>
  <Words>2153</Words>
  <Characters>13845</Characters>
  <Application>Microsoft Office Word</Application>
  <DocSecurity>0</DocSecurity>
  <Lines>419</Lines>
  <Paragraphs>104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jason wilson</cp:lastModifiedBy>
  <cp:revision>10</cp:revision>
  <dcterms:created xsi:type="dcterms:W3CDTF">2026-02-09T23:02:00Z</dcterms:created>
  <dcterms:modified xsi:type="dcterms:W3CDTF">2026-02-24T01:53:00Z</dcterms:modified>
</cp:coreProperties>
</file>