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2D4950" w14:textId="77777777" w:rsidR="00C775AD" w:rsidRDefault="003B3B5B">
      <w:pPr>
        <w:spacing w:before="700" w:after="160"/>
        <w:jc w:val="center"/>
      </w:pPr>
      <w:r>
        <w:rPr>
          <w:noProof/>
        </w:rPr>
        <w:drawing>
          <wp:inline distT="0" distB="0" distL="0" distR="0" wp14:anchorId="0B75A162" wp14:editId="3ABCEAF1">
            <wp:extent cx="1809750" cy="819150"/>
            <wp:effectExtent l="0" t="0" r="0" b="0"/>
            <wp:docPr id="1" name="UWTSD_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1809750" cy="819150"/>
                    </a:xfrm>
                    <a:prstGeom prst="rect">
                      <a:avLst/>
                    </a:prstGeom>
                  </pic:spPr>
                </pic:pic>
              </a:graphicData>
            </a:graphic>
          </wp:inline>
        </w:drawing>
      </w:r>
    </w:p>
    <w:p w14:paraId="62623FCE" w14:textId="77777777" w:rsidR="00C775AD" w:rsidRDefault="00C775AD">
      <w:pPr>
        <w:pBdr>
          <w:bottom w:val="single" w:sz="14" w:space="6" w:color="1F6F78"/>
        </w:pBdr>
        <w:spacing w:after="40"/>
        <w:jc w:val="center"/>
      </w:pPr>
    </w:p>
    <w:p w14:paraId="6E369A96" w14:textId="77777777" w:rsidR="00C775AD" w:rsidRDefault="003B3B5B">
      <w:pPr>
        <w:spacing w:before="260" w:after="80"/>
        <w:jc w:val="center"/>
      </w:pPr>
      <w:r>
        <w:rPr>
          <w:rFonts w:ascii="Georgia" w:eastAsia="Georgia" w:hAnsi="Georgia" w:cs="Georgia"/>
          <w:b/>
          <w:bCs/>
          <w:color w:val="C2772E"/>
          <w:sz w:val="22"/>
          <w:szCs w:val="22"/>
        </w:rPr>
        <w:t>RESEARCH PROPOSAL</w:t>
      </w:r>
    </w:p>
    <w:p w14:paraId="3FD55F6F" w14:textId="77777777" w:rsidR="00C775AD" w:rsidRDefault="003B3B5B">
      <w:pPr>
        <w:spacing w:after="120"/>
        <w:jc w:val="center"/>
      </w:pPr>
      <w:r>
        <w:rPr>
          <w:rFonts w:ascii="Georgia" w:eastAsia="Georgia" w:hAnsi="Georgia" w:cs="Georgia"/>
          <w:b/>
          <w:bCs/>
          <w:color w:val="1F6F78"/>
          <w:sz w:val="34"/>
          <w:szCs w:val="34"/>
        </w:rPr>
        <w:t>The Impact of Corporate Social Responsibility on Customer Loyalty in UK Independent Coffee Shops</w:t>
      </w:r>
    </w:p>
    <w:p w14:paraId="77BAF139" w14:textId="77777777" w:rsidR="00C775AD" w:rsidRDefault="003B3B5B">
      <w:pPr>
        <w:spacing w:after="60"/>
        <w:jc w:val="center"/>
      </w:pPr>
      <w:r>
        <w:rPr>
          <w:i/>
          <w:iCs/>
          <w:color w:val="000000"/>
          <w:sz w:val="24"/>
          <w:szCs w:val="24"/>
        </w:rPr>
        <w:t>A Mixed Methods Research Proposal</w:t>
      </w:r>
    </w:p>
    <w:p w14:paraId="59C517FC" w14:textId="77777777" w:rsidR="00C775AD" w:rsidRDefault="00C775AD">
      <w:pPr>
        <w:pBdr>
          <w:bottom w:val="single" w:sz="6" w:space="6" w:color="C2772E"/>
        </w:pBdr>
        <w:spacing w:before="100" w:after="380"/>
        <w:jc w:val="center"/>
      </w:pPr>
    </w:p>
    <w:p w14:paraId="7935F72F" w14:textId="68817E60" w:rsidR="00C775AD" w:rsidRDefault="003B3B5B">
      <w:pPr>
        <w:spacing w:after="130" w:line="276" w:lineRule="auto"/>
      </w:pPr>
      <w:r>
        <w:rPr>
          <w:b/>
          <w:bCs/>
          <w:color w:val="1F6F78"/>
        </w:rPr>
        <w:t xml:space="preserve">Programme:   </w:t>
      </w:r>
      <w:r>
        <w:rPr>
          <w:color w:val="000000"/>
        </w:rPr>
        <w:t>BA Developing Leadership and Managemen</w:t>
      </w:r>
      <w:r w:rsidR="0081155E">
        <w:rPr>
          <w:color w:val="000000"/>
        </w:rPr>
        <w:t>t</w:t>
      </w:r>
    </w:p>
    <w:p w14:paraId="2658C1B5" w14:textId="77777777" w:rsidR="00C775AD" w:rsidRDefault="003B3B5B">
      <w:pPr>
        <w:spacing w:after="130" w:line="276" w:lineRule="auto"/>
      </w:pPr>
      <w:r>
        <w:rPr>
          <w:b/>
          <w:bCs/>
          <w:color w:val="1F6F78"/>
        </w:rPr>
        <w:t xml:space="preserve">Module:   </w:t>
      </w:r>
      <w:r>
        <w:rPr>
          <w:color w:val="000000"/>
        </w:rPr>
        <w:t>Developing a Research Proposal (BMSW5014)</w:t>
      </w:r>
    </w:p>
    <w:p w14:paraId="360C0B5B" w14:textId="77777777" w:rsidR="00C775AD" w:rsidRDefault="003B3B5B">
      <w:pPr>
        <w:spacing w:after="130" w:line="276" w:lineRule="auto"/>
      </w:pPr>
      <w:r>
        <w:rPr>
          <w:b/>
          <w:bCs/>
          <w:color w:val="1F6F78"/>
        </w:rPr>
        <w:t xml:space="preserve">Module Lead:   </w:t>
      </w:r>
      <w:r>
        <w:rPr>
          <w:color w:val="000000"/>
        </w:rPr>
        <w:t>Jaliya De Silva</w:t>
      </w:r>
    </w:p>
    <w:p w14:paraId="071C6A4B" w14:textId="77777777" w:rsidR="00C775AD" w:rsidRDefault="003B3B5B">
      <w:pPr>
        <w:spacing w:after="130" w:line="276" w:lineRule="auto"/>
      </w:pPr>
      <w:r>
        <w:rPr>
          <w:b/>
          <w:bCs/>
          <w:color w:val="1F6F78"/>
        </w:rPr>
        <w:t xml:space="preserve">Student:   </w:t>
      </w:r>
      <w:r>
        <w:rPr>
          <w:color w:val="000000"/>
        </w:rPr>
        <w:t>Florina Dinitica</w:t>
      </w:r>
    </w:p>
    <w:p w14:paraId="6826769E" w14:textId="77777777" w:rsidR="00C775AD" w:rsidRDefault="003B3B5B">
      <w:pPr>
        <w:spacing w:after="130" w:line="276" w:lineRule="auto"/>
      </w:pPr>
      <w:r>
        <w:rPr>
          <w:b/>
          <w:bCs/>
          <w:color w:val="1F6F78"/>
        </w:rPr>
        <w:t xml:space="preserve">Student ID:   </w:t>
      </w:r>
      <w:r>
        <w:rPr>
          <w:color w:val="000000"/>
        </w:rPr>
        <w:t>2321857</w:t>
      </w:r>
    </w:p>
    <w:p w14:paraId="4E894BC2" w14:textId="212657C1" w:rsidR="00C775AD" w:rsidRDefault="003B3B5B" w:rsidP="0081155E">
      <w:pPr>
        <w:spacing w:after="130" w:line="276" w:lineRule="auto"/>
      </w:pPr>
      <w:r>
        <w:rPr>
          <w:b/>
          <w:bCs/>
          <w:color w:val="1F6F78"/>
        </w:rPr>
        <w:t xml:space="preserve">Date:   </w:t>
      </w:r>
      <w:r>
        <w:rPr>
          <w:color w:val="000000"/>
        </w:rPr>
        <w:t>26 June 2026</w:t>
      </w:r>
      <w:r>
        <w:br w:type="page"/>
      </w:r>
    </w:p>
    <w:p w14:paraId="042C25ED" w14:textId="77777777" w:rsidR="00C775AD" w:rsidRDefault="003B3B5B">
      <w:pPr>
        <w:spacing w:before="240" w:after="200"/>
        <w:jc w:val="center"/>
      </w:pPr>
      <w:r>
        <w:rPr>
          <w:rFonts w:ascii="Georgia" w:eastAsia="Georgia" w:hAnsi="Georgia" w:cs="Georgia"/>
          <w:b/>
          <w:bCs/>
          <w:color w:val="1F6F78"/>
          <w:sz w:val="26"/>
          <w:szCs w:val="26"/>
        </w:rPr>
        <w:t>Table of Contents</w:t>
      </w:r>
    </w:p>
    <w:p w14:paraId="2CB79D69" w14:textId="77777777" w:rsidR="00C775AD" w:rsidRDefault="00C775AD">
      <w:pPr>
        <w:shd w:val="clear" w:color="auto" w:fill="E4F0F0"/>
        <w:tabs>
          <w:tab w:val="right" w:pos="9026"/>
        </w:tabs>
        <w:spacing w:before="80" w:after="50" w:line="276" w:lineRule="auto"/>
        <w:ind w:left="90"/>
      </w:pPr>
      <w:hyperlink w:anchor="bm1Introduction" w:history="1">
        <w:r>
          <w:rPr>
            <w:rFonts w:ascii="Georgia" w:eastAsia="Georgia" w:hAnsi="Georgia" w:cs="Georgia"/>
            <w:b/>
            <w:bCs/>
            <w:color w:val="1F6F78"/>
          </w:rPr>
          <w:t>1. Introduction</w:t>
        </w:r>
      </w:hyperlink>
      <w:r w:rsidR="003B3B5B">
        <w:rPr>
          <w:b/>
          <w:bCs/>
          <w:color w:val="1F6F78"/>
          <w:sz w:val="22"/>
          <w:szCs w:val="22"/>
        </w:rPr>
        <w:tab/>
        <w:t>3</w:t>
      </w:r>
    </w:p>
    <w:p w14:paraId="1B1E9459" w14:textId="77777777" w:rsidR="00C775AD" w:rsidRDefault="00C775AD">
      <w:pPr>
        <w:tabs>
          <w:tab w:val="right" w:pos="9026"/>
        </w:tabs>
        <w:spacing w:after="60" w:line="276" w:lineRule="auto"/>
        <w:ind w:left="470"/>
      </w:pPr>
      <w:hyperlink w:anchor="bm11BackgroundandRationale" w:history="1">
        <w:r>
          <w:rPr>
            <w:color w:val="000000"/>
            <w:sz w:val="22"/>
            <w:szCs w:val="22"/>
          </w:rPr>
          <w:t>1.1 Background and Rationale</w:t>
        </w:r>
      </w:hyperlink>
      <w:r w:rsidR="003B3B5B">
        <w:rPr>
          <w:color w:val="404040"/>
          <w:sz w:val="22"/>
          <w:szCs w:val="22"/>
        </w:rPr>
        <w:tab/>
        <w:t>3</w:t>
      </w:r>
    </w:p>
    <w:p w14:paraId="7F2DCD94" w14:textId="77777777" w:rsidR="00C775AD" w:rsidRDefault="00C775AD">
      <w:pPr>
        <w:tabs>
          <w:tab w:val="right" w:pos="9026"/>
        </w:tabs>
        <w:spacing w:after="60" w:line="276" w:lineRule="auto"/>
        <w:ind w:left="470"/>
      </w:pPr>
      <w:hyperlink w:anchor="bm12AimObjectivesandResearchQuestions" w:history="1">
        <w:r>
          <w:rPr>
            <w:color w:val="000000"/>
            <w:sz w:val="22"/>
            <w:szCs w:val="22"/>
          </w:rPr>
          <w:t>1.2 Aim, Objectives and Research Questions</w:t>
        </w:r>
      </w:hyperlink>
      <w:r w:rsidR="003B3B5B">
        <w:rPr>
          <w:color w:val="404040"/>
          <w:sz w:val="22"/>
          <w:szCs w:val="22"/>
        </w:rPr>
        <w:tab/>
        <w:t>3</w:t>
      </w:r>
    </w:p>
    <w:p w14:paraId="1B34B043" w14:textId="77777777" w:rsidR="00C775AD" w:rsidRDefault="00C775AD">
      <w:pPr>
        <w:tabs>
          <w:tab w:val="right" w:pos="9026"/>
        </w:tabs>
        <w:spacing w:after="60" w:line="276" w:lineRule="auto"/>
        <w:ind w:left="470"/>
      </w:pPr>
      <w:hyperlink w:anchor="bm13SignificanceandScope" w:history="1">
        <w:r>
          <w:rPr>
            <w:color w:val="000000"/>
            <w:sz w:val="22"/>
            <w:szCs w:val="22"/>
          </w:rPr>
          <w:t>1.3 Significance and Scope</w:t>
        </w:r>
      </w:hyperlink>
      <w:r w:rsidR="003B3B5B">
        <w:rPr>
          <w:color w:val="404040"/>
          <w:sz w:val="22"/>
          <w:szCs w:val="22"/>
        </w:rPr>
        <w:tab/>
        <w:t>3</w:t>
      </w:r>
    </w:p>
    <w:p w14:paraId="4F5AB9CE" w14:textId="77777777" w:rsidR="00C775AD" w:rsidRDefault="00C775AD">
      <w:pPr>
        <w:shd w:val="clear" w:color="auto" w:fill="E4F0F0"/>
        <w:tabs>
          <w:tab w:val="right" w:pos="9026"/>
        </w:tabs>
        <w:spacing w:before="80" w:after="50" w:line="276" w:lineRule="auto"/>
        <w:ind w:left="90"/>
      </w:pPr>
      <w:hyperlink w:anchor="bm2LiteratureReview" w:history="1">
        <w:r>
          <w:rPr>
            <w:rFonts w:ascii="Georgia" w:eastAsia="Georgia" w:hAnsi="Georgia" w:cs="Georgia"/>
            <w:b/>
            <w:bCs/>
            <w:color w:val="1F6F78"/>
          </w:rPr>
          <w:t>2. Literature Review</w:t>
        </w:r>
      </w:hyperlink>
      <w:r w:rsidR="003B3B5B">
        <w:rPr>
          <w:b/>
          <w:bCs/>
          <w:color w:val="1F6F78"/>
          <w:sz w:val="22"/>
          <w:szCs w:val="22"/>
        </w:rPr>
        <w:tab/>
        <w:t>4</w:t>
      </w:r>
    </w:p>
    <w:p w14:paraId="6696E7E7" w14:textId="77777777" w:rsidR="00C775AD" w:rsidRDefault="00C775AD">
      <w:pPr>
        <w:tabs>
          <w:tab w:val="right" w:pos="9026"/>
        </w:tabs>
        <w:spacing w:after="60" w:line="276" w:lineRule="auto"/>
        <w:ind w:left="470"/>
      </w:pPr>
      <w:hyperlink w:anchor="bm21CorporateSocialResponsibilityConceptsandTheory" w:history="1">
        <w:r>
          <w:rPr>
            <w:color w:val="000000"/>
            <w:sz w:val="22"/>
            <w:szCs w:val="22"/>
          </w:rPr>
          <w:t>2.1 Corporate Social Responsibility: Concepts and Theory</w:t>
        </w:r>
      </w:hyperlink>
      <w:r w:rsidR="003B3B5B">
        <w:rPr>
          <w:color w:val="404040"/>
          <w:sz w:val="22"/>
          <w:szCs w:val="22"/>
        </w:rPr>
        <w:tab/>
        <w:t>4</w:t>
      </w:r>
    </w:p>
    <w:p w14:paraId="464B817A" w14:textId="77777777" w:rsidR="00C775AD" w:rsidRDefault="00C775AD">
      <w:pPr>
        <w:tabs>
          <w:tab w:val="right" w:pos="9026"/>
        </w:tabs>
        <w:spacing w:after="60" w:line="276" w:lineRule="auto"/>
        <w:ind w:left="470"/>
      </w:pPr>
      <w:hyperlink w:anchor="bm22CustomerLoyaltyandItsDimensions" w:history="1">
        <w:r>
          <w:rPr>
            <w:color w:val="000000"/>
            <w:sz w:val="22"/>
            <w:szCs w:val="22"/>
          </w:rPr>
          <w:t>2.2 Customer Loyalty and Its Dimensions</w:t>
        </w:r>
      </w:hyperlink>
      <w:r w:rsidR="003B3B5B">
        <w:rPr>
          <w:color w:val="404040"/>
          <w:sz w:val="22"/>
          <w:szCs w:val="22"/>
        </w:rPr>
        <w:tab/>
        <w:t>4</w:t>
      </w:r>
    </w:p>
    <w:p w14:paraId="59B30920" w14:textId="77777777" w:rsidR="00C775AD" w:rsidRDefault="00C775AD">
      <w:pPr>
        <w:tabs>
          <w:tab w:val="right" w:pos="9026"/>
        </w:tabs>
        <w:spacing w:after="60" w:line="276" w:lineRule="auto"/>
        <w:ind w:left="470"/>
      </w:pPr>
      <w:hyperlink w:anchor="bm23TheCSRLoyaltyRelationship" w:history="1">
        <w:r>
          <w:rPr>
            <w:color w:val="000000"/>
            <w:sz w:val="22"/>
            <w:szCs w:val="22"/>
          </w:rPr>
          <w:t>2.3 The CSR–Loyalty Relationship</w:t>
        </w:r>
      </w:hyperlink>
      <w:r w:rsidR="003B3B5B">
        <w:rPr>
          <w:color w:val="404040"/>
          <w:sz w:val="22"/>
          <w:szCs w:val="22"/>
        </w:rPr>
        <w:tab/>
        <w:t>5</w:t>
      </w:r>
    </w:p>
    <w:p w14:paraId="4471E85E" w14:textId="77777777" w:rsidR="00C775AD" w:rsidRDefault="00C775AD">
      <w:pPr>
        <w:tabs>
          <w:tab w:val="right" w:pos="9026"/>
        </w:tabs>
        <w:spacing w:after="60" w:line="276" w:lineRule="auto"/>
        <w:ind w:left="470"/>
      </w:pPr>
      <w:hyperlink w:anchor="bm24CSRinSmallandIndependentFirms" w:history="1">
        <w:r>
          <w:rPr>
            <w:color w:val="000000"/>
            <w:sz w:val="22"/>
            <w:szCs w:val="22"/>
          </w:rPr>
          <w:t>2.4 CSR in Small and Independent Firms</w:t>
        </w:r>
      </w:hyperlink>
      <w:r w:rsidR="003B3B5B">
        <w:rPr>
          <w:color w:val="404040"/>
          <w:sz w:val="22"/>
          <w:szCs w:val="22"/>
        </w:rPr>
        <w:tab/>
        <w:t>5</w:t>
      </w:r>
    </w:p>
    <w:p w14:paraId="60EC2C86" w14:textId="77777777" w:rsidR="00C775AD" w:rsidRDefault="00C775AD">
      <w:pPr>
        <w:tabs>
          <w:tab w:val="right" w:pos="9026"/>
        </w:tabs>
        <w:spacing w:after="60" w:line="276" w:lineRule="auto"/>
        <w:ind w:left="470"/>
      </w:pPr>
      <w:hyperlink w:anchor="bm25SynthesisandResearchGap" w:history="1">
        <w:r>
          <w:rPr>
            <w:color w:val="000000"/>
            <w:sz w:val="22"/>
            <w:szCs w:val="22"/>
          </w:rPr>
          <w:t>2.5 Synthesis and Research Gap</w:t>
        </w:r>
      </w:hyperlink>
      <w:r w:rsidR="003B3B5B">
        <w:rPr>
          <w:color w:val="404040"/>
          <w:sz w:val="22"/>
          <w:szCs w:val="22"/>
        </w:rPr>
        <w:tab/>
        <w:t>6</w:t>
      </w:r>
    </w:p>
    <w:p w14:paraId="5F74EA5E" w14:textId="77777777" w:rsidR="00C775AD" w:rsidRDefault="00C775AD">
      <w:pPr>
        <w:shd w:val="clear" w:color="auto" w:fill="E4F0F0"/>
        <w:tabs>
          <w:tab w:val="right" w:pos="9026"/>
        </w:tabs>
        <w:spacing w:before="80" w:after="50" w:line="276" w:lineRule="auto"/>
        <w:ind w:left="90"/>
      </w:pPr>
      <w:hyperlink w:anchor="bm3ResearchMethodology" w:history="1">
        <w:r>
          <w:rPr>
            <w:rFonts w:ascii="Georgia" w:eastAsia="Georgia" w:hAnsi="Georgia" w:cs="Georgia"/>
            <w:b/>
            <w:bCs/>
            <w:color w:val="1F6F78"/>
          </w:rPr>
          <w:t>3. Research Methodology</w:t>
        </w:r>
      </w:hyperlink>
      <w:r w:rsidR="003B3B5B">
        <w:rPr>
          <w:b/>
          <w:bCs/>
          <w:color w:val="1F6F78"/>
          <w:sz w:val="22"/>
          <w:szCs w:val="22"/>
        </w:rPr>
        <w:tab/>
        <w:t>6</w:t>
      </w:r>
    </w:p>
    <w:p w14:paraId="23500240" w14:textId="77777777" w:rsidR="00C775AD" w:rsidRDefault="00C775AD">
      <w:pPr>
        <w:tabs>
          <w:tab w:val="right" w:pos="9026"/>
        </w:tabs>
        <w:spacing w:after="60" w:line="276" w:lineRule="auto"/>
        <w:ind w:left="470"/>
      </w:pPr>
      <w:hyperlink w:anchor="bm31ResearchPhilosophyandApproach" w:history="1">
        <w:r>
          <w:rPr>
            <w:color w:val="000000"/>
            <w:sz w:val="22"/>
            <w:szCs w:val="22"/>
          </w:rPr>
          <w:t>3.1 Research Philosophy and Approach</w:t>
        </w:r>
      </w:hyperlink>
      <w:r w:rsidR="003B3B5B">
        <w:rPr>
          <w:color w:val="404040"/>
          <w:sz w:val="22"/>
          <w:szCs w:val="22"/>
        </w:rPr>
        <w:tab/>
        <w:t>6</w:t>
      </w:r>
    </w:p>
    <w:p w14:paraId="4F730C85" w14:textId="77777777" w:rsidR="00C775AD" w:rsidRDefault="00C775AD">
      <w:pPr>
        <w:tabs>
          <w:tab w:val="right" w:pos="9026"/>
        </w:tabs>
        <w:spacing w:after="60" w:line="276" w:lineRule="auto"/>
        <w:ind w:left="470"/>
      </w:pPr>
      <w:hyperlink w:anchor="bm32MixedMethodsResearchDesign" w:history="1">
        <w:r>
          <w:rPr>
            <w:color w:val="000000"/>
            <w:sz w:val="22"/>
            <w:szCs w:val="22"/>
          </w:rPr>
          <w:t>3.2 Mixed Methods Research Design</w:t>
        </w:r>
      </w:hyperlink>
      <w:r w:rsidR="003B3B5B">
        <w:rPr>
          <w:color w:val="404040"/>
          <w:sz w:val="22"/>
          <w:szCs w:val="22"/>
        </w:rPr>
        <w:tab/>
        <w:t>6</w:t>
      </w:r>
    </w:p>
    <w:p w14:paraId="0BB417CC" w14:textId="77777777" w:rsidR="00C775AD" w:rsidRDefault="00C775AD">
      <w:pPr>
        <w:tabs>
          <w:tab w:val="right" w:pos="9026"/>
        </w:tabs>
        <w:spacing w:after="60" w:line="276" w:lineRule="auto"/>
        <w:ind w:left="470"/>
      </w:pPr>
      <w:hyperlink w:anchor="bm33DataCollectionandInstruments" w:history="1">
        <w:r>
          <w:rPr>
            <w:color w:val="000000"/>
            <w:sz w:val="22"/>
            <w:szCs w:val="22"/>
          </w:rPr>
          <w:t>3.3 Data Collection and Instruments</w:t>
        </w:r>
      </w:hyperlink>
      <w:r w:rsidR="003B3B5B">
        <w:rPr>
          <w:color w:val="404040"/>
          <w:sz w:val="22"/>
          <w:szCs w:val="22"/>
        </w:rPr>
        <w:tab/>
        <w:t>7</w:t>
      </w:r>
    </w:p>
    <w:p w14:paraId="1701998B" w14:textId="77777777" w:rsidR="00C775AD" w:rsidRDefault="00C775AD">
      <w:pPr>
        <w:tabs>
          <w:tab w:val="right" w:pos="9026"/>
        </w:tabs>
        <w:spacing w:after="60" w:line="276" w:lineRule="auto"/>
        <w:ind w:left="470"/>
      </w:pPr>
      <w:hyperlink w:anchor="bm34ReliabilityandValidity" w:history="1">
        <w:r>
          <w:rPr>
            <w:color w:val="000000"/>
            <w:sz w:val="22"/>
            <w:szCs w:val="22"/>
          </w:rPr>
          <w:t>3.4 Reliability and Validity</w:t>
        </w:r>
      </w:hyperlink>
      <w:r w:rsidR="003B3B5B">
        <w:rPr>
          <w:color w:val="404040"/>
          <w:sz w:val="22"/>
          <w:szCs w:val="22"/>
        </w:rPr>
        <w:tab/>
        <w:t>7</w:t>
      </w:r>
    </w:p>
    <w:p w14:paraId="336C3852" w14:textId="77777777" w:rsidR="00C775AD" w:rsidRDefault="00C775AD">
      <w:pPr>
        <w:tabs>
          <w:tab w:val="right" w:pos="9026"/>
        </w:tabs>
        <w:spacing w:after="60" w:line="276" w:lineRule="auto"/>
        <w:ind w:left="470"/>
      </w:pPr>
      <w:hyperlink w:anchor="bm35ParticipantsandSampling" w:history="1">
        <w:r>
          <w:rPr>
            <w:color w:val="000000"/>
            <w:sz w:val="22"/>
            <w:szCs w:val="22"/>
          </w:rPr>
          <w:t>3.5 Participants and Sampling</w:t>
        </w:r>
      </w:hyperlink>
      <w:r w:rsidR="003B3B5B">
        <w:rPr>
          <w:color w:val="404040"/>
          <w:sz w:val="22"/>
          <w:szCs w:val="22"/>
        </w:rPr>
        <w:tab/>
        <w:t>8</w:t>
      </w:r>
    </w:p>
    <w:p w14:paraId="59B97EEC" w14:textId="77777777" w:rsidR="00C775AD" w:rsidRDefault="00C775AD">
      <w:pPr>
        <w:tabs>
          <w:tab w:val="right" w:pos="9026"/>
        </w:tabs>
        <w:spacing w:after="60" w:line="276" w:lineRule="auto"/>
        <w:ind w:left="470"/>
      </w:pPr>
      <w:hyperlink w:anchor="bm36DataAnalysis" w:history="1">
        <w:r>
          <w:rPr>
            <w:color w:val="000000"/>
            <w:sz w:val="22"/>
            <w:szCs w:val="22"/>
          </w:rPr>
          <w:t>3.6 Data Analysis</w:t>
        </w:r>
      </w:hyperlink>
      <w:r w:rsidR="003B3B5B">
        <w:rPr>
          <w:color w:val="404040"/>
          <w:sz w:val="22"/>
          <w:szCs w:val="22"/>
        </w:rPr>
        <w:tab/>
        <w:t>8</w:t>
      </w:r>
    </w:p>
    <w:p w14:paraId="3C471B78" w14:textId="77777777" w:rsidR="00C775AD" w:rsidRDefault="00C775AD">
      <w:pPr>
        <w:tabs>
          <w:tab w:val="right" w:pos="9026"/>
        </w:tabs>
        <w:spacing w:after="60" w:line="276" w:lineRule="auto"/>
        <w:ind w:left="470"/>
      </w:pPr>
      <w:hyperlink w:anchor="bm37EthicalConsiderations" w:history="1">
        <w:r>
          <w:rPr>
            <w:color w:val="000000"/>
            <w:sz w:val="22"/>
            <w:szCs w:val="22"/>
          </w:rPr>
          <w:t>3.7 Ethical Considerations</w:t>
        </w:r>
      </w:hyperlink>
      <w:r w:rsidR="003B3B5B">
        <w:rPr>
          <w:color w:val="404040"/>
          <w:sz w:val="22"/>
          <w:szCs w:val="22"/>
        </w:rPr>
        <w:tab/>
        <w:t>8</w:t>
      </w:r>
    </w:p>
    <w:p w14:paraId="0EF5AE7A" w14:textId="77777777" w:rsidR="00C775AD" w:rsidRDefault="00C775AD">
      <w:pPr>
        <w:tabs>
          <w:tab w:val="right" w:pos="9026"/>
        </w:tabs>
        <w:spacing w:after="60" w:line="276" w:lineRule="auto"/>
        <w:ind w:left="470"/>
      </w:pPr>
      <w:hyperlink w:anchor="bm38LimitationsoftheProposedDesign" w:history="1">
        <w:r>
          <w:rPr>
            <w:color w:val="000000"/>
            <w:sz w:val="22"/>
            <w:szCs w:val="22"/>
          </w:rPr>
          <w:t>3.8 Limitations of the Proposed Design</w:t>
        </w:r>
      </w:hyperlink>
      <w:r w:rsidR="003B3B5B">
        <w:rPr>
          <w:color w:val="404040"/>
          <w:sz w:val="22"/>
          <w:szCs w:val="22"/>
        </w:rPr>
        <w:tab/>
        <w:t>8</w:t>
      </w:r>
    </w:p>
    <w:p w14:paraId="023336AC" w14:textId="77777777" w:rsidR="00C775AD" w:rsidRDefault="00C775AD">
      <w:pPr>
        <w:shd w:val="clear" w:color="auto" w:fill="E4F0F0"/>
        <w:tabs>
          <w:tab w:val="right" w:pos="9026"/>
        </w:tabs>
        <w:spacing w:before="80" w:after="50" w:line="276" w:lineRule="auto"/>
        <w:ind w:left="90"/>
      </w:pPr>
      <w:hyperlink w:anchor="bm4ProjectPlanandTimeline" w:history="1">
        <w:r>
          <w:rPr>
            <w:rFonts w:ascii="Georgia" w:eastAsia="Georgia" w:hAnsi="Georgia" w:cs="Georgia"/>
            <w:b/>
            <w:bCs/>
            <w:color w:val="1F6F78"/>
          </w:rPr>
          <w:t>4. Project Plan and Timeline</w:t>
        </w:r>
      </w:hyperlink>
      <w:r w:rsidR="003B3B5B">
        <w:rPr>
          <w:b/>
          <w:bCs/>
          <w:color w:val="1F6F78"/>
          <w:sz w:val="22"/>
          <w:szCs w:val="22"/>
        </w:rPr>
        <w:tab/>
        <w:t>9</w:t>
      </w:r>
    </w:p>
    <w:p w14:paraId="01C50861" w14:textId="77777777" w:rsidR="00C775AD" w:rsidRDefault="00C775AD">
      <w:pPr>
        <w:shd w:val="clear" w:color="auto" w:fill="E4F0F0"/>
        <w:tabs>
          <w:tab w:val="right" w:pos="9026"/>
        </w:tabs>
        <w:spacing w:before="80" w:after="50" w:line="276" w:lineRule="auto"/>
        <w:ind w:left="90"/>
      </w:pPr>
      <w:hyperlink w:anchor="bmReferenceList" w:history="1">
        <w:r>
          <w:rPr>
            <w:rFonts w:ascii="Georgia" w:eastAsia="Georgia" w:hAnsi="Georgia" w:cs="Georgia"/>
            <w:b/>
            <w:bCs/>
            <w:color w:val="1F6F78"/>
          </w:rPr>
          <w:t>Reference List</w:t>
        </w:r>
      </w:hyperlink>
      <w:r w:rsidR="003B3B5B">
        <w:rPr>
          <w:b/>
          <w:bCs/>
          <w:color w:val="1F6F78"/>
          <w:sz w:val="22"/>
          <w:szCs w:val="22"/>
        </w:rPr>
        <w:tab/>
        <w:t>10</w:t>
      </w:r>
    </w:p>
    <w:p w14:paraId="7EDF24F0" w14:textId="77777777" w:rsidR="00C775AD" w:rsidRDefault="00C775AD">
      <w:pPr>
        <w:shd w:val="clear" w:color="auto" w:fill="E4F0F0"/>
        <w:tabs>
          <w:tab w:val="right" w:pos="9026"/>
        </w:tabs>
        <w:spacing w:before="80" w:after="50" w:line="276" w:lineRule="auto"/>
        <w:ind w:left="90"/>
      </w:pPr>
      <w:hyperlink w:anchor="bmAppendixADraftQuestionnaireConstructs" w:history="1">
        <w:r>
          <w:rPr>
            <w:rFonts w:ascii="Georgia" w:eastAsia="Georgia" w:hAnsi="Georgia" w:cs="Georgia"/>
            <w:b/>
            <w:bCs/>
            <w:color w:val="1F6F78"/>
          </w:rPr>
          <w:t>Appendix A – Draft Questionnaire Constructs</w:t>
        </w:r>
      </w:hyperlink>
      <w:r w:rsidR="003B3B5B">
        <w:rPr>
          <w:b/>
          <w:bCs/>
          <w:color w:val="1F6F78"/>
          <w:sz w:val="22"/>
          <w:szCs w:val="22"/>
        </w:rPr>
        <w:tab/>
        <w:t>12</w:t>
      </w:r>
    </w:p>
    <w:p w14:paraId="519908C3" w14:textId="77777777" w:rsidR="00C775AD" w:rsidRDefault="00C775AD">
      <w:pPr>
        <w:shd w:val="clear" w:color="auto" w:fill="E4F0F0"/>
        <w:tabs>
          <w:tab w:val="right" w:pos="9026"/>
        </w:tabs>
        <w:spacing w:before="80" w:after="50" w:line="276" w:lineRule="auto"/>
        <w:ind w:left="90"/>
      </w:pPr>
      <w:hyperlink w:anchor="bmAppendixBOwnerInterviewTopicGuide" w:history="1">
        <w:r>
          <w:rPr>
            <w:rFonts w:ascii="Georgia" w:eastAsia="Georgia" w:hAnsi="Georgia" w:cs="Georgia"/>
            <w:b/>
            <w:bCs/>
            <w:color w:val="1F6F78"/>
          </w:rPr>
          <w:t>Appendix B – Owner Interview Topic Guide</w:t>
        </w:r>
      </w:hyperlink>
      <w:r w:rsidR="003B3B5B">
        <w:rPr>
          <w:b/>
          <w:bCs/>
          <w:color w:val="1F6F78"/>
          <w:sz w:val="22"/>
          <w:szCs w:val="22"/>
        </w:rPr>
        <w:tab/>
        <w:t>12</w:t>
      </w:r>
    </w:p>
    <w:p w14:paraId="76F20384" w14:textId="77777777" w:rsidR="00C775AD" w:rsidRDefault="00C775AD">
      <w:pPr>
        <w:shd w:val="clear" w:color="auto" w:fill="E4F0F0"/>
        <w:tabs>
          <w:tab w:val="right" w:pos="9026"/>
        </w:tabs>
        <w:spacing w:before="80" w:after="50" w:line="276" w:lineRule="auto"/>
        <w:ind w:left="90"/>
      </w:pPr>
      <w:hyperlink w:anchor="bmAppendixCProjectPlanandMilestones" w:history="1">
        <w:r>
          <w:rPr>
            <w:rFonts w:ascii="Georgia" w:eastAsia="Georgia" w:hAnsi="Georgia" w:cs="Georgia"/>
            <w:b/>
            <w:bCs/>
            <w:color w:val="1F6F78"/>
          </w:rPr>
          <w:t>Appendix C – Project Plan and Milestones</w:t>
        </w:r>
      </w:hyperlink>
      <w:r w:rsidR="003B3B5B">
        <w:rPr>
          <w:b/>
          <w:bCs/>
          <w:color w:val="1F6F78"/>
          <w:sz w:val="22"/>
          <w:szCs w:val="22"/>
        </w:rPr>
        <w:tab/>
        <w:t>12</w:t>
      </w:r>
    </w:p>
    <w:p w14:paraId="3D7DE79F" w14:textId="77777777" w:rsidR="00C775AD" w:rsidRDefault="003B3B5B">
      <w:r>
        <w:br w:type="page"/>
      </w:r>
    </w:p>
    <w:p w14:paraId="222BA497" w14:textId="77777777" w:rsidR="00C775AD" w:rsidRDefault="003B3B5B">
      <w:pPr>
        <w:pStyle w:val="Heading1"/>
      </w:pPr>
      <w:bookmarkStart w:id="0" w:name="bm1Introduction"/>
      <w:r>
        <w:t>1. Introduction</w:t>
      </w:r>
      <w:bookmarkEnd w:id="0"/>
    </w:p>
    <w:p w14:paraId="7F5608EC" w14:textId="77777777" w:rsidR="00C775AD" w:rsidRDefault="003B3B5B">
      <w:pPr>
        <w:spacing w:after="140"/>
        <w:jc w:val="both"/>
      </w:pPr>
      <w:r>
        <w:rPr>
          <w:b/>
          <w:bCs/>
        </w:rPr>
        <w:t xml:space="preserve">Research title: </w:t>
      </w:r>
      <w:r>
        <w:rPr>
          <w:i/>
          <w:iCs/>
        </w:rPr>
        <w:t>The Impact of Corporate Social Responsibility on Customer Loyalty in UK Independent Coffee Shops: A Mixed Methods Study.</w:t>
      </w:r>
    </w:p>
    <w:p w14:paraId="22A13E4C" w14:textId="77777777" w:rsidR="00C775AD" w:rsidRDefault="003B3B5B">
      <w:pPr>
        <w:pStyle w:val="Heading2"/>
      </w:pPr>
      <w:bookmarkStart w:id="1" w:name="bm11BackgroundandRationale"/>
      <w:r>
        <w:t>1.1 Background and Rationale</w:t>
      </w:r>
      <w:bookmarkEnd w:id="1"/>
    </w:p>
    <w:p w14:paraId="1EDFA721" w14:textId="77777777" w:rsidR="00C775AD" w:rsidRDefault="003B3B5B">
      <w:pPr>
        <w:spacing w:after="140"/>
        <w:jc w:val="both"/>
      </w:pPr>
      <w:r>
        <w:t>Shopping has become more value-driven</w:t>
      </w:r>
      <w:r>
        <w:t xml:space="preserve">. A growing number of consumers weigh a firm’s ethics, not just its prices, when deciding where to spend, and the coffee-shop sector sits close to the centre of this shift. The UK market is busy and competitive, and independent cafés increasingly compete with national chains on what they stand for: fair sourcing, local community ties and a lighter environmental footprint. Small and independent firms account for over 99% of UK businesses (Federation of Small Businesses, 2023), yet most research on corporate </w:t>
      </w:r>
      <w:r>
        <w:t>social responsibility (CSR) and customer loyalty looks at large corporations rather than the small, owner-run businesses where an ethical identity is often most visible. This study therefore focuses on UK independent coffee shops, a setting where CSR and loyalty meet in everyday practice and where the question of whether values translate into repeat custom is far from settled.</w:t>
      </w:r>
    </w:p>
    <w:p w14:paraId="051B5557" w14:textId="77777777" w:rsidR="00C775AD" w:rsidRDefault="003B3B5B">
      <w:pPr>
        <w:pStyle w:val="Heading2"/>
      </w:pPr>
      <w:bookmarkStart w:id="2" w:name="bm12AimObjectivesandResearchQuestions"/>
      <w:r>
        <w:t>1.2 Aim, Objectives and Research Questions</w:t>
      </w:r>
      <w:bookmarkEnd w:id="2"/>
    </w:p>
    <w:p w14:paraId="04A58E80" w14:textId="77777777" w:rsidR="00C775AD" w:rsidRDefault="003B3B5B">
      <w:pPr>
        <w:spacing w:after="140"/>
        <w:jc w:val="both"/>
      </w:pPr>
      <w:r>
        <w:t>The aim of the study is to investigate the impact of corporate social responsibility on customer loyalty in UK independent coffee shops. Five objectives support this aim:</w:t>
      </w:r>
    </w:p>
    <w:p w14:paraId="5E587833" w14:textId="77777777" w:rsidR="00C775AD" w:rsidRDefault="003B3B5B">
      <w:pPr>
        <w:pStyle w:val="ListParagraph"/>
        <w:numPr>
          <w:ilvl w:val="0"/>
          <w:numId w:val="2"/>
        </w:numPr>
        <w:spacing w:after="100"/>
      </w:pPr>
      <w:r>
        <w:t>To critically review the literature on CSR, customer loyalty and the relationship between them.</w:t>
      </w:r>
    </w:p>
    <w:p w14:paraId="0308231C" w14:textId="77777777" w:rsidR="00C775AD" w:rsidRDefault="003B3B5B">
      <w:pPr>
        <w:pStyle w:val="ListParagraph"/>
        <w:numPr>
          <w:ilvl w:val="0"/>
          <w:numId w:val="2"/>
        </w:numPr>
        <w:spacing w:after="100"/>
      </w:pPr>
      <w:r>
        <w:t>To examine how customers perceive the CSR practices of independent coffee shops.</w:t>
      </w:r>
    </w:p>
    <w:p w14:paraId="6A378FD5" w14:textId="77777777" w:rsidR="00C775AD" w:rsidRDefault="003B3B5B">
      <w:pPr>
        <w:pStyle w:val="ListParagraph"/>
        <w:numPr>
          <w:ilvl w:val="0"/>
          <w:numId w:val="2"/>
        </w:numPr>
        <w:spacing w:after="100"/>
      </w:pPr>
      <w:r>
        <w:t>To assess the relationship between perceived CSR and customer loyalty in attitudinal and behavioural terms.</w:t>
      </w:r>
    </w:p>
    <w:p w14:paraId="7095D417" w14:textId="77777777" w:rsidR="00C775AD" w:rsidRDefault="003B3B5B">
      <w:pPr>
        <w:pStyle w:val="ListParagraph"/>
        <w:numPr>
          <w:ilvl w:val="0"/>
          <w:numId w:val="2"/>
        </w:numPr>
        <w:spacing w:after="100"/>
      </w:pPr>
      <w:r>
        <w:t>To identify the factors, such as trust and identification, that shape this relationship.</w:t>
      </w:r>
    </w:p>
    <w:p w14:paraId="3EF674E9" w14:textId="77777777" w:rsidR="00C775AD" w:rsidRDefault="003B3B5B">
      <w:pPr>
        <w:pStyle w:val="ListParagraph"/>
        <w:numPr>
          <w:ilvl w:val="0"/>
          <w:numId w:val="2"/>
        </w:numPr>
        <w:spacing w:after="100"/>
      </w:pPr>
      <w:r>
        <w:t>To develop practical recommendations for independent café owners.</w:t>
      </w:r>
    </w:p>
    <w:p w14:paraId="0FEFE08B" w14:textId="77777777" w:rsidR="00C775AD" w:rsidRDefault="003B3B5B">
      <w:pPr>
        <w:spacing w:after="140"/>
        <w:jc w:val="both"/>
      </w:pPr>
      <w:r>
        <w:t>These objectives are pursued through three research questions:</w:t>
      </w:r>
    </w:p>
    <w:p w14:paraId="0085FC6E" w14:textId="77777777" w:rsidR="00C775AD" w:rsidRDefault="003B3B5B">
      <w:pPr>
        <w:pStyle w:val="ListParagraph"/>
        <w:numPr>
          <w:ilvl w:val="0"/>
          <w:numId w:val="3"/>
        </w:numPr>
        <w:spacing w:after="100"/>
      </w:pPr>
      <w:r>
        <w:t>RQ1: How do customers perceive the CSR practices of UK independent coffee shops?</w:t>
      </w:r>
    </w:p>
    <w:p w14:paraId="2F31C9D3" w14:textId="77777777" w:rsidR="00C775AD" w:rsidRDefault="003B3B5B">
      <w:pPr>
        <w:pStyle w:val="ListParagraph"/>
        <w:numPr>
          <w:ilvl w:val="0"/>
          <w:numId w:val="3"/>
        </w:numPr>
        <w:spacing w:after="100"/>
      </w:pPr>
      <w:r>
        <w:t>RQ2: To what extent does perceived CSR influence customer loyalty in this setting?</w:t>
      </w:r>
    </w:p>
    <w:p w14:paraId="24187088" w14:textId="77777777" w:rsidR="00C775AD" w:rsidRDefault="003B3B5B">
      <w:pPr>
        <w:pStyle w:val="ListParagraph"/>
        <w:numPr>
          <w:ilvl w:val="0"/>
          <w:numId w:val="3"/>
        </w:numPr>
        <w:spacing w:after="100"/>
      </w:pPr>
      <w:r>
        <w:t>RQ3: How do factors such as trust, identification and service quality shape the relationship between CSR and loyalty?</w:t>
      </w:r>
    </w:p>
    <w:p w14:paraId="58A1DE52" w14:textId="77777777" w:rsidR="00C775AD" w:rsidRDefault="003B3B5B">
      <w:pPr>
        <w:pStyle w:val="Heading2"/>
      </w:pPr>
      <w:bookmarkStart w:id="3" w:name="bm13SignificanceandScope"/>
      <w:r>
        <w:t>1.3 Significance and Scope</w:t>
      </w:r>
      <w:bookmarkEnd w:id="3"/>
    </w:p>
    <w:p w14:paraId="54DAC7DE" w14:textId="77777777" w:rsidR="00C775AD" w:rsidRDefault="003B3B5B">
      <w:pPr>
        <w:spacing w:after="140"/>
        <w:jc w:val="both"/>
      </w:pPr>
      <w:r>
        <w:t xml:space="preserve">The study speaks to a practical question for small business owners: does acting responsibly actually earn loyalty, or is it simply costly goodwill? Independent cafés work on thin margins and </w:t>
      </w:r>
      <w:r>
        <w:t xml:space="preserve">cannot match the marketing budgets of chains, so knowing whether their values translate into repeat custom matters commercially. Academically, the work extends CSR–loyalty research, which has concentrated on large firms, into the under-studied context of small, independent hospitality. In scope, it is limited to customers and owners of UK independent coffee shops and is exploratory rather than conclusive, aiming to give owners realistic, evidence-based guidance on which responsible practices customers </w:t>
      </w:r>
      <w:r>
        <w:t>actually notice and reward.</w:t>
      </w:r>
    </w:p>
    <w:p w14:paraId="68326A3C" w14:textId="77777777" w:rsidR="00C775AD" w:rsidRDefault="003B3B5B">
      <w:pPr>
        <w:pStyle w:val="Heading1"/>
      </w:pPr>
      <w:bookmarkStart w:id="4" w:name="bm2LiteratureReview"/>
      <w:r>
        <w:t>2. Literature Review</w:t>
      </w:r>
      <w:bookmarkEnd w:id="4"/>
    </w:p>
    <w:p w14:paraId="712270C9" w14:textId="77777777" w:rsidR="00C775AD" w:rsidRDefault="003B3B5B">
      <w:pPr>
        <w:spacing w:after="140"/>
        <w:jc w:val="both"/>
      </w:pPr>
      <w:r>
        <w:t>This review draws together the main theories of CSR and customer loyalty, the evidence linking them, and the distinctive character of responsibility in small firms, before setting out the gap the study addresses.</w:t>
      </w:r>
    </w:p>
    <w:p w14:paraId="514DCBED" w14:textId="77777777" w:rsidR="00C775AD" w:rsidRDefault="003B3B5B">
      <w:pPr>
        <w:pStyle w:val="Heading2"/>
      </w:pPr>
      <w:bookmarkStart w:id="5" w:name="bm21CorporateSocialResponsibilityConcept"/>
      <w:r>
        <w:t>2.1 Corporate Social Responsibility: Concepts and Theory</w:t>
      </w:r>
      <w:bookmarkEnd w:id="5"/>
    </w:p>
    <w:p w14:paraId="30951525" w14:textId="77777777" w:rsidR="00C775AD" w:rsidRDefault="003B3B5B">
      <w:pPr>
        <w:spacing w:after="140"/>
        <w:jc w:val="both"/>
      </w:pPr>
      <w:r>
        <w:t>Corporate social responsibility describes the expectation that businesses act in ways that benefit society as well as their owners. Carroll’s (1991) influential pyramid sets out four layers of responsibility, rising from economic and legal foundations to ethical and philanthropic obligations (Figure 1). Stakeholder theory offers a complementary lens, arguing that firms are answerable not only to shareholders but to everyone affected by their activities, including customers, staff and the wider community (Fr</w:t>
      </w:r>
      <w:r>
        <w:t>eeman, 1984). Building on this, Maignan and Ferrell (2004) frame CSR as the extent to which a firm meets the social expectations of its stakeholders, which is the working definition adopted here. For an independent café, those expectations often centre on ethical sourcing, fair treatment of staff and visible support for the local area.</w:t>
      </w:r>
    </w:p>
    <w:p w14:paraId="6259024F" w14:textId="77777777" w:rsidR="00C775AD" w:rsidRDefault="003B3B5B">
      <w:pPr>
        <w:spacing w:before="120" w:after="40"/>
        <w:jc w:val="center"/>
      </w:pPr>
      <w:r>
        <w:rPr>
          <w:noProof/>
        </w:rPr>
        <w:drawing>
          <wp:inline distT="0" distB="0" distL="0" distR="0" wp14:anchorId="7C8DFE2F" wp14:editId="6E5D3AB8">
            <wp:extent cx="3429000" cy="2152650"/>
            <wp:effectExtent l="0" t="0" r="0" b="0"/>
            <wp:docPr id="1299570619" name="Figure_1__Carroll_s_pyramid_of_corporate_social_responsibility__adapted_from_Carroll__1991__" descr="Figure 1. Carroll’s pyramid of corporate social responsibility (adapted from Carroll, 1991)." title="Figure 1. Carroll’s pyramid of corporate social responsibility (adapted from Carroll, 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429000" cy="2152650"/>
                    </a:xfrm>
                    <a:prstGeom prst="rect">
                      <a:avLst/>
                    </a:prstGeom>
                  </pic:spPr>
                </pic:pic>
              </a:graphicData>
            </a:graphic>
          </wp:inline>
        </w:drawing>
      </w:r>
    </w:p>
    <w:p w14:paraId="0BBA70B0" w14:textId="77777777" w:rsidR="00C775AD" w:rsidRDefault="003B3B5B">
      <w:pPr>
        <w:spacing w:after="200"/>
        <w:jc w:val="center"/>
      </w:pPr>
      <w:r>
        <w:rPr>
          <w:i/>
          <w:iCs/>
          <w:color w:val="000000"/>
          <w:sz w:val="20"/>
          <w:szCs w:val="20"/>
        </w:rPr>
        <w:t>Figure 1. Carroll’s pyramid of corporate social responsibility (adapted from Carroll, 1991).</w:t>
      </w:r>
    </w:p>
    <w:p w14:paraId="0A81B734" w14:textId="77777777" w:rsidR="00C775AD" w:rsidRDefault="003B3B5B">
      <w:pPr>
        <w:pStyle w:val="Heading2"/>
      </w:pPr>
      <w:bookmarkStart w:id="6" w:name="bm22CustomerLoyaltyandItsDimensions"/>
      <w:r>
        <w:t>2.2 Customer Loyalty and Its Dimensions</w:t>
      </w:r>
      <w:bookmarkEnd w:id="6"/>
    </w:p>
    <w:p w14:paraId="2D5E0043" w14:textId="77777777" w:rsidR="00C775AD" w:rsidRDefault="003B3B5B">
      <w:pPr>
        <w:spacing w:after="140"/>
        <w:jc w:val="both"/>
      </w:pPr>
      <w:r>
        <w:t xml:space="preserve">Customer loyalty is more than repeat buying. Oliver (1999) defines it as a deeply held commitment to keep favouring a brand despite situational pressures to switch. Dick and Basu (1994) add a useful distinction between attitudinal loyalty, meaning a favourable attitude, and behavioural </w:t>
      </w:r>
      <w:r>
        <w:t>loyalty, meaning actual repeat patronage. Treating loyalty as both attitude and behaviour matters here, because a customer may admire a café’s values yet still buy elsewhere for convenience, and that gap is part of what this study seeks to understand.</w:t>
      </w:r>
    </w:p>
    <w:p w14:paraId="0A3CD0ED" w14:textId="77777777" w:rsidR="00C775AD" w:rsidRDefault="003B3B5B">
      <w:pPr>
        <w:pStyle w:val="Heading2"/>
      </w:pPr>
      <w:bookmarkStart w:id="7" w:name="bm23TheCSRLoyaltyRelationship"/>
      <w:r>
        <w:t>2.3 The CSR–Loyalty Relationship</w:t>
      </w:r>
      <w:bookmarkEnd w:id="7"/>
    </w:p>
    <w:p w14:paraId="5A27CB9E" w14:textId="77777777" w:rsidR="00C775AD" w:rsidRDefault="003B3B5B">
      <w:pPr>
        <w:spacing w:after="140"/>
        <w:jc w:val="both"/>
      </w:pPr>
      <w:r>
        <w:t>The evidence that CSR builds loyalty is encouraging but conditional. In an early experimental study, Sen and Bhattacharya (2001) found that consumers often respond positively to socially responsible firms, although the effect depends on how much they care about the issue and on whether CSR seems to come at the expense of quality. The mechanism is widely attributed to identification: customers feel a sense of shared identity with companies whose values mirror their own, which deepens their attachment (Bhatta</w:t>
      </w:r>
      <w:r>
        <w:t>charya and Sen, 2003). In a service setting, He and Li (2011) show that brand identification and trust carry the effect of CSR on loyalty, with service quality acting as a moderator. Du, Bhattacharya and Sen (2010) caution that the returns to CSR depend heavily on whether customers are even aware of a firm’s efforts, while Mohr, Webb and Harris (2001) find that consumers say they expect responsible behaviour but do not always reward it at the till. Figure 2 summarises these relationships.</w:t>
      </w:r>
    </w:p>
    <w:p w14:paraId="43BB5D17" w14:textId="77777777" w:rsidR="00C775AD" w:rsidRDefault="003B3B5B">
      <w:pPr>
        <w:spacing w:before="120" w:after="40"/>
        <w:jc w:val="center"/>
      </w:pPr>
      <w:r>
        <w:rPr>
          <w:noProof/>
        </w:rPr>
        <w:drawing>
          <wp:inline distT="0" distB="0" distL="0" distR="0" wp14:anchorId="09A2A965" wp14:editId="4049479B">
            <wp:extent cx="4095750" cy="2324100"/>
            <wp:effectExtent l="0" t="0" r="0" b="0"/>
            <wp:docPr id="683156454" name="Figure_2__Conceptual_framework_linking_perceived_CSR_to_customer_loyalty_through_identification_and_trust_" descr="Figure 2. Conceptual framework linking perceived CSR to customer loyalty through identification and trust." title="Figure 2. Conceptual framework linking perceived CSR to customer loyalty through identification and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95750" cy="2324100"/>
                    </a:xfrm>
                    <a:prstGeom prst="rect">
                      <a:avLst/>
                    </a:prstGeom>
                  </pic:spPr>
                </pic:pic>
              </a:graphicData>
            </a:graphic>
          </wp:inline>
        </w:drawing>
      </w:r>
    </w:p>
    <w:p w14:paraId="05EF1C64" w14:textId="77777777" w:rsidR="00C775AD" w:rsidRDefault="003B3B5B">
      <w:pPr>
        <w:spacing w:after="200"/>
        <w:jc w:val="center"/>
      </w:pPr>
      <w:r>
        <w:rPr>
          <w:i/>
          <w:iCs/>
          <w:color w:val="000000"/>
          <w:sz w:val="20"/>
          <w:szCs w:val="20"/>
        </w:rPr>
        <w:t>Figure 2. Conceptual framework linking perceived CSR to customer loyalty through identification and trust.</w:t>
      </w:r>
    </w:p>
    <w:p w14:paraId="4120E46C" w14:textId="77777777" w:rsidR="00C775AD" w:rsidRDefault="003B3B5B">
      <w:pPr>
        <w:pStyle w:val="Heading2"/>
      </w:pPr>
      <w:bookmarkStart w:id="8" w:name="bm24CSRinSmallandIndependentFirms"/>
      <w:r>
        <w:t>2.4 CSR in Small and Independent Firms</w:t>
      </w:r>
      <w:bookmarkEnd w:id="8"/>
    </w:p>
    <w:p w14:paraId="25E7D0A3" w14:textId="77777777" w:rsidR="00C775AD" w:rsidRDefault="003B3B5B">
      <w:pPr>
        <w:spacing w:after="140"/>
        <w:jc w:val="both"/>
      </w:pPr>
      <w:r>
        <w:t>Most of this evidence comes from large organisations, yet responsibility looks different in small firms. Spence (2016) argues that small business social responsibility is informal, relational and shaped by the owner’s values rather than by formal policy, so corporate models transfer awkwardly. Jenkins (2006) likewise finds that smaller firms can be quiet champions of responsibility, embedding ethics in day-to-day practice instead of formal reporting. For an independent café, CSR is often inseparable from th</w:t>
      </w:r>
      <w:r>
        <w:t>e owner’s personal identity and the shop’s relationship with its regulars, which may make its loyalty effects stronger but harder to measure.</w:t>
      </w:r>
    </w:p>
    <w:p w14:paraId="493BC90B" w14:textId="77777777" w:rsidR="00C775AD" w:rsidRDefault="003B3B5B">
      <w:pPr>
        <w:pStyle w:val="Heading2"/>
      </w:pPr>
      <w:bookmarkStart w:id="9" w:name="bm25SynthesisandResearchGap"/>
      <w:r>
        <w:t>2.5 Synthesis and Research Gap</w:t>
      </w:r>
      <w:bookmarkEnd w:id="9"/>
    </w:p>
    <w:p w14:paraId="159C7DF2" w14:textId="77777777" w:rsidR="00C775AD" w:rsidRDefault="003B3B5B">
      <w:pPr>
        <w:spacing w:after="140"/>
        <w:jc w:val="both"/>
      </w:pPr>
      <w:r>
        <w:t>Three gaps follow from this review. First, CSR–loyalty research is dominated by large corporations and sectors such as banking and packaged goods, leaving small independent hospitality under-examined (Spence, 2016). Second, many studies rely on attitudinal self-report without checking whether favourable attitudes turn into actual patronage (Mohr et al., 2001). Third, few combine the customer’s viewpoint with the owner’s</w:t>
      </w:r>
      <w:r>
        <w:t>. This proposal addresses the first two gaps by focusing on UK independent coffee shops and pairing a customer survey with owner interviews, giving a fuller picture than either source alone.</w:t>
      </w:r>
    </w:p>
    <w:p w14:paraId="2F986350" w14:textId="77777777" w:rsidR="00C775AD" w:rsidRDefault="003B3B5B">
      <w:pPr>
        <w:pStyle w:val="Heading1"/>
      </w:pPr>
      <w:bookmarkStart w:id="10" w:name="bm3ResearchMethodology"/>
      <w:r>
        <w:t>3. Research Methodology</w:t>
      </w:r>
      <w:bookmarkEnd w:id="10"/>
    </w:p>
    <w:p w14:paraId="0426C8F6" w14:textId="77777777" w:rsidR="00C775AD" w:rsidRDefault="003B3B5B">
      <w:pPr>
        <w:pStyle w:val="Heading2"/>
      </w:pPr>
      <w:bookmarkStart w:id="11" w:name="bm31ResearchPhilosophyandApproach"/>
      <w:r>
        <w:t>3.1 Research Philosophy and Approach</w:t>
      </w:r>
      <w:bookmarkEnd w:id="11"/>
    </w:p>
    <w:p w14:paraId="5EF83120" w14:textId="77777777" w:rsidR="00C775AD" w:rsidRDefault="003B3B5B">
      <w:pPr>
        <w:spacing w:after="140"/>
        <w:jc w:val="both"/>
      </w:pPr>
      <w:r>
        <w:t>This study takes a pragmatist position. Pragmatism judges ideas by how well they help answer the research question and is willing to draw on whatever methods do the job, rather than committing to a single worldview (</w:t>
      </w:r>
      <w:proofErr w:type="spellStart"/>
      <w:r>
        <w:t>Tashakkori</w:t>
      </w:r>
      <w:proofErr w:type="spellEnd"/>
      <w:r>
        <w:t xml:space="preserve">, Johnson and </w:t>
      </w:r>
      <w:proofErr w:type="spellStart"/>
      <w:r>
        <w:t>Teddlie</w:t>
      </w:r>
      <w:proofErr w:type="spellEnd"/>
      <w:r>
        <w:t>, 2020). It sits between positivism, which assumes a single measurable reality, and interpretivism, which treats knowledge as socially constructed; these stances rest on different assumptions about what exists and how it can be known (Scotland, 2012). Because the study wants both to measure how strongly CSR relates to loyalty and to understand how owners make sense of their own responsible practices, pragmatism is the most workable fit (Saunders, Lewis and Thornhill, 2023). The approach</w:t>
      </w:r>
      <w:r>
        <w:t xml:space="preserve"> is mainly deductive: the survey tests relationships that established theory already predicts, namely that stronger perceptions of CSR are linked to greater loyalty through trust and identification. A smaller inductive element comes from the owner interviews, which build understanding from the owners’ own accounts. As Gray (2021) observes, mixed methods studies rarely sit at </w:t>
      </w:r>
      <w:r>
        <w:t>either pure extreme.</w:t>
      </w:r>
    </w:p>
    <w:p w14:paraId="72817575" w14:textId="77777777" w:rsidR="00C775AD" w:rsidRDefault="003B3B5B">
      <w:pPr>
        <w:pStyle w:val="Heading2"/>
      </w:pPr>
      <w:bookmarkStart w:id="12" w:name="bm32MixedMethodsResearchDesign"/>
      <w:r>
        <w:t>3.2 Mixed Methods Research Design</w:t>
      </w:r>
      <w:bookmarkEnd w:id="12"/>
    </w:p>
    <w:p w14:paraId="6B840BBA" w14:textId="77777777" w:rsidR="00C775AD" w:rsidRDefault="003B3B5B">
      <w:pPr>
        <w:spacing w:after="140"/>
        <w:jc w:val="both"/>
      </w:pPr>
      <w:r>
        <w:t>The design is a convergent parallel mixed methods study (Creswell and Creswell, 2023), shown in Figure 3. The quantitative survey and the qualitative interviews are carried out over the same period and analysed separately, then brought together at the interpretation stage to see where they agree and where they add to one another. This concurrent logic suits a study that needs both breadth, from many customers, and depth, from a few owners.</w:t>
      </w:r>
    </w:p>
    <w:p w14:paraId="43C2D2EF" w14:textId="77777777" w:rsidR="00C775AD" w:rsidRDefault="003B3B5B">
      <w:pPr>
        <w:spacing w:before="120" w:after="40"/>
        <w:jc w:val="center"/>
      </w:pPr>
      <w:r>
        <w:rPr>
          <w:noProof/>
        </w:rPr>
        <w:drawing>
          <wp:inline distT="0" distB="0" distL="0" distR="0" wp14:anchorId="564CDCD3" wp14:editId="5DC06A7C">
            <wp:extent cx="4191000" cy="2038350"/>
            <wp:effectExtent l="0" t="0" r="0" b="0"/>
            <wp:docPr id="99848287" name="Figure_3__Convergent_parallel_mixed_methods_design__adapted_from_Creswell_and_Creswell__2023__" descr="Figure 3. Convergent parallel mixed methods design (adapted from Creswell and Creswell, 2023)." title="Figure 3. Convergent parallel mixed methods design (adapted from Creswell and Creswell,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191000" cy="2038350"/>
                    </a:xfrm>
                    <a:prstGeom prst="rect">
                      <a:avLst/>
                    </a:prstGeom>
                  </pic:spPr>
                </pic:pic>
              </a:graphicData>
            </a:graphic>
          </wp:inline>
        </w:drawing>
      </w:r>
    </w:p>
    <w:p w14:paraId="2422F81D" w14:textId="77777777" w:rsidR="00C775AD" w:rsidRDefault="003B3B5B">
      <w:pPr>
        <w:spacing w:after="200"/>
        <w:jc w:val="center"/>
      </w:pPr>
      <w:r>
        <w:rPr>
          <w:i/>
          <w:iCs/>
          <w:color w:val="000000"/>
          <w:sz w:val="20"/>
          <w:szCs w:val="20"/>
        </w:rPr>
        <w:t>Figure 3. Convergent parallel mixed methods design (adapted from Creswell and Creswell, 2023).</w:t>
      </w:r>
    </w:p>
    <w:p w14:paraId="6C95297A" w14:textId="77777777" w:rsidR="00C775AD" w:rsidRDefault="003B3B5B">
      <w:pPr>
        <w:pStyle w:val="Heading2"/>
      </w:pPr>
      <w:bookmarkStart w:id="13" w:name="bm33DataCollectionandInstruments"/>
      <w:r>
        <w:t>3.3 Data Collection and Instruments</w:t>
      </w:r>
      <w:bookmarkEnd w:id="13"/>
    </w:p>
    <w:p w14:paraId="31652F52" w14:textId="77777777" w:rsidR="00C775AD" w:rsidRDefault="003B3B5B">
      <w:pPr>
        <w:pStyle w:val="Heading3"/>
      </w:pPr>
      <w:r>
        <w:t>3.3.1 Customer Survey</w:t>
      </w:r>
    </w:p>
    <w:p w14:paraId="11D53C53" w14:textId="77777777" w:rsidR="00C775AD" w:rsidRDefault="003B3B5B">
      <w:pPr>
        <w:spacing w:after="140"/>
        <w:jc w:val="both"/>
      </w:pPr>
      <w:r>
        <w:t>An online questionnaire will be shared through café social-media pages and an in-store QR code, reaching customers of several independent coffee shops. It combines two established measures: a CSR-perception scale adapted from Maignan and Ferrell (2004), covering ethical, community and environmental dimensions, and a customer-loyalty scale adapted from Dick and Basu (1994) that captures both attitude and repeat patronage, all on five-point Likert items. Demographic questions and visit frequency are also reco</w:t>
      </w:r>
      <w:r>
        <w:t>rded. The target is around 70 valid responses, in line with Pallant’s (2020) guidance of at least 50 cases for regression, and the model will use no more than four predictors to keep the sample adequate (Field, 2024). A draft of the constructs is given in Appendix A.</w:t>
      </w:r>
    </w:p>
    <w:p w14:paraId="3C780655" w14:textId="77777777" w:rsidR="00C775AD" w:rsidRDefault="003B3B5B">
      <w:pPr>
        <w:pStyle w:val="Heading3"/>
      </w:pPr>
      <w:r>
        <w:t>3.3.2 Owner Interviews</w:t>
      </w:r>
    </w:p>
    <w:p w14:paraId="6397BDF9" w14:textId="77777777" w:rsidR="00C775AD" w:rsidRDefault="003B3B5B">
      <w:pPr>
        <w:spacing w:after="140"/>
        <w:jc w:val="both"/>
      </w:pPr>
      <w:r>
        <w:t>Five to seven semi-structured interviews will be held with café owners or managers, selected to vary in size and location. The interviews explore how owners understand and communicate their responsible practices and whether they see these as drivers of loyalty. They will be conducted in person or online, audio-recorded with consent, and transcribed for analysis. A topic guide is provided in Appendix B.</w:t>
      </w:r>
    </w:p>
    <w:p w14:paraId="4F5FE428" w14:textId="77777777" w:rsidR="00C775AD" w:rsidRDefault="003B3B5B">
      <w:pPr>
        <w:pStyle w:val="Heading2"/>
      </w:pPr>
      <w:bookmarkStart w:id="14" w:name="bm34ReliabilityandValidity"/>
      <w:r>
        <w:t>3.4 Reliability and Validity</w:t>
      </w:r>
      <w:bookmarkEnd w:id="14"/>
    </w:p>
    <w:p w14:paraId="2CC09F2F" w14:textId="77777777" w:rsidR="00C775AD" w:rsidRDefault="003B3B5B">
      <w:pPr>
        <w:spacing w:after="140"/>
        <w:jc w:val="both"/>
      </w:pPr>
      <w:r>
        <w:t>Reliability concerns the consistency of measurement. The survey applies established scales uniformly, and Cronbach’s alpha will test the internal consistency of each construct, with values above 0.7 treated as acceptable (Field, 2024). Validity concerns whether the study measures what it intends to. Using instruments already validated in prior CSR and loyalty research supports construct validity, and a small pilot will confirm that items are clear and unambiguous. Comparing the survey and interview findings</w:t>
      </w:r>
      <w:r>
        <w:t xml:space="preserve"> adds a further check, since agreement across two independent sources strengthens confidence in the results (Saunders, Lewis and Thornhill, 2023).</w:t>
      </w:r>
    </w:p>
    <w:p w14:paraId="74A7A0F1" w14:textId="77777777" w:rsidR="00C775AD" w:rsidRDefault="003B3B5B">
      <w:pPr>
        <w:pStyle w:val="Heading2"/>
      </w:pPr>
      <w:bookmarkStart w:id="15" w:name="bm35ParticipantsandSampling"/>
      <w:r>
        <w:t>3.5 Participants and Sampling</w:t>
      </w:r>
      <w:bookmarkEnd w:id="15"/>
    </w:p>
    <w:p w14:paraId="5DD639B5" w14:textId="77777777" w:rsidR="00C775AD" w:rsidRDefault="003B3B5B">
      <w:pPr>
        <w:spacing w:after="140"/>
        <w:jc w:val="both"/>
      </w:pPr>
      <w:r>
        <w:t xml:space="preserve">The participants are customers of UK independent coffee shops, together with the owners who run them. For the survey, convenience sampling through in-store and online channels will be supported by snowball referrals, while owners will be chosen purposively for variety in location and ethical positioning (Robson and McCartan, 2024). These non-probability methods limit statistical generalisability, but they are realistic for a small-scale undergraduate study working to a fixed timeline and without a national </w:t>
      </w:r>
      <w:r>
        <w:t>customer database. Transferability, rather than generalisation, is the appropriate standard.</w:t>
      </w:r>
    </w:p>
    <w:p w14:paraId="7E70ADD7" w14:textId="77777777" w:rsidR="00C775AD" w:rsidRDefault="003B3B5B">
      <w:pPr>
        <w:pStyle w:val="Heading2"/>
      </w:pPr>
      <w:bookmarkStart w:id="16" w:name="bm36DataAnalysis"/>
      <w:r>
        <w:t>3.6 Data Analysis</w:t>
      </w:r>
      <w:bookmarkEnd w:id="16"/>
    </w:p>
    <w:p w14:paraId="43CA102F" w14:textId="77777777" w:rsidR="00C775AD" w:rsidRDefault="003B3B5B">
      <w:pPr>
        <w:spacing w:after="140"/>
        <w:jc w:val="both"/>
      </w:pPr>
      <w:r>
        <w:t>Quantitative data will be analysed in IBM SPSS. Descriptive statistics will profile the sample, and Pearson correlation followed by multiple regression will test how strongly perceived CSR predicts loyalty while controlling for demographics and visit frequency (Field, 2024). The interview data will be analysed using Braun and Clarke’s (2022) six-phase reflexive thematic analysis, moving from familiarisation and coding through to defining and naming themes. In keeping with the convergent design, the two sets</w:t>
      </w:r>
      <w:r>
        <w:t xml:space="preserve"> of findings are compared at the interpretation stage: the survey shows how far CSR and loyalty move together, while the interviews help explain why, and whether owners’ intentions match what customers perceive.</w:t>
      </w:r>
    </w:p>
    <w:p w14:paraId="39DBB750" w14:textId="77777777" w:rsidR="00C775AD" w:rsidRDefault="003B3B5B">
      <w:pPr>
        <w:pStyle w:val="Heading2"/>
      </w:pPr>
      <w:bookmarkStart w:id="17" w:name="bm37EthicalConsiderations"/>
      <w:r>
        <w:t>3.7 Ethical Considerations</w:t>
      </w:r>
      <w:bookmarkEnd w:id="17"/>
    </w:p>
    <w:p w14:paraId="3D14428B" w14:textId="77777777" w:rsidR="00C775AD" w:rsidRDefault="003B3B5B">
      <w:pPr>
        <w:spacing w:after="140"/>
        <w:jc w:val="both"/>
      </w:pPr>
      <w:r>
        <w:t>Ethical approval will be obtained from the UWTSD ethics committee before any data is collected. As Denzin and Lincoln (2023) stress, ethical practice is part of good research rather than a box-ticking exercise. Participation is voluntary and based on informed consent; survey responses are anonymous and interview data are kept confidential and stored securely in line with GDPR, then deleted after submission. The questions are non-sensitive, no payment is offered, and any use of generative AI is declared in l</w:t>
      </w:r>
      <w:r>
        <w:t>ine with the university academic integrity policy.</w:t>
      </w:r>
    </w:p>
    <w:p w14:paraId="4D49971A" w14:textId="77777777" w:rsidR="00C775AD" w:rsidRDefault="003B3B5B">
      <w:pPr>
        <w:pStyle w:val="Heading2"/>
      </w:pPr>
      <w:bookmarkStart w:id="18" w:name="bm38LimitationsoftheProposedDesign"/>
      <w:r>
        <w:t>3.8 Limitations of the Proposed Design</w:t>
      </w:r>
      <w:bookmarkEnd w:id="18"/>
    </w:p>
    <w:p w14:paraId="1B369AA9" w14:textId="77777777" w:rsidR="00C775AD" w:rsidRDefault="003B3B5B">
      <w:pPr>
        <w:pStyle w:val="ListParagraph"/>
        <w:numPr>
          <w:ilvl w:val="0"/>
          <w:numId w:val="3"/>
        </w:numPr>
        <w:spacing w:after="100"/>
      </w:pPr>
      <w:r>
        <w:t>Sample size: around 70 survey responses limits statistical power; the interviews add explanatory depth.</w:t>
      </w:r>
    </w:p>
    <w:p w14:paraId="18D8138C" w14:textId="77777777" w:rsidR="00C775AD" w:rsidRDefault="003B3B5B">
      <w:pPr>
        <w:pStyle w:val="ListParagraph"/>
        <w:numPr>
          <w:ilvl w:val="0"/>
          <w:numId w:val="3"/>
        </w:numPr>
        <w:spacing w:after="100"/>
      </w:pPr>
      <w:r>
        <w:t>Self-report and common method bias: customers may overstate how far ethics drives their choices; varied scale formats and anonymity help reduce this (Robson and McCartan, 2024).</w:t>
      </w:r>
    </w:p>
    <w:p w14:paraId="3472A6A5" w14:textId="77777777" w:rsidR="00C775AD" w:rsidRDefault="003B3B5B">
      <w:pPr>
        <w:pStyle w:val="ListParagraph"/>
        <w:numPr>
          <w:ilvl w:val="0"/>
          <w:numId w:val="3"/>
        </w:numPr>
        <w:spacing w:after="100"/>
      </w:pPr>
      <w:r>
        <w:t>Social desirability: people like to appear ethical, a pressure that anonymous, self-completed surveys help to soften.</w:t>
      </w:r>
    </w:p>
    <w:p w14:paraId="2D6FD80B" w14:textId="77777777" w:rsidR="00C775AD" w:rsidRDefault="003B3B5B">
      <w:pPr>
        <w:pStyle w:val="ListParagraph"/>
        <w:numPr>
          <w:ilvl w:val="0"/>
          <w:numId w:val="3"/>
        </w:numPr>
        <w:spacing w:after="100"/>
      </w:pPr>
      <w:r>
        <w:t>Sampling and design: convenience sampling makes findings indicative rather than generalisable, and a single time point cannot establish causality, so transferability is the standard and the study is framed as exploratory (Bryman and Bell, 2023).</w:t>
      </w:r>
    </w:p>
    <w:p w14:paraId="36BFD824" w14:textId="77777777" w:rsidR="00C775AD" w:rsidRDefault="003B3B5B">
      <w:pPr>
        <w:pStyle w:val="Heading1"/>
      </w:pPr>
      <w:bookmarkStart w:id="19" w:name="bm4ProjectPlanandTimeline"/>
      <w:r>
        <w:t>4. Project Plan and Timeline</w:t>
      </w:r>
      <w:bookmarkEnd w:id="19"/>
    </w:p>
    <w:p w14:paraId="78D3B51E" w14:textId="77777777" w:rsidR="00C775AD" w:rsidRDefault="003B3B5B">
      <w:pPr>
        <w:spacing w:after="140"/>
        <w:jc w:val="both"/>
      </w:pPr>
      <w:r>
        <w:t>The study runs over roughly ten weeks from April to July 2026, in line with the module schedule. The plan front-loads ethical approval and the literature review so that fieldwork, the most time-sensitive stage, keeps a realistic window, and it runs the survey and interviews in parallel as the convergent design requires. Figure 4 presents the Gantt chart, and the key milestones with their target dates are summarised in Appendix C.</w:t>
      </w:r>
    </w:p>
    <w:p w14:paraId="6CD82A25" w14:textId="77777777" w:rsidR="00C775AD" w:rsidRDefault="003B3B5B">
      <w:pPr>
        <w:spacing w:before="120" w:after="40"/>
        <w:jc w:val="center"/>
      </w:pPr>
      <w:r>
        <w:rPr>
          <w:noProof/>
        </w:rPr>
        <w:drawing>
          <wp:inline distT="0" distB="0" distL="0" distR="0" wp14:anchorId="39C1FD1A" wp14:editId="6217910E">
            <wp:extent cx="4191000" cy="2038350"/>
            <wp:effectExtent l="0" t="0" r="0" b="0"/>
            <wp:docPr id="1748039838" name="Figure_4__Project_Gantt_chart__April_to_July_2026_" descr="Figure 4. Project Gantt chart, April to July 2026." title="Figure 4. Project Gantt chart, April to Jul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191000" cy="2038350"/>
                    </a:xfrm>
                    <a:prstGeom prst="rect">
                      <a:avLst/>
                    </a:prstGeom>
                  </pic:spPr>
                </pic:pic>
              </a:graphicData>
            </a:graphic>
          </wp:inline>
        </w:drawing>
      </w:r>
    </w:p>
    <w:p w14:paraId="3BD5BD03" w14:textId="77777777" w:rsidR="00C775AD" w:rsidRDefault="003B3B5B">
      <w:pPr>
        <w:spacing w:after="200"/>
        <w:jc w:val="center"/>
      </w:pPr>
      <w:r>
        <w:rPr>
          <w:i/>
          <w:iCs/>
          <w:color w:val="000000"/>
          <w:sz w:val="20"/>
          <w:szCs w:val="20"/>
        </w:rPr>
        <w:t>Figure 4. Project Gantt chart, April to July 2026.</w:t>
      </w:r>
    </w:p>
    <w:p w14:paraId="11C0E167" w14:textId="77777777" w:rsidR="00C775AD" w:rsidRDefault="003B3B5B">
      <w:pPr>
        <w:spacing w:after="140"/>
        <w:jc w:val="both"/>
      </w:pPr>
      <w:r>
        <w:t>Ethical approval will be secured by the end of Week 2 and the literature review by Week 4, with the survey instrument and interview guide finalised by Week 5. The customer survey runs across Weeks 6 to 8 and the owner interviews across Weeks 7 and 8, after which analysis and integration occupy Weeks 8 and 9, ahead of the written proposal deadline on 26 June 2026 and the presentation the following week. Building slack around survey recruitment protects against a slow response rate, the most common risk to pr</w:t>
      </w:r>
      <w:r>
        <w:t>ojects of this kind.</w:t>
      </w:r>
    </w:p>
    <w:p w14:paraId="2F93E092" w14:textId="77777777" w:rsidR="00C775AD" w:rsidRDefault="003B3B5B">
      <w:r>
        <w:br w:type="page"/>
      </w:r>
    </w:p>
    <w:p w14:paraId="571B04B3" w14:textId="77777777" w:rsidR="00C775AD" w:rsidRDefault="003B3B5B">
      <w:pPr>
        <w:pStyle w:val="Heading1"/>
      </w:pPr>
      <w:bookmarkStart w:id="20" w:name="bmReferenceList"/>
      <w:r>
        <w:t>Reference List</w:t>
      </w:r>
      <w:bookmarkEnd w:id="20"/>
    </w:p>
    <w:p w14:paraId="429021B1" w14:textId="77777777" w:rsidR="00C775AD" w:rsidRDefault="003B3B5B">
      <w:pPr>
        <w:spacing w:after="120"/>
        <w:ind w:left="360" w:hanging="360"/>
        <w:jc w:val="both"/>
      </w:pPr>
      <w:r>
        <w:rPr>
          <w:sz w:val="22"/>
          <w:szCs w:val="22"/>
        </w:rPr>
        <w:t>Bhattacharya, C.B. and Sen, S. (2003) ‘Consumer–company identification: a framework for understanding consumers’ relationships with companies’, Journal of Marketing, 67(2), pp. 76–88.</w:t>
      </w:r>
    </w:p>
    <w:p w14:paraId="2E6954E6" w14:textId="77777777" w:rsidR="00C775AD" w:rsidRDefault="003B3B5B">
      <w:pPr>
        <w:spacing w:after="120"/>
        <w:ind w:left="360" w:hanging="360"/>
        <w:jc w:val="both"/>
      </w:pPr>
      <w:r>
        <w:rPr>
          <w:sz w:val="22"/>
          <w:szCs w:val="22"/>
        </w:rPr>
        <w:t>Braun, V. and Clarke, V. (2022) Thematic Analysis: A Practical Guide. London: SAGE.</w:t>
      </w:r>
    </w:p>
    <w:p w14:paraId="19EACDFA" w14:textId="77777777" w:rsidR="00C775AD" w:rsidRDefault="003B3B5B">
      <w:pPr>
        <w:spacing w:after="120"/>
        <w:ind w:left="360" w:hanging="360"/>
        <w:jc w:val="both"/>
      </w:pPr>
      <w:r>
        <w:rPr>
          <w:sz w:val="22"/>
          <w:szCs w:val="22"/>
        </w:rPr>
        <w:t xml:space="preserve">Bryman, A. and Bell, E. (2023) Business Research Methods. 5th </w:t>
      </w:r>
      <w:proofErr w:type="spellStart"/>
      <w:r>
        <w:rPr>
          <w:sz w:val="22"/>
          <w:szCs w:val="22"/>
        </w:rPr>
        <w:t>edn</w:t>
      </w:r>
      <w:proofErr w:type="spellEnd"/>
      <w:r>
        <w:rPr>
          <w:sz w:val="22"/>
          <w:szCs w:val="22"/>
        </w:rPr>
        <w:t>. Oxford: Oxford University Press.</w:t>
      </w:r>
    </w:p>
    <w:p w14:paraId="5FECC22A" w14:textId="77777777" w:rsidR="00C775AD" w:rsidRDefault="003B3B5B">
      <w:pPr>
        <w:spacing w:after="120"/>
        <w:ind w:left="360" w:hanging="360"/>
        <w:jc w:val="both"/>
      </w:pPr>
      <w:r>
        <w:rPr>
          <w:sz w:val="22"/>
          <w:szCs w:val="22"/>
        </w:rPr>
        <w:t>Carroll, A.B. (1991) ‘The pyramid of corporate social responsibility: toward the moral management of organizational stakeholders’, Business Horizons, 34(4), pp. 39–48.</w:t>
      </w:r>
    </w:p>
    <w:p w14:paraId="18E1B700" w14:textId="77777777" w:rsidR="00C775AD" w:rsidRDefault="003B3B5B">
      <w:pPr>
        <w:spacing w:after="120"/>
        <w:ind w:left="360" w:hanging="360"/>
        <w:jc w:val="both"/>
      </w:pPr>
      <w:r>
        <w:rPr>
          <w:sz w:val="22"/>
          <w:szCs w:val="22"/>
        </w:rPr>
        <w:t xml:space="preserve">Creswell, J.W. and Creswell, J.D. (2023) Research Design: Qualitative, Quantitative and Mixed Methods Approaches. 6th </w:t>
      </w:r>
      <w:proofErr w:type="spellStart"/>
      <w:r>
        <w:rPr>
          <w:sz w:val="22"/>
          <w:szCs w:val="22"/>
        </w:rPr>
        <w:t>edn</w:t>
      </w:r>
      <w:proofErr w:type="spellEnd"/>
      <w:r>
        <w:rPr>
          <w:sz w:val="22"/>
          <w:szCs w:val="22"/>
        </w:rPr>
        <w:t>. London: SAGE.</w:t>
      </w:r>
    </w:p>
    <w:p w14:paraId="26364A80" w14:textId="77777777" w:rsidR="00C775AD" w:rsidRDefault="003B3B5B">
      <w:pPr>
        <w:spacing w:after="120"/>
        <w:ind w:left="360" w:hanging="360"/>
        <w:jc w:val="both"/>
      </w:pPr>
      <w:r>
        <w:rPr>
          <w:sz w:val="22"/>
          <w:szCs w:val="22"/>
        </w:rPr>
        <w:t xml:space="preserve">Denzin, N.K. and Lincoln, Y.S. (eds.) (2023) The SAGE Handbook of Qualitative Research. 6th </w:t>
      </w:r>
      <w:proofErr w:type="spellStart"/>
      <w:r>
        <w:rPr>
          <w:sz w:val="22"/>
          <w:szCs w:val="22"/>
        </w:rPr>
        <w:t>edn</w:t>
      </w:r>
      <w:proofErr w:type="spellEnd"/>
      <w:r>
        <w:rPr>
          <w:sz w:val="22"/>
          <w:szCs w:val="22"/>
        </w:rPr>
        <w:t>. Thousand Oaks: SAGE.</w:t>
      </w:r>
    </w:p>
    <w:p w14:paraId="0BD4DFA1" w14:textId="77777777" w:rsidR="00C775AD" w:rsidRDefault="003B3B5B">
      <w:pPr>
        <w:spacing w:after="120"/>
        <w:ind w:left="360" w:hanging="360"/>
        <w:jc w:val="both"/>
      </w:pPr>
      <w:r>
        <w:rPr>
          <w:sz w:val="22"/>
          <w:szCs w:val="22"/>
        </w:rPr>
        <w:t>Dick, A.S. and Basu, K. (1994) ‘Customer loyalty: toward an integrated conceptual framework’, Journal of the Academy of Marketing Science, 22(2), pp. 99–113.</w:t>
      </w:r>
    </w:p>
    <w:p w14:paraId="0093CFC6" w14:textId="77777777" w:rsidR="00C775AD" w:rsidRDefault="003B3B5B">
      <w:pPr>
        <w:spacing w:after="120"/>
        <w:ind w:left="360" w:hanging="360"/>
        <w:jc w:val="both"/>
      </w:pPr>
      <w:r>
        <w:rPr>
          <w:sz w:val="22"/>
          <w:szCs w:val="22"/>
        </w:rPr>
        <w:t>Du, S., Bhattacharya, C.B. and Sen, S. (2010) ‘Maximizing business returns to corporate social responsibility (CSR): the role of CSR communication’, International Journal of Management Reviews, 12(1), pp. 8–19.</w:t>
      </w:r>
    </w:p>
    <w:p w14:paraId="41969FD1" w14:textId="77777777" w:rsidR="00C775AD" w:rsidRDefault="003B3B5B">
      <w:pPr>
        <w:spacing w:after="120"/>
        <w:ind w:left="360" w:hanging="360"/>
        <w:jc w:val="both"/>
      </w:pPr>
      <w:r>
        <w:rPr>
          <w:sz w:val="22"/>
          <w:szCs w:val="22"/>
        </w:rPr>
        <w:t>Federation of Small Businesses (2023) UK Small Business Statistics. London: Federation of Small Businesses.</w:t>
      </w:r>
    </w:p>
    <w:p w14:paraId="4A7DFA4E" w14:textId="77777777" w:rsidR="00C775AD" w:rsidRDefault="003B3B5B">
      <w:pPr>
        <w:spacing w:after="120"/>
        <w:ind w:left="360" w:hanging="360"/>
        <w:jc w:val="both"/>
      </w:pPr>
      <w:r>
        <w:rPr>
          <w:sz w:val="22"/>
          <w:szCs w:val="22"/>
        </w:rPr>
        <w:t xml:space="preserve">Field, A. (2024) Discovering Statistics Using IBM SPSS Statistics. 6th </w:t>
      </w:r>
      <w:proofErr w:type="spellStart"/>
      <w:r>
        <w:rPr>
          <w:sz w:val="22"/>
          <w:szCs w:val="22"/>
        </w:rPr>
        <w:t>edn</w:t>
      </w:r>
      <w:proofErr w:type="spellEnd"/>
      <w:r>
        <w:rPr>
          <w:sz w:val="22"/>
          <w:szCs w:val="22"/>
        </w:rPr>
        <w:t>. London: SAGE.</w:t>
      </w:r>
    </w:p>
    <w:p w14:paraId="5DF85E6C" w14:textId="77777777" w:rsidR="00C775AD" w:rsidRDefault="003B3B5B">
      <w:pPr>
        <w:spacing w:after="120"/>
        <w:ind w:left="360" w:hanging="360"/>
        <w:jc w:val="both"/>
      </w:pPr>
      <w:r>
        <w:rPr>
          <w:sz w:val="22"/>
          <w:szCs w:val="22"/>
        </w:rPr>
        <w:t>Freeman, R.E. (1984) Strategic Management: A Stakeholder Approach. Boston: Pitman.</w:t>
      </w:r>
    </w:p>
    <w:p w14:paraId="1C4B3824" w14:textId="77777777" w:rsidR="00C775AD" w:rsidRDefault="003B3B5B">
      <w:pPr>
        <w:spacing w:after="120"/>
        <w:ind w:left="360" w:hanging="360"/>
        <w:jc w:val="both"/>
      </w:pPr>
      <w:r>
        <w:rPr>
          <w:sz w:val="22"/>
          <w:szCs w:val="22"/>
        </w:rPr>
        <w:t xml:space="preserve">Gray, D.E. (2021) Doing Research in the Real World. 5th </w:t>
      </w:r>
      <w:proofErr w:type="spellStart"/>
      <w:r>
        <w:rPr>
          <w:sz w:val="22"/>
          <w:szCs w:val="22"/>
        </w:rPr>
        <w:t>edn</w:t>
      </w:r>
      <w:proofErr w:type="spellEnd"/>
      <w:r>
        <w:rPr>
          <w:sz w:val="22"/>
          <w:szCs w:val="22"/>
        </w:rPr>
        <w:t>. London: SAGE.</w:t>
      </w:r>
    </w:p>
    <w:p w14:paraId="0CB58DEE" w14:textId="77777777" w:rsidR="00C775AD" w:rsidRDefault="003B3B5B">
      <w:pPr>
        <w:spacing w:after="120"/>
        <w:ind w:left="360" w:hanging="360"/>
        <w:jc w:val="both"/>
      </w:pPr>
      <w:r>
        <w:rPr>
          <w:sz w:val="22"/>
          <w:szCs w:val="22"/>
        </w:rPr>
        <w:t>He, H. and Li, Y. (2011) ‘CSR and service brand: the mediating effect of brand identification and moderating effect of service quality’, Journal of Business Ethics, 100(4), pp. 673–688.</w:t>
      </w:r>
    </w:p>
    <w:p w14:paraId="2C129690" w14:textId="77777777" w:rsidR="00C775AD" w:rsidRDefault="003B3B5B">
      <w:pPr>
        <w:spacing w:after="120"/>
        <w:ind w:left="360" w:hanging="360"/>
        <w:jc w:val="both"/>
      </w:pPr>
      <w:r>
        <w:rPr>
          <w:sz w:val="22"/>
          <w:szCs w:val="22"/>
        </w:rPr>
        <w:t>Jenkins, H. (2006) ‘Small business champions for corporate social responsibility’, Journal of Business Ethics, 67(3), pp. 241–256.</w:t>
      </w:r>
    </w:p>
    <w:p w14:paraId="6026E781" w14:textId="77777777" w:rsidR="00C775AD" w:rsidRDefault="003B3B5B">
      <w:pPr>
        <w:spacing w:after="120"/>
        <w:ind w:left="360" w:hanging="360"/>
        <w:jc w:val="both"/>
      </w:pPr>
      <w:r>
        <w:rPr>
          <w:sz w:val="22"/>
          <w:szCs w:val="22"/>
        </w:rPr>
        <w:t>Maignan, I. and Ferrell, O.C. (2004) ‘Corporate social responsibility and marketing: an integrative framework’, Journal of the Academy of Marketing Science, 32(1), pp. 3–19.</w:t>
      </w:r>
    </w:p>
    <w:p w14:paraId="4F8C2DDB" w14:textId="77777777" w:rsidR="00C775AD" w:rsidRDefault="003B3B5B">
      <w:pPr>
        <w:spacing w:after="120"/>
        <w:ind w:left="360" w:hanging="360"/>
        <w:jc w:val="both"/>
      </w:pPr>
      <w:r>
        <w:rPr>
          <w:sz w:val="22"/>
          <w:szCs w:val="22"/>
        </w:rPr>
        <w:t xml:space="preserve">Mohr, L.A., Webb, D.J. and Harris, K.E. (2001) ‘Do consumers expect companies to be socially responsible? The impact of corporate social responsibility on buying </w:t>
      </w:r>
      <w:proofErr w:type="spellStart"/>
      <w:r>
        <w:rPr>
          <w:sz w:val="22"/>
          <w:szCs w:val="22"/>
        </w:rPr>
        <w:t>behavior</w:t>
      </w:r>
      <w:proofErr w:type="spellEnd"/>
      <w:r>
        <w:rPr>
          <w:sz w:val="22"/>
          <w:szCs w:val="22"/>
        </w:rPr>
        <w:t>’, Journal of Consumer Affairs, 35(1), pp. 45–72.</w:t>
      </w:r>
    </w:p>
    <w:p w14:paraId="4FC81D46" w14:textId="77777777" w:rsidR="00C775AD" w:rsidRDefault="003B3B5B">
      <w:pPr>
        <w:spacing w:after="120"/>
        <w:ind w:left="360" w:hanging="360"/>
        <w:jc w:val="both"/>
      </w:pPr>
      <w:r>
        <w:rPr>
          <w:sz w:val="22"/>
          <w:szCs w:val="22"/>
        </w:rPr>
        <w:t>Oliver, R.L. (1999) ‘Whence consumer loyalty?’, Journal of Marketing, 63(4), pp. 33–44.</w:t>
      </w:r>
    </w:p>
    <w:p w14:paraId="4B17E3CA" w14:textId="77777777" w:rsidR="00C775AD" w:rsidRDefault="003B3B5B">
      <w:pPr>
        <w:spacing w:after="120"/>
        <w:ind w:left="360" w:hanging="360"/>
        <w:jc w:val="both"/>
      </w:pPr>
      <w:r>
        <w:rPr>
          <w:sz w:val="22"/>
          <w:szCs w:val="22"/>
        </w:rPr>
        <w:t xml:space="preserve">Pallant, J. (2020) SPSS Survival Manual: A Step-by-Step Guide to Data Analysis Using IBM SPSS. 7th </w:t>
      </w:r>
      <w:proofErr w:type="spellStart"/>
      <w:r>
        <w:rPr>
          <w:sz w:val="22"/>
          <w:szCs w:val="22"/>
        </w:rPr>
        <w:t>edn</w:t>
      </w:r>
      <w:proofErr w:type="spellEnd"/>
      <w:r>
        <w:rPr>
          <w:sz w:val="22"/>
          <w:szCs w:val="22"/>
        </w:rPr>
        <w:t>. Maidenhead: McGraw-Hill.</w:t>
      </w:r>
    </w:p>
    <w:p w14:paraId="6E8AA2A8" w14:textId="77777777" w:rsidR="00C775AD" w:rsidRDefault="003B3B5B">
      <w:pPr>
        <w:spacing w:after="120"/>
        <w:ind w:left="360" w:hanging="360"/>
        <w:jc w:val="both"/>
      </w:pPr>
      <w:r>
        <w:rPr>
          <w:sz w:val="22"/>
          <w:szCs w:val="22"/>
        </w:rPr>
        <w:t xml:space="preserve">Robson, C. and McCartan, K. (2024) Real World Research. 5th </w:t>
      </w:r>
      <w:proofErr w:type="spellStart"/>
      <w:r>
        <w:rPr>
          <w:sz w:val="22"/>
          <w:szCs w:val="22"/>
        </w:rPr>
        <w:t>edn</w:t>
      </w:r>
      <w:proofErr w:type="spellEnd"/>
      <w:r>
        <w:rPr>
          <w:sz w:val="22"/>
          <w:szCs w:val="22"/>
        </w:rPr>
        <w:t>. Chichester: Wiley.</w:t>
      </w:r>
    </w:p>
    <w:p w14:paraId="578F04E9" w14:textId="77777777" w:rsidR="00C775AD" w:rsidRDefault="003B3B5B">
      <w:pPr>
        <w:spacing w:after="120"/>
        <w:ind w:left="360" w:hanging="360"/>
        <w:jc w:val="both"/>
      </w:pPr>
      <w:r>
        <w:rPr>
          <w:sz w:val="22"/>
          <w:szCs w:val="22"/>
        </w:rPr>
        <w:t xml:space="preserve">Saunders, M.N.K., Lewis, P. and Thornhill, A. (2023) Research Methods for Business Students. 9th </w:t>
      </w:r>
      <w:proofErr w:type="spellStart"/>
      <w:r>
        <w:rPr>
          <w:sz w:val="22"/>
          <w:szCs w:val="22"/>
        </w:rPr>
        <w:t>edn</w:t>
      </w:r>
      <w:proofErr w:type="spellEnd"/>
      <w:r>
        <w:rPr>
          <w:sz w:val="22"/>
          <w:szCs w:val="22"/>
        </w:rPr>
        <w:t>. Harlow: Pearson.</w:t>
      </w:r>
    </w:p>
    <w:p w14:paraId="24BC3E7B" w14:textId="77777777" w:rsidR="00C775AD" w:rsidRDefault="003B3B5B">
      <w:pPr>
        <w:spacing w:after="120"/>
        <w:ind w:left="360" w:hanging="360"/>
        <w:jc w:val="both"/>
      </w:pPr>
      <w:r>
        <w:rPr>
          <w:sz w:val="22"/>
          <w:szCs w:val="22"/>
        </w:rPr>
        <w:t>Scotland, J. (2012) ‘Exploring the philosophical underpinnings of research’, English Language Teaching, 5(9), pp. 9–16.</w:t>
      </w:r>
    </w:p>
    <w:p w14:paraId="64B5B45F" w14:textId="77777777" w:rsidR="00C775AD" w:rsidRDefault="003B3B5B">
      <w:pPr>
        <w:spacing w:after="120"/>
        <w:ind w:left="360" w:hanging="360"/>
        <w:jc w:val="both"/>
      </w:pPr>
      <w:r>
        <w:rPr>
          <w:sz w:val="22"/>
          <w:szCs w:val="22"/>
        </w:rPr>
        <w:t>Sen, S. and Bhattacharya, C.B. (2001) ‘Does doing good always lead to doing better? Consumer reactions to corporate social responsibility’, Journal of Marketing Research, 38(2), pp. 225–243.</w:t>
      </w:r>
    </w:p>
    <w:p w14:paraId="29D5897D" w14:textId="77777777" w:rsidR="00C775AD" w:rsidRDefault="003B3B5B">
      <w:pPr>
        <w:spacing w:after="120"/>
        <w:ind w:left="360" w:hanging="360"/>
        <w:jc w:val="both"/>
      </w:pPr>
      <w:r>
        <w:rPr>
          <w:sz w:val="22"/>
          <w:szCs w:val="22"/>
        </w:rPr>
        <w:t>Spence, L.J. (2016) ‘Small business social responsibility: expanding core CSR theory’, Business &amp; Society, 55(1), pp. 23–55.</w:t>
      </w:r>
    </w:p>
    <w:p w14:paraId="0008463F" w14:textId="77777777" w:rsidR="00C775AD" w:rsidRDefault="003B3B5B">
      <w:pPr>
        <w:spacing w:after="120"/>
        <w:ind w:left="360" w:hanging="360"/>
        <w:jc w:val="both"/>
      </w:pPr>
      <w:proofErr w:type="spellStart"/>
      <w:r>
        <w:rPr>
          <w:sz w:val="22"/>
          <w:szCs w:val="22"/>
        </w:rPr>
        <w:t>Tashakkori</w:t>
      </w:r>
      <w:proofErr w:type="spellEnd"/>
      <w:r>
        <w:rPr>
          <w:sz w:val="22"/>
          <w:szCs w:val="22"/>
        </w:rPr>
        <w:t xml:space="preserve">, A., Johnson, R.B. and Teddlie, C. (2020) Foundations of Mixed Methods Research. 2nd </w:t>
      </w:r>
      <w:proofErr w:type="spellStart"/>
      <w:r>
        <w:rPr>
          <w:sz w:val="22"/>
          <w:szCs w:val="22"/>
        </w:rPr>
        <w:t>edn</w:t>
      </w:r>
      <w:proofErr w:type="spellEnd"/>
      <w:r>
        <w:rPr>
          <w:sz w:val="22"/>
          <w:szCs w:val="22"/>
        </w:rPr>
        <w:t>. London: SAGE.</w:t>
      </w:r>
    </w:p>
    <w:p w14:paraId="587B9D73" w14:textId="77777777" w:rsidR="00C775AD" w:rsidRDefault="003B3B5B">
      <w:r>
        <w:br w:type="page"/>
      </w:r>
    </w:p>
    <w:p w14:paraId="19543852" w14:textId="77777777" w:rsidR="00C775AD" w:rsidRDefault="003B3B5B">
      <w:pPr>
        <w:pStyle w:val="Heading1"/>
      </w:pPr>
      <w:bookmarkStart w:id="21" w:name="bmAppendixADraftQuestionnaireConstructs"/>
      <w:r>
        <w:t>Appendix A – Draft Questionnaire Constructs</w:t>
      </w:r>
      <w:bookmarkEnd w:id="21"/>
    </w:p>
    <w:p w14:paraId="4F016659" w14:textId="77777777" w:rsidR="00C775AD" w:rsidRDefault="003B3B5B">
      <w:pPr>
        <w:spacing w:after="140"/>
        <w:jc w:val="both"/>
      </w:pPr>
      <w:r>
        <w:t>The survey will operationalise the constructs below, each measured with several five-point Likert items adapted from established scales.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4626"/>
        <w:gridCol w:w="1700"/>
      </w:tblGrid>
      <w:tr w:rsidR="00C775AD" w14:paraId="3B791759" w14:textId="77777777">
        <w:trPr>
          <w:tblHeader/>
        </w:trPr>
        <w:tc>
          <w:tcPr>
            <w:tcW w:w="27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03C045E5" w14:textId="77777777" w:rsidR="00C775AD" w:rsidRDefault="003B3B5B">
            <w:r>
              <w:rPr>
                <w:b/>
                <w:bCs/>
                <w:color w:val="FFFFFF"/>
                <w:sz w:val="20"/>
                <w:szCs w:val="20"/>
              </w:rPr>
              <w:t>Construct</w:t>
            </w:r>
          </w:p>
        </w:tc>
        <w:tc>
          <w:tcPr>
            <w:tcW w:w="4626"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02460257" w14:textId="77777777" w:rsidR="00C775AD" w:rsidRDefault="003B3B5B">
            <w:r>
              <w:rPr>
                <w:b/>
                <w:bCs/>
                <w:color w:val="FFFFFF"/>
                <w:sz w:val="20"/>
                <w:szCs w:val="20"/>
              </w:rPr>
              <w:t>Example item</w:t>
            </w:r>
          </w:p>
        </w:tc>
        <w:tc>
          <w:tcPr>
            <w:tcW w:w="17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52D47428" w14:textId="77777777" w:rsidR="00C775AD" w:rsidRDefault="003B3B5B">
            <w:r>
              <w:rPr>
                <w:b/>
                <w:bCs/>
                <w:color w:val="FFFFFF"/>
                <w:sz w:val="20"/>
                <w:szCs w:val="20"/>
              </w:rPr>
              <w:t>Adapted from</w:t>
            </w:r>
          </w:p>
        </w:tc>
      </w:tr>
      <w:tr w:rsidR="00C775AD" w14:paraId="45B79C58" w14:textId="77777777">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F8182A1" w14:textId="77777777" w:rsidR="00C775AD" w:rsidRDefault="003B3B5B">
            <w:r>
              <w:rPr>
                <w:b/>
                <w:bCs/>
                <w:color w:val="000000"/>
                <w:sz w:val="20"/>
                <w:szCs w:val="20"/>
              </w:rPr>
              <w:t>Perceived CSR – ethical</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67D3767" w14:textId="77777777" w:rsidR="00C775AD" w:rsidRDefault="003B3B5B">
            <w:r>
              <w:rPr>
                <w:color w:val="000000"/>
                <w:sz w:val="20"/>
                <w:szCs w:val="20"/>
              </w:rPr>
              <w:t>“This café sources its coffee ethically and treats suppliers fairly.”</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CC326E2" w14:textId="77777777" w:rsidR="00C775AD" w:rsidRDefault="003B3B5B">
            <w:r>
              <w:rPr>
                <w:color w:val="000000"/>
                <w:sz w:val="20"/>
                <w:szCs w:val="20"/>
              </w:rPr>
              <w:t>Maignan and Ferrell (2004)</w:t>
            </w:r>
          </w:p>
        </w:tc>
      </w:tr>
      <w:tr w:rsidR="00C775AD" w14:paraId="6E882AC8" w14:textId="77777777">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2FF5B98E" w14:textId="77777777" w:rsidR="00C775AD" w:rsidRDefault="003B3B5B">
            <w:r>
              <w:rPr>
                <w:b/>
                <w:bCs/>
                <w:color w:val="000000"/>
                <w:sz w:val="20"/>
                <w:szCs w:val="20"/>
              </w:rPr>
              <w:t>Perceived CSR – community</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0DC5169" w14:textId="77777777" w:rsidR="00C775AD" w:rsidRDefault="003B3B5B">
            <w:r>
              <w:rPr>
                <w:color w:val="000000"/>
                <w:sz w:val="20"/>
                <w:szCs w:val="20"/>
              </w:rPr>
              <w:t>“This café actively supports the local community.”</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F2BCDF0" w14:textId="77777777" w:rsidR="00C775AD" w:rsidRDefault="003B3B5B">
            <w:r>
              <w:rPr>
                <w:color w:val="000000"/>
                <w:sz w:val="20"/>
                <w:szCs w:val="20"/>
              </w:rPr>
              <w:t>Maignan and Ferrell (2004)</w:t>
            </w:r>
          </w:p>
        </w:tc>
      </w:tr>
      <w:tr w:rsidR="00C775AD" w14:paraId="56E480AA" w14:textId="77777777">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8DE21A4" w14:textId="77777777" w:rsidR="00C775AD" w:rsidRDefault="003B3B5B">
            <w:r>
              <w:rPr>
                <w:b/>
                <w:bCs/>
                <w:color w:val="000000"/>
                <w:sz w:val="20"/>
                <w:szCs w:val="20"/>
              </w:rPr>
              <w:t>Perceived CSR – environment</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CBD9712" w14:textId="77777777" w:rsidR="00C775AD" w:rsidRDefault="003B3B5B">
            <w:r>
              <w:rPr>
                <w:color w:val="000000"/>
                <w:sz w:val="20"/>
                <w:szCs w:val="20"/>
              </w:rPr>
              <w:t>“This café makes a real effort to reduce its environmental impact.”</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0598F8B" w14:textId="77777777" w:rsidR="00C775AD" w:rsidRDefault="003B3B5B">
            <w:r>
              <w:rPr>
                <w:color w:val="000000"/>
                <w:sz w:val="20"/>
                <w:szCs w:val="20"/>
              </w:rPr>
              <w:t>Maignan and Ferrell (2004)</w:t>
            </w:r>
          </w:p>
        </w:tc>
      </w:tr>
      <w:tr w:rsidR="00C775AD" w14:paraId="29B6D307" w14:textId="77777777">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728EA4E" w14:textId="77777777" w:rsidR="00C775AD" w:rsidRDefault="003B3B5B">
            <w:r>
              <w:rPr>
                <w:b/>
                <w:bCs/>
                <w:color w:val="000000"/>
                <w:sz w:val="20"/>
                <w:szCs w:val="20"/>
              </w:rPr>
              <w:t>Brand trust</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7B15F12" w14:textId="77777777" w:rsidR="00C775AD" w:rsidRDefault="003B3B5B">
            <w:r>
              <w:rPr>
                <w:color w:val="000000"/>
                <w:sz w:val="20"/>
                <w:szCs w:val="20"/>
              </w:rPr>
              <w:t>“I trust this café to act in its customers’ interests.”</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A98F9E1" w14:textId="77777777" w:rsidR="00C775AD" w:rsidRDefault="003B3B5B">
            <w:r>
              <w:rPr>
                <w:color w:val="000000"/>
                <w:sz w:val="20"/>
                <w:szCs w:val="20"/>
              </w:rPr>
              <w:t>He and Li (2011)</w:t>
            </w:r>
          </w:p>
        </w:tc>
      </w:tr>
      <w:tr w:rsidR="00C775AD" w14:paraId="7EA36BA7" w14:textId="77777777">
        <w:tc>
          <w:tcPr>
            <w:tcW w:w="2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5CA8669" w14:textId="77777777" w:rsidR="00C775AD" w:rsidRDefault="003B3B5B">
            <w:r>
              <w:rPr>
                <w:b/>
                <w:bCs/>
                <w:color w:val="000000"/>
                <w:sz w:val="20"/>
                <w:szCs w:val="20"/>
              </w:rPr>
              <w:t>Attitudinal loyalty</w:t>
            </w:r>
          </w:p>
        </w:tc>
        <w:tc>
          <w:tcPr>
            <w:tcW w:w="46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593664D" w14:textId="77777777" w:rsidR="00C775AD" w:rsidRDefault="003B3B5B">
            <w:r>
              <w:rPr>
                <w:color w:val="000000"/>
                <w:sz w:val="20"/>
                <w:szCs w:val="20"/>
              </w:rPr>
              <w:t>“I have a strong preference for this café over others nearby.”</w:t>
            </w:r>
          </w:p>
        </w:tc>
        <w:tc>
          <w:tcPr>
            <w:tcW w:w="17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2C870FD" w14:textId="77777777" w:rsidR="00C775AD" w:rsidRDefault="003B3B5B">
            <w:r>
              <w:rPr>
                <w:color w:val="000000"/>
                <w:sz w:val="20"/>
                <w:szCs w:val="20"/>
              </w:rPr>
              <w:t>Dick and Basu (1994)</w:t>
            </w:r>
          </w:p>
        </w:tc>
      </w:tr>
      <w:tr w:rsidR="00C775AD" w14:paraId="537D3298" w14:textId="77777777">
        <w:tc>
          <w:tcPr>
            <w:tcW w:w="2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5E65EC63" w14:textId="77777777" w:rsidR="00C775AD" w:rsidRDefault="003B3B5B">
            <w:r>
              <w:rPr>
                <w:b/>
                <w:bCs/>
                <w:color w:val="000000"/>
                <w:sz w:val="20"/>
                <w:szCs w:val="20"/>
              </w:rPr>
              <w:t>Behavioural loyalty</w:t>
            </w:r>
          </w:p>
        </w:tc>
        <w:tc>
          <w:tcPr>
            <w:tcW w:w="46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72A8270" w14:textId="77777777" w:rsidR="00C775AD" w:rsidRDefault="003B3B5B">
            <w:r>
              <w:rPr>
                <w:color w:val="000000"/>
                <w:sz w:val="20"/>
                <w:szCs w:val="20"/>
              </w:rPr>
              <w:t>“I visit this café regularly and intend to keep doing so.”</w:t>
            </w:r>
          </w:p>
        </w:tc>
        <w:tc>
          <w:tcPr>
            <w:tcW w:w="17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4DAA875" w14:textId="77777777" w:rsidR="00C775AD" w:rsidRDefault="003B3B5B">
            <w:r>
              <w:rPr>
                <w:color w:val="000000"/>
                <w:sz w:val="20"/>
                <w:szCs w:val="20"/>
              </w:rPr>
              <w:t>Dick and Basu (1994)</w:t>
            </w:r>
          </w:p>
        </w:tc>
      </w:tr>
    </w:tbl>
    <w:p w14:paraId="050AE3DD" w14:textId="77777777" w:rsidR="00C775AD" w:rsidRDefault="00C775AD">
      <w:pPr>
        <w:spacing w:before="240"/>
      </w:pPr>
    </w:p>
    <w:p w14:paraId="0DD44551" w14:textId="77777777" w:rsidR="00C775AD" w:rsidRDefault="003B3B5B">
      <w:pPr>
        <w:pStyle w:val="Heading1"/>
      </w:pPr>
      <w:bookmarkStart w:id="22" w:name="bmAppendixBOwnerInterviewTopicGuide"/>
      <w:r>
        <w:t>Appendix B – Owner Interview Topic Guide</w:t>
      </w:r>
      <w:bookmarkEnd w:id="22"/>
    </w:p>
    <w:p w14:paraId="2373F876" w14:textId="77777777" w:rsidR="00C775AD" w:rsidRDefault="003B3B5B">
      <w:pPr>
        <w:spacing w:after="140"/>
        <w:jc w:val="both"/>
      </w:pPr>
      <w:r>
        <w:t>The semi-structured interviews will be guided by the prompts below, with follow-up questions used as the conversation develops.</w:t>
      </w:r>
    </w:p>
    <w:p w14:paraId="330F9E03" w14:textId="77777777" w:rsidR="00C775AD" w:rsidRDefault="003B3B5B">
      <w:pPr>
        <w:pStyle w:val="ListParagraph"/>
        <w:numPr>
          <w:ilvl w:val="0"/>
          <w:numId w:val="3"/>
        </w:numPr>
        <w:spacing w:after="100"/>
      </w:pPr>
      <w:r>
        <w:t>How would you describe your café’s values and the responsible practices you follow?</w:t>
      </w:r>
    </w:p>
    <w:p w14:paraId="792D9614" w14:textId="77777777" w:rsidR="00C775AD" w:rsidRDefault="003B3B5B">
      <w:pPr>
        <w:pStyle w:val="ListParagraph"/>
        <w:numPr>
          <w:ilvl w:val="0"/>
          <w:numId w:val="3"/>
        </w:numPr>
        <w:spacing w:after="100"/>
      </w:pPr>
      <w:r>
        <w:t>Which of these practices do you most want customers to notice, and why?</w:t>
      </w:r>
    </w:p>
    <w:p w14:paraId="64E377EC" w14:textId="77777777" w:rsidR="00C775AD" w:rsidRDefault="003B3B5B">
      <w:pPr>
        <w:pStyle w:val="ListParagraph"/>
        <w:numPr>
          <w:ilvl w:val="0"/>
          <w:numId w:val="3"/>
        </w:numPr>
        <w:spacing w:after="100"/>
      </w:pPr>
      <w:r>
        <w:t>How do you communicate these practices to your customers?</w:t>
      </w:r>
    </w:p>
    <w:p w14:paraId="057C7FEA" w14:textId="77777777" w:rsidR="00C775AD" w:rsidRDefault="003B3B5B">
      <w:pPr>
        <w:pStyle w:val="ListParagraph"/>
        <w:numPr>
          <w:ilvl w:val="0"/>
          <w:numId w:val="3"/>
        </w:numPr>
        <w:spacing w:after="100"/>
      </w:pPr>
      <w:r>
        <w:t>Do you believe your responsible practices influence whether customers keep coming back, and in what way?</w:t>
      </w:r>
    </w:p>
    <w:p w14:paraId="1443EC0F" w14:textId="77777777" w:rsidR="00C775AD" w:rsidRDefault="003B3B5B">
      <w:pPr>
        <w:pStyle w:val="ListParagraph"/>
        <w:numPr>
          <w:ilvl w:val="0"/>
          <w:numId w:val="3"/>
        </w:numPr>
        <w:spacing w:after="100"/>
      </w:pPr>
      <w:r>
        <w:t>What challenges do you face in trying to act responsibly as a small, independent business?</w:t>
      </w:r>
    </w:p>
    <w:p w14:paraId="0CC3A9D5" w14:textId="77777777" w:rsidR="00C775AD" w:rsidRDefault="00C775AD">
      <w:pPr>
        <w:spacing w:before="240"/>
      </w:pPr>
    </w:p>
    <w:p w14:paraId="49571490" w14:textId="77777777" w:rsidR="00C775AD" w:rsidRDefault="003B3B5B">
      <w:pPr>
        <w:pStyle w:val="Heading1"/>
      </w:pPr>
      <w:bookmarkStart w:id="23" w:name="bmAppendixCProjectPlanandMilestones"/>
      <w:r>
        <w:t>Appendix C – Project Plan and Milestones</w:t>
      </w:r>
      <w:bookmarkEnd w:id="23"/>
    </w:p>
    <w:p w14:paraId="2CBCBD64" w14:textId="77777777" w:rsidR="00C775AD" w:rsidRDefault="003B3B5B">
      <w:pPr>
        <w:spacing w:after="140"/>
        <w:jc w:val="both"/>
      </w:pPr>
      <w:r>
        <w:t>The table below summarises the key phases, timings and activities of the proposed project.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900"/>
        <w:gridCol w:w="4526"/>
      </w:tblGrid>
      <w:tr w:rsidR="00C775AD" w14:paraId="74ADA2E2" w14:textId="77777777">
        <w:trPr>
          <w:tblHeader/>
        </w:trPr>
        <w:tc>
          <w:tcPr>
            <w:tcW w:w="26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5FBA8070" w14:textId="77777777" w:rsidR="00C775AD" w:rsidRDefault="003B3B5B">
            <w:r>
              <w:rPr>
                <w:b/>
                <w:bCs/>
                <w:color w:val="FFFFFF"/>
                <w:sz w:val="20"/>
                <w:szCs w:val="20"/>
              </w:rPr>
              <w:t>Phase / Milestone</w:t>
            </w:r>
          </w:p>
        </w:tc>
        <w:tc>
          <w:tcPr>
            <w:tcW w:w="1900"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10DE4419" w14:textId="77777777" w:rsidR="00C775AD" w:rsidRDefault="003B3B5B">
            <w:r>
              <w:rPr>
                <w:b/>
                <w:bCs/>
                <w:color w:val="FFFFFF"/>
                <w:sz w:val="20"/>
                <w:szCs w:val="20"/>
              </w:rPr>
              <w:t>Timeframe</w:t>
            </w:r>
          </w:p>
        </w:tc>
        <w:tc>
          <w:tcPr>
            <w:tcW w:w="4526" w:type="dxa"/>
            <w:tcBorders>
              <w:top w:val="single" w:sz="4" w:space="0" w:color="808080"/>
              <w:left w:val="single" w:sz="4" w:space="0" w:color="808080"/>
              <w:bottom w:val="single" w:sz="4" w:space="0" w:color="808080"/>
              <w:right w:val="single" w:sz="4" w:space="0" w:color="808080"/>
            </w:tcBorders>
            <w:shd w:val="clear" w:color="auto" w:fill="1F6F78"/>
            <w:tcMar>
              <w:top w:w="60" w:type="dxa"/>
              <w:left w:w="110" w:type="dxa"/>
              <w:bottom w:w="60" w:type="dxa"/>
              <w:right w:w="110" w:type="dxa"/>
            </w:tcMar>
            <w:vAlign w:val="center"/>
          </w:tcPr>
          <w:p w14:paraId="39E72CC7" w14:textId="77777777" w:rsidR="00C775AD" w:rsidRDefault="003B3B5B">
            <w:r>
              <w:rPr>
                <w:b/>
                <w:bCs/>
                <w:color w:val="FFFFFF"/>
                <w:sz w:val="20"/>
                <w:szCs w:val="20"/>
              </w:rPr>
              <w:t>Key Activities</w:t>
            </w:r>
          </w:p>
        </w:tc>
      </w:tr>
      <w:tr w:rsidR="00C775AD" w14:paraId="36055CA0"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44EBB14" w14:textId="77777777" w:rsidR="00C775AD" w:rsidRDefault="003B3B5B">
            <w:r>
              <w:rPr>
                <w:b/>
                <w:bCs/>
                <w:color w:val="000000"/>
                <w:sz w:val="20"/>
                <w:szCs w:val="20"/>
              </w:rPr>
              <w:t>Topic &amp; ethics</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B6BB53A" w14:textId="77777777" w:rsidR="00C775AD" w:rsidRDefault="003B3B5B">
            <w:r>
              <w:rPr>
                <w:color w:val="000000"/>
                <w:sz w:val="20"/>
                <w:szCs w:val="20"/>
              </w:rPr>
              <w:t>Weeks 1–2</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E142613" w14:textId="77777777" w:rsidR="00C775AD" w:rsidRDefault="003B3B5B">
            <w:r>
              <w:rPr>
                <w:color w:val="000000"/>
                <w:sz w:val="20"/>
                <w:szCs w:val="20"/>
              </w:rPr>
              <w:t>Finalise question; complete ethics form; initial reading.</w:t>
            </w:r>
          </w:p>
        </w:tc>
      </w:tr>
      <w:tr w:rsidR="00C775AD" w14:paraId="3D895BF6"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6BF4909" w14:textId="77777777" w:rsidR="00C775AD" w:rsidRDefault="003B3B5B">
            <w:r>
              <w:rPr>
                <w:b/>
                <w:bCs/>
                <w:color w:val="000000"/>
                <w:sz w:val="20"/>
                <w:szCs w:val="20"/>
              </w:rPr>
              <w:t>Literature review</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36188C0" w14:textId="77777777" w:rsidR="00C775AD" w:rsidRDefault="003B3B5B">
            <w:r>
              <w:rPr>
                <w:color w:val="000000"/>
                <w:sz w:val="20"/>
                <w:szCs w:val="20"/>
              </w:rPr>
              <w:t>Weeks 2–4</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FC82D93" w14:textId="77777777" w:rsidR="00C775AD" w:rsidRDefault="003B3B5B">
            <w:r>
              <w:rPr>
                <w:color w:val="000000"/>
                <w:sz w:val="20"/>
                <w:szCs w:val="20"/>
              </w:rPr>
              <w:t>Systematic search; critical evaluation; identify gap.</w:t>
            </w:r>
          </w:p>
        </w:tc>
      </w:tr>
      <w:tr w:rsidR="00C775AD" w14:paraId="7492B1A3"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999B413" w14:textId="77777777" w:rsidR="00C775AD" w:rsidRDefault="003B3B5B">
            <w:r>
              <w:rPr>
                <w:b/>
                <w:bCs/>
                <w:color w:val="000000"/>
                <w:sz w:val="20"/>
                <w:szCs w:val="20"/>
              </w:rPr>
              <w:t>Instrument design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89E1038" w14:textId="77777777" w:rsidR="00C775AD" w:rsidRDefault="003B3B5B">
            <w:r>
              <w:rPr>
                <w:color w:val="000000"/>
                <w:sz w:val="20"/>
                <w:szCs w:val="20"/>
              </w:rPr>
              <w:t>Weeks 4–5</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2E133F2" w14:textId="77777777" w:rsidR="00C775AD" w:rsidRDefault="003B3B5B">
            <w:r>
              <w:rPr>
                <w:color w:val="000000"/>
                <w:sz w:val="20"/>
                <w:szCs w:val="20"/>
              </w:rPr>
              <w:t>Build survey scales; draft interview guide; pilot.</w:t>
            </w:r>
          </w:p>
        </w:tc>
      </w:tr>
      <w:tr w:rsidR="00C775AD" w14:paraId="51072ABB"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AB5BB8B" w14:textId="77777777" w:rsidR="00C775AD" w:rsidRDefault="003B3B5B">
            <w:r>
              <w:rPr>
                <w:b/>
                <w:bCs/>
                <w:color w:val="000000"/>
                <w:sz w:val="20"/>
                <w:szCs w:val="20"/>
              </w:rPr>
              <w:t>Fieldwork</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8E88A9A" w14:textId="77777777" w:rsidR="00C775AD" w:rsidRDefault="003B3B5B">
            <w:r>
              <w:rPr>
                <w:color w:val="000000"/>
                <w:sz w:val="20"/>
                <w:szCs w:val="20"/>
              </w:rPr>
              <w:t>Weeks 6–8</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C1A1E3F" w14:textId="77777777" w:rsidR="00C775AD" w:rsidRDefault="003B3B5B">
            <w:r>
              <w:rPr>
                <w:color w:val="000000"/>
                <w:sz w:val="20"/>
                <w:szCs w:val="20"/>
              </w:rPr>
              <w:t>Run customer survey and owner interviews in parallel.</w:t>
            </w:r>
          </w:p>
        </w:tc>
      </w:tr>
      <w:tr w:rsidR="00C775AD" w14:paraId="7DCA9F07"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AFF2B97" w14:textId="77777777" w:rsidR="00C775AD" w:rsidRDefault="003B3B5B">
            <w:r>
              <w:rPr>
                <w:b/>
                <w:bCs/>
                <w:color w:val="000000"/>
                <w:sz w:val="20"/>
                <w:szCs w:val="20"/>
              </w:rPr>
              <w:t>Analysis &amp; integration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A3809A9" w14:textId="77777777" w:rsidR="00C775AD" w:rsidRDefault="003B3B5B">
            <w:r>
              <w:rPr>
                <w:color w:val="000000"/>
                <w:sz w:val="20"/>
                <w:szCs w:val="20"/>
              </w:rPr>
              <w:t>Weeks 8–9</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2D76F03" w14:textId="77777777" w:rsidR="00C775AD" w:rsidRDefault="003B3B5B">
            <w:r>
              <w:rPr>
                <w:color w:val="000000"/>
                <w:sz w:val="20"/>
                <w:szCs w:val="20"/>
              </w:rPr>
              <w:t>SPSS and thematic analysis; merge findings.</w:t>
            </w:r>
          </w:p>
        </w:tc>
      </w:tr>
      <w:tr w:rsidR="00C775AD" w14:paraId="4E4F8993"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143C0AF" w14:textId="77777777" w:rsidR="00C775AD" w:rsidRDefault="003B3B5B">
            <w:r>
              <w:rPr>
                <w:b/>
                <w:bCs/>
                <w:color w:val="000000"/>
                <w:sz w:val="20"/>
                <w:szCs w:val="20"/>
              </w:rPr>
              <w:t>Submission</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F43DE0D" w14:textId="77777777" w:rsidR="00C775AD" w:rsidRDefault="003B3B5B">
            <w:r>
              <w:rPr>
                <w:color w:val="000000"/>
                <w:sz w:val="20"/>
                <w:szCs w:val="20"/>
              </w:rPr>
              <w:t>26 June 2026</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9AA88D0" w14:textId="77777777" w:rsidR="00C775AD" w:rsidRDefault="003B3B5B">
            <w:r>
              <w:rPr>
                <w:color w:val="000000"/>
                <w:sz w:val="20"/>
                <w:szCs w:val="20"/>
              </w:rPr>
              <w:t>Submit 2,000-word proposal via Turnitin.</w:t>
            </w:r>
          </w:p>
        </w:tc>
      </w:tr>
      <w:tr w:rsidR="00C775AD" w14:paraId="48CD6388"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C5DA976" w14:textId="77777777" w:rsidR="00C775AD" w:rsidRDefault="003B3B5B">
            <w:r>
              <w:rPr>
                <w:b/>
                <w:bCs/>
                <w:color w:val="000000"/>
                <w:sz w:val="20"/>
                <w:szCs w:val="20"/>
              </w:rPr>
              <w:t>Presentation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03B04A3" w14:textId="77777777" w:rsidR="00C775AD" w:rsidRDefault="003B3B5B">
            <w:r>
              <w:rPr>
                <w:color w:val="000000"/>
                <w:sz w:val="20"/>
                <w:szCs w:val="20"/>
              </w:rPr>
              <w:t>w/c 6 July 2026</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32DA2DA" w14:textId="77777777" w:rsidR="00C775AD" w:rsidRDefault="003B3B5B">
            <w:r>
              <w:rPr>
                <w:color w:val="000000"/>
                <w:sz w:val="20"/>
                <w:szCs w:val="20"/>
              </w:rPr>
              <w:t>Deliver presentation to cohort.</w:t>
            </w:r>
          </w:p>
        </w:tc>
      </w:tr>
    </w:tbl>
    <w:p w14:paraId="0A70262F" w14:textId="77777777" w:rsidR="00022A49" w:rsidRDefault="00022A49"/>
    <w:sectPr w:rsidR="00022A49">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845A30" w14:textId="77777777" w:rsidR="00022A49" w:rsidRDefault="00022A49">
      <w:pPr>
        <w:spacing w:line="240" w:lineRule="auto"/>
      </w:pPr>
      <w:r>
        <w:separator/>
      </w:r>
    </w:p>
  </w:endnote>
  <w:endnote w:type="continuationSeparator" w:id="0">
    <w:p w14:paraId="7E0B193B" w14:textId="77777777" w:rsidR="00022A49" w:rsidRDefault="00022A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3ED3E0" w14:textId="77777777" w:rsidR="00C775AD" w:rsidRDefault="003B3B5B">
    <w:pPr>
      <w:jc w:val="right"/>
    </w:pPr>
    <w:r>
      <w:rPr>
        <w:sz w:val="22"/>
        <w:szCs w:val="22"/>
      </w:rPr>
      <w:fldChar w:fldCharType="begin"/>
    </w:r>
    <w:r>
      <w:rPr>
        <w:sz w:val="22"/>
        <w:szCs w:val="22"/>
      </w:rPr>
      <w:instrText>PAGE</w:instrText>
    </w:r>
    <w:r>
      <w:rPr>
        <w:sz w:val="22"/>
        <w:szCs w:val="22"/>
      </w:rPr>
      <w:fldChar w:fldCharType="separate"/>
    </w:r>
    <w:r w:rsidR="0081155E">
      <w:rPr>
        <w:noProof/>
        <w:sz w:val="22"/>
        <w:szCs w:val="22"/>
      </w:rPr>
      <w:t>1</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409B6F" w14:textId="77777777" w:rsidR="00022A49" w:rsidRDefault="00022A49">
      <w:pPr>
        <w:spacing w:line="240" w:lineRule="auto"/>
      </w:pPr>
      <w:r>
        <w:separator/>
      </w:r>
    </w:p>
  </w:footnote>
  <w:footnote w:type="continuationSeparator" w:id="0">
    <w:p w14:paraId="55450ECB" w14:textId="77777777" w:rsidR="00022A49" w:rsidRDefault="00022A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1C463C9"/>
    <w:multiLevelType w:val="hybridMultilevel"/>
    <w:tmpl w:val="BAB2D0E4"/>
    <w:lvl w:ilvl="0" w:tplc="517A121A">
      <w:start w:val="1"/>
      <w:numFmt w:val="decimal"/>
      <w:lvlText w:val="%1."/>
      <w:lvlJc w:val="left"/>
      <w:pPr>
        <w:ind w:left="540" w:hanging="280"/>
      </w:pPr>
    </w:lvl>
    <w:lvl w:ilvl="1" w:tplc="CD409832">
      <w:numFmt w:val="decimal"/>
      <w:lvlText w:val=""/>
      <w:lvlJc w:val="left"/>
    </w:lvl>
    <w:lvl w:ilvl="2" w:tplc="1D407B7A">
      <w:numFmt w:val="decimal"/>
      <w:lvlText w:val=""/>
      <w:lvlJc w:val="left"/>
    </w:lvl>
    <w:lvl w:ilvl="3" w:tplc="736214FA">
      <w:numFmt w:val="decimal"/>
      <w:lvlText w:val=""/>
      <w:lvlJc w:val="left"/>
    </w:lvl>
    <w:lvl w:ilvl="4" w:tplc="32728AF2">
      <w:numFmt w:val="decimal"/>
      <w:lvlText w:val=""/>
      <w:lvlJc w:val="left"/>
    </w:lvl>
    <w:lvl w:ilvl="5" w:tplc="DBEA4ABC">
      <w:numFmt w:val="decimal"/>
      <w:lvlText w:val=""/>
      <w:lvlJc w:val="left"/>
    </w:lvl>
    <w:lvl w:ilvl="6" w:tplc="66D0A3E4">
      <w:numFmt w:val="decimal"/>
      <w:lvlText w:val=""/>
      <w:lvlJc w:val="left"/>
    </w:lvl>
    <w:lvl w:ilvl="7" w:tplc="058641A8">
      <w:numFmt w:val="decimal"/>
      <w:lvlText w:val=""/>
      <w:lvlJc w:val="left"/>
    </w:lvl>
    <w:lvl w:ilvl="8" w:tplc="5FE8DA0E">
      <w:numFmt w:val="decimal"/>
      <w:lvlText w:val=""/>
      <w:lvlJc w:val="left"/>
    </w:lvl>
  </w:abstractNum>
  <w:abstractNum w:abstractNumId="1" w15:restartNumberingAfterBreak="0">
    <w:nsid w:val="459F1630"/>
    <w:multiLevelType w:val="hybridMultilevel"/>
    <w:tmpl w:val="CD3E4DB2"/>
    <w:lvl w:ilvl="0" w:tplc="26D2A1E4">
      <w:start w:val="1"/>
      <w:numFmt w:val="bullet"/>
      <w:lvlText w:val="●"/>
      <w:lvlJc w:val="left"/>
      <w:pPr>
        <w:ind w:left="720" w:hanging="360"/>
      </w:pPr>
    </w:lvl>
    <w:lvl w:ilvl="1" w:tplc="1806E9A4">
      <w:start w:val="1"/>
      <w:numFmt w:val="bullet"/>
      <w:lvlText w:val="○"/>
      <w:lvlJc w:val="left"/>
      <w:pPr>
        <w:ind w:left="1440" w:hanging="360"/>
      </w:pPr>
    </w:lvl>
    <w:lvl w:ilvl="2" w:tplc="BBDC9082">
      <w:start w:val="1"/>
      <w:numFmt w:val="bullet"/>
      <w:lvlText w:val="■"/>
      <w:lvlJc w:val="left"/>
      <w:pPr>
        <w:ind w:left="2160" w:hanging="360"/>
      </w:pPr>
    </w:lvl>
    <w:lvl w:ilvl="3" w:tplc="50842E2C">
      <w:start w:val="1"/>
      <w:numFmt w:val="bullet"/>
      <w:lvlText w:val="●"/>
      <w:lvlJc w:val="left"/>
      <w:pPr>
        <w:ind w:left="2880" w:hanging="360"/>
      </w:pPr>
    </w:lvl>
    <w:lvl w:ilvl="4" w:tplc="D6B0AF2A">
      <w:start w:val="1"/>
      <w:numFmt w:val="bullet"/>
      <w:lvlText w:val="○"/>
      <w:lvlJc w:val="left"/>
      <w:pPr>
        <w:ind w:left="3600" w:hanging="360"/>
      </w:pPr>
    </w:lvl>
    <w:lvl w:ilvl="5" w:tplc="737022FE">
      <w:start w:val="1"/>
      <w:numFmt w:val="bullet"/>
      <w:lvlText w:val="■"/>
      <w:lvlJc w:val="left"/>
      <w:pPr>
        <w:ind w:left="4320" w:hanging="360"/>
      </w:pPr>
    </w:lvl>
    <w:lvl w:ilvl="6" w:tplc="BF4C7CAC">
      <w:start w:val="1"/>
      <w:numFmt w:val="bullet"/>
      <w:lvlText w:val="●"/>
      <w:lvlJc w:val="left"/>
      <w:pPr>
        <w:ind w:left="5040" w:hanging="360"/>
      </w:pPr>
    </w:lvl>
    <w:lvl w:ilvl="7" w:tplc="68144B08">
      <w:start w:val="1"/>
      <w:numFmt w:val="bullet"/>
      <w:lvlText w:val="●"/>
      <w:lvlJc w:val="left"/>
      <w:pPr>
        <w:ind w:left="5760" w:hanging="360"/>
      </w:pPr>
    </w:lvl>
    <w:lvl w:ilvl="8" w:tplc="E37484B2">
      <w:start w:val="1"/>
      <w:numFmt w:val="bullet"/>
      <w:lvlText w:val="●"/>
      <w:lvlJc w:val="left"/>
      <w:pPr>
        <w:ind w:left="6480" w:hanging="360"/>
      </w:pPr>
    </w:lvl>
  </w:abstractNum>
  <w:abstractNum w:abstractNumId="2" w15:restartNumberingAfterBreak="0">
    <w:nsid w:val="58476B4F"/>
    <w:multiLevelType w:val="hybridMultilevel"/>
    <w:tmpl w:val="EF6CB648"/>
    <w:lvl w:ilvl="0" w:tplc="8DB248B4">
      <w:start w:val="1"/>
      <w:numFmt w:val="bullet"/>
      <w:lvlText w:val="-"/>
      <w:lvlJc w:val="left"/>
      <w:pPr>
        <w:ind w:left="540" w:hanging="280"/>
      </w:pPr>
    </w:lvl>
    <w:lvl w:ilvl="1" w:tplc="916419C2">
      <w:numFmt w:val="decimal"/>
      <w:lvlText w:val=""/>
      <w:lvlJc w:val="left"/>
    </w:lvl>
    <w:lvl w:ilvl="2" w:tplc="800E0372">
      <w:numFmt w:val="decimal"/>
      <w:lvlText w:val=""/>
      <w:lvlJc w:val="left"/>
    </w:lvl>
    <w:lvl w:ilvl="3" w:tplc="A540FC04">
      <w:numFmt w:val="decimal"/>
      <w:lvlText w:val=""/>
      <w:lvlJc w:val="left"/>
    </w:lvl>
    <w:lvl w:ilvl="4" w:tplc="E39EA620">
      <w:numFmt w:val="decimal"/>
      <w:lvlText w:val=""/>
      <w:lvlJc w:val="left"/>
    </w:lvl>
    <w:lvl w:ilvl="5" w:tplc="B7746B16">
      <w:numFmt w:val="decimal"/>
      <w:lvlText w:val=""/>
      <w:lvlJc w:val="left"/>
    </w:lvl>
    <w:lvl w:ilvl="6" w:tplc="8EE2FFD8">
      <w:numFmt w:val="decimal"/>
      <w:lvlText w:val=""/>
      <w:lvlJc w:val="left"/>
    </w:lvl>
    <w:lvl w:ilvl="7" w:tplc="A142F6F0">
      <w:numFmt w:val="decimal"/>
      <w:lvlText w:val=""/>
      <w:lvlJc w:val="left"/>
    </w:lvl>
    <w:lvl w:ilvl="8" w:tplc="0D18BFD6">
      <w:numFmt w:val="decimal"/>
      <w:lvlText w:val=""/>
      <w:lvlJc w:val="left"/>
    </w:lvl>
  </w:abstractNum>
  <w:num w:numId="1" w16cid:durableId="953487486">
    <w:abstractNumId w:val="1"/>
    <w:lvlOverride w:ilvl="0">
      <w:startOverride w:val="1"/>
    </w:lvlOverride>
  </w:num>
  <w:num w:numId="2" w16cid:durableId="1707217631">
    <w:abstractNumId w:val="0"/>
    <w:lvlOverride w:ilvl="0">
      <w:startOverride w:val="1"/>
    </w:lvlOverride>
  </w:num>
  <w:num w:numId="3" w16cid:durableId="1659578942">
    <w:abstractNumId w:val="2"/>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5AD"/>
    <w:rsid w:val="00022A49"/>
    <w:rsid w:val="003B3B5B"/>
    <w:rsid w:val="0081155E"/>
    <w:rsid w:val="0094374B"/>
    <w:rsid w:val="00C775AD"/>
    <w:rsid w:val="00F0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E82485"/>
  <w15:docId w15:val="{AB977A59-1B94-0843-AFFC-99FCA368B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3"/>
        <w:szCs w:val="23"/>
        <w:lang w:val="en-GB" w:eastAsia="en-GB" w:bidi="ar-SA"/>
      </w:rPr>
    </w:rPrDefault>
    <w:pPrDefault>
      <w:pPr>
        <w:spacing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rFonts w:ascii="Georgia" w:eastAsia="Georgia" w:hAnsi="Georgia" w:cs="Georgia"/>
      <w:b/>
      <w:bCs/>
      <w:color w:val="1F6F78"/>
      <w:sz w:val="28"/>
      <w:szCs w:val="28"/>
    </w:rPr>
  </w:style>
  <w:style w:type="paragraph" w:styleId="Heading2">
    <w:name w:val="heading 2"/>
    <w:uiPriority w:val="9"/>
    <w:unhideWhenUsed/>
    <w:qFormat/>
    <w:pPr>
      <w:spacing w:before="180" w:after="100"/>
      <w:outlineLvl w:val="1"/>
    </w:pPr>
    <w:rPr>
      <w:rFonts w:ascii="Georgia" w:eastAsia="Georgia" w:hAnsi="Georgia" w:cs="Georgia"/>
      <w:b/>
      <w:bCs/>
      <w:color w:val="1F6F78"/>
      <w:sz w:val="26"/>
      <w:szCs w:val="26"/>
    </w:rPr>
  </w:style>
  <w:style w:type="paragraph" w:styleId="Heading3">
    <w:name w:val="heading 3"/>
    <w:uiPriority w:val="9"/>
    <w:unhideWhenUsed/>
    <w:qFormat/>
    <w:pPr>
      <w:spacing w:before="140" w:after="80"/>
      <w:outlineLvl w:val="2"/>
    </w:pPr>
    <w:rPr>
      <w:rFonts w:ascii="Georgia" w:eastAsia="Georgia" w:hAnsi="Georgia" w:cs="Georgia"/>
      <w:b/>
      <w:bCs/>
      <w:color w:val="1F6F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3330</Words>
  <Characters>18985</Characters>
  <Application>Microsoft Office Word</Application>
  <DocSecurity>0</DocSecurity>
  <Lines>158</Lines>
  <Paragraphs>44</Paragraphs>
  <ScaleCrop>false</ScaleCrop>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Florina Dinitica (2321857)</cp:lastModifiedBy>
  <cp:revision>2</cp:revision>
  <dcterms:created xsi:type="dcterms:W3CDTF">2026-06-25T19:55:00Z</dcterms:created>
  <dcterms:modified xsi:type="dcterms:W3CDTF">2026-06-25T19:55:00Z</dcterms:modified>
</cp:coreProperties>
</file>