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B5FAB" w:rsidRDefault="00AB5FAB" w:rsidP="00577EE1">
      <w:pPr>
        <w:spacing w:line="480" w:lineRule="auto"/>
        <w:jc w:val="center"/>
        <w:rPr>
          <w:rFonts w:ascii="Times New Roman" w:hAnsi="Times New Roman" w:cs="Times New Roman"/>
          <w:sz w:val="24"/>
          <w:szCs w:val="24"/>
        </w:rPr>
      </w:pPr>
      <w:r>
        <w:rPr>
          <w:rFonts w:ascii="Times New Roman" w:hAnsi="Times New Roman" w:cs="Times New Roman"/>
          <w:sz w:val="24"/>
          <w:szCs w:val="24"/>
        </w:rPr>
        <w:t>Criminal Litigation (BMLW4000)</w:t>
      </w:r>
    </w:p>
    <w:p w:rsidR="00AB5FAB" w:rsidRDefault="00AB5FAB" w:rsidP="00577EE1">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 Roxana Maria Burlacu</w:t>
      </w:r>
    </w:p>
    <w:p w:rsidR="00AB5FAB" w:rsidRDefault="00AB5FAB" w:rsidP="00577EE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 Sian Turvey </w:t>
      </w:r>
    </w:p>
    <w:p w:rsidR="0074519F" w:rsidRDefault="0074519F" w:rsidP="00577EE1">
      <w:pPr>
        <w:spacing w:line="480" w:lineRule="auto"/>
        <w:jc w:val="center"/>
        <w:rPr>
          <w:rFonts w:ascii="Times New Roman" w:hAnsi="Times New Roman" w:cs="Times New Roman"/>
          <w:sz w:val="24"/>
          <w:szCs w:val="24"/>
        </w:rPr>
      </w:pPr>
    </w:p>
    <w:p w:rsidR="004D6088" w:rsidRDefault="00141519" w:rsidP="00577EE1">
      <w:pPr>
        <w:spacing w:line="480" w:lineRule="auto"/>
        <w:jc w:val="center"/>
        <w:rPr>
          <w:rFonts w:ascii="Times New Roman" w:hAnsi="Times New Roman" w:cs="Times New Roman"/>
          <w:sz w:val="24"/>
          <w:szCs w:val="24"/>
        </w:rPr>
      </w:pPr>
      <w:r w:rsidRPr="00577EE1">
        <w:rPr>
          <w:rFonts w:ascii="Times New Roman" w:hAnsi="Times New Roman" w:cs="Times New Roman"/>
          <w:sz w:val="24"/>
          <w:szCs w:val="24"/>
        </w:rPr>
        <w:t>Memo</w:t>
      </w:r>
    </w:p>
    <w:p w:rsidR="00577EE1" w:rsidRDefault="00577EE1" w:rsidP="00577EE1">
      <w:pPr>
        <w:spacing w:line="480" w:lineRule="auto"/>
        <w:rPr>
          <w:rFonts w:ascii="Times New Roman" w:hAnsi="Times New Roman" w:cs="Times New Roman"/>
          <w:sz w:val="24"/>
          <w:szCs w:val="24"/>
        </w:rPr>
      </w:pPr>
      <w:r>
        <w:rPr>
          <w:rFonts w:ascii="Times New Roman" w:hAnsi="Times New Roman" w:cs="Times New Roman"/>
          <w:sz w:val="24"/>
          <w:szCs w:val="24"/>
        </w:rPr>
        <w:t>From:</w:t>
      </w:r>
    </w:p>
    <w:p w:rsidR="00577EE1" w:rsidRDefault="00577EE1" w:rsidP="00577EE1">
      <w:pPr>
        <w:spacing w:line="480" w:lineRule="auto"/>
        <w:rPr>
          <w:rFonts w:ascii="Times New Roman" w:hAnsi="Times New Roman" w:cs="Times New Roman"/>
          <w:sz w:val="24"/>
          <w:szCs w:val="24"/>
        </w:rPr>
      </w:pPr>
      <w:r>
        <w:rPr>
          <w:rFonts w:ascii="Times New Roman" w:hAnsi="Times New Roman" w:cs="Times New Roman"/>
          <w:sz w:val="24"/>
          <w:szCs w:val="24"/>
        </w:rPr>
        <w:t>To:</w:t>
      </w:r>
    </w:p>
    <w:p w:rsidR="00141519" w:rsidRPr="00577EE1" w:rsidRDefault="00577EE1" w:rsidP="00577EE1">
      <w:pPr>
        <w:spacing w:line="480" w:lineRule="auto"/>
        <w:rPr>
          <w:rFonts w:ascii="Times New Roman" w:hAnsi="Times New Roman" w:cs="Times New Roman"/>
          <w:sz w:val="24"/>
          <w:szCs w:val="24"/>
        </w:rPr>
      </w:pPr>
      <w:r>
        <w:rPr>
          <w:rFonts w:ascii="Times New Roman" w:hAnsi="Times New Roman" w:cs="Times New Roman"/>
          <w:sz w:val="24"/>
          <w:szCs w:val="24"/>
        </w:rPr>
        <w:t xml:space="preserve">Subject: </w:t>
      </w:r>
      <w:r w:rsidR="00141519" w:rsidRPr="00577EE1">
        <w:rPr>
          <w:rFonts w:ascii="Times New Roman" w:hAnsi="Times New Roman" w:cs="Times New Roman"/>
          <w:sz w:val="24"/>
          <w:szCs w:val="24"/>
        </w:rPr>
        <w:t>Legal Opinion</w:t>
      </w:r>
    </w:p>
    <w:p w:rsidR="00141519" w:rsidRPr="00577EE1" w:rsidRDefault="00141519"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William Brown will be charged with theft and the charges should be under the Theft Act of 1968. Section 1 of the 1968 Act defines theft as act of dishonest appropriation of property of another person with the intention of depriving them permanently. In section 1 (2), </w:t>
      </w:r>
      <w:r w:rsidR="000463C1" w:rsidRPr="00577EE1">
        <w:rPr>
          <w:rFonts w:ascii="Times New Roman" w:hAnsi="Times New Roman" w:cs="Times New Roman"/>
          <w:sz w:val="24"/>
          <w:szCs w:val="24"/>
        </w:rPr>
        <w:t xml:space="preserve">it does not matter if one appropriates the property with a “view to gain, or is made for the thief’s own benefit.” </w:t>
      </w:r>
      <w:r w:rsidRPr="00577EE1">
        <w:rPr>
          <w:rFonts w:ascii="Times New Roman" w:hAnsi="Times New Roman" w:cs="Times New Roman"/>
          <w:sz w:val="24"/>
          <w:szCs w:val="24"/>
        </w:rPr>
        <w:t>The Act under sections 2-6 defines and explains the various elements of theft.</w:t>
      </w:r>
    </w:p>
    <w:p w:rsidR="000463C1" w:rsidRPr="00577EE1" w:rsidRDefault="000463C1"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Elements of Theft under the Theft Act of 1968</w:t>
      </w:r>
    </w:p>
    <w:p w:rsidR="000463C1" w:rsidRPr="00577EE1" w:rsidRDefault="000463C1" w:rsidP="00577EE1">
      <w:pPr>
        <w:pStyle w:val="ListParagraph"/>
        <w:numPr>
          <w:ilvl w:val="0"/>
          <w:numId w:val="4"/>
        </w:numPr>
        <w:spacing w:line="480" w:lineRule="auto"/>
        <w:rPr>
          <w:rFonts w:ascii="Times New Roman" w:hAnsi="Times New Roman" w:cs="Times New Roman"/>
          <w:sz w:val="24"/>
          <w:szCs w:val="24"/>
        </w:rPr>
      </w:pPr>
      <w:r w:rsidRPr="00577EE1">
        <w:rPr>
          <w:rFonts w:ascii="Times New Roman" w:hAnsi="Times New Roman" w:cs="Times New Roman"/>
          <w:sz w:val="24"/>
          <w:szCs w:val="24"/>
        </w:rPr>
        <w:t>“Dishonestly”</w:t>
      </w:r>
    </w:p>
    <w:p w:rsidR="000463C1" w:rsidRPr="00577EE1" w:rsidRDefault="000463C1"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Section 2 of the Act provides scenarios that do not fit the definition of honest as follows;</w:t>
      </w:r>
    </w:p>
    <w:p w:rsidR="000463C1" w:rsidRPr="00577EE1" w:rsidRDefault="000463C1" w:rsidP="00577EE1">
      <w:pPr>
        <w:pStyle w:val="ListParagraph"/>
        <w:numPr>
          <w:ilvl w:val="0"/>
          <w:numId w:val="2"/>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They have a legal right to take the property; or</w:t>
      </w:r>
    </w:p>
    <w:p w:rsidR="000463C1" w:rsidRPr="00577EE1" w:rsidRDefault="000463C1" w:rsidP="00577EE1">
      <w:pPr>
        <w:pStyle w:val="ListParagraph"/>
        <w:numPr>
          <w:ilvl w:val="0"/>
          <w:numId w:val="2"/>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 owner would agree to their taking it if they knew about it; or</w:t>
      </w:r>
    </w:p>
    <w:p w:rsidR="000463C1" w:rsidRPr="00577EE1" w:rsidRDefault="000463C1" w:rsidP="00577EE1">
      <w:pPr>
        <w:pStyle w:val="ListParagraph"/>
        <w:numPr>
          <w:ilvl w:val="0"/>
          <w:numId w:val="2"/>
        </w:numPr>
        <w:spacing w:line="480" w:lineRule="auto"/>
        <w:rPr>
          <w:rFonts w:ascii="Times New Roman" w:hAnsi="Times New Roman" w:cs="Times New Roman"/>
          <w:sz w:val="24"/>
          <w:szCs w:val="24"/>
        </w:rPr>
      </w:pPr>
      <w:r w:rsidRPr="00577EE1">
        <w:rPr>
          <w:rFonts w:ascii="Times New Roman" w:hAnsi="Times New Roman" w:cs="Times New Roman"/>
          <w:sz w:val="24"/>
          <w:szCs w:val="24"/>
        </w:rPr>
        <w:lastRenderedPageBreak/>
        <w:t>They could not find the person to whom the property belongs by taking reasonable steps. (However, this does not apply whereby the individuals are trustees or personal re</w:t>
      </w:r>
      <w:r w:rsidR="00897D20" w:rsidRPr="00577EE1">
        <w:rPr>
          <w:rFonts w:ascii="Times New Roman" w:hAnsi="Times New Roman" w:cs="Times New Roman"/>
          <w:sz w:val="24"/>
          <w:szCs w:val="24"/>
        </w:rPr>
        <w:t>presentatives to that property).</w:t>
      </w:r>
    </w:p>
    <w:p w:rsidR="000463C1" w:rsidRPr="00577EE1" w:rsidRDefault="000463C1" w:rsidP="00577EE1">
      <w:pPr>
        <w:spacing w:line="480" w:lineRule="auto"/>
        <w:ind w:left="360"/>
        <w:rPr>
          <w:rFonts w:ascii="Times New Roman" w:hAnsi="Times New Roman" w:cs="Times New Roman"/>
          <w:sz w:val="24"/>
          <w:szCs w:val="24"/>
        </w:rPr>
      </w:pPr>
      <w:r w:rsidRPr="00577EE1">
        <w:rPr>
          <w:rFonts w:ascii="Times New Roman" w:hAnsi="Times New Roman" w:cs="Times New Roman"/>
          <w:sz w:val="24"/>
          <w:szCs w:val="24"/>
        </w:rPr>
        <w:t xml:space="preserve">Additionally, if an individual is willing to pay for the property that has been appropriated to them, it amounts to dishonest. </w:t>
      </w:r>
      <w:r w:rsidR="001B546D" w:rsidRPr="00577EE1">
        <w:rPr>
          <w:rFonts w:ascii="Times New Roman" w:hAnsi="Times New Roman" w:cs="Times New Roman"/>
          <w:sz w:val="24"/>
          <w:szCs w:val="24"/>
        </w:rPr>
        <w:t xml:space="preserve">Dishonesty has been established in several cases including in R v. Ghosh and the recent case of Ivey v. </w:t>
      </w:r>
      <w:proofErr w:type="spellStart"/>
      <w:r w:rsidR="001B546D" w:rsidRPr="00577EE1">
        <w:rPr>
          <w:rFonts w:ascii="Times New Roman" w:hAnsi="Times New Roman" w:cs="Times New Roman"/>
          <w:sz w:val="24"/>
          <w:szCs w:val="24"/>
        </w:rPr>
        <w:t>Genting</w:t>
      </w:r>
      <w:proofErr w:type="spellEnd"/>
      <w:r w:rsidR="001B546D" w:rsidRPr="00577EE1">
        <w:rPr>
          <w:rFonts w:ascii="Times New Roman" w:hAnsi="Times New Roman" w:cs="Times New Roman"/>
          <w:sz w:val="24"/>
          <w:szCs w:val="24"/>
        </w:rPr>
        <w:t xml:space="preserve"> Casinos [2017] UKSC 67.  The case of Ghosh was the original criminal test for dishonest whereby the jury applied two-stage test as follows;-</w:t>
      </w:r>
    </w:p>
    <w:p w:rsidR="001B546D" w:rsidRPr="00577EE1" w:rsidRDefault="001B546D" w:rsidP="00577EE1">
      <w:pPr>
        <w:pStyle w:val="ListParagraph"/>
        <w:numPr>
          <w:ilvl w:val="0"/>
          <w:numId w:val="3"/>
        </w:numPr>
        <w:spacing w:line="480" w:lineRule="auto"/>
        <w:rPr>
          <w:rFonts w:ascii="Times New Roman" w:hAnsi="Times New Roman" w:cs="Times New Roman"/>
          <w:i/>
          <w:sz w:val="24"/>
          <w:szCs w:val="24"/>
        </w:rPr>
      </w:pPr>
      <w:r w:rsidRPr="00577EE1">
        <w:rPr>
          <w:rFonts w:ascii="Times New Roman" w:hAnsi="Times New Roman" w:cs="Times New Roman"/>
          <w:i/>
          <w:sz w:val="24"/>
          <w:szCs w:val="24"/>
        </w:rPr>
        <w:t>“The conduct in question must be dishonest by standards of ordinary, reasonable and honest individuals (an objective limb; and</w:t>
      </w:r>
    </w:p>
    <w:p w:rsidR="001B546D" w:rsidRPr="00577EE1" w:rsidRDefault="001B546D" w:rsidP="00577EE1">
      <w:pPr>
        <w:pStyle w:val="ListParagraph"/>
        <w:numPr>
          <w:ilvl w:val="0"/>
          <w:numId w:val="3"/>
        </w:numPr>
        <w:spacing w:line="480" w:lineRule="auto"/>
        <w:rPr>
          <w:rFonts w:ascii="Times New Roman" w:hAnsi="Times New Roman" w:cs="Times New Roman"/>
          <w:i/>
          <w:sz w:val="24"/>
          <w:szCs w:val="24"/>
        </w:rPr>
      </w:pPr>
      <w:r w:rsidRPr="00577EE1">
        <w:rPr>
          <w:rFonts w:ascii="Times New Roman" w:hAnsi="Times New Roman" w:cs="Times New Roman"/>
          <w:i/>
          <w:sz w:val="24"/>
          <w:szCs w:val="24"/>
        </w:rPr>
        <w:t>The accused must have realized their conduct was dishonest by those standards (a subjective limb).”</w:t>
      </w:r>
    </w:p>
    <w:p w:rsidR="001B546D" w:rsidRPr="00577EE1" w:rsidRDefault="001B546D"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Although the case of Ivey was a civil case, it has been adopted as the standard of test for the element of dishonesty. In this case, the Supreme Court removed the subjective limb of R V. Ghosh by indicating that the views of the accused on whether they viewed their actions as dishonest is irrelevant. The court went ahead to establish its decision based on three main factors as follows;</w:t>
      </w:r>
    </w:p>
    <w:p w:rsidR="001B546D" w:rsidRPr="00577EE1" w:rsidRDefault="001B546D" w:rsidP="00577EE1">
      <w:pPr>
        <w:spacing w:line="480" w:lineRule="auto"/>
        <w:ind w:left="720"/>
        <w:rPr>
          <w:rFonts w:ascii="Times New Roman" w:hAnsi="Times New Roman" w:cs="Times New Roman"/>
          <w:i/>
          <w:sz w:val="24"/>
          <w:szCs w:val="24"/>
        </w:rPr>
      </w:pPr>
      <w:r w:rsidRPr="00577EE1">
        <w:rPr>
          <w:rFonts w:ascii="Times New Roman" w:hAnsi="Times New Roman" w:cs="Times New Roman"/>
          <w:sz w:val="24"/>
          <w:szCs w:val="24"/>
        </w:rPr>
        <w:t xml:space="preserve">“The test in R v. Ghosh was complex, combining both subjective and objective elements. This could be </w:t>
      </w:r>
      <w:r w:rsidRPr="00577EE1">
        <w:rPr>
          <w:rFonts w:ascii="Times New Roman" w:hAnsi="Times New Roman" w:cs="Times New Roman"/>
          <w:i/>
          <w:sz w:val="24"/>
          <w:szCs w:val="24"/>
        </w:rPr>
        <w:t>puzzling and difficult for juries to apply.</w:t>
      </w:r>
    </w:p>
    <w:p w:rsidR="001B546D" w:rsidRPr="00577EE1" w:rsidRDefault="001B546D" w:rsidP="00577EE1">
      <w:pPr>
        <w:spacing w:line="480" w:lineRule="auto"/>
        <w:ind w:left="720"/>
        <w:rPr>
          <w:rFonts w:ascii="Times New Roman" w:hAnsi="Times New Roman" w:cs="Times New Roman"/>
          <w:i/>
          <w:sz w:val="24"/>
          <w:szCs w:val="24"/>
        </w:rPr>
      </w:pPr>
      <w:r w:rsidRPr="00577EE1">
        <w:rPr>
          <w:rFonts w:ascii="Times New Roman" w:hAnsi="Times New Roman" w:cs="Times New Roman"/>
          <w:i/>
          <w:sz w:val="24"/>
          <w:szCs w:val="24"/>
        </w:rPr>
        <w:t>There was no logical or principled basis to have different definitions of dishonesty in civil and criminal proceedings.</w:t>
      </w:r>
    </w:p>
    <w:p w:rsidR="00653937" w:rsidRPr="00577EE1" w:rsidRDefault="001B546D" w:rsidP="00577EE1">
      <w:pPr>
        <w:spacing w:line="480" w:lineRule="auto"/>
        <w:ind w:left="720"/>
        <w:rPr>
          <w:rFonts w:ascii="Times New Roman" w:hAnsi="Times New Roman" w:cs="Times New Roman"/>
          <w:i/>
          <w:sz w:val="24"/>
          <w:szCs w:val="24"/>
        </w:rPr>
      </w:pPr>
      <w:r w:rsidRPr="00577EE1">
        <w:rPr>
          <w:rFonts w:ascii="Times New Roman" w:hAnsi="Times New Roman" w:cs="Times New Roman"/>
          <w:i/>
          <w:sz w:val="24"/>
          <w:szCs w:val="24"/>
        </w:rPr>
        <w:lastRenderedPageBreak/>
        <w:t>R v. Ghosh had the unintended consequence that the more warped a defendant’s standard of honesty, the less likely they were found criminally responsible for (objectively) dishonest behavior. It is a crucial function of the criminal law to establish acceptable standards of behavior notwithstanding an individual’s mistake of fact as to special standards of dishonesty.”</w:t>
      </w:r>
    </w:p>
    <w:p w:rsidR="00653937" w:rsidRPr="00577EE1" w:rsidRDefault="00653937" w:rsidP="00577EE1">
      <w:pPr>
        <w:spacing w:line="480" w:lineRule="auto"/>
        <w:rPr>
          <w:rFonts w:ascii="Times New Roman" w:hAnsi="Times New Roman" w:cs="Times New Roman"/>
          <w:i/>
          <w:sz w:val="24"/>
          <w:szCs w:val="24"/>
        </w:rPr>
      </w:pPr>
      <w:r w:rsidRPr="00577EE1">
        <w:rPr>
          <w:rFonts w:ascii="Times New Roman" w:hAnsi="Times New Roman" w:cs="Times New Roman"/>
          <w:sz w:val="24"/>
          <w:szCs w:val="24"/>
        </w:rPr>
        <w:t xml:space="preserve">The principles set out in the case of </w:t>
      </w:r>
      <w:r w:rsidRPr="00577EE1">
        <w:rPr>
          <w:rFonts w:ascii="Times New Roman" w:hAnsi="Times New Roman" w:cs="Times New Roman"/>
          <w:i/>
          <w:sz w:val="24"/>
          <w:szCs w:val="24"/>
        </w:rPr>
        <w:t>Ivey</w:t>
      </w:r>
      <w:r w:rsidRPr="00577EE1">
        <w:rPr>
          <w:rFonts w:ascii="Times New Roman" w:hAnsi="Times New Roman" w:cs="Times New Roman"/>
          <w:sz w:val="24"/>
          <w:szCs w:val="24"/>
        </w:rPr>
        <w:t xml:space="preserve"> have been adopted in criminal matters including </w:t>
      </w:r>
      <w:r w:rsidRPr="00577EE1">
        <w:rPr>
          <w:rFonts w:ascii="Times New Roman" w:hAnsi="Times New Roman" w:cs="Times New Roman"/>
          <w:i/>
          <w:sz w:val="24"/>
          <w:szCs w:val="24"/>
        </w:rPr>
        <w:t>DPP v. Patterson [2017] EWHC 2820 (Admin),</w:t>
      </w:r>
      <w:r w:rsidRPr="00577EE1">
        <w:rPr>
          <w:rFonts w:ascii="Times New Roman" w:hAnsi="Times New Roman" w:cs="Times New Roman"/>
          <w:sz w:val="24"/>
          <w:szCs w:val="24"/>
        </w:rPr>
        <w:t xml:space="preserve"> where the court observed that it was </w:t>
      </w:r>
      <w:r w:rsidRPr="00577EE1">
        <w:rPr>
          <w:rFonts w:ascii="Times New Roman" w:hAnsi="Times New Roman" w:cs="Times New Roman"/>
          <w:i/>
          <w:sz w:val="24"/>
          <w:szCs w:val="24"/>
        </w:rPr>
        <w:t xml:space="preserve">“difficult to imagine the Court of Appeal </w:t>
      </w:r>
      <w:proofErr w:type="spellStart"/>
      <w:r w:rsidRPr="00577EE1">
        <w:rPr>
          <w:rFonts w:ascii="Times New Roman" w:hAnsi="Times New Roman" w:cs="Times New Roman"/>
          <w:i/>
          <w:sz w:val="24"/>
          <w:szCs w:val="24"/>
        </w:rPr>
        <w:t>preffering</w:t>
      </w:r>
      <w:proofErr w:type="spellEnd"/>
      <w:r w:rsidRPr="00577EE1">
        <w:rPr>
          <w:rFonts w:ascii="Times New Roman" w:hAnsi="Times New Roman" w:cs="Times New Roman"/>
          <w:i/>
          <w:sz w:val="24"/>
          <w:szCs w:val="24"/>
        </w:rPr>
        <w:t xml:space="preserve"> Ghosh to Ivey in the future.”</w:t>
      </w:r>
    </w:p>
    <w:p w:rsidR="00653937" w:rsidRPr="00577EE1" w:rsidRDefault="00653937" w:rsidP="00577EE1">
      <w:pPr>
        <w:pStyle w:val="ListParagraph"/>
        <w:numPr>
          <w:ilvl w:val="0"/>
          <w:numId w:val="4"/>
        </w:numPr>
        <w:spacing w:line="480" w:lineRule="auto"/>
        <w:rPr>
          <w:rFonts w:ascii="Times New Roman" w:hAnsi="Times New Roman" w:cs="Times New Roman"/>
          <w:sz w:val="24"/>
          <w:szCs w:val="24"/>
        </w:rPr>
      </w:pPr>
      <w:r w:rsidRPr="00577EE1">
        <w:rPr>
          <w:rFonts w:ascii="Times New Roman" w:hAnsi="Times New Roman" w:cs="Times New Roman"/>
          <w:sz w:val="24"/>
          <w:szCs w:val="24"/>
        </w:rPr>
        <w:t>Appropriation</w:t>
      </w:r>
    </w:p>
    <w:p w:rsidR="00653937" w:rsidRPr="00577EE1" w:rsidRDefault="00653937"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Section 3 of the Act defines the element of appropriation as </w:t>
      </w:r>
      <w:r w:rsidRPr="00577EE1">
        <w:rPr>
          <w:rFonts w:ascii="Times New Roman" w:hAnsi="Times New Roman" w:cs="Times New Roman"/>
          <w:i/>
          <w:sz w:val="24"/>
          <w:szCs w:val="24"/>
        </w:rPr>
        <w:t xml:space="preserve">(1)“Any assumption by a person of the rights of an owner amounts to an appropriation, and this includes, where he has come by the property innocently or not without stealing it, any later assumption of a right to it by keeping or dealing with it as owner. (2) where property or a right or interest in property is or purports to be transferred for value to a person acting in good faith, no later assumption by him of rights which he believed himself to be acquiring shall, by reason of any defect in the transferor’s title, amount to theft of the property.” </w:t>
      </w:r>
      <w:r w:rsidR="00B023A6" w:rsidRPr="00577EE1">
        <w:rPr>
          <w:rFonts w:ascii="Times New Roman" w:hAnsi="Times New Roman" w:cs="Times New Roman"/>
          <w:sz w:val="24"/>
          <w:szCs w:val="24"/>
        </w:rPr>
        <w:t>Consent from the owner does not make appropriation to be legal as was in the case of Lawrence v. Metropolitan Police Commissioner (1971) Cr App R 471; whereby the defendant was a taxi driver who took money from the victim who was a tourist and had little knowledge of English. The money was taken in excess of the faire payable and the defendant was found guilty of theft. In the case of DPP v. Gomez (1993) 96 Cr App R 359 whereby the court held that for appropriation to occur it does not matter whether there was adverse interference with the rights of the owner of the property.</w:t>
      </w:r>
    </w:p>
    <w:p w:rsidR="00B023A6" w:rsidRPr="00577EE1" w:rsidRDefault="00B023A6" w:rsidP="00577EE1">
      <w:pPr>
        <w:pStyle w:val="ListParagraph"/>
        <w:numPr>
          <w:ilvl w:val="0"/>
          <w:numId w:val="4"/>
        </w:numPr>
        <w:spacing w:line="480" w:lineRule="auto"/>
        <w:rPr>
          <w:rFonts w:ascii="Times New Roman" w:hAnsi="Times New Roman" w:cs="Times New Roman"/>
          <w:sz w:val="24"/>
          <w:szCs w:val="24"/>
        </w:rPr>
      </w:pPr>
      <w:r w:rsidRPr="00577EE1">
        <w:rPr>
          <w:rFonts w:ascii="Times New Roman" w:hAnsi="Times New Roman" w:cs="Times New Roman"/>
          <w:sz w:val="24"/>
          <w:szCs w:val="24"/>
        </w:rPr>
        <w:lastRenderedPageBreak/>
        <w:t>Property</w:t>
      </w:r>
    </w:p>
    <w:p w:rsidR="00B023A6" w:rsidRPr="00577EE1" w:rsidRDefault="00100455"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Section 4 (1) defines what amounts to property which includes money and any other property whether real or person, involving things in action and other intangible property. Section 4 (2) to (4) explains further on certain property that can only be stolen under particular situations;</w:t>
      </w:r>
    </w:p>
    <w:p w:rsidR="00100455" w:rsidRPr="00577EE1" w:rsidRDefault="00100455"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(2) Land or things forming part of land and severed from it;</w:t>
      </w:r>
    </w:p>
    <w:p w:rsidR="00100455" w:rsidRPr="00577EE1" w:rsidRDefault="00100455"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(3) Mushrooms growing wild on any land, or the flowers, fruits or foliage of plants growing wild on any land;</w:t>
      </w:r>
    </w:p>
    <w:p w:rsidR="00100455" w:rsidRPr="00577EE1" w:rsidRDefault="00100455"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(4) Wild creatures or carcasses of wild creatures.</w:t>
      </w:r>
    </w:p>
    <w:p w:rsidR="00100455" w:rsidRPr="00577EE1" w:rsidRDefault="00100455" w:rsidP="00577EE1">
      <w:pPr>
        <w:pStyle w:val="ListParagraph"/>
        <w:numPr>
          <w:ilvl w:val="0"/>
          <w:numId w:val="4"/>
        </w:numPr>
        <w:spacing w:line="480" w:lineRule="auto"/>
        <w:rPr>
          <w:rFonts w:ascii="Times New Roman" w:hAnsi="Times New Roman" w:cs="Times New Roman"/>
          <w:sz w:val="24"/>
          <w:szCs w:val="24"/>
        </w:rPr>
      </w:pPr>
      <w:r w:rsidRPr="00577EE1">
        <w:rPr>
          <w:rFonts w:ascii="Times New Roman" w:hAnsi="Times New Roman" w:cs="Times New Roman"/>
          <w:sz w:val="24"/>
          <w:szCs w:val="24"/>
        </w:rPr>
        <w:t>Belonging to Another</w:t>
      </w:r>
    </w:p>
    <w:p w:rsidR="00100455" w:rsidRPr="00577EE1" w:rsidRDefault="00100455"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For one to be charged for theft, the property must belong to another person as defined under section 5. Section 5 of the Act provides that belonging to another means that the individual;</w:t>
      </w:r>
    </w:p>
    <w:p w:rsidR="00100455" w:rsidRPr="00577EE1" w:rsidRDefault="00100455" w:rsidP="00577EE1">
      <w:pPr>
        <w:pStyle w:val="ListParagraph"/>
        <w:numPr>
          <w:ilvl w:val="0"/>
          <w:numId w:val="5"/>
        </w:numPr>
        <w:spacing w:line="480" w:lineRule="auto"/>
        <w:rPr>
          <w:rFonts w:ascii="Times New Roman" w:hAnsi="Times New Roman" w:cs="Times New Roman"/>
          <w:sz w:val="24"/>
          <w:szCs w:val="24"/>
        </w:rPr>
      </w:pPr>
      <w:r w:rsidRPr="00577EE1">
        <w:rPr>
          <w:rFonts w:ascii="Times New Roman" w:hAnsi="Times New Roman" w:cs="Times New Roman"/>
          <w:sz w:val="24"/>
          <w:szCs w:val="24"/>
        </w:rPr>
        <w:t>Has possession or control of it; or</w:t>
      </w:r>
    </w:p>
    <w:p w:rsidR="00100455" w:rsidRPr="00577EE1" w:rsidRDefault="00100455" w:rsidP="00577EE1">
      <w:pPr>
        <w:pStyle w:val="ListParagraph"/>
        <w:numPr>
          <w:ilvl w:val="0"/>
          <w:numId w:val="5"/>
        </w:numPr>
        <w:spacing w:line="480" w:lineRule="auto"/>
        <w:rPr>
          <w:rFonts w:ascii="Times New Roman" w:hAnsi="Times New Roman" w:cs="Times New Roman"/>
          <w:sz w:val="24"/>
          <w:szCs w:val="24"/>
        </w:rPr>
      </w:pPr>
      <w:r w:rsidRPr="00577EE1">
        <w:rPr>
          <w:rFonts w:ascii="Times New Roman" w:hAnsi="Times New Roman" w:cs="Times New Roman"/>
          <w:sz w:val="24"/>
          <w:szCs w:val="24"/>
        </w:rPr>
        <w:t>Has given it to the defendant subject to an obligation that it is dealt with in some particular way; or</w:t>
      </w:r>
    </w:p>
    <w:p w:rsidR="00100455" w:rsidRPr="00577EE1" w:rsidRDefault="00100455" w:rsidP="00577EE1">
      <w:pPr>
        <w:pStyle w:val="ListParagraph"/>
        <w:numPr>
          <w:ilvl w:val="0"/>
          <w:numId w:val="5"/>
        </w:numPr>
        <w:spacing w:line="480" w:lineRule="auto"/>
        <w:rPr>
          <w:rFonts w:ascii="Times New Roman" w:hAnsi="Times New Roman" w:cs="Times New Roman"/>
          <w:sz w:val="24"/>
          <w:szCs w:val="24"/>
        </w:rPr>
      </w:pPr>
      <w:r w:rsidRPr="00577EE1">
        <w:rPr>
          <w:rFonts w:ascii="Times New Roman" w:hAnsi="Times New Roman" w:cs="Times New Roman"/>
          <w:sz w:val="24"/>
          <w:szCs w:val="24"/>
        </w:rPr>
        <w:t>Has given it to the defendant by mistake and the defendant is under an obligation to restore it to them (in whole or in part); or</w:t>
      </w:r>
    </w:p>
    <w:p w:rsidR="00100455" w:rsidRPr="00577EE1" w:rsidRDefault="00100455" w:rsidP="00577EE1">
      <w:pPr>
        <w:pStyle w:val="ListParagraph"/>
        <w:numPr>
          <w:ilvl w:val="0"/>
          <w:numId w:val="5"/>
        </w:numPr>
        <w:spacing w:line="480" w:lineRule="auto"/>
        <w:rPr>
          <w:rFonts w:ascii="Times New Roman" w:hAnsi="Times New Roman" w:cs="Times New Roman"/>
          <w:sz w:val="24"/>
          <w:szCs w:val="24"/>
        </w:rPr>
      </w:pPr>
      <w:r w:rsidRPr="00577EE1">
        <w:rPr>
          <w:rFonts w:ascii="Times New Roman" w:hAnsi="Times New Roman" w:cs="Times New Roman"/>
          <w:sz w:val="24"/>
          <w:szCs w:val="24"/>
        </w:rPr>
        <w:t>Is the beneficiary of a trust to which the property is subject.</w:t>
      </w:r>
    </w:p>
    <w:p w:rsidR="00D6282A" w:rsidRPr="00577EE1" w:rsidRDefault="00D6282A"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In this case, of one is legally in possession or control of the specific property that does not amount to stealing. However, the property is supposed to be in the possession of </w:t>
      </w:r>
      <w:r w:rsidRPr="00577EE1">
        <w:rPr>
          <w:rFonts w:ascii="Times New Roman" w:hAnsi="Times New Roman" w:cs="Times New Roman"/>
          <w:sz w:val="24"/>
          <w:szCs w:val="24"/>
        </w:rPr>
        <w:lastRenderedPageBreak/>
        <w:t>another in the time of appropriation as was held in the case of R v. Turner (1971) 55 Cr App R 33 where the defendant was found guilty of theft regardless of the car being his at the time of taking it from a garage without paying for repairs.</w:t>
      </w:r>
    </w:p>
    <w:p w:rsidR="00500152" w:rsidRPr="00577EE1" w:rsidRDefault="00500152" w:rsidP="00577EE1">
      <w:pPr>
        <w:pStyle w:val="ListParagraph"/>
        <w:numPr>
          <w:ilvl w:val="0"/>
          <w:numId w:val="4"/>
        </w:numPr>
        <w:spacing w:line="480" w:lineRule="auto"/>
        <w:rPr>
          <w:rFonts w:ascii="Times New Roman" w:hAnsi="Times New Roman" w:cs="Times New Roman"/>
          <w:sz w:val="24"/>
          <w:szCs w:val="24"/>
        </w:rPr>
      </w:pPr>
      <w:r w:rsidRPr="00577EE1">
        <w:rPr>
          <w:rFonts w:ascii="Times New Roman" w:hAnsi="Times New Roman" w:cs="Times New Roman"/>
          <w:sz w:val="24"/>
          <w:szCs w:val="24"/>
        </w:rPr>
        <w:t>Intending to permanently deprive</w:t>
      </w:r>
    </w:p>
    <w:p w:rsidR="00500152" w:rsidRPr="00577EE1" w:rsidRDefault="00500152"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Section 6 of the Act define what constitute permanent deprivation. In the case of R v. </w:t>
      </w:r>
      <w:proofErr w:type="spellStart"/>
      <w:r w:rsidRPr="00577EE1">
        <w:rPr>
          <w:rFonts w:ascii="Times New Roman" w:hAnsi="Times New Roman" w:cs="Times New Roman"/>
          <w:sz w:val="24"/>
          <w:szCs w:val="24"/>
        </w:rPr>
        <w:t>Vinall</w:t>
      </w:r>
      <w:proofErr w:type="spellEnd"/>
      <w:r w:rsidRPr="00577EE1">
        <w:rPr>
          <w:rFonts w:ascii="Times New Roman" w:hAnsi="Times New Roman" w:cs="Times New Roman"/>
          <w:sz w:val="24"/>
          <w:szCs w:val="24"/>
        </w:rPr>
        <w:t xml:space="preserve"> [2012] 1 Cr App R 29, the court indicated as follows;</w:t>
      </w:r>
    </w:p>
    <w:p w:rsidR="00500152" w:rsidRPr="00577EE1" w:rsidRDefault="00500152" w:rsidP="00577EE1">
      <w:pPr>
        <w:spacing w:line="480" w:lineRule="auto"/>
        <w:ind w:left="720"/>
        <w:rPr>
          <w:rStyle w:val="Emphasis"/>
          <w:rFonts w:ascii="Times New Roman" w:hAnsi="Times New Roman" w:cs="Times New Roman"/>
          <w:color w:val="444444"/>
          <w:sz w:val="24"/>
          <w:szCs w:val="24"/>
          <w:shd w:val="clear" w:color="auto" w:fill="FFFFFF"/>
        </w:rPr>
      </w:pPr>
      <w:r w:rsidRPr="00577EE1">
        <w:rPr>
          <w:rStyle w:val="Emphasis"/>
          <w:rFonts w:ascii="Times New Roman" w:hAnsi="Times New Roman" w:cs="Times New Roman"/>
          <w:color w:val="444444"/>
          <w:sz w:val="24"/>
          <w:szCs w:val="24"/>
          <w:shd w:val="clear" w:color="auto" w:fill="FFFFFF"/>
        </w:rPr>
        <w:t xml:space="preserve">“What section 6(1) requires is a state of mind in the defendant which Parliament regards as the equivalent of an intention permanently to deprive, namely “his intention to treat the thing as his own to dispose of regardless of the other's rights”. The subsection does not require that the thing has been disposed of, nor does it require that the defendant intends to dispose of the thing in any particular way. No doubt evidence of a particular disposal or a particular intention to dispose of the thing will constitute evidence of the defendant's state of mind but it is, in our view, for the jury to decide upon the circumstances proved whether the defendant </w:t>
      </w:r>
      <w:proofErr w:type="spellStart"/>
      <w:r w:rsidRPr="00577EE1">
        <w:rPr>
          <w:rStyle w:val="Emphasis"/>
          <w:rFonts w:ascii="Times New Roman" w:hAnsi="Times New Roman" w:cs="Times New Roman"/>
          <w:color w:val="444444"/>
          <w:sz w:val="24"/>
          <w:szCs w:val="24"/>
          <w:shd w:val="clear" w:color="auto" w:fill="FFFFFF"/>
        </w:rPr>
        <w:t>harboured</w:t>
      </w:r>
      <w:proofErr w:type="spellEnd"/>
      <w:r w:rsidRPr="00577EE1">
        <w:rPr>
          <w:rStyle w:val="Emphasis"/>
          <w:rFonts w:ascii="Times New Roman" w:hAnsi="Times New Roman" w:cs="Times New Roman"/>
          <w:color w:val="444444"/>
          <w:sz w:val="24"/>
          <w:szCs w:val="24"/>
          <w:shd w:val="clear" w:color="auto" w:fill="FFFFFF"/>
        </w:rPr>
        <w:t xml:space="preserve"> the statutory intention.”</w:t>
      </w:r>
    </w:p>
    <w:p w:rsidR="00500152" w:rsidRPr="00577EE1" w:rsidRDefault="00500152"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Therefore, the actus reus of theft include the elements of taking, keeping or using another </w:t>
      </w:r>
      <w:r w:rsidR="009923B9" w:rsidRPr="00577EE1">
        <w:rPr>
          <w:rFonts w:ascii="Times New Roman" w:hAnsi="Times New Roman" w:cs="Times New Roman"/>
          <w:sz w:val="24"/>
          <w:szCs w:val="24"/>
        </w:rPr>
        <w:t>person’s property</w:t>
      </w:r>
      <w:r w:rsidRPr="00577EE1">
        <w:rPr>
          <w:rFonts w:ascii="Times New Roman" w:hAnsi="Times New Roman" w:cs="Times New Roman"/>
          <w:sz w:val="24"/>
          <w:szCs w:val="24"/>
        </w:rPr>
        <w:t xml:space="preserve"> without their authority. The issue of mens rea involves the elements of dishonesty and having the intention of depriving someone’s </w:t>
      </w:r>
      <w:r w:rsidR="00276E6F" w:rsidRPr="00577EE1">
        <w:rPr>
          <w:rFonts w:ascii="Times New Roman" w:hAnsi="Times New Roman" w:cs="Times New Roman"/>
          <w:sz w:val="24"/>
          <w:szCs w:val="24"/>
        </w:rPr>
        <w:t>ownership or possession of property permanently.</w:t>
      </w:r>
    </w:p>
    <w:p w:rsidR="003335F6" w:rsidRPr="00577EE1" w:rsidRDefault="003335F6"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Procedure for Case Allocation</w:t>
      </w:r>
    </w:p>
    <w:p w:rsidR="009923B9" w:rsidRPr="00577EE1" w:rsidRDefault="009923B9"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Case allocation involves the process of allocating and sending of cases. The case allocation procedure is founded under Schedule 3 of the Criminal Justice Act 2003 that </w:t>
      </w:r>
      <w:r w:rsidRPr="00577EE1">
        <w:rPr>
          <w:rFonts w:ascii="Times New Roman" w:hAnsi="Times New Roman" w:cs="Times New Roman"/>
          <w:sz w:val="24"/>
          <w:szCs w:val="24"/>
        </w:rPr>
        <w:lastRenderedPageBreak/>
        <w:t>amended the Crime and Disorder Act of 1998 (CDA 1998). The allocation is provided under section 19 of the Magistrates’ Courts Act of 1980. The prosecution is provided with an opportunity to inform the court on the previous convictions</w:t>
      </w:r>
      <w:r w:rsidR="00830AA1" w:rsidRPr="00577EE1">
        <w:rPr>
          <w:rFonts w:ascii="Times New Roman" w:hAnsi="Times New Roman" w:cs="Times New Roman"/>
          <w:sz w:val="24"/>
          <w:szCs w:val="24"/>
        </w:rPr>
        <w:t xml:space="preserve">. The court gives an opportunity to the prosecution and accused in making representations on summary trial or trial on indictment. At this stage, the accused is also given an opportunity to plead either guilty or not guilty. The court then decides </w:t>
      </w:r>
      <w:proofErr w:type="spellStart"/>
      <w:r w:rsidR="00830AA1" w:rsidRPr="00577EE1">
        <w:rPr>
          <w:rFonts w:ascii="Times New Roman" w:hAnsi="Times New Roman" w:cs="Times New Roman"/>
          <w:sz w:val="24"/>
          <w:szCs w:val="24"/>
        </w:rPr>
        <w:t>withether</w:t>
      </w:r>
      <w:proofErr w:type="spellEnd"/>
      <w:r w:rsidR="00830AA1" w:rsidRPr="00577EE1">
        <w:rPr>
          <w:rFonts w:ascii="Times New Roman" w:hAnsi="Times New Roman" w:cs="Times New Roman"/>
          <w:sz w:val="24"/>
          <w:szCs w:val="24"/>
        </w:rPr>
        <w:t xml:space="preserve"> the case is triable. If the case is triable, William Brown has the opportunity of pleading guilty or not guilty. If he pleads guilty the Magistrates’ court is required to make a decision on the sentencing powers or it should be handled by the Crown Court. Further, if Brown does not plead guilty or make any indication, the Magistrates’</w:t>
      </w:r>
      <w:r w:rsidR="00DF4BC7" w:rsidRPr="00577EE1">
        <w:rPr>
          <w:rFonts w:ascii="Times New Roman" w:hAnsi="Times New Roman" w:cs="Times New Roman"/>
          <w:sz w:val="24"/>
          <w:szCs w:val="24"/>
        </w:rPr>
        <w:t xml:space="preserve"> court need to decide whether the case will be allocated in the Magistrates’ Court or Crown Court for the trial process. Brown also under Section 20 (3) of the Magistrates’ Courts Act of 1980 has the right of seeking an indication from the court if he does not take a guilty plea. The indication is on whether he can get</w:t>
      </w:r>
      <w:r w:rsidR="005858CE" w:rsidRPr="00577EE1">
        <w:rPr>
          <w:rFonts w:ascii="Times New Roman" w:hAnsi="Times New Roman" w:cs="Times New Roman"/>
          <w:sz w:val="24"/>
          <w:szCs w:val="24"/>
        </w:rPr>
        <w:t xml:space="preserve"> </w:t>
      </w:r>
      <w:r w:rsidR="00DF4BC7" w:rsidRPr="00577EE1">
        <w:rPr>
          <w:rFonts w:ascii="Times New Roman" w:hAnsi="Times New Roman" w:cs="Times New Roman"/>
          <w:sz w:val="24"/>
          <w:szCs w:val="24"/>
        </w:rPr>
        <w:t>a custodial or non-custodial sentence. The indication is followed by a guilty plea and he does not plead guilty after the sentence indication</w:t>
      </w:r>
      <w:r w:rsidR="005858CE" w:rsidRPr="00577EE1">
        <w:rPr>
          <w:rFonts w:ascii="Times New Roman" w:hAnsi="Times New Roman" w:cs="Times New Roman"/>
          <w:sz w:val="24"/>
          <w:szCs w:val="24"/>
        </w:rPr>
        <w:t>, the indication will not bind him regardless of subsequent pleas or conviction after trial. Further, if the Magistrates’ Court decides that has the jurisdiction to try the case, Brown will have an opportunity of deciding whether the case should be tried by the Magistrates’ Court or Crown Court.</w:t>
      </w:r>
    </w:p>
    <w:p w:rsidR="005858CE" w:rsidRPr="00577EE1" w:rsidRDefault="005858CE"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Advantages and Disadvantages of Courts</w:t>
      </w:r>
    </w:p>
    <w:p w:rsidR="005858CE" w:rsidRPr="00577EE1" w:rsidRDefault="005858CE"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Theft is classified as triable either way </w:t>
      </w:r>
      <w:proofErr w:type="spellStart"/>
      <w:r w:rsidRPr="00577EE1">
        <w:rPr>
          <w:rFonts w:ascii="Times New Roman" w:hAnsi="Times New Roman" w:cs="Times New Roman"/>
          <w:sz w:val="24"/>
          <w:szCs w:val="24"/>
        </w:rPr>
        <w:t>offences</w:t>
      </w:r>
      <w:proofErr w:type="spellEnd"/>
      <w:r w:rsidRPr="00577EE1">
        <w:rPr>
          <w:rFonts w:ascii="Times New Roman" w:hAnsi="Times New Roman" w:cs="Times New Roman"/>
          <w:sz w:val="24"/>
          <w:szCs w:val="24"/>
        </w:rPr>
        <w:t xml:space="preserve"> (either summary or indictable crimes) and can be tried by Magistrates’ Court or Crown Court. The Magistrates Court has advantages and disadvantages. The advantages include;</w:t>
      </w:r>
    </w:p>
    <w:p w:rsidR="005858CE" w:rsidRPr="00577EE1" w:rsidRDefault="005858CE" w:rsidP="00577EE1">
      <w:pPr>
        <w:pStyle w:val="ListParagraph"/>
        <w:numPr>
          <w:ilvl w:val="0"/>
          <w:numId w:val="6"/>
        </w:numPr>
        <w:spacing w:line="480" w:lineRule="auto"/>
        <w:rPr>
          <w:rFonts w:ascii="Times New Roman" w:hAnsi="Times New Roman" w:cs="Times New Roman"/>
          <w:sz w:val="24"/>
          <w:szCs w:val="24"/>
        </w:rPr>
      </w:pPr>
      <w:r w:rsidRPr="00577EE1">
        <w:rPr>
          <w:rFonts w:ascii="Times New Roman" w:hAnsi="Times New Roman" w:cs="Times New Roman"/>
          <w:sz w:val="24"/>
          <w:szCs w:val="24"/>
        </w:rPr>
        <w:lastRenderedPageBreak/>
        <w:t xml:space="preserve">The defendant and the public can participate in the justice system. </w:t>
      </w:r>
      <w:r w:rsidR="009A2B71" w:rsidRPr="00577EE1">
        <w:rPr>
          <w:rFonts w:ascii="Times New Roman" w:hAnsi="Times New Roman" w:cs="Times New Roman"/>
          <w:sz w:val="24"/>
          <w:szCs w:val="24"/>
        </w:rPr>
        <w:t>Therefore, the local knowledge can be used in court as was in the case of Paul vs. DPP.</w:t>
      </w:r>
    </w:p>
    <w:p w:rsidR="009A2B71" w:rsidRPr="00577EE1" w:rsidRDefault="009A2B71" w:rsidP="00577EE1">
      <w:pPr>
        <w:pStyle w:val="ListParagraph"/>
        <w:numPr>
          <w:ilvl w:val="0"/>
          <w:numId w:val="6"/>
        </w:numPr>
        <w:spacing w:line="480" w:lineRule="auto"/>
        <w:rPr>
          <w:rFonts w:ascii="Times New Roman" w:hAnsi="Times New Roman" w:cs="Times New Roman"/>
          <w:sz w:val="24"/>
          <w:szCs w:val="24"/>
        </w:rPr>
      </w:pPr>
      <w:r w:rsidRPr="00577EE1">
        <w:rPr>
          <w:rFonts w:ascii="Times New Roman" w:hAnsi="Times New Roman" w:cs="Times New Roman"/>
          <w:sz w:val="24"/>
          <w:szCs w:val="24"/>
        </w:rPr>
        <w:t>It represents different groups of individuals in the community and thus ensures public confidence.</w:t>
      </w:r>
    </w:p>
    <w:p w:rsidR="009A2B71" w:rsidRPr="00577EE1" w:rsidRDefault="009A2B71" w:rsidP="00577EE1">
      <w:pPr>
        <w:pStyle w:val="ListParagraph"/>
        <w:numPr>
          <w:ilvl w:val="0"/>
          <w:numId w:val="6"/>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 process of filing and hearing the case is cheap and can cost $550 when compared to the Crown Court that costs 8600 pound</w:t>
      </w:r>
    </w:p>
    <w:p w:rsidR="009A2B71" w:rsidRPr="00577EE1" w:rsidRDefault="009A2B71" w:rsidP="00577EE1">
      <w:pPr>
        <w:pStyle w:val="ListParagraph"/>
        <w:numPr>
          <w:ilvl w:val="0"/>
          <w:numId w:val="6"/>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There is a balanced view as it consists of three magistrates</w:t>
      </w:r>
    </w:p>
    <w:p w:rsidR="009A2B71" w:rsidRPr="00577EE1" w:rsidRDefault="009A2B71"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The disadvantages include;</w:t>
      </w:r>
    </w:p>
    <w:p w:rsidR="009A2B71" w:rsidRPr="00577EE1" w:rsidRDefault="009A2B71" w:rsidP="00577EE1">
      <w:pPr>
        <w:pStyle w:val="ListParagraph"/>
        <w:numPr>
          <w:ilvl w:val="0"/>
          <w:numId w:val="7"/>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 Magistrates courts might be inconsistent when it comes to the time of reaching a decision and the decision itself.</w:t>
      </w:r>
    </w:p>
    <w:p w:rsidR="009A2B71" w:rsidRPr="00577EE1" w:rsidRDefault="009A2B71" w:rsidP="00577EE1">
      <w:pPr>
        <w:pStyle w:val="ListParagraph"/>
        <w:numPr>
          <w:ilvl w:val="0"/>
          <w:numId w:val="7"/>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 Magistrates also might not reflect the make up of the Britain society.</w:t>
      </w:r>
    </w:p>
    <w:p w:rsidR="009A2B71" w:rsidRPr="00577EE1" w:rsidRDefault="009A2B71"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The Crown Court also has advantages and disadvantages;</w:t>
      </w:r>
    </w:p>
    <w:p w:rsidR="009A2B71" w:rsidRPr="00577EE1" w:rsidRDefault="00B12E09"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The advantages include;</w:t>
      </w:r>
    </w:p>
    <w:p w:rsidR="00B12E09" w:rsidRPr="00577EE1" w:rsidRDefault="00B12E09" w:rsidP="00577EE1">
      <w:pPr>
        <w:pStyle w:val="ListParagraph"/>
        <w:numPr>
          <w:ilvl w:val="0"/>
          <w:numId w:val="8"/>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There is high likelihood for acquittal of the defendant at the Crown Court.</w:t>
      </w:r>
    </w:p>
    <w:p w:rsidR="00B12E09" w:rsidRPr="00577EE1" w:rsidRDefault="00B12E09" w:rsidP="00577EE1">
      <w:pPr>
        <w:pStyle w:val="ListParagraph"/>
        <w:numPr>
          <w:ilvl w:val="0"/>
          <w:numId w:val="8"/>
        </w:numPr>
        <w:spacing w:line="480" w:lineRule="auto"/>
        <w:rPr>
          <w:rFonts w:ascii="Times New Roman" w:hAnsi="Times New Roman" w:cs="Times New Roman"/>
          <w:sz w:val="24"/>
          <w:szCs w:val="24"/>
        </w:rPr>
      </w:pPr>
      <w:r w:rsidRPr="00577EE1">
        <w:rPr>
          <w:rFonts w:ascii="Times New Roman" w:hAnsi="Times New Roman" w:cs="Times New Roman"/>
          <w:sz w:val="24"/>
          <w:szCs w:val="24"/>
        </w:rPr>
        <w:t>One is likely to get legal aid</w:t>
      </w:r>
    </w:p>
    <w:p w:rsidR="00B12E09" w:rsidRPr="00577EE1" w:rsidRDefault="00B12E09" w:rsidP="00577EE1">
      <w:pPr>
        <w:pStyle w:val="ListParagraph"/>
        <w:numPr>
          <w:ilvl w:val="0"/>
          <w:numId w:val="8"/>
        </w:numPr>
        <w:spacing w:line="480" w:lineRule="auto"/>
        <w:rPr>
          <w:rFonts w:ascii="Times New Roman" w:hAnsi="Times New Roman" w:cs="Times New Roman"/>
          <w:sz w:val="24"/>
          <w:szCs w:val="24"/>
        </w:rPr>
      </w:pPr>
      <w:r w:rsidRPr="00577EE1">
        <w:rPr>
          <w:rFonts w:ascii="Times New Roman" w:hAnsi="Times New Roman" w:cs="Times New Roman"/>
          <w:sz w:val="24"/>
          <w:szCs w:val="24"/>
        </w:rPr>
        <w:t>One has the possibility of serving part of the sentence in a remand.</w:t>
      </w:r>
    </w:p>
    <w:p w:rsidR="00B12E09" w:rsidRPr="00577EE1" w:rsidRDefault="00B12E09"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The disadvantages involve;</w:t>
      </w:r>
    </w:p>
    <w:p w:rsidR="00B12E09" w:rsidRPr="00577EE1" w:rsidRDefault="00B12E09" w:rsidP="00577EE1">
      <w:pPr>
        <w:pStyle w:val="ListParagraph"/>
        <w:numPr>
          <w:ilvl w:val="0"/>
          <w:numId w:val="9"/>
        </w:num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The trial process takes long and one might wait longer for </w:t>
      </w:r>
      <w:proofErr w:type="spellStart"/>
      <w:r w:rsidRPr="00577EE1">
        <w:rPr>
          <w:rFonts w:ascii="Times New Roman" w:hAnsi="Times New Roman" w:cs="Times New Roman"/>
          <w:sz w:val="24"/>
          <w:szCs w:val="24"/>
        </w:rPr>
        <w:t>trai</w:t>
      </w:r>
      <w:proofErr w:type="spellEnd"/>
      <w:r w:rsidRPr="00577EE1">
        <w:rPr>
          <w:rFonts w:ascii="Times New Roman" w:hAnsi="Times New Roman" w:cs="Times New Roman"/>
          <w:sz w:val="24"/>
          <w:szCs w:val="24"/>
        </w:rPr>
        <w:t>,</w:t>
      </w:r>
    </w:p>
    <w:p w:rsidR="00B12E09" w:rsidRPr="00577EE1" w:rsidRDefault="00B12E09" w:rsidP="00577EE1">
      <w:pPr>
        <w:pStyle w:val="ListParagraph"/>
        <w:numPr>
          <w:ilvl w:val="0"/>
          <w:numId w:val="9"/>
        </w:numPr>
        <w:spacing w:line="480" w:lineRule="auto"/>
        <w:rPr>
          <w:rFonts w:ascii="Times New Roman" w:hAnsi="Times New Roman" w:cs="Times New Roman"/>
          <w:sz w:val="24"/>
          <w:szCs w:val="24"/>
        </w:rPr>
      </w:pPr>
      <w:r w:rsidRPr="00577EE1">
        <w:rPr>
          <w:rFonts w:ascii="Times New Roman" w:hAnsi="Times New Roman" w:cs="Times New Roman"/>
          <w:sz w:val="24"/>
          <w:szCs w:val="24"/>
        </w:rPr>
        <w:t xml:space="preserve">It is costly </w:t>
      </w:r>
    </w:p>
    <w:p w:rsidR="00B12E09" w:rsidRPr="00577EE1" w:rsidRDefault="00B12E09" w:rsidP="00577EE1">
      <w:pPr>
        <w:pStyle w:val="ListParagraph"/>
        <w:numPr>
          <w:ilvl w:val="0"/>
          <w:numId w:val="9"/>
        </w:numPr>
        <w:spacing w:line="480" w:lineRule="auto"/>
        <w:rPr>
          <w:rFonts w:ascii="Times New Roman" w:hAnsi="Times New Roman" w:cs="Times New Roman"/>
          <w:sz w:val="24"/>
          <w:szCs w:val="24"/>
        </w:rPr>
      </w:pPr>
      <w:r w:rsidRPr="00577EE1">
        <w:rPr>
          <w:rFonts w:ascii="Times New Roman" w:hAnsi="Times New Roman" w:cs="Times New Roman"/>
          <w:sz w:val="24"/>
          <w:szCs w:val="24"/>
        </w:rPr>
        <w:t>The Crown Court has higher powers of sentencing.</w:t>
      </w:r>
    </w:p>
    <w:p w:rsidR="00B12E09" w:rsidRPr="00577EE1" w:rsidRDefault="00B12E09"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Legal Aid</w:t>
      </w:r>
    </w:p>
    <w:p w:rsidR="00AC47B3" w:rsidRPr="00577EE1" w:rsidRDefault="00AC47B3"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lastRenderedPageBreak/>
        <w:t>Any accused individual that meets the set out Criminal Legal Aid (Financial Resources) Regulations and the Criminal Aid (Contribution Orders) Regulations 2013 can request for legal aid. Further, the legal aid might be provided in accordance to the Criminal Legal Aid (Recovery of Defence Costs Orders) Regulations of 2013. In particular, in the Crown Court, accused earning more than 12,475 pounds are eligible for legal aid. Therefore, William can request for legal aid assistance as he is eligible based on his annual income of approximately 12,000 pounds.  As a result, he can request for legal aids in the following forms</w:t>
      </w:r>
      <w:r w:rsidR="00B34D3C" w:rsidRPr="00577EE1">
        <w:rPr>
          <w:rFonts w:ascii="Times New Roman" w:hAnsi="Times New Roman" w:cs="Times New Roman"/>
          <w:sz w:val="24"/>
          <w:szCs w:val="24"/>
        </w:rPr>
        <w:t>; g</w:t>
      </w:r>
      <w:r w:rsidRPr="00577EE1">
        <w:rPr>
          <w:rFonts w:ascii="Times New Roman" w:hAnsi="Times New Roman" w:cs="Times New Roman"/>
          <w:sz w:val="24"/>
          <w:szCs w:val="24"/>
        </w:rPr>
        <w:t>etting advice and assistance during his criminal proceedings and a representation during the criminal proceedings. He is not elig</w:t>
      </w:r>
      <w:r w:rsidR="00B34D3C" w:rsidRPr="00577EE1">
        <w:rPr>
          <w:rFonts w:ascii="Times New Roman" w:hAnsi="Times New Roman" w:cs="Times New Roman"/>
          <w:sz w:val="24"/>
          <w:szCs w:val="24"/>
        </w:rPr>
        <w:t>ib</w:t>
      </w:r>
      <w:r w:rsidRPr="00577EE1">
        <w:rPr>
          <w:rFonts w:ascii="Times New Roman" w:hAnsi="Times New Roman" w:cs="Times New Roman"/>
          <w:sz w:val="24"/>
          <w:szCs w:val="24"/>
        </w:rPr>
        <w:t xml:space="preserve">le of legal aid based on receiving advice and assistance </w:t>
      </w:r>
      <w:r w:rsidR="00B34D3C" w:rsidRPr="00577EE1">
        <w:rPr>
          <w:rFonts w:ascii="Times New Roman" w:hAnsi="Times New Roman" w:cs="Times New Roman"/>
          <w:sz w:val="24"/>
          <w:szCs w:val="24"/>
        </w:rPr>
        <w:t>while in custody as he is out on unconditional bail. To effectively obtain legal aid services, the court will use the means test which includes the income and capital of the applicant.</w:t>
      </w:r>
    </w:p>
    <w:p w:rsidR="00B34D3C" w:rsidRPr="00577EE1" w:rsidRDefault="00B34D3C"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Mitigation in the Case</w:t>
      </w:r>
    </w:p>
    <w:p w:rsidR="00577EE1" w:rsidRPr="00577EE1" w:rsidRDefault="00B34D3C"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t>Mitigation is an important aspect after one is found guilty of the offence as it helps in reducing the severity of the sentence. The defendant will always have the opportunity to express themselves on the issues raised during the trial and the factors that influenced him to get engaged in such conduct. William can include various factors for the mitigation in the case. In particular, William can indicate that he has never had a past criminal and conviction records. In this case, it will show that he is a good citizen. Additionally, he can say that the act of theft was as a result of peer-pressure. Further, he can mention the issue of pressure from his peers</w:t>
      </w:r>
      <w:r w:rsidR="000B7519" w:rsidRPr="00577EE1">
        <w:rPr>
          <w:rFonts w:ascii="Times New Roman" w:hAnsi="Times New Roman" w:cs="Times New Roman"/>
          <w:sz w:val="24"/>
          <w:szCs w:val="24"/>
        </w:rPr>
        <w:t xml:space="preserve"> to commit the crime. The defendant can also mitigate the situation by showing remorse and honesty. Therefore, the defendant can use these factors for mitigation if he is found guilty for the offences.</w:t>
      </w:r>
    </w:p>
    <w:p w:rsidR="00577EE1" w:rsidRPr="00577EE1" w:rsidRDefault="00577EE1" w:rsidP="00577EE1">
      <w:pPr>
        <w:spacing w:line="480" w:lineRule="auto"/>
        <w:rPr>
          <w:rFonts w:ascii="Times New Roman" w:hAnsi="Times New Roman" w:cs="Times New Roman"/>
          <w:sz w:val="24"/>
          <w:szCs w:val="24"/>
        </w:rPr>
      </w:pPr>
      <w:r w:rsidRPr="00577EE1">
        <w:rPr>
          <w:rFonts w:ascii="Times New Roman" w:hAnsi="Times New Roman" w:cs="Times New Roman"/>
          <w:sz w:val="24"/>
          <w:szCs w:val="24"/>
        </w:rPr>
        <w:lastRenderedPageBreak/>
        <w:br w:type="page"/>
      </w:r>
    </w:p>
    <w:p w:rsidR="00577EE1" w:rsidRPr="00577EE1" w:rsidRDefault="00577EE1" w:rsidP="00577EE1">
      <w:pPr>
        <w:shd w:val="clear" w:color="auto" w:fill="FFFFFF"/>
        <w:spacing w:after="0" w:line="480" w:lineRule="auto"/>
        <w:jc w:val="center"/>
        <w:rPr>
          <w:rFonts w:ascii="Times New Roman" w:eastAsia="Times New Roman" w:hAnsi="Times New Roman" w:cs="Times New Roman"/>
          <w:color w:val="000000"/>
          <w:sz w:val="24"/>
          <w:szCs w:val="24"/>
        </w:rPr>
      </w:pPr>
      <w:r w:rsidRPr="00577EE1">
        <w:rPr>
          <w:rFonts w:ascii="Times New Roman" w:eastAsia="Times New Roman" w:hAnsi="Times New Roman" w:cs="Times New Roman"/>
          <w:color w:val="000000"/>
          <w:sz w:val="24"/>
          <w:szCs w:val="24"/>
        </w:rPr>
        <w:lastRenderedPageBreak/>
        <w:t>References</w:t>
      </w:r>
    </w:p>
    <w:p w:rsidR="00577EE1" w:rsidRPr="00577EE1" w:rsidRDefault="00577EE1" w:rsidP="00577EE1">
      <w:pPr>
        <w:shd w:val="clear" w:color="auto" w:fill="FFFFFF"/>
        <w:spacing w:after="0" w:line="480" w:lineRule="auto"/>
        <w:ind w:left="720" w:right="75" w:hanging="720"/>
        <w:rPr>
          <w:rFonts w:ascii="Times New Roman" w:eastAsia="Times New Roman" w:hAnsi="Times New Roman" w:cs="Times New Roman"/>
          <w:color w:val="000000"/>
          <w:sz w:val="24"/>
          <w:szCs w:val="24"/>
        </w:rPr>
      </w:pPr>
      <w:r w:rsidRPr="00577EE1">
        <w:rPr>
          <w:rFonts w:ascii="Times New Roman" w:eastAsia="Times New Roman" w:hAnsi="Times New Roman" w:cs="Times New Roman"/>
          <w:color w:val="000000"/>
          <w:sz w:val="24"/>
          <w:szCs w:val="24"/>
        </w:rPr>
        <w:t>CPS. (2019). </w:t>
      </w:r>
      <w:r w:rsidRPr="00577EE1">
        <w:rPr>
          <w:rFonts w:ascii="Times New Roman" w:eastAsia="Times New Roman" w:hAnsi="Times New Roman" w:cs="Times New Roman"/>
          <w:i/>
          <w:iCs/>
          <w:color w:val="000000"/>
          <w:sz w:val="24"/>
          <w:szCs w:val="24"/>
        </w:rPr>
        <w:t>Theft act offences</w:t>
      </w:r>
      <w:r w:rsidRPr="00577EE1">
        <w:rPr>
          <w:rFonts w:ascii="Times New Roman" w:eastAsia="Times New Roman" w:hAnsi="Times New Roman" w:cs="Times New Roman"/>
          <w:color w:val="000000"/>
          <w:sz w:val="24"/>
          <w:szCs w:val="24"/>
        </w:rPr>
        <w:t>. The Crown Prosecution Service. </w:t>
      </w:r>
      <w:hyperlink r:id="rId5" w:history="1">
        <w:r w:rsidRPr="00577EE1">
          <w:rPr>
            <w:rFonts w:ascii="Times New Roman" w:eastAsia="Times New Roman" w:hAnsi="Times New Roman" w:cs="Times New Roman"/>
            <w:color w:val="000000"/>
            <w:sz w:val="24"/>
            <w:szCs w:val="24"/>
          </w:rPr>
          <w:t>https://www.cps.gov.uk/legal-guidance/theft-act-offences</w:t>
        </w:r>
      </w:hyperlink>
    </w:p>
    <w:p w:rsidR="00577EE1" w:rsidRPr="00577EE1" w:rsidRDefault="00577EE1" w:rsidP="00577EE1">
      <w:pPr>
        <w:shd w:val="clear" w:color="auto" w:fill="FFFFFF"/>
        <w:spacing w:after="0" w:line="480" w:lineRule="auto"/>
        <w:ind w:left="720" w:right="75" w:hanging="720"/>
        <w:rPr>
          <w:rFonts w:ascii="Times New Roman" w:eastAsia="Times New Roman" w:hAnsi="Times New Roman" w:cs="Times New Roman"/>
          <w:color w:val="000000"/>
          <w:sz w:val="24"/>
          <w:szCs w:val="24"/>
        </w:rPr>
      </w:pPr>
      <w:r w:rsidRPr="00577EE1">
        <w:rPr>
          <w:rFonts w:ascii="Times New Roman" w:eastAsia="Times New Roman" w:hAnsi="Times New Roman" w:cs="Times New Roman"/>
          <w:color w:val="000000"/>
          <w:sz w:val="24"/>
          <w:szCs w:val="24"/>
        </w:rPr>
        <w:t>Health and Safety Executive. (2021). </w:t>
      </w:r>
      <w:r w:rsidRPr="00577EE1">
        <w:rPr>
          <w:rFonts w:ascii="Times New Roman" w:eastAsia="Times New Roman" w:hAnsi="Times New Roman" w:cs="Times New Roman"/>
          <w:i/>
          <w:iCs/>
          <w:color w:val="000000"/>
          <w:sz w:val="24"/>
          <w:szCs w:val="24"/>
        </w:rPr>
        <w:t>Allocation procedure</w:t>
      </w:r>
      <w:r w:rsidRPr="00577EE1">
        <w:rPr>
          <w:rFonts w:ascii="Times New Roman" w:eastAsia="Times New Roman" w:hAnsi="Times New Roman" w:cs="Times New Roman"/>
          <w:color w:val="000000"/>
          <w:sz w:val="24"/>
          <w:szCs w:val="24"/>
        </w:rPr>
        <w:t>. HSE: Information about health and safety at work. </w:t>
      </w:r>
      <w:hyperlink r:id="rId6" w:history="1">
        <w:r w:rsidRPr="00577EE1">
          <w:rPr>
            <w:rFonts w:ascii="Times New Roman" w:eastAsia="Times New Roman" w:hAnsi="Times New Roman" w:cs="Times New Roman"/>
            <w:color w:val="000000"/>
            <w:sz w:val="24"/>
            <w:szCs w:val="24"/>
          </w:rPr>
          <w:t>https://www.hse.gov.uk/enforce/enforcementguide/court/crown-committal.htm</w:t>
        </w:r>
      </w:hyperlink>
    </w:p>
    <w:p w:rsidR="00B34D3C" w:rsidRPr="00577EE1" w:rsidRDefault="00B34D3C" w:rsidP="00577EE1">
      <w:pPr>
        <w:spacing w:line="480" w:lineRule="auto"/>
        <w:rPr>
          <w:rFonts w:ascii="Times New Roman" w:hAnsi="Times New Roman" w:cs="Times New Roman"/>
          <w:sz w:val="24"/>
          <w:szCs w:val="24"/>
        </w:rPr>
      </w:pPr>
    </w:p>
    <w:sectPr w:rsidR="00B34D3C" w:rsidRPr="00577E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26CB1"/>
    <w:multiLevelType w:val="hybridMultilevel"/>
    <w:tmpl w:val="4DCCF42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A2355D"/>
    <w:multiLevelType w:val="hybridMultilevel"/>
    <w:tmpl w:val="5E8A3A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7731ED"/>
    <w:multiLevelType w:val="hybridMultilevel"/>
    <w:tmpl w:val="D1289FC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AF2F08"/>
    <w:multiLevelType w:val="hybridMultilevel"/>
    <w:tmpl w:val="63900C7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D42A29"/>
    <w:multiLevelType w:val="hybridMultilevel"/>
    <w:tmpl w:val="F6E4453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453D10"/>
    <w:multiLevelType w:val="hybridMultilevel"/>
    <w:tmpl w:val="86C8176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90C05D6"/>
    <w:multiLevelType w:val="hybridMultilevel"/>
    <w:tmpl w:val="15B8A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8E0EE4"/>
    <w:multiLevelType w:val="hybridMultilevel"/>
    <w:tmpl w:val="9E209F9E"/>
    <w:lvl w:ilvl="0" w:tplc="47E6BC7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FFA667F"/>
    <w:multiLevelType w:val="hybridMultilevel"/>
    <w:tmpl w:val="07466FA8"/>
    <w:lvl w:ilvl="0" w:tplc="9F4C90D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8"/>
  </w:num>
  <w:num w:numId="3">
    <w:abstractNumId w:val="4"/>
  </w:num>
  <w:num w:numId="4">
    <w:abstractNumId w:val="7"/>
  </w:num>
  <w:num w:numId="5">
    <w:abstractNumId w:val="6"/>
  </w:num>
  <w:num w:numId="6">
    <w:abstractNumId w:val="1"/>
  </w:num>
  <w:num w:numId="7">
    <w:abstractNumId w:val="2"/>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519"/>
    <w:rsid w:val="000463C1"/>
    <w:rsid w:val="000B7519"/>
    <w:rsid w:val="00100455"/>
    <w:rsid w:val="00141519"/>
    <w:rsid w:val="001B546D"/>
    <w:rsid w:val="001E7DCC"/>
    <w:rsid w:val="00276E6F"/>
    <w:rsid w:val="003335F6"/>
    <w:rsid w:val="003B4FD8"/>
    <w:rsid w:val="004579B4"/>
    <w:rsid w:val="00467924"/>
    <w:rsid w:val="004D6088"/>
    <w:rsid w:val="00500152"/>
    <w:rsid w:val="00577EE1"/>
    <w:rsid w:val="005858CE"/>
    <w:rsid w:val="00596851"/>
    <w:rsid w:val="00653937"/>
    <w:rsid w:val="0074519F"/>
    <w:rsid w:val="00830AA1"/>
    <w:rsid w:val="00897D20"/>
    <w:rsid w:val="009923B9"/>
    <w:rsid w:val="009A2B71"/>
    <w:rsid w:val="00AB5FAB"/>
    <w:rsid w:val="00AC47B3"/>
    <w:rsid w:val="00B023A6"/>
    <w:rsid w:val="00B12E09"/>
    <w:rsid w:val="00B34D3C"/>
    <w:rsid w:val="00B959E3"/>
    <w:rsid w:val="00D6282A"/>
    <w:rsid w:val="00DF4B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485A"/>
  <w15:docId w15:val="{FA31572C-C072-564C-B5B4-DB877CB42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63C1"/>
    <w:pPr>
      <w:ind w:left="720"/>
      <w:contextualSpacing/>
    </w:pPr>
  </w:style>
  <w:style w:type="character" w:styleId="Emphasis">
    <w:name w:val="Emphasis"/>
    <w:basedOn w:val="DefaultParagraphFont"/>
    <w:uiPriority w:val="20"/>
    <w:qFormat/>
    <w:rsid w:val="005001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83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enforce/enforcementguide/court/crown-committal.htm" TargetMode="External"/><Relationship Id="rId5" Type="http://schemas.openxmlformats.org/officeDocument/2006/relationships/hyperlink" Target="https://www.cps.gov.uk/legal-guidance/theft-act-offenc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1836</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Roxana Burlacu (2014302)</cp:lastModifiedBy>
  <cp:revision>4</cp:revision>
  <dcterms:created xsi:type="dcterms:W3CDTF">2021-05-06T10:19:00Z</dcterms:created>
  <dcterms:modified xsi:type="dcterms:W3CDTF">2021-05-06T20:22:00Z</dcterms:modified>
</cp:coreProperties>
</file>