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0302CF" w14:textId="77777777" w:rsidR="00B578BE" w:rsidRPr="001E6A09" w:rsidRDefault="00B578BE" w:rsidP="00B578BE">
      <w:pPr>
        <w:spacing w:after="0" w:line="240" w:lineRule="auto"/>
        <w:jc w:val="center"/>
        <w:rPr>
          <w:rFonts w:ascii="Times New Roman" w:hAnsi="Times New Roman" w:cs="Times New Roman"/>
          <w:b/>
          <w:sz w:val="24"/>
          <w:szCs w:val="24"/>
        </w:rPr>
      </w:pPr>
      <w:r w:rsidRPr="001E6A09">
        <w:rPr>
          <w:rFonts w:ascii="Times New Roman" w:hAnsi="Times New Roman" w:cs="Times New Roman"/>
          <w:b/>
          <w:sz w:val="24"/>
          <w:szCs w:val="24"/>
        </w:rPr>
        <w:t>ECGE4001Q Assessment 1:</w:t>
      </w:r>
    </w:p>
    <w:p w14:paraId="468F8C86" w14:textId="77777777" w:rsidR="00B578BE" w:rsidRPr="001E6A09" w:rsidRDefault="00B578BE" w:rsidP="00B578BE">
      <w:pPr>
        <w:spacing w:after="0" w:line="240" w:lineRule="auto"/>
        <w:jc w:val="center"/>
        <w:rPr>
          <w:rFonts w:ascii="Times New Roman" w:hAnsi="Times New Roman" w:cs="Times New Roman"/>
          <w:i/>
          <w:sz w:val="24"/>
          <w:szCs w:val="24"/>
        </w:rPr>
      </w:pPr>
      <w:r w:rsidRPr="001E6A09">
        <w:rPr>
          <w:rFonts w:ascii="Times New Roman" w:hAnsi="Times New Roman" w:cs="Times New Roman"/>
          <w:i/>
          <w:sz w:val="24"/>
          <w:szCs w:val="24"/>
        </w:rPr>
        <w:t>Part 1- Re-write a passage of text in appropriate academic language. Correct</w:t>
      </w:r>
    </w:p>
    <w:p w14:paraId="5B00B6EF" w14:textId="5A09BC3C" w:rsidR="00DA4806" w:rsidRPr="001E6A09" w:rsidRDefault="00B578BE" w:rsidP="005C0F1F">
      <w:pPr>
        <w:spacing w:after="0" w:line="240" w:lineRule="auto"/>
        <w:jc w:val="center"/>
        <w:rPr>
          <w:rFonts w:ascii="Times New Roman" w:hAnsi="Times New Roman" w:cs="Times New Roman"/>
          <w:i/>
          <w:sz w:val="24"/>
          <w:szCs w:val="24"/>
        </w:rPr>
      </w:pPr>
      <w:r w:rsidRPr="001E6A09">
        <w:rPr>
          <w:rFonts w:ascii="Times New Roman" w:hAnsi="Times New Roman" w:cs="Times New Roman"/>
          <w:i/>
          <w:sz w:val="24"/>
          <w:szCs w:val="24"/>
        </w:rPr>
        <w:t>the referencing errors in both the body of the text and the reference list</w:t>
      </w:r>
    </w:p>
    <w:p w14:paraId="78C655E2" w14:textId="75991CE8" w:rsidR="00404BC9" w:rsidRPr="001E6A09" w:rsidRDefault="00404BC9" w:rsidP="00E569C2">
      <w:pPr>
        <w:spacing w:after="0" w:line="360" w:lineRule="auto"/>
        <w:jc w:val="both"/>
        <w:rPr>
          <w:rFonts w:ascii="Times New Roman" w:hAnsi="Times New Roman" w:cs="Times New Roman"/>
          <w:sz w:val="24"/>
          <w:szCs w:val="24"/>
        </w:rPr>
      </w:pPr>
    </w:p>
    <w:p w14:paraId="70FDF723" w14:textId="77777777" w:rsidR="001E6A09" w:rsidRPr="001E6A09" w:rsidRDefault="001E6A09" w:rsidP="001E6A09">
      <w:pPr>
        <w:spacing w:after="0" w:line="360" w:lineRule="auto"/>
        <w:jc w:val="both"/>
        <w:rPr>
          <w:rFonts w:ascii="Times New Roman" w:hAnsi="Times New Roman" w:cs="Times New Roman"/>
          <w:sz w:val="24"/>
          <w:szCs w:val="24"/>
        </w:rPr>
      </w:pPr>
    </w:p>
    <w:p w14:paraId="5535524B" w14:textId="77777777" w:rsidR="001E6A09" w:rsidRPr="001E6A09" w:rsidRDefault="001E6A09" w:rsidP="001E6A09">
      <w:pPr>
        <w:spacing w:after="0" w:line="360" w:lineRule="auto"/>
        <w:jc w:val="both"/>
        <w:rPr>
          <w:rFonts w:ascii="Times New Roman" w:hAnsi="Times New Roman" w:cs="Times New Roman"/>
          <w:sz w:val="24"/>
          <w:szCs w:val="24"/>
        </w:rPr>
      </w:pPr>
      <w:r w:rsidRPr="001E6A09">
        <w:rPr>
          <w:rFonts w:ascii="Times New Roman" w:hAnsi="Times New Roman" w:cs="Times New Roman"/>
          <w:sz w:val="24"/>
          <w:szCs w:val="24"/>
        </w:rPr>
        <w:t xml:space="preserve">‘Poverty’ can be defined in many different ways according to policy makers, legislation and members of society, and is often referred to as being a socially constructed concept. Members of society are considered to be living in either relative, absolute or subjective poverty. This assignment will consider the different viewpoints on the definition on poverty in society and ways in which is can be measured. </w:t>
      </w:r>
    </w:p>
    <w:p w14:paraId="3946AC41" w14:textId="58917F6C" w:rsidR="001E6A09" w:rsidRPr="001E6A09" w:rsidRDefault="001E6A09" w:rsidP="001E6A09">
      <w:pPr>
        <w:spacing w:after="0" w:line="360" w:lineRule="auto"/>
        <w:jc w:val="both"/>
        <w:rPr>
          <w:rFonts w:ascii="Times New Roman" w:hAnsi="Times New Roman" w:cs="Times New Roman"/>
          <w:sz w:val="24"/>
          <w:szCs w:val="24"/>
        </w:rPr>
      </w:pPr>
      <w:r w:rsidRPr="001E6A09">
        <w:rPr>
          <w:rFonts w:ascii="Times New Roman" w:hAnsi="Times New Roman" w:cs="Times New Roman"/>
          <w:sz w:val="24"/>
          <w:szCs w:val="24"/>
        </w:rPr>
        <w:t>Lister, (2004, p4) explains that there is a significant difference between the way poverty is defined and the way in which it is experienced by members in society stating that the concept is, ‘in essence… about the meanings of poverty—both to those who experience it and to different groups in society’  The first attempt at an evidence based estimate of poverty in the UK was conducted by  Booth (1897) who highlighted the extent of poverty throughout the UK by establishing the principle of the ‘poverty line,’, he referred to relative and absolute poverty during this time by stating;</w:t>
      </w:r>
    </w:p>
    <w:p w14:paraId="674B121A" w14:textId="77777777" w:rsidR="001E6A09" w:rsidRPr="001E6A09" w:rsidRDefault="001E6A09" w:rsidP="001E6A09">
      <w:pPr>
        <w:spacing w:after="0" w:line="240" w:lineRule="auto"/>
        <w:ind w:left="567" w:right="567"/>
        <w:jc w:val="both"/>
        <w:rPr>
          <w:rFonts w:ascii="Times New Roman" w:hAnsi="Times New Roman" w:cs="Times New Roman"/>
          <w:sz w:val="24"/>
          <w:szCs w:val="24"/>
        </w:rPr>
      </w:pPr>
      <w:r w:rsidRPr="001E6A09">
        <w:rPr>
          <w:rFonts w:ascii="Times New Roman" w:hAnsi="Times New Roman" w:cs="Times New Roman"/>
          <w:sz w:val="24"/>
          <w:szCs w:val="24"/>
        </w:rPr>
        <w:t xml:space="preserve">“By the word poor I mean to describe those who have a fairly regular though bare income, such as 18 shillings to 2 shillings per week for a moderate family, and by ‘very poor’ those who fall below this standard, whether from chronic irregularity of work, sickness or a large number of young children” (Booth talking to the Royal Statistical Society in 1887; quoted by Glennerster 2004). </w:t>
      </w:r>
    </w:p>
    <w:p w14:paraId="46025D24" w14:textId="77777777" w:rsidR="001E6A09" w:rsidRPr="001E6A09" w:rsidRDefault="001E6A09" w:rsidP="001E6A09">
      <w:pPr>
        <w:spacing w:after="0" w:line="360" w:lineRule="auto"/>
        <w:jc w:val="both"/>
        <w:rPr>
          <w:rFonts w:ascii="Times New Roman" w:hAnsi="Times New Roman" w:cs="Times New Roman"/>
          <w:sz w:val="24"/>
          <w:szCs w:val="24"/>
        </w:rPr>
      </w:pPr>
    </w:p>
    <w:p w14:paraId="63BC04EB" w14:textId="77777777" w:rsidR="001E6A09" w:rsidRPr="001E6A09" w:rsidRDefault="001E6A09" w:rsidP="001E6A09">
      <w:pPr>
        <w:spacing w:after="0" w:line="360" w:lineRule="auto"/>
        <w:jc w:val="both"/>
        <w:rPr>
          <w:rFonts w:ascii="Times New Roman" w:hAnsi="Times New Roman" w:cs="Times New Roman"/>
          <w:sz w:val="24"/>
          <w:szCs w:val="24"/>
        </w:rPr>
      </w:pPr>
      <w:r w:rsidRPr="001E6A09">
        <w:rPr>
          <w:rFonts w:ascii="Times New Roman" w:hAnsi="Times New Roman" w:cs="Times New Roman"/>
          <w:sz w:val="24"/>
          <w:szCs w:val="24"/>
        </w:rPr>
        <w:t>In contrast to Booths (1897, pp.147-148) definition of poverty which was primarily linked to the income of a household with ‘drink and thriftlessness’ considered as a main contributing factor, Gillie (1996, pp. 715–730) developed this definition further by exploring poverty in terms of health, the reasons behind substandard living and career opportunities.</w:t>
      </w:r>
    </w:p>
    <w:p w14:paraId="3F159937" w14:textId="468CE400" w:rsidR="001E6A09" w:rsidRPr="001E6A09" w:rsidRDefault="001E6A09" w:rsidP="001E6A09">
      <w:pPr>
        <w:spacing w:after="0" w:line="360" w:lineRule="auto"/>
        <w:jc w:val="both"/>
        <w:rPr>
          <w:rFonts w:ascii="Times New Roman" w:hAnsi="Times New Roman" w:cs="Times New Roman"/>
          <w:sz w:val="24"/>
          <w:szCs w:val="24"/>
        </w:rPr>
      </w:pPr>
      <w:r w:rsidRPr="001E6A09">
        <w:rPr>
          <w:rFonts w:ascii="Times New Roman" w:hAnsi="Times New Roman" w:cs="Times New Roman"/>
          <w:sz w:val="24"/>
          <w:szCs w:val="24"/>
        </w:rPr>
        <w:t xml:space="preserve">A ‘Visual Identification,’ approach conducted in an 1899 study of York by Seebohm Rowntree (1901) aimed to establish </w:t>
      </w:r>
      <w:r w:rsidR="00530F26">
        <w:rPr>
          <w:rFonts w:ascii="Times New Roman" w:hAnsi="Times New Roman" w:cs="Times New Roman"/>
          <w:sz w:val="24"/>
          <w:szCs w:val="24"/>
        </w:rPr>
        <w:t xml:space="preserve">if </w:t>
      </w:r>
      <w:r w:rsidRPr="001E6A09">
        <w:rPr>
          <w:rFonts w:ascii="Times New Roman" w:hAnsi="Times New Roman" w:cs="Times New Roman"/>
          <w:sz w:val="24"/>
          <w:szCs w:val="24"/>
        </w:rPr>
        <w:t xml:space="preserve">families were </w:t>
      </w:r>
      <w:r w:rsidR="00530F26">
        <w:rPr>
          <w:rFonts w:ascii="Times New Roman" w:hAnsi="Times New Roman" w:cs="Times New Roman"/>
          <w:sz w:val="24"/>
          <w:szCs w:val="24"/>
        </w:rPr>
        <w:t>surviving</w:t>
      </w:r>
      <w:r w:rsidRPr="001E6A09">
        <w:rPr>
          <w:rFonts w:ascii="Times New Roman" w:hAnsi="Times New Roman" w:cs="Times New Roman"/>
          <w:sz w:val="24"/>
          <w:szCs w:val="24"/>
        </w:rPr>
        <w:t xml:space="preserve"> in ‘obvious want and squalor,’ with household income not being the primary focus (Veit-Wilson, 1986, p.92). In similar fashion to Booth, Rowntree’s income-based poverty line was established after the </w:t>
      </w:r>
      <w:r w:rsidR="00530F26">
        <w:rPr>
          <w:rFonts w:ascii="Times New Roman" w:hAnsi="Times New Roman" w:cs="Times New Roman"/>
          <w:sz w:val="24"/>
          <w:szCs w:val="24"/>
        </w:rPr>
        <w:t>completion of the survey</w:t>
      </w:r>
      <w:r w:rsidRPr="001E6A09">
        <w:rPr>
          <w:rFonts w:ascii="Times New Roman" w:hAnsi="Times New Roman" w:cs="Times New Roman"/>
          <w:sz w:val="24"/>
          <w:szCs w:val="24"/>
        </w:rPr>
        <w:t xml:space="preserve">, and used as a dominant method of distinguishing between those who were living in primary and secondary poverty. Differentiating between those who </w:t>
      </w:r>
      <w:r w:rsidR="00530F26">
        <w:rPr>
          <w:rFonts w:ascii="Times New Roman" w:hAnsi="Times New Roman" w:cs="Times New Roman"/>
          <w:sz w:val="24"/>
          <w:szCs w:val="24"/>
        </w:rPr>
        <w:t xml:space="preserve">were able to </w:t>
      </w:r>
      <w:r w:rsidRPr="001E6A09">
        <w:rPr>
          <w:rFonts w:ascii="Times New Roman" w:hAnsi="Times New Roman" w:cs="Times New Roman"/>
          <w:sz w:val="24"/>
          <w:szCs w:val="24"/>
        </w:rPr>
        <w:t xml:space="preserve">afford necessities for their home and families and those who </w:t>
      </w:r>
      <w:r w:rsidR="00530F26">
        <w:rPr>
          <w:rFonts w:ascii="Times New Roman" w:hAnsi="Times New Roman" w:cs="Times New Roman"/>
          <w:sz w:val="24"/>
          <w:szCs w:val="24"/>
        </w:rPr>
        <w:t>were not able</w:t>
      </w:r>
      <w:r w:rsidRPr="001E6A09">
        <w:rPr>
          <w:rFonts w:ascii="Times New Roman" w:hAnsi="Times New Roman" w:cs="Times New Roman"/>
          <w:sz w:val="24"/>
          <w:szCs w:val="24"/>
        </w:rPr>
        <w:t xml:space="preserve">. The main focus being on the considered concept of primary poor, and the inability to afford that which would enable and maintain physical efficiency. This ‘subsistence standard’ definition and approach became </w:t>
      </w:r>
      <w:r w:rsidRPr="001E6A09">
        <w:rPr>
          <w:rFonts w:ascii="Times New Roman" w:hAnsi="Times New Roman" w:cs="Times New Roman"/>
          <w:sz w:val="24"/>
          <w:szCs w:val="24"/>
        </w:rPr>
        <w:lastRenderedPageBreak/>
        <w:t>widely used throughout society, by social scientists and then</w:t>
      </w:r>
      <w:r w:rsidR="00530F26">
        <w:rPr>
          <w:rFonts w:ascii="Times New Roman" w:hAnsi="Times New Roman" w:cs="Times New Roman"/>
          <w:sz w:val="24"/>
          <w:szCs w:val="24"/>
        </w:rPr>
        <w:t xml:space="preserve"> also</w:t>
      </w:r>
      <w:r w:rsidRPr="001E6A09">
        <w:rPr>
          <w:rFonts w:ascii="Times New Roman" w:hAnsi="Times New Roman" w:cs="Times New Roman"/>
          <w:sz w:val="24"/>
          <w:szCs w:val="24"/>
        </w:rPr>
        <w:t xml:space="preserve"> by </w:t>
      </w:r>
      <w:r w:rsidR="00530F26">
        <w:rPr>
          <w:rFonts w:ascii="Times New Roman" w:hAnsi="Times New Roman" w:cs="Times New Roman"/>
          <w:sz w:val="24"/>
          <w:szCs w:val="24"/>
        </w:rPr>
        <w:t xml:space="preserve">the </w:t>
      </w:r>
      <w:r w:rsidRPr="001E6A09">
        <w:rPr>
          <w:rFonts w:ascii="Times New Roman" w:hAnsi="Times New Roman" w:cs="Times New Roman"/>
          <w:sz w:val="24"/>
          <w:szCs w:val="24"/>
        </w:rPr>
        <w:t xml:space="preserve">government (Abel-Smith </w:t>
      </w:r>
      <w:r w:rsidRPr="001E6A09">
        <w:rPr>
          <w:rFonts w:ascii="Times New Roman" w:hAnsi="Times New Roman" w:cs="Times New Roman"/>
          <w:i/>
          <w:sz w:val="24"/>
          <w:szCs w:val="24"/>
        </w:rPr>
        <w:t>et al</w:t>
      </w:r>
      <w:r w:rsidRPr="001E6A09">
        <w:rPr>
          <w:rFonts w:ascii="Times New Roman" w:hAnsi="Times New Roman" w:cs="Times New Roman"/>
          <w:sz w:val="24"/>
          <w:szCs w:val="24"/>
        </w:rPr>
        <w:t xml:space="preserve">, 1965). Rowntree’s (1941) secondary survey, in 1936, </w:t>
      </w:r>
      <w:r w:rsidR="00530F26">
        <w:rPr>
          <w:rFonts w:ascii="Times New Roman" w:hAnsi="Times New Roman" w:cs="Times New Roman"/>
          <w:sz w:val="24"/>
          <w:szCs w:val="24"/>
        </w:rPr>
        <w:t>increased</w:t>
      </w:r>
      <w:r w:rsidRPr="001E6A09">
        <w:rPr>
          <w:rFonts w:ascii="Times New Roman" w:hAnsi="Times New Roman" w:cs="Times New Roman"/>
          <w:sz w:val="24"/>
          <w:szCs w:val="24"/>
        </w:rPr>
        <w:t xml:space="preserve"> the understanding of necessities to </w:t>
      </w:r>
      <w:r w:rsidR="00530F26">
        <w:rPr>
          <w:rFonts w:ascii="Times New Roman" w:hAnsi="Times New Roman" w:cs="Times New Roman"/>
          <w:sz w:val="24"/>
          <w:szCs w:val="24"/>
        </w:rPr>
        <w:t>consider</w:t>
      </w:r>
      <w:r w:rsidRPr="001E6A09">
        <w:rPr>
          <w:rFonts w:ascii="Times New Roman" w:hAnsi="Times New Roman" w:cs="Times New Roman"/>
          <w:sz w:val="24"/>
          <w:szCs w:val="24"/>
        </w:rPr>
        <w:t xml:space="preserve"> other needs, including more material affects, but the underlying concept of poverty as insufficient material resources to meet a persons or family’s needs, regardless of definition remained unchanged.</w:t>
      </w:r>
    </w:p>
    <w:p w14:paraId="3AA3B7C2" w14:textId="77777777" w:rsidR="001E6A09" w:rsidRPr="001E6A09" w:rsidRDefault="001E6A09" w:rsidP="001E6A09">
      <w:pPr>
        <w:spacing w:after="0" w:line="360" w:lineRule="auto"/>
        <w:jc w:val="both"/>
        <w:rPr>
          <w:rFonts w:ascii="Times New Roman" w:hAnsi="Times New Roman" w:cs="Times New Roman"/>
          <w:sz w:val="24"/>
          <w:szCs w:val="24"/>
        </w:rPr>
      </w:pPr>
    </w:p>
    <w:p w14:paraId="04FF694F" w14:textId="4EA5B679" w:rsidR="001E6A09" w:rsidRPr="001E6A09" w:rsidRDefault="001E6A09" w:rsidP="001E6A09">
      <w:pPr>
        <w:spacing w:after="0" w:line="360" w:lineRule="auto"/>
        <w:jc w:val="both"/>
        <w:rPr>
          <w:rFonts w:ascii="Times New Roman" w:hAnsi="Times New Roman" w:cs="Times New Roman"/>
          <w:sz w:val="24"/>
          <w:szCs w:val="24"/>
        </w:rPr>
      </w:pPr>
      <w:r w:rsidRPr="001E6A09">
        <w:rPr>
          <w:rFonts w:ascii="Times New Roman" w:hAnsi="Times New Roman" w:cs="Times New Roman"/>
          <w:sz w:val="24"/>
          <w:szCs w:val="24"/>
        </w:rPr>
        <w:t>After the contribution of Booth and Rowntree, the concept of poverty became widely accepted throughout society, although it is evident that even though the issue of poverty has been discussed in depth, there is no clear definition or means of understanding the concept. Abel-Smith and Townsend (1965) both raised the discussion that data surrounding income and expenditure provides a more accurate measure of the standards of living, but neglects that poverty is associated with inadequate material resources. In contrast to this view Hills (2004) and Alcock (2006) extended the discussion on poverty to ascertain alternative methods of understanding the definition and measurement of poverty, which include the concept of a lack in material resources. An extended critique of the official approach to measuring poverty and relative income was offered by Niemitz (2011) but even this critique does not question the opinion that poverty can be experienced though a lack of material resource, it could be argued therefore that the concept of poverty remains undefined.</w:t>
      </w:r>
      <w:r w:rsidR="00754A5C">
        <w:rPr>
          <w:rFonts w:ascii="Times New Roman" w:hAnsi="Times New Roman" w:cs="Times New Roman"/>
          <w:sz w:val="24"/>
          <w:szCs w:val="24"/>
        </w:rPr>
        <w:t xml:space="preserve"> </w:t>
      </w:r>
      <w:r w:rsidRPr="001E6A09">
        <w:rPr>
          <w:rFonts w:ascii="Times New Roman" w:hAnsi="Times New Roman" w:cs="Times New Roman"/>
          <w:sz w:val="24"/>
          <w:szCs w:val="24"/>
        </w:rPr>
        <w:t xml:space="preserve">Townsend (1979) provided an influential contribution by adopting a relative approach to </w:t>
      </w:r>
      <w:r w:rsidR="00530F26">
        <w:rPr>
          <w:rFonts w:ascii="Times New Roman" w:hAnsi="Times New Roman" w:cs="Times New Roman"/>
          <w:sz w:val="24"/>
          <w:szCs w:val="24"/>
        </w:rPr>
        <w:t>considering different types of</w:t>
      </w:r>
      <w:r w:rsidRPr="001E6A09">
        <w:rPr>
          <w:rFonts w:ascii="Times New Roman" w:hAnsi="Times New Roman" w:cs="Times New Roman"/>
          <w:sz w:val="24"/>
          <w:szCs w:val="24"/>
        </w:rPr>
        <w:t xml:space="preserve"> needs, </w:t>
      </w:r>
      <w:r w:rsidR="00530F26">
        <w:rPr>
          <w:rFonts w:ascii="Times New Roman" w:hAnsi="Times New Roman" w:cs="Times New Roman"/>
          <w:sz w:val="24"/>
          <w:szCs w:val="24"/>
        </w:rPr>
        <w:t>which</w:t>
      </w:r>
      <w:r w:rsidRPr="001E6A09">
        <w:rPr>
          <w:rFonts w:ascii="Times New Roman" w:hAnsi="Times New Roman" w:cs="Times New Roman"/>
          <w:sz w:val="24"/>
          <w:szCs w:val="24"/>
        </w:rPr>
        <w:t xml:space="preserve"> also called for a wider concept of ‘resources’ to replace ‘income’, (Townsend 1979 p.57)  defin</w:t>
      </w:r>
      <w:r w:rsidR="00530F26">
        <w:rPr>
          <w:rFonts w:ascii="Times New Roman" w:hAnsi="Times New Roman" w:cs="Times New Roman"/>
          <w:sz w:val="24"/>
          <w:szCs w:val="24"/>
        </w:rPr>
        <w:t>es</w:t>
      </w:r>
      <w:r w:rsidRPr="001E6A09">
        <w:rPr>
          <w:rFonts w:ascii="Times New Roman" w:hAnsi="Times New Roman" w:cs="Times New Roman"/>
          <w:sz w:val="24"/>
          <w:szCs w:val="24"/>
        </w:rPr>
        <w:t xml:space="preserve"> individuals and groups as living in povert</w:t>
      </w:r>
      <w:r w:rsidR="00530F26">
        <w:rPr>
          <w:rFonts w:ascii="Times New Roman" w:hAnsi="Times New Roman" w:cs="Times New Roman"/>
          <w:sz w:val="24"/>
          <w:szCs w:val="24"/>
        </w:rPr>
        <w:t>y,</w:t>
      </w:r>
      <w:r w:rsidRPr="001E6A09">
        <w:rPr>
          <w:rFonts w:ascii="Times New Roman" w:hAnsi="Times New Roman" w:cs="Times New Roman"/>
          <w:sz w:val="24"/>
          <w:szCs w:val="24"/>
        </w:rPr>
        <w:t xml:space="preserve"> </w:t>
      </w:r>
    </w:p>
    <w:p w14:paraId="5577B804" w14:textId="77777777" w:rsidR="001E6A09" w:rsidRPr="001E6A09" w:rsidRDefault="001E6A09" w:rsidP="001E6A09">
      <w:pPr>
        <w:spacing w:after="0" w:line="240" w:lineRule="auto"/>
        <w:ind w:left="567" w:right="567"/>
        <w:jc w:val="both"/>
        <w:rPr>
          <w:rFonts w:ascii="Times New Roman" w:hAnsi="Times New Roman" w:cs="Times New Roman"/>
          <w:sz w:val="24"/>
          <w:szCs w:val="24"/>
        </w:rPr>
      </w:pPr>
      <w:r w:rsidRPr="001E6A09">
        <w:rPr>
          <w:rFonts w:ascii="Times New Roman" w:hAnsi="Times New Roman" w:cs="Times New Roman"/>
          <w:sz w:val="24"/>
          <w:szCs w:val="24"/>
        </w:rPr>
        <w:t xml:space="preserve">‘when they lack the resources to obtain the types of diet, participate in the activities and have the living conditions and amenities which are customary… in the societies to which they belong’ (Townsend, 1979, p.31). </w:t>
      </w:r>
    </w:p>
    <w:p w14:paraId="6CDB53C2" w14:textId="77777777" w:rsidR="001E6A09" w:rsidRPr="001E6A09" w:rsidRDefault="001E6A09" w:rsidP="001E6A09">
      <w:pPr>
        <w:spacing w:after="0" w:line="360" w:lineRule="auto"/>
        <w:jc w:val="both"/>
        <w:rPr>
          <w:rFonts w:ascii="Times New Roman" w:hAnsi="Times New Roman" w:cs="Times New Roman"/>
          <w:sz w:val="24"/>
          <w:szCs w:val="24"/>
        </w:rPr>
      </w:pPr>
    </w:p>
    <w:p w14:paraId="35291F4E" w14:textId="5D22D454" w:rsidR="001E6A09" w:rsidRPr="001E6A09" w:rsidRDefault="001E6A09" w:rsidP="001E6A09">
      <w:pPr>
        <w:spacing w:after="0" w:line="360" w:lineRule="auto"/>
        <w:jc w:val="both"/>
        <w:rPr>
          <w:rFonts w:ascii="Times New Roman" w:hAnsi="Times New Roman" w:cs="Times New Roman"/>
          <w:sz w:val="24"/>
          <w:szCs w:val="24"/>
        </w:rPr>
      </w:pPr>
      <w:r w:rsidRPr="001E6A09">
        <w:rPr>
          <w:rFonts w:ascii="Times New Roman" w:hAnsi="Times New Roman" w:cs="Times New Roman"/>
          <w:sz w:val="24"/>
          <w:szCs w:val="24"/>
        </w:rPr>
        <w:t xml:space="preserve">Yet mostly what is considered under the heading of ‘resources’ are that of </w:t>
      </w:r>
      <w:r w:rsidR="00754A5C" w:rsidRPr="001E6A09">
        <w:rPr>
          <w:rFonts w:ascii="Times New Roman" w:hAnsi="Times New Roman" w:cs="Times New Roman"/>
          <w:sz w:val="24"/>
          <w:szCs w:val="24"/>
        </w:rPr>
        <w:t>a material</w:t>
      </w:r>
      <w:r w:rsidRPr="001E6A09">
        <w:rPr>
          <w:rFonts w:ascii="Times New Roman" w:hAnsi="Times New Roman" w:cs="Times New Roman"/>
          <w:sz w:val="24"/>
          <w:szCs w:val="24"/>
        </w:rPr>
        <w:t xml:space="preserve"> nature, including income, assets and home production. It is also considered by Townsend (1949) ‘the value of public social services’ (health and education), referencing that at a multidimensional approach is required, but at the time of publishing more research was required on this concept. In later work </w:t>
      </w:r>
      <w:r w:rsidR="00530F26">
        <w:rPr>
          <w:rFonts w:ascii="Times New Roman" w:hAnsi="Times New Roman" w:cs="Times New Roman"/>
          <w:sz w:val="24"/>
          <w:szCs w:val="24"/>
        </w:rPr>
        <w:t>there is a</w:t>
      </w:r>
      <w:r w:rsidRPr="001E6A09">
        <w:rPr>
          <w:rFonts w:ascii="Times New Roman" w:hAnsi="Times New Roman" w:cs="Times New Roman"/>
          <w:sz w:val="24"/>
          <w:szCs w:val="24"/>
        </w:rPr>
        <w:t xml:space="preserve"> clear</w:t>
      </w:r>
      <w:r w:rsidR="00530F26">
        <w:rPr>
          <w:rFonts w:ascii="Times New Roman" w:hAnsi="Times New Roman" w:cs="Times New Roman"/>
          <w:sz w:val="24"/>
          <w:szCs w:val="24"/>
        </w:rPr>
        <w:t xml:space="preserve"> difference</w:t>
      </w:r>
      <w:r w:rsidRPr="001E6A09">
        <w:rPr>
          <w:rFonts w:ascii="Times New Roman" w:hAnsi="Times New Roman" w:cs="Times New Roman"/>
          <w:sz w:val="24"/>
          <w:szCs w:val="24"/>
        </w:rPr>
        <w:t xml:space="preserve"> between concepts of poverty and the wider idea of deprivation, </w:t>
      </w:r>
      <w:r w:rsidR="00530F26">
        <w:rPr>
          <w:rFonts w:ascii="Times New Roman" w:hAnsi="Times New Roman" w:cs="Times New Roman"/>
          <w:sz w:val="24"/>
          <w:szCs w:val="24"/>
        </w:rPr>
        <w:t xml:space="preserve">which </w:t>
      </w:r>
      <w:r w:rsidRPr="001E6A09">
        <w:rPr>
          <w:rFonts w:ascii="Times New Roman" w:hAnsi="Times New Roman" w:cs="Times New Roman"/>
          <w:sz w:val="24"/>
          <w:szCs w:val="24"/>
        </w:rPr>
        <w:t>includ</w:t>
      </w:r>
      <w:r w:rsidR="00530F26">
        <w:rPr>
          <w:rFonts w:ascii="Times New Roman" w:hAnsi="Times New Roman" w:cs="Times New Roman"/>
          <w:sz w:val="24"/>
          <w:szCs w:val="24"/>
        </w:rPr>
        <w:t>es the</w:t>
      </w:r>
      <w:r w:rsidRPr="001E6A09">
        <w:rPr>
          <w:rFonts w:ascii="Times New Roman" w:hAnsi="Times New Roman" w:cs="Times New Roman"/>
          <w:sz w:val="24"/>
          <w:szCs w:val="24"/>
        </w:rPr>
        <w:t xml:space="preserve"> social deprivation (isolation, discrimination, lack of opportunities for education or employment),</w:t>
      </w:r>
      <w:r w:rsidR="00530F26">
        <w:rPr>
          <w:rFonts w:ascii="Times New Roman" w:hAnsi="Times New Roman" w:cs="Times New Roman"/>
          <w:sz w:val="24"/>
          <w:szCs w:val="24"/>
        </w:rPr>
        <w:t xml:space="preserve"> and</w:t>
      </w:r>
      <w:r w:rsidRPr="001E6A09">
        <w:rPr>
          <w:rFonts w:ascii="Times New Roman" w:hAnsi="Times New Roman" w:cs="Times New Roman"/>
          <w:sz w:val="24"/>
          <w:szCs w:val="24"/>
        </w:rPr>
        <w:t xml:space="preserve"> argu</w:t>
      </w:r>
      <w:r w:rsidR="00530F26">
        <w:rPr>
          <w:rFonts w:ascii="Times New Roman" w:hAnsi="Times New Roman" w:cs="Times New Roman"/>
          <w:sz w:val="24"/>
          <w:szCs w:val="24"/>
        </w:rPr>
        <w:t>es</w:t>
      </w:r>
      <w:r w:rsidRPr="001E6A09">
        <w:rPr>
          <w:rFonts w:ascii="Times New Roman" w:hAnsi="Times New Roman" w:cs="Times New Roman"/>
          <w:sz w:val="24"/>
          <w:szCs w:val="24"/>
        </w:rPr>
        <w:t xml:space="preserve"> that poverty (a lack of resources) is one of the factors that can lead to deprivation: “[Deprivation] turns on the level of conditions </w:t>
      </w:r>
      <w:r w:rsidRPr="001E6A09">
        <w:rPr>
          <w:rFonts w:ascii="Times New Roman" w:hAnsi="Times New Roman" w:cs="Times New Roman"/>
          <w:sz w:val="24"/>
          <w:szCs w:val="24"/>
        </w:rPr>
        <w:lastRenderedPageBreak/>
        <w:t>or activities experienced, [poverty] on the incomes and other resources directly available” (Townsend 1987, pp. 139–140).</w:t>
      </w:r>
    </w:p>
    <w:p w14:paraId="27489171" w14:textId="64E3E4B2" w:rsidR="001E6A09" w:rsidRPr="001E6A09" w:rsidRDefault="001E6A09" w:rsidP="001E6A09">
      <w:pPr>
        <w:spacing w:after="0" w:line="360" w:lineRule="auto"/>
        <w:jc w:val="both"/>
        <w:rPr>
          <w:rFonts w:ascii="Times New Roman" w:hAnsi="Times New Roman" w:cs="Times New Roman"/>
          <w:sz w:val="24"/>
          <w:szCs w:val="24"/>
        </w:rPr>
      </w:pPr>
      <w:r w:rsidRPr="001E6A09">
        <w:rPr>
          <w:rFonts w:ascii="Times New Roman" w:hAnsi="Times New Roman" w:cs="Times New Roman"/>
          <w:sz w:val="24"/>
          <w:szCs w:val="24"/>
        </w:rPr>
        <w:t>In conclusion, from a sociological standpoint</w:t>
      </w:r>
      <w:r>
        <w:rPr>
          <w:rFonts w:ascii="Times New Roman" w:hAnsi="Times New Roman" w:cs="Times New Roman"/>
          <w:sz w:val="24"/>
          <w:szCs w:val="24"/>
        </w:rPr>
        <w:t>,</w:t>
      </w:r>
      <w:r w:rsidR="00C16D43">
        <w:rPr>
          <w:rFonts w:ascii="Times New Roman" w:hAnsi="Times New Roman" w:cs="Times New Roman"/>
          <w:sz w:val="24"/>
          <w:szCs w:val="24"/>
        </w:rPr>
        <w:t xml:space="preserve"> it is evident that poverty within society is still difficult to define. However, when consideration is given to the different categories and levels of poverty, the concept becomes more understandable.</w:t>
      </w:r>
      <w:r w:rsidRPr="001E6A09">
        <w:rPr>
          <w:rFonts w:ascii="Times New Roman" w:hAnsi="Times New Roman" w:cs="Times New Roman"/>
          <w:sz w:val="24"/>
          <w:szCs w:val="24"/>
        </w:rPr>
        <w:t xml:space="preserve"> Browne (2016) explains that absolute poverty refers to the basic minimum requirements needed to maintain a healthy survival; such as food and shelter, whereas relative poverty refers to the societal standard of living at that time and social exclusion, whereas subjective poverty takes into consideration the thoughts and feeling of an individual feeling that they living in poverty. </w:t>
      </w:r>
    </w:p>
    <w:p w14:paraId="021D885D" w14:textId="2AFEA851" w:rsidR="00DA4806" w:rsidRPr="001E6A09" w:rsidRDefault="00DA4806" w:rsidP="006C05E0">
      <w:pPr>
        <w:spacing w:after="0" w:line="360" w:lineRule="auto"/>
        <w:rPr>
          <w:rFonts w:ascii="Times New Roman" w:hAnsi="Times New Roman" w:cs="Times New Roman"/>
          <w:b/>
          <w:sz w:val="24"/>
          <w:szCs w:val="24"/>
        </w:rPr>
      </w:pPr>
    </w:p>
    <w:p w14:paraId="45AC1343" w14:textId="77777777" w:rsidR="001E6A09" w:rsidRDefault="001E6A09" w:rsidP="001E6A09">
      <w:pPr>
        <w:spacing w:after="0" w:line="360" w:lineRule="auto"/>
        <w:rPr>
          <w:rFonts w:ascii="Times New Roman" w:hAnsi="Times New Roman" w:cs="Times New Roman"/>
          <w:b/>
          <w:sz w:val="24"/>
          <w:szCs w:val="24"/>
          <w:u w:val="single"/>
        </w:rPr>
      </w:pPr>
      <w:r w:rsidRPr="001E6A09">
        <w:rPr>
          <w:rFonts w:ascii="Times New Roman" w:hAnsi="Times New Roman" w:cs="Times New Roman"/>
          <w:b/>
          <w:sz w:val="24"/>
          <w:szCs w:val="24"/>
          <w:u w:val="single"/>
        </w:rPr>
        <w:t>Reference List</w:t>
      </w:r>
    </w:p>
    <w:p w14:paraId="756BC448" w14:textId="77777777" w:rsidR="001E6A09" w:rsidRPr="0084480B" w:rsidRDefault="001E6A09" w:rsidP="001E6A09">
      <w:pPr>
        <w:spacing w:after="0" w:line="360" w:lineRule="auto"/>
        <w:ind w:left="720" w:hanging="720"/>
        <w:rPr>
          <w:rFonts w:ascii="Times New Roman" w:hAnsi="Times New Roman" w:cs="Times New Roman"/>
          <w:sz w:val="24"/>
          <w:szCs w:val="24"/>
        </w:rPr>
      </w:pPr>
      <w:r w:rsidRPr="00E35FB0">
        <w:rPr>
          <w:rFonts w:ascii="Times New Roman" w:hAnsi="Times New Roman" w:cs="Times New Roman"/>
          <w:sz w:val="24"/>
          <w:szCs w:val="24"/>
        </w:rPr>
        <w:t>Abel-Smith, B &amp; Townsend, P (1965</w:t>
      </w:r>
      <w:r w:rsidRPr="00A11822">
        <w:rPr>
          <w:rFonts w:ascii="Times New Roman" w:hAnsi="Times New Roman" w:cs="Times New Roman"/>
          <w:sz w:val="24"/>
          <w:szCs w:val="24"/>
        </w:rPr>
        <w:t xml:space="preserve">). </w:t>
      </w:r>
      <w:r w:rsidRPr="00105117">
        <w:rPr>
          <w:rFonts w:ascii="Times New Roman" w:hAnsi="Times New Roman" w:cs="Times New Roman"/>
          <w:i/>
          <w:iCs/>
          <w:sz w:val="24"/>
          <w:szCs w:val="24"/>
        </w:rPr>
        <w:t>The Poor and the Poorest</w:t>
      </w:r>
      <w:r w:rsidRPr="00A11822">
        <w:rPr>
          <w:rFonts w:ascii="Times New Roman" w:hAnsi="Times New Roman" w:cs="Times New Roman"/>
          <w:i/>
          <w:sz w:val="24"/>
          <w:szCs w:val="24"/>
        </w:rPr>
        <w:t>.</w:t>
      </w:r>
      <w:r w:rsidRPr="00E35FB0">
        <w:rPr>
          <w:rFonts w:ascii="Times New Roman" w:hAnsi="Times New Roman" w:cs="Times New Roman"/>
          <w:sz w:val="24"/>
          <w:szCs w:val="24"/>
        </w:rPr>
        <w:t xml:space="preserve"> London: G Bell and Sons Ltd.</w:t>
      </w:r>
    </w:p>
    <w:p w14:paraId="42560148" w14:textId="77777777" w:rsidR="001E6A09" w:rsidRPr="0084480B" w:rsidRDefault="001E6A09" w:rsidP="001E6A09">
      <w:pPr>
        <w:spacing w:after="0" w:line="360" w:lineRule="auto"/>
        <w:ind w:left="720" w:hanging="720"/>
        <w:rPr>
          <w:rFonts w:ascii="Times New Roman" w:hAnsi="Times New Roman" w:cs="Times New Roman"/>
          <w:sz w:val="24"/>
          <w:szCs w:val="24"/>
        </w:rPr>
      </w:pPr>
      <w:r w:rsidRPr="0084480B">
        <w:rPr>
          <w:rFonts w:ascii="Times New Roman" w:hAnsi="Times New Roman" w:cs="Times New Roman"/>
          <w:sz w:val="24"/>
          <w:szCs w:val="24"/>
        </w:rPr>
        <w:t xml:space="preserve">Alcock, P. (2006). </w:t>
      </w:r>
      <w:r w:rsidRPr="00E35FB0">
        <w:rPr>
          <w:rFonts w:ascii="Times New Roman" w:hAnsi="Times New Roman" w:cs="Times New Roman"/>
          <w:i/>
          <w:sz w:val="24"/>
          <w:szCs w:val="24"/>
        </w:rPr>
        <w:t xml:space="preserve">Understanding </w:t>
      </w:r>
      <w:r>
        <w:rPr>
          <w:rFonts w:ascii="Times New Roman" w:hAnsi="Times New Roman" w:cs="Times New Roman"/>
          <w:i/>
          <w:sz w:val="24"/>
          <w:szCs w:val="24"/>
        </w:rPr>
        <w:t>P</w:t>
      </w:r>
      <w:r w:rsidRPr="00E35FB0">
        <w:rPr>
          <w:rFonts w:ascii="Times New Roman" w:hAnsi="Times New Roman" w:cs="Times New Roman"/>
          <w:i/>
          <w:sz w:val="24"/>
          <w:szCs w:val="24"/>
        </w:rPr>
        <w:t>overty</w:t>
      </w:r>
      <w:r w:rsidRPr="0084480B">
        <w:rPr>
          <w:rFonts w:ascii="Times New Roman" w:hAnsi="Times New Roman" w:cs="Times New Roman"/>
          <w:sz w:val="24"/>
          <w:szCs w:val="24"/>
        </w:rPr>
        <w:t>. Basingstoke: Palgrave Macmillan.</w:t>
      </w:r>
    </w:p>
    <w:p w14:paraId="787BFC32" w14:textId="77777777" w:rsidR="001E6A09" w:rsidRDefault="001E6A09" w:rsidP="001E6A09">
      <w:pPr>
        <w:spacing w:after="0" w:line="360" w:lineRule="auto"/>
        <w:ind w:left="720" w:hanging="720"/>
        <w:rPr>
          <w:rFonts w:ascii="Times New Roman" w:hAnsi="Times New Roman" w:cs="Times New Roman"/>
          <w:sz w:val="24"/>
          <w:szCs w:val="24"/>
        </w:rPr>
      </w:pPr>
      <w:r w:rsidRPr="0084480B">
        <w:rPr>
          <w:rFonts w:ascii="Times New Roman" w:hAnsi="Times New Roman" w:cs="Times New Roman"/>
          <w:sz w:val="24"/>
          <w:szCs w:val="24"/>
        </w:rPr>
        <w:t xml:space="preserve">Booth, C. (1897). </w:t>
      </w:r>
      <w:r w:rsidRPr="00E35FB0">
        <w:rPr>
          <w:rFonts w:ascii="Times New Roman" w:hAnsi="Times New Roman" w:cs="Times New Roman"/>
          <w:i/>
          <w:sz w:val="24"/>
          <w:szCs w:val="24"/>
        </w:rPr>
        <w:t>Life and Labour of the People in London, Ix: Comparisons, Survey and Conclusions</w:t>
      </w:r>
      <w:r w:rsidRPr="0084480B">
        <w:rPr>
          <w:rFonts w:ascii="Times New Roman" w:hAnsi="Times New Roman" w:cs="Times New Roman"/>
          <w:sz w:val="24"/>
          <w:szCs w:val="24"/>
        </w:rPr>
        <w:t>. Macmillan and Company</w:t>
      </w:r>
      <w:r>
        <w:rPr>
          <w:rFonts w:ascii="Times New Roman" w:hAnsi="Times New Roman" w:cs="Times New Roman"/>
          <w:sz w:val="24"/>
          <w:szCs w:val="24"/>
        </w:rPr>
        <w:t>.</w:t>
      </w:r>
      <w:r w:rsidRPr="00A20FCA">
        <w:rPr>
          <w:rFonts w:ascii="Times New Roman" w:hAnsi="Times New Roman" w:cs="Times New Roman"/>
          <w:sz w:val="24"/>
          <w:szCs w:val="24"/>
        </w:rPr>
        <w:t xml:space="preserve"> </w:t>
      </w:r>
      <w:r>
        <w:rPr>
          <w:rFonts w:ascii="Times New Roman" w:hAnsi="Times New Roman" w:cs="Times New Roman"/>
          <w:sz w:val="24"/>
          <w:szCs w:val="24"/>
        </w:rPr>
        <w:t>London.</w:t>
      </w:r>
    </w:p>
    <w:p w14:paraId="47871096" w14:textId="77777777" w:rsidR="001E6A09" w:rsidRDefault="001E6A09" w:rsidP="001E6A09">
      <w:pPr>
        <w:spacing w:after="30"/>
        <w:rPr>
          <w:rFonts w:ascii="Times New Roman" w:hAnsi="Times New Roman" w:cs="Times New Roman"/>
          <w:sz w:val="24"/>
          <w:szCs w:val="24"/>
          <w:lang w:val="en-US"/>
        </w:rPr>
      </w:pPr>
      <w:r w:rsidRPr="00885A0C">
        <w:rPr>
          <w:rFonts w:ascii="Times New Roman" w:hAnsi="Times New Roman" w:cs="Times New Roman"/>
          <w:sz w:val="24"/>
          <w:szCs w:val="24"/>
          <w:lang w:val="en-US"/>
        </w:rPr>
        <w:t>Browne, K. (201</w:t>
      </w:r>
      <w:r>
        <w:rPr>
          <w:rFonts w:ascii="Times New Roman" w:hAnsi="Times New Roman" w:cs="Times New Roman"/>
          <w:sz w:val="24"/>
          <w:szCs w:val="24"/>
          <w:lang w:val="en-US"/>
        </w:rPr>
        <w:t>6</w:t>
      </w:r>
      <w:r w:rsidRPr="00885A0C">
        <w:rPr>
          <w:rFonts w:ascii="Times New Roman" w:hAnsi="Times New Roman" w:cs="Times New Roman"/>
          <w:sz w:val="24"/>
          <w:szCs w:val="24"/>
          <w:lang w:val="en-US"/>
        </w:rPr>
        <w:t>)</w:t>
      </w:r>
      <w:r w:rsidRPr="00885A0C">
        <w:rPr>
          <w:rFonts w:ascii="Times New Roman" w:hAnsi="Times New Roman" w:cs="Times New Roman"/>
          <w:i/>
          <w:iCs/>
          <w:sz w:val="24"/>
          <w:szCs w:val="24"/>
          <w:lang w:val="en-US"/>
        </w:rPr>
        <w:t>. Sociology for AQA Volume 1, AS and 1</w:t>
      </w:r>
      <w:r w:rsidRPr="00885A0C">
        <w:rPr>
          <w:rFonts w:ascii="Times New Roman" w:hAnsi="Times New Roman" w:cs="Times New Roman"/>
          <w:i/>
          <w:iCs/>
          <w:sz w:val="24"/>
          <w:szCs w:val="24"/>
          <w:vertAlign w:val="superscript"/>
          <w:lang w:val="en-US"/>
        </w:rPr>
        <w:t>st</w:t>
      </w:r>
      <w:r w:rsidRPr="00885A0C">
        <w:rPr>
          <w:rFonts w:ascii="Times New Roman" w:hAnsi="Times New Roman" w:cs="Times New Roman"/>
          <w:i/>
          <w:iCs/>
          <w:sz w:val="24"/>
          <w:szCs w:val="24"/>
          <w:lang w:val="en-US"/>
        </w:rPr>
        <w:t xml:space="preserve"> Year A level. </w:t>
      </w:r>
      <w:r w:rsidRPr="00885A0C">
        <w:rPr>
          <w:rFonts w:ascii="Times New Roman" w:hAnsi="Times New Roman" w:cs="Times New Roman"/>
          <w:sz w:val="24"/>
          <w:szCs w:val="24"/>
          <w:lang w:val="en-US"/>
        </w:rPr>
        <w:t>Cambridge; Polity Press</w:t>
      </w:r>
    </w:p>
    <w:p w14:paraId="23941F3D" w14:textId="77777777" w:rsidR="001E6A09" w:rsidRPr="0084480B" w:rsidRDefault="001E6A09" w:rsidP="001E6A09">
      <w:pPr>
        <w:spacing w:after="0" w:line="360" w:lineRule="auto"/>
        <w:ind w:left="720" w:hanging="720"/>
        <w:rPr>
          <w:rFonts w:ascii="Times New Roman" w:hAnsi="Times New Roman" w:cs="Times New Roman"/>
          <w:sz w:val="24"/>
          <w:szCs w:val="24"/>
        </w:rPr>
      </w:pPr>
    </w:p>
    <w:p w14:paraId="047F2B59" w14:textId="77777777" w:rsidR="001E6A09" w:rsidRPr="00E35FB0" w:rsidRDefault="001E6A09" w:rsidP="001E6A09">
      <w:pPr>
        <w:spacing w:after="0" w:line="360" w:lineRule="auto"/>
        <w:ind w:left="720" w:hanging="720"/>
        <w:rPr>
          <w:rFonts w:ascii="Times New Roman" w:hAnsi="Times New Roman" w:cs="Times New Roman"/>
          <w:sz w:val="24"/>
          <w:szCs w:val="24"/>
        </w:rPr>
      </w:pPr>
      <w:r w:rsidRPr="0084480B">
        <w:rPr>
          <w:rFonts w:ascii="Times New Roman" w:hAnsi="Times New Roman" w:cs="Times New Roman"/>
          <w:sz w:val="24"/>
          <w:szCs w:val="24"/>
        </w:rPr>
        <w:t xml:space="preserve">Gillie, A. (1996). </w:t>
      </w:r>
      <w:r w:rsidRPr="00105117">
        <w:rPr>
          <w:rFonts w:ascii="Times New Roman" w:hAnsi="Times New Roman" w:cs="Times New Roman"/>
          <w:i/>
          <w:iCs/>
          <w:sz w:val="24"/>
          <w:szCs w:val="24"/>
        </w:rPr>
        <w:t>‘The Origin of the Poverty Line’, The Economic History Review</w:t>
      </w:r>
      <w:r w:rsidRPr="0084480B">
        <w:rPr>
          <w:rFonts w:ascii="Times New Roman" w:hAnsi="Times New Roman" w:cs="Times New Roman"/>
          <w:sz w:val="24"/>
          <w:szCs w:val="24"/>
        </w:rPr>
        <w:t xml:space="preserve">, 49(4), </w:t>
      </w:r>
      <w:r>
        <w:rPr>
          <w:rFonts w:ascii="Times New Roman" w:hAnsi="Times New Roman" w:cs="Times New Roman"/>
          <w:sz w:val="24"/>
          <w:szCs w:val="24"/>
        </w:rPr>
        <w:t xml:space="preserve">pp. </w:t>
      </w:r>
      <w:r w:rsidRPr="00E35FB0">
        <w:rPr>
          <w:rFonts w:ascii="Times New Roman" w:hAnsi="Times New Roman" w:cs="Times New Roman"/>
          <w:sz w:val="24"/>
          <w:szCs w:val="24"/>
        </w:rPr>
        <w:t>715–730.</w:t>
      </w:r>
    </w:p>
    <w:p w14:paraId="1DAEB40D" w14:textId="77777777" w:rsidR="001E6A09" w:rsidRPr="0084480B" w:rsidRDefault="001E6A09" w:rsidP="001E6A09">
      <w:pPr>
        <w:spacing w:after="0" w:line="360" w:lineRule="auto"/>
        <w:ind w:left="720" w:hanging="720"/>
        <w:rPr>
          <w:rFonts w:ascii="Times New Roman" w:hAnsi="Times New Roman" w:cs="Times New Roman"/>
          <w:sz w:val="24"/>
          <w:szCs w:val="24"/>
        </w:rPr>
      </w:pPr>
      <w:r w:rsidRPr="00E35FB0">
        <w:rPr>
          <w:rFonts w:ascii="Times New Roman" w:hAnsi="Times New Roman" w:cs="Times New Roman"/>
          <w:sz w:val="24"/>
          <w:szCs w:val="24"/>
        </w:rPr>
        <w:t>Glennerster, H. (2004). ‘</w:t>
      </w:r>
      <w:r w:rsidRPr="001E6A09">
        <w:rPr>
          <w:rFonts w:ascii="Times New Roman" w:hAnsi="Times New Roman" w:cs="Times New Roman"/>
          <w:i/>
          <w:iCs/>
          <w:sz w:val="24"/>
          <w:szCs w:val="24"/>
        </w:rPr>
        <w:t>The Context for Rowntree’s Contribution’</w:t>
      </w:r>
      <w:r w:rsidRPr="00E35FB0">
        <w:rPr>
          <w:rFonts w:ascii="Times New Roman" w:hAnsi="Times New Roman" w:cs="Times New Roman"/>
          <w:sz w:val="24"/>
          <w:szCs w:val="24"/>
        </w:rPr>
        <w:t>. In H. Glennerster, J. Hills, D. Piachaud, &amp; J. Webb (Eds.),</w:t>
      </w:r>
      <w:r>
        <w:rPr>
          <w:rFonts w:ascii="Times New Roman" w:hAnsi="Times New Roman" w:cs="Times New Roman"/>
          <w:sz w:val="24"/>
          <w:szCs w:val="24"/>
        </w:rPr>
        <w:t xml:space="preserve"> (2004)</w:t>
      </w:r>
      <w:r w:rsidRPr="00E35FB0">
        <w:rPr>
          <w:rFonts w:ascii="Times New Roman" w:hAnsi="Times New Roman" w:cs="Times New Roman"/>
          <w:sz w:val="24"/>
          <w:szCs w:val="24"/>
        </w:rPr>
        <w:t xml:space="preserve"> </w:t>
      </w:r>
      <w:r w:rsidRPr="00E35FB0">
        <w:rPr>
          <w:rFonts w:ascii="Times New Roman" w:hAnsi="Times New Roman" w:cs="Times New Roman"/>
          <w:i/>
          <w:sz w:val="24"/>
          <w:szCs w:val="24"/>
        </w:rPr>
        <w:t>One Hundred Years of Poverty and Policy</w:t>
      </w:r>
      <w:r w:rsidRPr="00E35FB0">
        <w:rPr>
          <w:rFonts w:ascii="Times New Roman" w:hAnsi="Times New Roman" w:cs="Times New Roman"/>
          <w:sz w:val="24"/>
          <w:szCs w:val="24"/>
        </w:rPr>
        <w:t>. York: Joseph Rowntree Foundation.</w:t>
      </w:r>
    </w:p>
    <w:p w14:paraId="523E0B79" w14:textId="77777777" w:rsidR="001E6A09" w:rsidRPr="0084480B" w:rsidRDefault="001E6A09" w:rsidP="001E6A09">
      <w:pPr>
        <w:spacing w:after="0" w:line="360" w:lineRule="auto"/>
        <w:ind w:left="720" w:hanging="720"/>
        <w:rPr>
          <w:rFonts w:ascii="Times New Roman" w:hAnsi="Times New Roman" w:cs="Times New Roman"/>
          <w:sz w:val="24"/>
          <w:szCs w:val="24"/>
        </w:rPr>
      </w:pPr>
      <w:r w:rsidRPr="0084480B">
        <w:rPr>
          <w:rFonts w:ascii="Times New Roman" w:hAnsi="Times New Roman" w:cs="Times New Roman"/>
          <w:sz w:val="24"/>
          <w:szCs w:val="24"/>
        </w:rPr>
        <w:t xml:space="preserve">Hills, J. (2004). </w:t>
      </w:r>
      <w:r w:rsidRPr="00E35FB0">
        <w:rPr>
          <w:rFonts w:ascii="Times New Roman" w:hAnsi="Times New Roman" w:cs="Times New Roman"/>
          <w:i/>
          <w:sz w:val="24"/>
          <w:szCs w:val="24"/>
        </w:rPr>
        <w:t>Inequality and the State</w:t>
      </w:r>
      <w:r>
        <w:rPr>
          <w:rFonts w:ascii="Times New Roman" w:hAnsi="Times New Roman" w:cs="Times New Roman"/>
          <w:sz w:val="24"/>
          <w:szCs w:val="24"/>
        </w:rPr>
        <w:t>;</w:t>
      </w:r>
      <w:r w:rsidRPr="0084480B">
        <w:rPr>
          <w:rFonts w:ascii="Times New Roman" w:hAnsi="Times New Roman" w:cs="Times New Roman"/>
          <w:sz w:val="24"/>
          <w:szCs w:val="24"/>
        </w:rPr>
        <w:t xml:space="preserve"> Oxford University Press</w:t>
      </w:r>
      <w:r>
        <w:rPr>
          <w:rFonts w:ascii="Times New Roman" w:hAnsi="Times New Roman" w:cs="Times New Roman"/>
          <w:sz w:val="24"/>
          <w:szCs w:val="24"/>
        </w:rPr>
        <w:t>.</w:t>
      </w:r>
      <w:r w:rsidRPr="00A20FCA">
        <w:rPr>
          <w:rFonts w:ascii="Times New Roman" w:hAnsi="Times New Roman" w:cs="Times New Roman"/>
          <w:sz w:val="24"/>
          <w:szCs w:val="24"/>
        </w:rPr>
        <w:t xml:space="preserve"> </w:t>
      </w:r>
      <w:r>
        <w:rPr>
          <w:rFonts w:ascii="Times New Roman" w:hAnsi="Times New Roman" w:cs="Times New Roman"/>
          <w:sz w:val="24"/>
          <w:szCs w:val="24"/>
        </w:rPr>
        <w:t>Oxford.</w:t>
      </w:r>
    </w:p>
    <w:p w14:paraId="314AF600" w14:textId="77777777" w:rsidR="001E6A09" w:rsidRDefault="001E6A09" w:rsidP="001E6A09">
      <w:pPr>
        <w:spacing w:after="0" w:line="360" w:lineRule="auto"/>
        <w:ind w:left="720" w:hanging="720"/>
        <w:rPr>
          <w:rFonts w:ascii="Times New Roman" w:hAnsi="Times New Roman" w:cs="Times New Roman"/>
          <w:sz w:val="24"/>
          <w:szCs w:val="24"/>
        </w:rPr>
      </w:pPr>
      <w:r w:rsidRPr="0084480B">
        <w:rPr>
          <w:rFonts w:ascii="Times New Roman" w:hAnsi="Times New Roman" w:cs="Times New Roman"/>
          <w:sz w:val="24"/>
          <w:szCs w:val="24"/>
        </w:rPr>
        <w:t xml:space="preserve">Lister, R. (2004). </w:t>
      </w:r>
      <w:r w:rsidRPr="00E35FB0">
        <w:rPr>
          <w:rFonts w:ascii="Times New Roman" w:hAnsi="Times New Roman" w:cs="Times New Roman"/>
          <w:i/>
          <w:sz w:val="24"/>
          <w:szCs w:val="24"/>
        </w:rPr>
        <w:t>Poverty</w:t>
      </w:r>
      <w:r w:rsidRPr="0084480B">
        <w:rPr>
          <w:rFonts w:ascii="Times New Roman" w:hAnsi="Times New Roman" w:cs="Times New Roman"/>
          <w:sz w:val="24"/>
          <w:szCs w:val="24"/>
        </w:rPr>
        <w:t xml:space="preserve">. Cambridge: Polity Press. </w:t>
      </w:r>
    </w:p>
    <w:p w14:paraId="23CC3E0F" w14:textId="77777777" w:rsidR="001E6A09" w:rsidRPr="0084480B" w:rsidRDefault="001E6A09" w:rsidP="001E6A09">
      <w:pPr>
        <w:spacing w:after="0" w:line="360" w:lineRule="auto"/>
        <w:ind w:left="720" w:hanging="720"/>
        <w:rPr>
          <w:rFonts w:ascii="Times New Roman" w:hAnsi="Times New Roman" w:cs="Times New Roman"/>
          <w:sz w:val="24"/>
          <w:szCs w:val="24"/>
        </w:rPr>
      </w:pPr>
      <w:r w:rsidRPr="0084480B">
        <w:rPr>
          <w:rFonts w:ascii="Times New Roman" w:hAnsi="Times New Roman" w:cs="Times New Roman"/>
          <w:sz w:val="24"/>
          <w:szCs w:val="24"/>
        </w:rPr>
        <w:t xml:space="preserve">Niemietz, K. (2011). </w:t>
      </w:r>
      <w:r w:rsidRPr="001E6A09">
        <w:rPr>
          <w:rFonts w:ascii="Times New Roman" w:hAnsi="Times New Roman" w:cs="Times New Roman"/>
          <w:i/>
          <w:iCs/>
          <w:sz w:val="24"/>
          <w:szCs w:val="24"/>
        </w:rPr>
        <w:t>‘A New Understanding of Poverty’</w:t>
      </w:r>
      <w:r>
        <w:rPr>
          <w:rFonts w:ascii="Times New Roman" w:hAnsi="Times New Roman" w:cs="Times New Roman"/>
          <w:sz w:val="24"/>
          <w:szCs w:val="24"/>
        </w:rPr>
        <w:t>;</w:t>
      </w:r>
      <w:r w:rsidRPr="0084480B">
        <w:rPr>
          <w:rFonts w:ascii="Times New Roman" w:hAnsi="Times New Roman" w:cs="Times New Roman"/>
          <w:sz w:val="24"/>
          <w:szCs w:val="24"/>
        </w:rPr>
        <w:t xml:space="preserve"> London: The Institute of Economic Affairs</w:t>
      </w:r>
      <w:r>
        <w:rPr>
          <w:rFonts w:ascii="Times New Roman" w:hAnsi="Times New Roman" w:cs="Times New Roman"/>
          <w:sz w:val="24"/>
          <w:szCs w:val="24"/>
        </w:rPr>
        <w:t>.</w:t>
      </w:r>
    </w:p>
    <w:p w14:paraId="6D759A0A" w14:textId="77777777" w:rsidR="001E6A09" w:rsidRPr="0084480B" w:rsidRDefault="001E6A09" w:rsidP="001E6A09">
      <w:pPr>
        <w:spacing w:after="0" w:line="360" w:lineRule="auto"/>
        <w:ind w:left="720" w:hanging="720"/>
        <w:rPr>
          <w:rFonts w:ascii="Times New Roman" w:hAnsi="Times New Roman" w:cs="Times New Roman"/>
          <w:sz w:val="24"/>
          <w:szCs w:val="24"/>
        </w:rPr>
      </w:pPr>
      <w:r w:rsidRPr="0084480B">
        <w:rPr>
          <w:rFonts w:ascii="Times New Roman" w:hAnsi="Times New Roman" w:cs="Times New Roman"/>
          <w:sz w:val="24"/>
          <w:szCs w:val="24"/>
        </w:rPr>
        <w:t xml:space="preserve">Rowntree, B. S. (1901). </w:t>
      </w:r>
      <w:r w:rsidRPr="00E35FB0">
        <w:rPr>
          <w:rFonts w:ascii="Times New Roman" w:hAnsi="Times New Roman" w:cs="Times New Roman"/>
          <w:i/>
          <w:sz w:val="24"/>
          <w:szCs w:val="24"/>
        </w:rPr>
        <w:t>Poverty: A Study of Town Life</w:t>
      </w:r>
      <w:r w:rsidRPr="0084480B">
        <w:rPr>
          <w:rFonts w:ascii="Times New Roman" w:hAnsi="Times New Roman" w:cs="Times New Roman"/>
          <w:sz w:val="24"/>
          <w:szCs w:val="24"/>
        </w:rPr>
        <w:t>. London: Macmillan.</w:t>
      </w:r>
    </w:p>
    <w:p w14:paraId="53A3749B" w14:textId="77777777" w:rsidR="001E6A09" w:rsidRPr="0084480B" w:rsidRDefault="001E6A09" w:rsidP="001E6A09">
      <w:pPr>
        <w:spacing w:after="0" w:line="360" w:lineRule="auto"/>
        <w:ind w:left="720" w:hanging="720"/>
        <w:rPr>
          <w:rFonts w:ascii="Times New Roman" w:hAnsi="Times New Roman" w:cs="Times New Roman"/>
          <w:sz w:val="24"/>
          <w:szCs w:val="24"/>
        </w:rPr>
      </w:pPr>
      <w:r w:rsidRPr="0084480B">
        <w:rPr>
          <w:rFonts w:ascii="Times New Roman" w:hAnsi="Times New Roman" w:cs="Times New Roman"/>
          <w:sz w:val="24"/>
          <w:szCs w:val="24"/>
        </w:rPr>
        <w:t xml:space="preserve">Townsend, P. (1979). </w:t>
      </w:r>
      <w:r w:rsidRPr="00E35FB0">
        <w:rPr>
          <w:rFonts w:ascii="Times New Roman" w:hAnsi="Times New Roman" w:cs="Times New Roman"/>
          <w:i/>
          <w:sz w:val="24"/>
          <w:szCs w:val="24"/>
        </w:rPr>
        <w:t>Poverty in the United Kingdom</w:t>
      </w:r>
      <w:r w:rsidRPr="0084480B">
        <w:rPr>
          <w:rFonts w:ascii="Times New Roman" w:hAnsi="Times New Roman" w:cs="Times New Roman"/>
          <w:sz w:val="24"/>
          <w:szCs w:val="24"/>
        </w:rPr>
        <w:t>. Berkeley: University of California Press.</w:t>
      </w:r>
    </w:p>
    <w:p w14:paraId="40BD4BA1" w14:textId="77777777" w:rsidR="001E6A09" w:rsidRPr="0084480B" w:rsidRDefault="001E6A09" w:rsidP="001E6A09">
      <w:pPr>
        <w:spacing w:after="0" w:line="360" w:lineRule="auto"/>
        <w:ind w:left="720" w:hanging="720"/>
        <w:rPr>
          <w:rFonts w:ascii="Times New Roman" w:hAnsi="Times New Roman" w:cs="Times New Roman"/>
          <w:sz w:val="24"/>
          <w:szCs w:val="24"/>
        </w:rPr>
      </w:pPr>
      <w:r w:rsidRPr="0084480B">
        <w:rPr>
          <w:rFonts w:ascii="Times New Roman" w:hAnsi="Times New Roman" w:cs="Times New Roman"/>
          <w:sz w:val="24"/>
          <w:szCs w:val="24"/>
        </w:rPr>
        <w:t xml:space="preserve">Townsend, P. (1987). </w:t>
      </w:r>
      <w:r w:rsidRPr="00A20FCA">
        <w:rPr>
          <w:rFonts w:ascii="Times New Roman" w:hAnsi="Times New Roman" w:cs="Times New Roman"/>
          <w:i/>
          <w:sz w:val="24"/>
          <w:szCs w:val="24"/>
        </w:rPr>
        <w:t>Deprivation</w:t>
      </w:r>
      <w:r>
        <w:rPr>
          <w:rFonts w:ascii="Times New Roman" w:hAnsi="Times New Roman" w:cs="Times New Roman"/>
          <w:sz w:val="24"/>
          <w:szCs w:val="24"/>
        </w:rPr>
        <w:t>,</w:t>
      </w:r>
      <w:r w:rsidRPr="0084480B">
        <w:rPr>
          <w:rFonts w:ascii="Times New Roman" w:hAnsi="Times New Roman" w:cs="Times New Roman"/>
          <w:sz w:val="24"/>
          <w:szCs w:val="24"/>
        </w:rPr>
        <w:t xml:space="preserve"> </w:t>
      </w:r>
      <w:r w:rsidRPr="00A20FCA">
        <w:rPr>
          <w:rFonts w:ascii="Times New Roman" w:hAnsi="Times New Roman" w:cs="Times New Roman"/>
          <w:sz w:val="24"/>
          <w:szCs w:val="24"/>
        </w:rPr>
        <w:t>Journal of Social Policy</w:t>
      </w:r>
      <w:r w:rsidRPr="0084480B">
        <w:rPr>
          <w:rFonts w:ascii="Times New Roman" w:hAnsi="Times New Roman" w:cs="Times New Roman"/>
          <w:sz w:val="24"/>
          <w:szCs w:val="24"/>
        </w:rPr>
        <w:t xml:space="preserve">, 15(2), </w:t>
      </w:r>
      <w:r>
        <w:rPr>
          <w:rFonts w:ascii="Times New Roman" w:hAnsi="Times New Roman" w:cs="Times New Roman"/>
          <w:sz w:val="24"/>
          <w:szCs w:val="24"/>
        </w:rPr>
        <w:t xml:space="preserve">pp. </w:t>
      </w:r>
      <w:r w:rsidRPr="0084480B">
        <w:rPr>
          <w:rFonts w:ascii="Times New Roman" w:hAnsi="Times New Roman" w:cs="Times New Roman"/>
          <w:sz w:val="24"/>
          <w:szCs w:val="24"/>
        </w:rPr>
        <w:t>125–146</w:t>
      </w:r>
      <w:r>
        <w:rPr>
          <w:rFonts w:ascii="Times New Roman" w:hAnsi="Times New Roman" w:cs="Times New Roman"/>
          <w:sz w:val="24"/>
          <w:szCs w:val="24"/>
        </w:rPr>
        <w:t>.</w:t>
      </w:r>
    </w:p>
    <w:p w14:paraId="390B39DA" w14:textId="77777777" w:rsidR="001E6A09" w:rsidRPr="0084480B" w:rsidRDefault="001E6A09" w:rsidP="001E6A09">
      <w:pPr>
        <w:spacing w:after="0" w:line="360" w:lineRule="auto"/>
        <w:ind w:left="720" w:hanging="720"/>
        <w:rPr>
          <w:rFonts w:ascii="Times New Roman" w:hAnsi="Times New Roman" w:cs="Times New Roman"/>
          <w:sz w:val="24"/>
          <w:szCs w:val="24"/>
        </w:rPr>
      </w:pPr>
      <w:r w:rsidRPr="0084480B">
        <w:rPr>
          <w:rFonts w:ascii="Times New Roman" w:hAnsi="Times New Roman" w:cs="Times New Roman"/>
          <w:sz w:val="24"/>
          <w:szCs w:val="24"/>
        </w:rPr>
        <w:lastRenderedPageBreak/>
        <w:t xml:space="preserve">Veit-Wilson, J. (1986). </w:t>
      </w:r>
      <w:r w:rsidRPr="001E6A09">
        <w:rPr>
          <w:rFonts w:ascii="Times New Roman" w:hAnsi="Times New Roman" w:cs="Times New Roman"/>
          <w:i/>
          <w:iCs/>
          <w:sz w:val="24"/>
          <w:szCs w:val="24"/>
        </w:rPr>
        <w:t>‘Paradigms of Poverty: A Rehabilitation of B S Rowntree’</w:t>
      </w:r>
      <w:r>
        <w:rPr>
          <w:rFonts w:ascii="Times New Roman" w:hAnsi="Times New Roman" w:cs="Times New Roman"/>
          <w:sz w:val="24"/>
          <w:szCs w:val="24"/>
        </w:rPr>
        <w:t>,</w:t>
      </w:r>
      <w:r w:rsidRPr="0084480B">
        <w:rPr>
          <w:rFonts w:ascii="Times New Roman" w:hAnsi="Times New Roman" w:cs="Times New Roman"/>
          <w:sz w:val="24"/>
          <w:szCs w:val="24"/>
        </w:rPr>
        <w:t xml:space="preserve"> </w:t>
      </w:r>
      <w:r w:rsidRPr="00A20FCA">
        <w:rPr>
          <w:rFonts w:ascii="Times New Roman" w:hAnsi="Times New Roman" w:cs="Times New Roman"/>
          <w:sz w:val="24"/>
          <w:szCs w:val="24"/>
        </w:rPr>
        <w:t>Journal of Social Policy</w:t>
      </w:r>
      <w:r w:rsidRPr="0084480B">
        <w:rPr>
          <w:rFonts w:ascii="Times New Roman" w:hAnsi="Times New Roman" w:cs="Times New Roman"/>
          <w:sz w:val="24"/>
          <w:szCs w:val="24"/>
        </w:rPr>
        <w:t xml:space="preserve">, 15(1), </w:t>
      </w:r>
      <w:r>
        <w:rPr>
          <w:rFonts w:ascii="Times New Roman" w:hAnsi="Times New Roman" w:cs="Times New Roman"/>
          <w:sz w:val="24"/>
          <w:szCs w:val="24"/>
        </w:rPr>
        <w:t xml:space="preserve">pp. </w:t>
      </w:r>
      <w:r w:rsidRPr="0084480B">
        <w:rPr>
          <w:rFonts w:ascii="Times New Roman" w:hAnsi="Times New Roman" w:cs="Times New Roman"/>
          <w:sz w:val="24"/>
          <w:szCs w:val="24"/>
        </w:rPr>
        <w:t>69–99.</w:t>
      </w:r>
    </w:p>
    <w:p w14:paraId="42050292" w14:textId="77777777" w:rsidR="00B578BE" w:rsidRPr="001E6A09" w:rsidRDefault="00B578BE" w:rsidP="00E569C2">
      <w:pPr>
        <w:spacing w:after="0" w:line="360" w:lineRule="auto"/>
        <w:ind w:left="720" w:hanging="720"/>
        <w:rPr>
          <w:rFonts w:ascii="Times New Roman" w:hAnsi="Times New Roman" w:cs="Times New Roman"/>
          <w:sz w:val="24"/>
          <w:szCs w:val="24"/>
        </w:rPr>
      </w:pPr>
    </w:p>
    <w:p w14:paraId="0229ECB0" w14:textId="7DD82545" w:rsidR="00B578BE" w:rsidRPr="001E6A09" w:rsidRDefault="00B578BE" w:rsidP="00530F26">
      <w:pPr>
        <w:rPr>
          <w:rFonts w:ascii="Times New Roman" w:hAnsi="Times New Roman" w:cs="Times New Roman"/>
          <w:i/>
          <w:sz w:val="24"/>
          <w:szCs w:val="24"/>
        </w:rPr>
      </w:pPr>
      <w:r w:rsidRPr="001E6A09">
        <w:rPr>
          <w:rFonts w:ascii="Times New Roman" w:hAnsi="Times New Roman" w:cs="Times New Roman"/>
          <w:i/>
          <w:sz w:val="24"/>
          <w:szCs w:val="24"/>
        </w:rPr>
        <w:t xml:space="preserve">Part 2 – Use the academic article provided to write a 500 words academic </w:t>
      </w:r>
      <w:r w:rsidR="00932BDD">
        <w:rPr>
          <w:rFonts w:ascii="Times New Roman" w:hAnsi="Times New Roman" w:cs="Times New Roman"/>
          <w:i/>
          <w:sz w:val="24"/>
          <w:szCs w:val="24"/>
        </w:rPr>
        <w:t xml:space="preserve"> </w:t>
      </w:r>
    </w:p>
    <w:p w14:paraId="1D69DB08" w14:textId="77777777" w:rsidR="00B578BE" w:rsidRPr="001E6A09" w:rsidRDefault="00B578BE" w:rsidP="00B578BE">
      <w:pPr>
        <w:spacing w:after="0" w:line="240" w:lineRule="auto"/>
        <w:jc w:val="center"/>
        <w:rPr>
          <w:rFonts w:ascii="Times New Roman" w:hAnsi="Times New Roman" w:cs="Times New Roman"/>
          <w:i/>
          <w:sz w:val="24"/>
          <w:szCs w:val="24"/>
        </w:rPr>
      </w:pPr>
      <w:r w:rsidRPr="001E6A09">
        <w:rPr>
          <w:rFonts w:ascii="Times New Roman" w:hAnsi="Times New Roman" w:cs="Times New Roman"/>
          <w:i/>
          <w:sz w:val="24"/>
          <w:szCs w:val="24"/>
        </w:rPr>
        <w:t>piece, correctly referenced and in an appropriate academic style.</w:t>
      </w:r>
    </w:p>
    <w:p w14:paraId="6D1A3045" w14:textId="77777777" w:rsidR="001E6A09" w:rsidRPr="00BB4979" w:rsidRDefault="001E6A09" w:rsidP="00B578BE">
      <w:pPr>
        <w:spacing w:after="0" w:line="360" w:lineRule="auto"/>
        <w:rPr>
          <w:rFonts w:ascii="Times New Roman" w:hAnsi="Times New Roman" w:cs="Times New Roman"/>
          <w:i/>
          <w:sz w:val="24"/>
          <w:szCs w:val="24"/>
        </w:rPr>
      </w:pPr>
    </w:p>
    <w:p w14:paraId="2AACE67E" w14:textId="78B09DA2" w:rsidR="00B578BE" w:rsidRPr="00BB4979" w:rsidRDefault="00C62847" w:rsidP="005B42D9">
      <w:pPr>
        <w:spacing w:after="0" w:line="360" w:lineRule="auto"/>
        <w:jc w:val="both"/>
        <w:rPr>
          <w:rFonts w:ascii="Times New Roman" w:hAnsi="Times New Roman" w:cs="Times New Roman"/>
          <w:iCs/>
          <w:sz w:val="24"/>
          <w:szCs w:val="24"/>
        </w:rPr>
      </w:pPr>
      <w:r w:rsidRPr="00BB4979">
        <w:rPr>
          <w:rFonts w:ascii="Times New Roman" w:hAnsi="Times New Roman" w:cs="Times New Roman"/>
          <w:iCs/>
          <w:sz w:val="24"/>
          <w:szCs w:val="24"/>
        </w:rPr>
        <w:t xml:space="preserve">This </w:t>
      </w:r>
      <w:r w:rsidR="008F10D8" w:rsidRPr="00BB4979">
        <w:rPr>
          <w:rFonts w:ascii="Times New Roman" w:hAnsi="Times New Roman" w:cs="Times New Roman"/>
          <w:iCs/>
          <w:sz w:val="24"/>
          <w:szCs w:val="24"/>
        </w:rPr>
        <w:t>assignment</w:t>
      </w:r>
      <w:r w:rsidRPr="00BB4979">
        <w:rPr>
          <w:rFonts w:ascii="Times New Roman" w:hAnsi="Times New Roman" w:cs="Times New Roman"/>
          <w:iCs/>
          <w:sz w:val="24"/>
          <w:szCs w:val="24"/>
        </w:rPr>
        <w:t xml:space="preserve"> will aim to summarise</w:t>
      </w:r>
      <w:r w:rsidR="008F10D8" w:rsidRPr="00BB4979">
        <w:rPr>
          <w:rFonts w:ascii="Times New Roman" w:hAnsi="Times New Roman" w:cs="Times New Roman"/>
          <w:iCs/>
          <w:sz w:val="24"/>
          <w:szCs w:val="24"/>
        </w:rPr>
        <w:t xml:space="preserve"> whether</w:t>
      </w:r>
      <w:r w:rsidRPr="00BB4979">
        <w:rPr>
          <w:rFonts w:ascii="Times New Roman" w:hAnsi="Times New Roman" w:cs="Times New Roman"/>
          <w:iCs/>
          <w:sz w:val="24"/>
          <w:szCs w:val="24"/>
        </w:rPr>
        <w:t xml:space="preserve"> the</w:t>
      </w:r>
      <w:r w:rsidR="008F10D8" w:rsidRPr="00BB4979">
        <w:rPr>
          <w:rFonts w:ascii="Times New Roman" w:hAnsi="Times New Roman" w:cs="Times New Roman"/>
          <w:iCs/>
          <w:sz w:val="24"/>
          <w:szCs w:val="24"/>
        </w:rPr>
        <w:t xml:space="preserve"> g</w:t>
      </w:r>
      <w:r w:rsidRPr="00BB4979">
        <w:rPr>
          <w:rFonts w:ascii="Times New Roman" w:hAnsi="Times New Roman" w:cs="Times New Roman"/>
          <w:iCs/>
          <w:sz w:val="24"/>
          <w:szCs w:val="24"/>
        </w:rPr>
        <w:t xml:space="preserve">rowing intergenerational socioeconomic inequalities between post war baby boomers and </w:t>
      </w:r>
      <w:r w:rsidR="00530F26">
        <w:rPr>
          <w:rFonts w:ascii="Times New Roman" w:hAnsi="Times New Roman" w:cs="Times New Roman"/>
          <w:iCs/>
          <w:sz w:val="24"/>
          <w:szCs w:val="24"/>
        </w:rPr>
        <w:t>the</w:t>
      </w:r>
      <w:r w:rsidRPr="00BB4979">
        <w:rPr>
          <w:rFonts w:ascii="Times New Roman" w:hAnsi="Times New Roman" w:cs="Times New Roman"/>
          <w:iCs/>
          <w:sz w:val="24"/>
          <w:szCs w:val="24"/>
        </w:rPr>
        <w:t xml:space="preserve"> generation of millennials has caused conflict. Mannheims theory of social generations, the concept of generational habitus and </w:t>
      </w:r>
      <w:r w:rsidR="00530F26">
        <w:rPr>
          <w:rFonts w:ascii="Times New Roman" w:hAnsi="Times New Roman" w:cs="Times New Roman"/>
          <w:iCs/>
          <w:sz w:val="24"/>
          <w:szCs w:val="24"/>
        </w:rPr>
        <w:t xml:space="preserve"> the use of </w:t>
      </w:r>
      <w:r w:rsidRPr="00BB4979">
        <w:rPr>
          <w:rFonts w:ascii="Times New Roman" w:hAnsi="Times New Roman" w:cs="Times New Roman"/>
          <w:iCs/>
          <w:sz w:val="24"/>
          <w:szCs w:val="24"/>
        </w:rPr>
        <w:t>qualitative data</w:t>
      </w:r>
      <w:r w:rsidR="008F10D8" w:rsidRPr="00BB4979">
        <w:rPr>
          <w:rFonts w:ascii="Times New Roman" w:hAnsi="Times New Roman" w:cs="Times New Roman"/>
          <w:iCs/>
          <w:sz w:val="24"/>
          <w:szCs w:val="24"/>
        </w:rPr>
        <w:t xml:space="preserve"> will be </w:t>
      </w:r>
      <w:r w:rsidR="00530F26">
        <w:rPr>
          <w:rFonts w:ascii="Times New Roman" w:hAnsi="Times New Roman" w:cs="Times New Roman"/>
          <w:iCs/>
          <w:sz w:val="24"/>
          <w:szCs w:val="24"/>
        </w:rPr>
        <w:t>considered</w:t>
      </w:r>
      <w:r w:rsidR="008F10D8" w:rsidRPr="00BB4979">
        <w:rPr>
          <w:rFonts w:ascii="Times New Roman" w:hAnsi="Times New Roman" w:cs="Times New Roman"/>
          <w:iCs/>
          <w:sz w:val="24"/>
          <w:szCs w:val="24"/>
        </w:rPr>
        <w:t xml:space="preserve"> to</w:t>
      </w:r>
      <w:r w:rsidRPr="00BB4979">
        <w:rPr>
          <w:rFonts w:ascii="Times New Roman" w:hAnsi="Times New Roman" w:cs="Times New Roman"/>
          <w:iCs/>
          <w:sz w:val="24"/>
          <w:szCs w:val="24"/>
        </w:rPr>
        <w:t xml:space="preserve"> explore the ways in which these inequalities are understood and discussed.</w:t>
      </w:r>
      <w:r w:rsidR="008F10D8" w:rsidRPr="00BB4979">
        <w:rPr>
          <w:rFonts w:ascii="Times New Roman" w:hAnsi="Times New Roman" w:cs="Times New Roman"/>
          <w:iCs/>
          <w:sz w:val="24"/>
          <w:szCs w:val="24"/>
        </w:rPr>
        <w:t xml:space="preserve"> This assignment will conclude by considerin</w:t>
      </w:r>
      <w:r w:rsidR="00D7559C">
        <w:rPr>
          <w:rFonts w:ascii="Times New Roman" w:hAnsi="Times New Roman" w:cs="Times New Roman"/>
          <w:iCs/>
          <w:sz w:val="24"/>
          <w:szCs w:val="24"/>
        </w:rPr>
        <w:t>g</w:t>
      </w:r>
      <w:r w:rsidR="008F10D8" w:rsidRPr="00BB4979">
        <w:rPr>
          <w:rFonts w:ascii="Times New Roman" w:hAnsi="Times New Roman" w:cs="Times New Roman"/>
          <w:iCs/>
          <w:sz w:val="24"/>
          <w:szCs w:val="24"/>
        </w:rPr>
        <w:t xml:space="preserve"> narratives surrounding intergenerational inequalities and whether o</w:t>
      </w:r>
      <w:r w:rsidR="005B42D9" w:rsidRPr="00BB4979">
        <w:rPr>
          <w:rFonts w:ascii="Times New Roman" w:hAnsi="Times New Roman" w:cs="Times New Roman"/>
          <w:iCs/>
          <w:sz w:val="24"/>
          <w:szCs w:val="24"/>
        </w:rPr>
        <w:t>r</w:t>
      </w:r>
      <w:r w:rsidR="008F10D8" w:rsidRPr="00BB4979">
        <w:rPr>
          <w:rFonts w:ascii="Times New Roman" w:hAnsi="Times New Roman" w:cs="Times New Roman"/>
          <w:iCs/>
          <w:sz w:val="24"/>
          <w:szCs w:val="24"/>
        </w:rPr>
        <w:t xml:space="preserve"> not they are mislead</w:t>
      </w:r>
      <w:r w:rsidR="00D7559C">
        <w:rPr>
          <w:rFonts w:ascii="Times New Roman" w:hAnsi="Times New Roman" w:cs="Times New Roman"/>
          <w:iCs/>
          <w:sz w:val="24"/>
          <w:szCs w:val="24"/>
        </w:rPr>
        <w:t>ingly</w:t>
      </w:r>
      <w:r w:rsidR="008F10D8" w:rsidRPr="00BB4979">
        <w:rPr>
          <w:rFonts w:ascii="Times New Roman" w:hAnsi="Times New Roman" w:cs="Times New Roman"/>
          <w:iCs/>
          <w:sz w:val="24"/>
          <w:szCs w:val="24"/>
        </w:rPr>
        <w:t xml:space="preserve"> directing blame.</w:t>
      </w:r>
    </w:p>
    <w:p w14:paraId="3F786742" w14:textId="77A5EB77" w:rsidR="00BB4979" w:rsidRPr="00BB4979" w:rsidRDefault="008F10D8" w:rsidP="00BB4979">
      <w:pPr>
        <w:spacing w:after="0" w:line="360" w:lineRule="auto"/>
        <w:jc w:val="both"/>
        <w:rPr>
          <w:rFonts w:ascii="Times New Roman" w:hAnsi="Times New Roman" w:cs="Times New Roman"/>
          <w:iCs/>
          <w:sz w:val="24"/>
          <w:szCs w:val="24"/>
        </w:rPr>
      </w:pPr>
      <w:r w:rsidRPr="00BB4979">
        <w:rPr>
          <w:rFonts w:ascii="Times New Roman" w:hAnsi="Times New Roman" w:cs="Times New Roman"/>
          <w:iCs/>
          <w:sz w:val="24"/>
          <w:szCs w:val="24"/>
        </w:rPr>
        <w:t>It is argued by Moore (2016) tha</w:t>
      </w:r>
      <w:r w:rsidR="00D7559C">
        <w:rPr>
          <w:rFonts w:ascii="Times New Roman" w:hAnsi="Times New Roman" w:cs="Times New Roman"/>
          <w:iCs/>
          <w:sz w:val="24"/>
          <w:szCs w:val="24"/>
        </w:rPr>
        <w:t>t</w:t>
      </w:r>
      <w:r w:rsidRPr="00BB4979">
        <w:rPr>
          <w:rFonts w:ascii="Times New Roman" w:hAnsi="Times New Roman" w:cs="Times New Roman"/>
          <w:iCs/>
          <w:sz w:val="24"/>
          <w:szCs w:val="24"/>
        </w:rPr>
        <w:t xml:space="preserve"> the decision to leave the European Union has emphasised a generational divide in regard to inequalities. Socioeconomic disparities between the two generations have been discussed at length by academics, policy makers and political commentators, it is worth noting that there is no clear consensus in the way that the disparities are framed. Bessant et al (2007) takes a relational view as opposed to </w:t>
      </w:r>
      <w:r w:rsidR="005B42D9" w:rsidRPr="00BB4979">
        <w:rPr>
          <w:rFonts w:ascii="Times New Roman" w:hAnsi="Times New Roman" w:cs="Times New Roman"/>
          <w:iCs/>
          <w:sz w:val="24"/>
          <w:szCs w:val="24"/>
        </w:rPr>
        <w:t xml:space="preserve">a deterministic view and places emphasis on structural inequality. In contrast Berry and Freeland (2011) </w:t>
      </w:r>
      <w:r w:rsidR="001E7AD2">
        <w:rPr>
          <w:rFonts w:ascii="Times New Roman" w:hAnsi="Times New Roman" w:cs="Times New Roman"/>
          <w:iCs/>
          <w:sz w:val="24"/>
          <w:szCs w:val="24"/>
        </w:rPr>
        <w:t>explains</w:t>
      </w:r>
      <w:r w:rsidR="005B42D9" w:rsidRPr="00BB4979">
        <w:rPr>
          <w:rFonts w:ascii="Times New Roman" w:hAnsi="Times New Roman" w:cs="Times New Roman"/>
          <w:iCs/>
          <w:sz w:val="24"/>
          <w:szCs w:val="24"/>
        </w:rPr>
        <w:t xml:space="preserve"> that the generation of baby boomers enjoyed a, ’</w:t>
      </w:r>
      <w:r w:rsidR="00BB4979" w:rsidRPr="00BB4979">
        <w:rPr>
          <w:rFonts w:ascii="Times New Roman" w:hAnsi="Times New Roman" w:cs="Times New Roman"/>
          <w:iCs/>
          <w:sz w:val="24"/>
          <w:szCs w:val="24"/>
        </w:rPr>
        <w:t>21-year</w:t>
      </w:r>
      <w:r w:rsidR="005B42D9" w:rsidRPr="00BB4979">
        <w:rPr>
          <w:rFonts w:ascii="Times New Roman" w:hAnsi="Times New Roman" w:cs="Times New Roman"/>
          <w:iCs/>
          <w:sz w:val="24"/>
          <w:szCs w:val="24"/>
        </w:rPr>
        <w:t xml:space="preserve"> binge,’ at the younger generations expense.</w:t>
      </w:r>
    </w:p>
    <w:p w14:paraId="303FF399" w14:textId="71B2A449" w:rsidR="00BB4979" w:rsidRDefault="00BB4979" w:rsidP="00BB4979">
      <w:pPr>
        <w:spacing w:after="0" w:line="360" w:lineRule="auto"/>
        <w:jc w:val="both"/>
        <w:rPr>
          <w:rFonts w:ascii="Times New Roman" w:hAnsi="Times New Roman" w:cs="Times New Roman"/>
          <w:iCs/>
          <w:sz w:val="24"/>
          <w:szCs w:val="24"/>
        </w:rPr>
      </w:pPr>
      <w:r w:rsidRPr="00BB4979">
        <w:rPr>
          <w:rFonts w:ascii="Times New Roman" w:hAnsi="Times New Roman" w:cs="Times New Roman"/>
          <w:iCs/>
          <w:sz w:val="24"/>
          <w:szCs w:val="24"/>
        </w:rPr>
        <w:t>Mannheim (1952</w:t>
      </w:r>
      <w:r w:rsidR="00754A5C">
        <w:rPr>
          <w:rFonts w:ascii="Times New Roman" w:hAnsi="Times New Roman" w:cs="Times New Roman"/>
          <w:iCs/>
          <w:sz w:val="24"/>
          <w:szCs w:val="24"/>
        </w:rPr>
        <w:t>, in Pilcher (1994</w:t>
      </w:r>
      <w:r w:rsidRPr="00BB4979">
        <w:rPr>
          <w:rFonts w:ascii="Times New Roman" w:hAnsi="Times New Roman" w:cs="Times New Roman"/>
          <w:iCs/>
          <w:sz w:val="24"/>
          <w:szCs w:val="24"/>
        </w:rPr>
        <w:t>) was attentive to heterogeneities within a generation and intergenerational differences, with his concept of three interlinked premises; location, actuality and generational units. More recently Woodman and Wyn (2015) ex</w:t>
      </w:r>
      <w:r w:rsidR="001E7AD2">
        <w:rPr>
          <w:rFonts w:ascii="Times New Roman" w:hAnsi="Times New Roman" w:cs="Times New Roman"/>
          <w:iCs/>
          <w:sz w:val="24"/>
          <w:szCs w:val="24"/>
        </w:rPr>
        <w:t>plore</w:t>
      </w:r>
      <w:r w:rsidR="00D7559C">
        <w:rPr>
          <w:rFonts w:ascii="Times New Roman" w:hAnsi="Times New Roman" w:cs="Times New Roman"/>
          <w:iCs/>
          <w:sz w:val="24"/>
          <w:szCs w:val="24"/>
        </w:rPr>
        <w:t xml:space="preserve"> </w:t>
      </w:r>
      <w:r w:rsidRPr="00BB4979">
        <w:rPr>
          <w:rFonts w:ascii="Times New Roman" w:hAnsi="Times New Roman" w:cs="Times New Roman"/>
          <w:iCs/>
          <w:sz w:val="24"/>
          <w:szCs w:val="24"/>
        </w:rPr>
        <w:t xml:space="preserve">the concept of perceived generational habitus by </w:t>
      </w:r>
      <w:r w:rsidR="001E7AD2">
        <w:rPr>
          <w:rFonts w:ascii="Times New Roman" w:hAnsi="Times New Roman" w:cs="Times New Roman"/>
          <w:iCs/>
          <w:sz w:val="24"/>
          <w:szCs w:val="24"/>
        </w:rPr>
        <w:t>considering a connection</w:t>
      </w:r>
      <w:r w:rsidRPr="00BB4979">
        <w:rPr>
          <w:rFonts w:ascii="Times New Roman" w:hAnsi="Times New Roman" w:cs="Times New Roman"/>
          <w:iCs/>
          <w:sz w:val="24"/>
          <w:szCs w:val="24"/>
        </w:rPr>
        <w:t xml:space="preserve"> to the thesis </w:t>
      </w:r>
      <w:r w:rsidR="00D7559C" w:rsidRPr="00BB4979">
        <w:rPr>
          <w:rFonts w:ascii="Times New Roman" w:hAnsi="Times New Roman" w:cs="Times New Roman"/>
          <w:iCs/>
          <w:sz w:val="24"/>
          <w:szCs w:val="24"/>
        </w:rPr>
        <w:t>of a</w:t>
      </w:r>
      <w:r w:rsidRPr="00BB4979">
        <w:rPr>
          <w:rFonts w:ascii="Times New Roman" w:hAnsi="Times New Roman" w:cs="Times New Roman"/>
          <w:iCs/>
          <w:sz w:val="24"/>
          <w:szCs w:val="24"/>
        </w:rPr>
        <w:t xml:space="preserve"> ‘risk society.’ Woodman and Wyn (2015) argued that if a young person’s habitus is shaped by their parents and the </w:t>
      </w:r>
      <w:r w:rsidR="001E7AD2">
        <w:rPr>
          <w:rFonts w:ascii="Times New Roman" w:hAnsi="Times New Roman" w:cs="Times New Roman"/>
          <w:iCs/>
          <w:sz w:val="24"/>
          <w:szCs w:val="24"/>
        </w:rPr>
        <w:t>rate</w:t>
      </w:r>
      <w:r w:rsidRPr="00BB4979">
        <w:rPr>
          <w:rFonts w:ascii="Times New Roman" w:hAnsi="Times New Roman" w:cs="Times New Roman"/>
          <w:iCs/>
          <w:sz w:val="24"/>
          <w:szCs w:val="24"/>
        </w:rPr>
        <w:t xml:space="preserve"> </w:t>
      </w:r>
      <w:r w:rsidR="001E7AD2">
        <w:rPr>
          <w:rFonts w:ascii="Times New Roman" w:hAnsi="Times New Roman" w:cs="Times New Roman"/>
          <w:iCs/>
          <w:sz w:val="24"/>
          <w:szCs w:val="24"/>
        </w:rPr>
        <w:t>the</w:t>
      </w:r>
      <w:r w:rsidRPr="00BB4979">
        <w:rPr>
          <w:rFonts w:ascii="Times New Roman" w:hAnsi="Times New Roman" w:cs="Times New Roman"/>
          <w:iCs/>
          <w:sz w:val="24"/>
          <w:szCs w:val="24"/>
        </w:rPr>
        <w:t xml:space="preserve"> social change</w:t>
      </w:r>
      <w:r w:rsidR="001E7AD2">
        <w:rPr>
          <w:rFonts w:ascii="Times New Roman" w:hAnsi="Times New Roman" w:cs="Times New Roman"/>
          <w:iCs/>
          <w:sz w:val="24"/>
          <w:szCs w:val="24"/>
        </w:rPr>
        <w:t xml:space="preserve"> occurs</w:t>
      </w:r>
      <w:r w:rsidRPr="00BB4979">
        <w:rPr>
          <w:rFonts w:ascii="Times New Roman" w:hAnsi="Times New Roman" w:cs="Times New Roman"/>
          <w:iCs/>
          <w:sz w:val="24"/>
          <w:szCs w:val="24"/>
        </w:rPr>
        <w:t xml:space="preserve">, a child can then develop a ‘cleft habitus.’ </w:t>
      </w:r>
      <w:r w:rsidR="001E7AD2">
        <w:rPr>
          <w:rFonts w:ascii="Times New Roman" w:hAnsi="Times New Roman" w:cs="Times New Roman"/>
          <w:iCs/>
          <w:sz w:val="24"/>
          <w:szCs w:val="24"/>
        </w:rPr>
        <w:t>w</w:t>
      </w:r>
      <w:r w:rsidRPr="00BB4979">
        <w:rPr>
          <w:rFonts w:ascii="Times New Roman" w:hAnsi="Times New Roman" w:cs="Times New Roman"/>
          <w:iCs/>
          <w:sz w:val="24"/>
          <w:szCs w:val="24"/>
        </w:rPr>
        <w:t xml:space="preserve">here </w:t>
      </w:r>
      <w:r w:rsidR="001E7AD2">
        <w:rPr>
          <w:rFonts w:ascii="Times New Roman" w:hAnsi="Times New Roman" w:cs="Times New Roman"/>
          <w:iCs/>
          <w:sz w:val="24"/>
          <w:szCs w:val="24"/>
        </w:rPr>
        <w:t>their</w:t>
      </w:r>
      <w:r w:rsidRPr="00BB4979">
        <w:rPr>
          <w:rFonts w:ascii="Times New Roman" w:hAnsi="Times New Roman" w:cs="Times New Roman"/>
          <w:iCs/>
          <w:sz w:val="24"/>
          <w:szCs w:val="24"/>
        </w:rPr>
        <w:t xml:space="preserve"> worldviews are inconsistent with</w:t>
      </w:r>
      <w:r w:rsidR="001E7AD2">
        <w:rPr>
          <w:rFonts w:ascii="Times New Roman" w:hAnsi="Times New Roman" w:cs="Times New Roman"/>
          <w:iCs/>
          <w:sz w:val="24"/>
          <w:szCs w:val="24"/>
        </w:rPr>
        <w:t xml:space="preserve"> their</w:t>
      </w:r>
      <w:bookmarkStart w:id="0" w:name="_GoBack"/>
      <w:bookmarkEnd w:id="0"/>
      <w:r w:rsidRPr="00BB4979">
        <w:rPr>
          <w:rFonts w:ascii="Times New Roman" w:hAnsi="Times New Roman" w:cs="Times New Roman"/>
          <w:iCs/>
          <w:sz w:val="24"/>
          <w:szCs w:val="24"/>
        </w:rPr>
        <w:t xml:space="preserve"> material conditions. </w:t>
      </w:r>
    </w:p>
    <w:p w14:paraId="6675A1D0" w14:textId="2F100AC6" w:rsidR="00EF7C4F" w:rsidRDefault="006808D4" w:rsidP="00BB4979">
      <w:pPr>
        <w:spacing w:after="0" w:line="360" w:lineRule="auto"/>
        <w:jc w:val="both"/>
        <w:rPr>
          <w:rFonts w:ascii="Times New Roman" w:hAnsi="Times New Roman" w:cs="Times New Roman"/>
          <w:iCs/>
          <w:sz w:val="24"/>
          <w:szCs w:val="24"/>
        </w:rPr>
      </w:pPr>
      <w:r>
        <w:rPr>
          <w:rFonts w:ascii="Times New Roman" w:hAnsi="Times New Roman" w:cs="Times New Roman"/>
          <w:iCs/>
          <w:sz w:val="24"/>
          <w:szCs w:val="24"/>
        </w:rPr>
        <w:t>Qualitative</w:t>
      </w:r>
      <w:r w:rsidR="00EF7C4F">
        <w:rPr>
          <w:rFonts w:ascii="Times New Roman" w:hAnsi="Times New Roman" w:cs="Times New Roman"/>
          <w:iCs/>
          <w:sz w:val="24"/>
          <w:szCs w:val="24"/>
        </w:rPr>
        <w:t xml:space="preserve"> data collected from two studies investigates the experiencing of housing conditions between </w:t>
      </w:r>
      <w:r w:rsidR="00754A5C">
        <w:rPr>
          <w:rFonts w:ascii="Times New Roman" w:hAnsi="Times New Roman" w:cs="Times New Roman"/>
          <w:iCs/>
          <w:sz w:val="24"/>
          <w:szCs w:val="24"/>
        </w:rPr>
        <w:t>eighteen- and thirty-five-year</w:t>
      </w:r>
      <w:r w:rsidR="00EF7C4F">
        <w:rPr>
          <w:rFonts w:ascii="Times New Roman" w:hAnsi="Times New Roman" w:cs="Times New Roman"/>
          <w:iCs/>
          <w:sz w:val="24"/>
          <w:szCs w:val="24"/>
        </w:rPr>
        <w:t xml:space="preserve"> olds and those aged </w:t>
      </w:r>
      <w:r w:rsidR="00754A5C">
        <w:rPr>
          <w:rFonts w:ascii="Times New Roman" w:hAnsi="Times New Roman" w:cs="Times New Roman"/>
          <w:iCs/>
          <w:sz w:val="24"/>
          <w:szCs w:val="24"/>
        </w:rPr>
        <w:t>forty-five</w:t>
      </w:r>
      <w:r w:rsidR="00EF7C4F">
        <w:rPr>
          <w:rFonts w:ascii="Times New Roman" w:hAnsi="Times New Roman" w:cs="Times New Roman"/>
          <w:iCs/>
          <w:sz w:val="24"/>
          <w:szCs w:val="24"/>
        </w:rPr>
        <w:t xml:space="preserve"> and over</w:t>
      </w:r>
      <w:r>
        <w:rPr>
          <w:rFonts w:ascii="Times New Roman" w:hAnsi="Times New Roman" w:cs="Times New Roman"/>
          <w:iCs/>
          <w:sz w:val="24"/>
          <w:szCs w:val="24"/>
        </w:rPr>
        <w:t xml:space="preserve">. Research </w:t>
      </w:r>
      <w:r w:rsidR="00754A5C">
        <w:rPr>
          <w:rFonts w:ascii="Times New Roman" w:hAnsi="Times New Roman" w:cs="Times New Roman"/>
          <w:iCs/>
          <w:sz w:val="24"/>
          <w:szCs w:val="24"/>
        </w:rPr>
        <w:t>conducted</w:t>
      </w:r>
      <w:r>
        <w:rPr>
          <w:rFonts w:ascii="Times New Roman" w:hAnsi="Times New Roman" w:cs="Times New Roman"/>
          <w:iCs/>
          <w:sz w:val="24"/>
          <w:szCs w:val="24"/>
        </w:rPr>
        <w:t xml:space="preserve"> by the Leverhulme Trust (2011-2014) and </w:t>
      </w:r>
      <w:r w:rsidR="00754A5C">
        <w:rPr>
          <w:rFonts w:ascii="Times New Roman" w:hAnsi="Times New Roman" w:cs="Times New Roman"/>
          <w:iCs/>
          <w:sz w:val="24"/>
          <w:szCs w:val="24"/>
        </w:rPr>
        <w:t>the</w:t>
      </w:r>
      <w:r>
        <w:rPr>
          <w:rFonts w:ascii="Times New Roman" w:hAnsi="Times New Roman" w:cs="Times New Roman"/>
          <w:iCs/>
          <w:sz w:val="24"/>
          <w:szCs w:val="24"/>
        </w:rPr>
        <w:t xml:space="preserve"> Scottish Government (2015) shows that while there is evidence of generational inequality between the millennials and the baby boomers, and the baby boomers did benefit from more stable housing and employment </w:t>
      </w:r>
      <w:r>
        <w:rPr>
          <w:rFonts w:ascii="Times New Roman" w:hAnsi="Times New Roman" w:cs="Times New Roman"/>
          <w:iCs/>
          <w:sz w:val="24"/>
          <w:szCs w:val="24"/>
        </w:rPr>
        <w:lastRenderedPageBreak/>
        <w:t>opportuni</w:t>
      </w:r>
      <w:r w:rsidR="00754A5C">
        <w:rPr>
          <w:rFonts w:ascii="Times New Roman" w:hAnsi="Times New Roman" w:cs="Times New Roman"/>
          <w:iCs/>
          <w:sz w:val="24"/>
          <w:szCs w:val="24"/>
        </w:rPr>
        <w:t>ti</w:t>
      </w:r>
      <w:r>
        <w:rPr>
          <w:rFonts w:ascii="Times New Roman" w:hAnsi="Times New Roman" w:cs="Times New Roman"/>
          <w:iCs/>
          <w:sz w:val="24"/>
          <w:szCs w:val="24"/>
        </w:rPr>
        <w:t>es than the millennials, the millennial generation do not attribute the struggles they face to the older generation. (Howker and Malik, 2010).</w:t>
      </w:r>
    </w:p>
    <w:p w14:paraId="1CE3E10E" w14:textId="49EDCC3B" w:rsidR="006808D4" w:rsidRDefault="00992359" w:rsidP="00BB4979">
      <w:pPr>
        <w:spacing w:after="0" w:line="360" w:lineRule="auto"/>
        <w:jc w:val="both"/>
        <w:rPr>
          <w:rFonts w:ascii="Times New Roman" w:hAnsi="Times New Roman" w:cs="Times New Roman"/>
          <w:iCs/>
          <w:sz w:val="24"/>
          <w:szCs w:val="24"/>
        </w:rPr>
      </w:pPr>
      <w:r>
        <w:rPr>
          <w:rFonts w:ascii="Times New Roman" w:hAnsi="Times New Roman" w:cs="Times New Roman"/>
          <w:iCs/>
          <w:sz w:val="24"/>
          <w:szCs w:val="24"/>
        </w:rPr>
        <w:t>In conclusion, by e</w:t>
      </w:r>
      <w:r w:rsidRPr="00992359">
        <w:rPr>
          <w:rFonts w:ascii="Times New Roman" w:hAnsi="Times New Roman" w:cs="Times New Roman"/>
          <w:iCs/>
          <w:sz w:val="24"/>
          <w:szCs w:val="24"/>
        </w:rPr>
        <w:t>x</w:t>
      </w:r>
      <w:r w:rsidR="005063E1">
        <w:rPr>
          <w:rFonts w:ascii="Times New Roman" w:hAnsi="Times New Roman" w:cs="Times New Roman"/>
          <w:iCs/>
          <w:sz w:val="24"/>
          <w:szCs w:val="24"/>
        </w:rPr>
        <w:t>aminig the</w:t>
      </w:r>
      <w:r w:rsidRPr="00992359">
        <w:rPr>
          <w:rFonts w:ascii="Times New Roman" w:hAnsi="Times New Roman" w:cs="Times New Roman"/>
          <w:iCs/>
          <w:sz w:val="24"/>
          <w:szCs w:val="24"/>
        </w:rPr>
        <w:t xml:space="preserve"> inter-generational inequalities from an intersubjective</w:t>
      </w:r>
      <w:r w:rsidR="005063E1">
        <w:rPr>
          <w:rFonts w:ascii="Times New Roman" w:hAnsi="Times New Roman" w:cs="Times New Roman"/>
          <w:iCs/>
          <w:sz w:val="24"/>
          <w:szCs w:val="24"/>
        </w:rPr>
        <w:t xml:space="preserve"> and </w:t>
      </w:r>
      <w:r w:rsidRPr="00992359">
        <w:rPr>
          <w:rFonts w:ascii="Times New Roman" w:hAnsi="Times New Roman" w:cs="Times New Roman"/>
          <w:iCs/>
          <w:sz w:val="24"/>
          <w:szCs w:val="24"/>
        </w:rPr>
        <w:t xml:space="preserve">relational </w:t>
      </w:r>
      <w:r w:rsidR="005063E1">
        <w:rPr>
          <w:rFonts w:ascii="Times New Roman" w:hAnsi="Times New Roman" w:cs="Times New Roman"/>
          <w:iCs/>
          <w:sz w:val="24"/>
          <w:szCs w:val="24"/>
        </w:rPr>
        <w:t>standpoint</w:t>
      </w:r>
      <w:r>
        <w:rPr>
          <w:rFonts w:ascii="Times New Roman" w:hAnsi="Times New Roman" w:cs="Times New Roman"/>
          <w:iCs/>
          <w:sz w:val="24"/>
          <w:szCs w:val="24"/>
        </w:rPr>
        <w:t>, is a way of</w:t>
      </w:r>
      <w:r w:rsidRPr="00992359">
        <w:rPr>
          <w:rFonts w:ascii="Times New Roman" w:hAnsi="Times New Roman" w:cs="Times New Roman"/>
          <w:iCs/>
          <w:sz w:val="24"/>
          <w:szCs w:val="24"/>
        </w:rPr>
        <w:t xml:space="preserve"> bring</w:t>
      </w:r>
      <w:r w:rsidR="005063E1">
        <w:rPr>
          <w:rFonts w:ascii="Times New Roman" w:hAnsi="Times New Roman" w:cs="Times New Roman"/>
          <w:iCs/>
          <w:sz w:val="24"/>
          <w:szCs w:val="24"/>
        </w:rPr>
        <w:t>ing</w:t>
      </w:r>
      <w:r w:rsidRPr="00992359">
        <w:rPr>
          <w:rFonts w:ascii="Times New Roman" w:hAnsi="Times New Roman" w:cs="Times New Roman"/>
          <w:iCs/>
          <w:sz w:val="24"/>
          <w:szCs w:val="24"/>
        </w:rPr>
        <w:t xml:space="preserve"> attention to</w:t>
      </w:r>
      <w:r w:rsidR="005063E1">
        <w:rPr>
          <w:rFonts w:ascii="Times New Roman" w:hAnsi="Times New Roman" w:cs="Times New Roman"/>
          <w:iCs/>
          <w:sz w:val="24"/>
          <w:szCs w:val="24"/>
        </w:rPr>
        <w:t xml:space="preserve"> perceived</w:t>
      </w:r>
      <w:r w:rsidRPr="00992359">
        <w:rPr>
          <w:rFonts w:ascii="Times New Roman" w:hAnsi="Times New Roman" w:cs="Times New Roman"/>
          <w:iCs/>
          <w:sz w:val="24"/>
          <w:szCs w:val="24"/>
        </w:rPr>
        <w:t xml:space="preserve"> structural inequalities</w:t>
      </w:r>
      <w:r w:rsidR="005063E1">
        <w:rPr>
          <w:rFonts w:ascii="Times New Roman" w:hAnsi="Times New Roman" w:cs="Times New Roman"/>
          <w:iCs/>
          <w:sz w:val="24"/>
          <w:szCs w:val="24"/>
        </w:rPr>
        <w:t xml:space="preserve"> experienced by different generations in society</w:t>
      </w:r>
      <w:r w:rsidRPr="00992359">
        <w:rPr>
          <w:rFonts w:ascii="Times New Roman" w:hAnsi="Times New Roman" w:cs="Times New Roman"/>
          <w:iCs/>
          <w:sz w:val="24"/>
          <w:szCs w:val="24"/>
        </w:rPr>
        <w:t>,</w:t>
      </w:r>
      <w:r w:rsidR="005063E1">
        <w:rPr>
          <w:rFonts w:ascii="Times New Roman" w:hAnsi="Times New Roman" w:cs="Times New Roman"/>
          <w:iCs/>
          <w:sz w:val="24"/>
          <w:szCs w:val="24"/>
        </w:rPr>
        <w:t xml:space="preserve"> and</w:t>
      </w:r>
      <w:r w:rsidRPr="00992359">
        <w:rPr>
          <w:rFonts w:ascii="Times New Roman" w:hAnsi="Times New Roman" w:cs="Times New Roman"/>
          <w:iCs/>
          <w:sz w:val="24"/>
          <w:szCs w:val="24"/>
        </w:rPr>
        <w:t xml:space="preserve"> enables a</w:t>
      </w:r>
      <w:r w:rsidR="005063E1">
        <w:rPr>
          <w:rFonts w:ascii="Times New Roman" w:hAnsi="Times New Roman" w:cs="Times New Roman"/>
          <w:iCs/>
          <w:sz w:val="24"/>
          <w:szCs w:val="24"/>
        </w:rPr>
        <w:t xml:space="preserve"> way of</w:t>
      </w:r>
      <w:r w:rsidRPr="00992359">
        <w:rPr>
          <w:rFonts w:ascii="Times New Roman" w:hAnsi="Times New Roman" w:cs="Times New Roman"/>
          <w:iCs/>
          <w:sz w:val="24"/>
          <w:szCs w:val="24"/>
        </w:rPr>
        <w:t xml:space="preserve"> understanding how </w:t>
      </w:r>
      <w:r w:rsidR="005063E1">
        <w:rPr>
          <w:rFonts w:ascii="Times New Roman" w:hAnsi="Times New Roman" w:cs="Times New Roman"/>
          <w:iCs/>
          <w:sz w:val="24"/>
          <w:szCs w:val="24"/>
        </w:rPr>
        <w:t>individuals</w:t>
      </w:r>
      <w:r w:rsidRPr="00992359">
        <w:rPr>
          <w:rFonts w:ascii="Times New Roman" w:hAnsi="Times New Roman" w:cs="Times New Roman"/>
          <w:iCs/>
          <w:sz w:val="24"/>
          <w:szCs w:val="24"/>
        </w:rPr>
        <w:t xml:space="preserve"> (from different generations) react and interact with chang</w:t>
      </w:r>
      <w:r w:rsidR="005063E1">
        <w:rPr>
          <w:rFonts w:ascii="Times New Roman" w:hAnsi="Times New Roman" w:cs="Times New Roman"/>
          <w:iCs/>
          <w:sz w:val="24"/>
          <w:szCs w:val="24"/>
        </w:rPr>
        <w:t>es in</w:t>
      </w:r>
      <w:r w:rsidRPr="00992359">
        <w:rPr>
          <w:rFonts w:ascii="Times New Roman" w:hAnsi="Times New Roman" w:cs="Times New Roman"/>
          <w:iCs/>
          <w:sz w:val="24"/>
          <w:szCs w:val="24"/>
        </w:rPr>
        <w:t xml:space="preserve"> market conditions.</w:t>
      </w:r>
      <w:r>
        <w:rPr>
          <w:rFonts w:ascii="Times New Roman" w:hAnsi="Times New Roman" w:cs="Times New Roman"/>
          <w:iCs/>
          <w:sz w:val="24"/>
          <w:szCs w:val="24"/>
        </w:rPr>
        <w:t xml:space="preserve"> The </w:t>
      </w:r>
      <w:r w:rsidRPr="00992359">
        <w:rPr>
          <w:rFonts w:ascii="Times New Roman" w:hAnsi="Times New Roman" w:cs="Times New Roman"/>
          <w:iCs/>
          <w:sz w:val="24"/>
          <w:szCs w:val="24"/>
        </w:rPr>
        <w:t xml:space="preserve">concept of a cleft generational habitus, captures the disharmony that many Millennials currently experience which </w:t>
      </w:r>
      <w:r w:rsidR="005063E1">
        <w:rPr>
          <w:rFonts w:ascii="Times New Roman" w:hAnsi="Times New Roman" w:cs="Times New Roman"/>
          <w:iCs/>
          <w:sz w:val="24"/>
          <w:szCs w:val="24"/>
        </w:rPr>
        <w:t>supports a needed</w:t>
      </w:r>
      <w:r w:rsidRPr="00992359">
        <w:rPr>
          <w:rFonts w:ascii="Times New Roman" w:hAnsi="Times New Roman" w:cs="Times New Roman"/>
          <w:iCs/>
          <w:sz w:val="24"/>
          <w:szCs w:val="24"/>
        </w:rPr>
        <w:t xml:space="preserve"> relational approach</w:t>
      </w:r>
      <w:r>
        <w:rPr>
          <w:rFonts w:ascii="Times New Roman" w:hAnsi="Times New Roman" w:cs="Times New Roman"/>
          <w:iCs/>
          <w:sz w:val="24"/>
          <w:szCs w:val="24"/>
        </w:rPr>
        <w:t xml:space="preserve"> </w:t>
      </w:r>
      <w:r w:rsidR="005063E1">
        <w:rPr>
          <w:rFonts w:ascii="Times New Roman" w:hAnsi="Times New Roman" w:cs="Times New Roman"/>
          <w:iCs/>
          <w:sz w:val="24"/>
          <w:szCs w:val="24"/>
        </w:rPr>
        <w:t xml:space="preserve">to the </w:t>
      </w:r>
      <w:r w:rsidRPr="00992359">
        <w:rPr>
          <w:rFonts w:ascii="Times New Roman" w:hAnsi="Times New Roman" w:cs="Times New Roman"/>
          <w:iCs/>
          <w:sz w:val="24"/>
          <w:szCs w:val="24"/>
        </w:rPr>
        <w:t>concept</w:t>
      </w:r>
      <w:r w:rsidR="005063E1">
        <w:rPr>
          <w:rFonts w:ascii="Times New Roman" w:hAnsi="Times New Roman" w:cs="Times New Roman"/>
          <w:iCs/>
          <w:sz w:val="24"/>
          <w:szCs w:val="24"/>
        </w:rPr>
        <w:t>. Consideration also needs to be given to the</w:t>
      </w:r>
      <w:r>
        <w:rPr>
          <w:rFonts w:ascii="Times New Roman" w:hAnsi="Times New Roman" w:cs="Times New Roman"/>
          <w:iCs/>
          <w:sz w:val="24"/>
          <w:szCs w:val="24"/>
        </w:rPr>
        <w:t xml:space="preserve"> </w:t>
      </w:r>
      <w:r w:rsidR="005063E1">
        <w:rPr>
          <w:rFonts w:ascii="Times New Roman" w:hAnsi="Times New Roman" w:cs="Times New Roman"/>
          <w:iCs/>
          <w:sz w:val="24"/>
          <w:szCs w:val="24"/>
        </w:rPr>
        <w:t>c</w:t>
      </w:r>
      <w:r w:rsidRPr="00992359">
        <w:rPr>
          <w:rFonts w:ascii="Times New Roman" w:hAnsi="Times New Roman" w:cs="Times New Roman"/>
          <w:iCs/>
          <w:sz w:val="24"/>
          <w:szCs w:val="24"/>
        </w:rPr>
        <w:t xml:space="preserve">omparisons </w:t>
      </w:r>
      <w:r w:rsidR="005063E1">
        <w:rPr>
          <w:rFonts w:ascii="Times New Roman" w:hAnsi="Times New Roman" w:cs="Times New Roman"/>
          <w:iCs/>
          <w:sz w:val="24"/>
          <w:szCs w:val="24"/>
        </w:rPr>
        <w:t xml:space="preserve">made </w:t>
      </w:r>
      <w:r w:rsidRPr="00992359">
        <w:rPr>
          <w:rFonts w:ascii="Times New Roman" w:hAnsi="Times New Roman" w:cs="Times New Roman"/>
          <w:iCs/>
          <w:sz w:val="24"/>
          <w:szCs w:val="24"/>
        </w:rPr>
        <w:t xml:space="preserve">between and within different </w:t>
      </w:r>
      <w:r w:rsidR="005063E1">
        <w:rPr>
          <w:rFonts w:ascii="Times New Roman" w:hAnsi="Times New Roman" w:cs="Times New Roman"/>
          <w:iCs/>
          <w:sz w:val="24"/>
          <w:szCs w:val="24"/>
        </w:rPr>
        <w:t>cultures</w:t>
      </w:r>
      <w:r w:rsidRPr="00992359">
        <w:rPr>
          <w:rFonts w:ascii="Times New Roman" w:hAnsi="Times New Roman" w:cs="Times New Roman"/>
          <w:iCs/>
          <w:sz w:val="24"/>
          <w:szCs w:val="24"/>
        </w:rPr>
        <w:t xml:space="preserve"> in different parts of the world, which can shed light on similarities and variances reveal</w:t>
      </w:r>
      <w:r w:rsidR="005063E1">
        <w:rPr>
          <w:rFonts w:ascii="Times New Roman" w:hAnsi="Times New Roman" w:cs="Times New Roman"/>
          <w:iCs/>
          <w:sz w:val="24"/>
          <w:szCs w:val="24"/>
        </w:rPr>
        <w:t>ing</w:t>
      </w:r>
      <w:r w:rsidRPr="00992359">
        <w:rPr>
          <w:rFonts w:ascii="Times New Roman" w:hAnsi="Times New Roman" w:cs="Times New Roman"/>
          <w:iCs/>
          <w:sz w:val="24"/>
          <w:szCs w:val="24"/>
        </w:rPr>
        <w:t xml:space="preserve"> inequalities</w:t>
      </w:r>
      <w:r w:rsidR="005063E1">
        <w:rPr>
          <w:rFonts w:ascii="Times New Roman" w:hAnsi="Times New Roman" w:cs="Times New Roman"/>
          <w:iCs/>
          <w:sz w:val="24"/>
          <w:szCs w:val="24"/>
        </w:rPr>
        <w:t xml:space="preserve"> that may or may not exist</w:t>
      </w:r>
      <w:r w:rsidRPr="00992359">
        <w:rPr>
          <w:rFonts w:ascii="Times New Roman" w:hAnsi="Times New Roman" w:cs="Times New Roman"/>
          <w:iCs/>
          <w:sz w:val="24"/>
          <w:szCs w:val="24"/>
        </w:rPr>
        <w:t>. It is therefore a valuable theoretical approach for better understanding the nuances of contemporary inter-generational inequalities.</w:t>
      </w:r>
      <w:r w:rsidR="005063E1">
        <w:rPr>
          <w:rFonts w:ascii="Times New Roman" w:hAnsi="Times New Roman" w:cs="Times New Roman"/>
          <w:iCs/>
          <w:sz w:val="24"/>
          <w:szCs w:val="24"/>
        </w:rPr>
        <w:t xml:space="preserve"> More research is needed not just on a local UK level, but on a global level to discover the depth of which generational equalities exist and the impact they have on different generations.</w:t>
      </w:r>
    </w:p>
    <w:p w14:paraId="6DA7E169" w14:textId="77777777" w:rsidR="006808D4" w:rsidRDefault="006808D4" w:rsidP="00BB4979">
      <w:pPr>
        <w:spacing w:after="0" w:line="360" w:lineRule="auto"/>
        <w:jc w:val="both"/>
        <w:rPr>
          <w:rFonts w:ascii="Times New Roman" w:hAnsi="Times New Roman" w:cs="Times New Roman"/>
          <w:iCs/>
          <w:sz w:val="24"/>
          <w:szCs w:val="24"/>
        </w:rPr>
      </w:pPr>
    </w:p>
    <w:p w14:paraId="5847B657" w14:textId="522B0E7B" w:rsidR="00EF7C4F" w:rsidRDefault="00EF7C4F" w:rsidP="00BB4979">
      <w:pPr>
        <w:spacing w:after="0" w:line="360" w:lineRule="auto"/>
        <w:jc w:val="both"/>
        <w:rPr>
          <w:rFonts w:ascii="Times New Roman" w:hAnsi="Times New Roman" w:cs="Times New Roman"/>
          <w:iCs/>
          <w:sz w:val="24"/>
          <w:szCs w:val="24"/>
        </w:rPr>
      </w:pPr>
    </w:p>
    <w:p w14:paraId="637D7BDA" w14:textId="77777777" w:rsidR="00754A5C" w:rsidRDefault="00754A5C" w:rsidP="00BB4979">
      <w:pPr>
        <w:spacing w:after="0" w:line="360" w:lineRule="auto"/>
        <w:jc w:val="both"/>
        <w:rPr>
          <w:rFonts w:ascii="Times New Roman" w:hAnsi="Times New Roman" w:cs="Times New Roman"/>
          <w:iCs/>
          <w:sz w:val="24"/>
          <w:szCs w:val="24"/>
        </w:rPr>
      </w:pPr>
    </w:p>
    <w:p w14:paraId="044A9BA2" w14:textId="42C0CE79" w:rsidR="00754A5C" w:rsidRDefault="00754A5C" w:rsidP="00BB4979">
      <w:pPr>
        <w:spacing w:after="0" w:line="360" w:lineRule="auto"/>
        <w:jc w:val="both"/>
        <w:rPr>
          <w:rFonts w:ascii="Times New Roman" w:hAnsi="Times New Roman" w:cs="Times New Roman"/>
          <w:b/>
          <w:bCs/>
          <w:iCs/>
          <w:sz w:val="24"/>
          <w:szCs w:val="24"/>
          <w:u w:val="single"/>
        </w:rPr>
      </w:pPr>
    </w:p>
    <w:p w14:paraId="79BDC607" w14:textId="00630517" w:rsidR="005063E1" w:rsidRDefault="005063E1" w:rsidP="00BB4979">
      <w:pPr>
        <w:spacing w:after="0" w:line="360" w:lineRule="auto"/>
        <w:jc w:val="both"/>
        <w:rPr>
          <w:rFonts w:ascii="Times New Roman" w:hAnsi="Times New Roman" w:cs="Times New Roman"/>
          <w:b/>
          <w:bCs/>
          <w:iCs/>
          <w:sz w:val="24"/>
          <w:szCs w:val="24"/>
          <w:u w:val="single"/>
        </w:rPr>
      </w:pPr>
    </w:p>
    <w:p w14:paraId="71C6F149" w14:textId="7823649F" w:rsidR="005063E1" w:rsidRDefault="005063E1" w:rsidP="00BB4979">
      <w:pPr>
        <w:spacing w:after="0" w:line="360" w:lineRule="auto"/>
        <w:jc w:val="both"/>
        <w:rPr>
          <w:rFonts w:ascii="Times New Roman" w:hAnsi="Times New Roman" w:cs="Times New Roman"/>
          <w:b/>
          <w:bCs/>
          <w:iCs/>
          <w:sz w:val="24"/>
          <w:szCs w:val="24"/>
          <w:u w:val="single"/>
        </w:rPr>
      </w:pPr>
    </w:p>
    <w:p w14:paraId="00D80D98" w14:textId="7B8E2DFF" w:rsidR="005063E1" w:rsidRDefault="005063E1" w:rsidP="00BB4979">
      <w:pPr>
        <w:spacing w:after="0" w:line="360" w:lineRule="auto"/>
        <w:jc w:val="both"/>
        <w:rPr>
          <w:rFonts w:ascii="Times New Roman" w:hAnsi="Times New Roman" w:cs="Times New Roman"/>
          <w:b/>
          <w:bCs/>
          <w:iCs/>
          <w:sz w:val="24"/>
          <w:szCs w:val="24"/>
          <w:u w:val="single"/>
        </w:rPr>
      </w:pPr>
    </w:p>
    <w:p w14:paraId="18878F2B" w14:textId="238C297B" w:rsidR="005063E1" w:rsidRDefault="005063E1" w:rsidP="00BB4979">
      <w:pPr>
        <w:spacing w:after="0" w:line="360" w:lineRule="auto"/>
        <w:jc w:val="both"/>
        <w:rPr>
          <w:rFonts w:ascii="Times New Roman" w:hAnsi="Times New Roman" w:cs="Times New Roman"/>
          <w:b/>
          <w:bCs/>
          <w:iCs/>
          <w:sz w:val="24"/>
          <w:szCs w:val="24"/>
          <w:u w:val="single"/>
        </w:rPr>
      </w:pPr>
    </w:p>
    <w:p w14:paraId="53202AC0" w14:textId="1414E424" w:rsidR="005063E1" w:rsidRDefault="005063E1" w:rsidP="00BB4979">
      <w:pPr>
        <w:spacing w:after="0" w:line="360" w:lineRule="auto"/>
        <w:jc w:val="both"/>
        <w:rPr>
          <w:rFonts w:ascii="Times New Roman" w:hAnsi="Times New Roman" w:cs="Times New Roman"/>
          <w:b/>
          <w:bCs/>
          <w:iCs/>
          <w:sz w:val="24"/>
          <w:szCs w:val="24"/>
          <w:u w:val="single"/>
        </w:rPr>
      </w:pPr>
    </w:p>
    <w:p w14:paraId="0080EB22" w14:textId="6CC937B6" w:rsidR="005063E1" w:rsidRDefault="005063E1" w:rsidP="00BB4979">
      <w:pPr>
        <w:spacing w:after="0" w:line="360" w:lineRule="auto"/>
        <w:jc w:val="both"/>
        <w:rPr>
          <w:rFonts w:ascii="Times New Roman" w:hAnsi="Times New Roman" w:cs="Times New Roman"/>
          <w:b/>
          <w:bCs/>
          <w:iCs/>
          <w:sz w:val="24"/>
          <w:szCs w:val="24"/>
          <w:u w:val="single"/>
        </w:rPr>
      </w:pPr>
    </w:p>
    <w:p w14:paraId="7E6B4271" w14:textId="73E0E20F" w:rsidR="005063E1" w:rsidRDefault="005063E1" w:rsidP="00BB4979">
      <w:pPr>
        <w:spacing w:after="0" w:line="360" w:lineRule="auto"/>
        <w:jc w:val="both"/>
        <w:rPr>
          <w:rFonts w:ascii="Times New Roman" w:hAnsi="Times New Roman" w:cs="Times New Roman"/>
          <w:b/>
          <w:bCs/>
          <w:iCs/>
          <w:sz w:val="24"/>
          <w:szCs w:val="24"/>
          <w:u w:val="single"/>
        </w:rPr>
      </w:pPr>
    </w:p>
    <w:p w14:paraId="154D40C7" w14:textId="4FBAD85A" w:rsidR="005063E1" w:rsidRDefault="005063E1" w:rsidP="00BB4979">
      <w:pPr>
        <w:spacing w:after="0" w:line="360" w:lineRule="auto"/>
        <w:jc w:val="both"/>
        <w:rPr>
          <w:rFonts w:ascii="Times New Roman" w:hAnsi="Times New Roman" w:cs="Times New Roman"/>
          <w:b/>
          <w:bCs/>
          <w:iCs/>
          <w:sz w:val="24"/>
          <w:szCs w:val="24"/>
          <w:u w:val="single"/>
        </w:rPr>
      </w:pPr>
    </w:p>
    <w:p w14:paraId="4E0AC82A" w14:textId="0EADDA70" w:rsidR="005063E1" w:rsidRDefault="005063E1" w:rsidP="00BB4979">
      <w:pPr>
        <w:spacing w:after="0" w:line="360" w:lineRule="auto"/>
        <w:jc w:val="both"/>
        <w:rPr>
          <w:rFonts w:ascii="Times New Roman" w:hAnsi="Times New Roman" w:cs="Times New Roman"/>
          <w:b/>
          <w:bCs/>
          <w:iCs/>
          <w:sz w:val="24"/>
          <w:szCs w:val="24"/>
          <w:u w:val="single"/>
        </w:rPr>
      </w:pPr>
    </w:p>
    <w:p w14:paraId="3EA1B2BC" w14:textId="5C52AB0A" w:rsidR="005063E1" w:rsidRDefault="005063E1" w:rsidP="00BB4979">
      <w:pPr>
        <w:spacing w:after="0" w:line="360" w:lineRule="auto"/>
        <w:jc w:val="both"/>
        <w:rPr>
          <w:rFonts w:ascii="Times New Roman" w:hAnsi="Times New Roman" w:cs="Times New Roman"/>
          <w:b/>
          <w:bCs/>
          <w:iCs/>
          <w:sz w:val="24"/>
          <w:szCs w:val="24"/>
          <w:u w:val="single"/>
        </w:rPr>
      </w:pPr>
    </w:p>
    <w:p w14:paraId="6A78892E" w14:textId="2D338ECA" w:rsidR="005063E1" w:rsidRDefault="005063E1" w:rsidP="00BB4979">
      <w:pPr>
        <w:spacing w:after="0" w:line="360" w:lineRule="auto"/>
        <w:jc w:val="both"/>
        <w:rPr>
          <w:rFonts w:ascii="Times New Roman" w:hAnsi="Times New Roman" w:cs="Times New Roman"/>
          <w:b/>
          <w:bCs/>
          <w:iCs/>
          <w:sz w:val="24"/>
          <w:szCs w:val="24"/>
          <w:u w:val="single"/>
        </w:rPr>
      </w:pPr>
    </w:p>
    <w:p w14:paraId="2DF9B67F" w14:textId="5FDAFB2E" w:rsidR="005063E1" w:rsidRDefault="005063E1" w:rsidP="00BB4979">
      <w:pPr>
        <w:spacing w:after="0" w:line="360" w:lineRule="auto"/>
        <w:jc w:val="both"/>
        <w:rPr>
          <w:rFonts w:ascii="Times New Roman" w:hAnsi="Times New Roman" w:cs="Times New Roman"/>
          <w:b/>
          <w:bCs/>
          <w:iCs/>
          <w:sz w:val="24"/>
          <w:szCs w:val="24"/>
          <w:u w:val="single"/>
        </w:rPr>
      </w:pPr>
    </w:p>
    <w:p w14:paraId="6EE2F3C4" w14:textId="13AEA12A" w:rsidR="005063E1" w:rsidRDefault="005063E1" w:rsidP="00BB4979">
      <w:pPr>
        <w:spacing w:after="0" w:line="360" w:lineRule="auto"/>
        <w:jc w:val="both"/>
        <w:rPr>
          <w:rFonts w:ascii="Times New Roman" w:hAnsi="Times New Roman" w:cs="Times New Roman"/>
          <w:b/>
          <w:bCs/>
          <w:iCs/>
          <w:sz w:val="24"/>
          <w:szCs w:val="24"/>
          <w:u w:val="single"/>
        </w:rPr>
      </w:pPr>
    </w:p>
    <w:p w14:paraId="2D697E95" w14:textId="4329E80E" w:rsidR="005063E1" w:rsidRDefault="005063E1" w:rsidP="00BB4979">
      <w:pPr>
        <w:spacing w:after="0" w:line="360" w:lineRule="auto"/>
        <w:jc w:val="both"/>
        <w:rPr>
          <w:rFonts w:ascii="Times New Roman" w:hAnsi="Times New Roman" w:cs="Times New Roman"/>
          <w:b/>
          <w:bCs/>
          <w:iCs/>
          <w:sz w:val="24"/>
          <w:szCs w:val="24"/>
          <w:u w:val="single"/>
        </w:rPr>
      </w:pPr>
    </w:p>
    <w:p w14:paraId="39B83754" w14:textId="6B2F6DFA" w:rsidR="005063E1" w:rsidRDefault="005063E1" w:rsidP="00BB4979">
      <w:pPr>
        <w:spacing w:after="0" w:line="360" w:lineRule="auto"/>
        <w:jc w:val="both"/>
        <w:rPr>
          <w:rFonts w:ascii="Times New Roman" w:hAnsi="Times New Roman" w:cs="Times New Roman"/>
          <w:b/>
          <w:bCs/>
          <w:iCs/>
          <w:sz w:val="24"/>
          <w:szCs w:val="24"/>
          <w:u w:val="single"/>
        </w:rPr>
      </w:pPr>
    </w:p>
    <w:p w14:paraId="159AEF35" w14:textId="73D78091" w:rsidR="005063E1" w:rsidRDefault="005063E1" w:rsidP="00BB4979">
      <w:pPr>
        <w:spacing w:after="0" w:line="360" w:lineRule="auto"/>
        <w:jc w:val="both"/>
        <w:rPr>
          <w:rFonts w:ascii="Times New Roman" w:hAnsi="Times New Roman" w:cs="Times New Roman"/>
          <w:b/>
          <w:bCs/>
          <w:iCs/>
          <w:sz w:val="24"/>
          <w:szCs w:val="24"/>
          <w:u w:val="single"/>
        </w:rPr>
      </w:pPr>
    </w:p>
    <w:p w14:paraId="2D6C4359" w14:textId="2D606CCC" w:rsidR="005063E1" w:rsidRDefault="005063E1" w:rsidP="00BB4979">
      <w:pPr>
        <w:spacing w:after="0" w:line="360" w:lineRule="auto"/>
        <w:jc w:val="both"/>
        <w:rPr>
          <w:rFonts w:ascii="Times New Roman" w:hAnsi="Times New Roman" w:cs="Times New Roman"/>
          <w:b/>
          <w:bCs/>
          <w:iCs/>
          <w:sz w:val="24"/>
          <w:szCs w:val="24"/>
          <w:u w:val="single"/>
        </w:rPr>
      </w:pPr>
    </w:p>
    <w:p w14:paraId="673AA22D" w14:textId="4F6C90E8" w:rsidR="005063E1" w:rsidRDefault="005063E1" w:rsidP="00BB4979">
      <w:pPr>
        <w:spacing w:after="0" w:line="360" w:lineRule="auto"/>
        <w:jc w:val="both"/>
        <w:rPr>
          <w:rFonts w:ascii="Times New Roman" w:hAnsi="Times New Roman" w:cs="Times New Roman"/>
          <w:b/>
          <w:bCs/>
          <w:iCs/>
          <w:sz w:val="24"/>
          <w:szCs w:val="24"/>
          <w:u w:val="single"/>
        </w:rPr>
      </w:pPr>
    </w:p>
    <w:p w14:paraId="12FFF817" w14:textId="00DD3BBD" w:rsidR="005063E1" w:rsidRDefault="005063E1" w:rsidP="00BB4979">
      <w:pPr>
        <w:spacing w:after="0" w:line="360" w:lineRule="auto"/>
        <w:jc w:val="both"/>
        <w:rPr>
          <w:rFonts w:ascii="Times New Roman" w:hAnsi="Times New Roman" w:cs="Times New Roman"/>
          <w:b/>
          <w:bCs/>
          <w:iCs/>
          <w:sz w:val="24"/>
          <w:szCs w:val="24"/>
          <w:u w:val="single"/>
        </w:rPr>
      </w:pPr>
    </w:p>
    <w:p w14:paraId="424969AC" w14:textId="1567C52D" w:rsidR="005063E1" w:rsidRDefault="005063E1" w:rsidP="00BB4979">
      <w:pPr>
        <w:spacing w:after="0" w:line="360" w:lineRule="auto"/>
        <w:jc w:val="both"/>
        <w:rPr>
          <w:rFonts w:ascii="Times New Roman" w:hAnsi="Times New Roman" w:cs="Times New Roman"/>
          <w:b/>
          <w:bCs/>
          <w:iCs/>
          <w:sz w:val="24"/>
          <w:szCs w:val="24"/>
          <w:u w:val="single"/>
        </w:rPr>
      </w:pPr>
    </w:p>
    <w:p w14:paraId="49041E8C" w14:textId="3E14BA79" w:rsidR="005063E1" w:rsidRDefault="005063E1" w:rsidP="00BB4979">
      <w:pPr>
        <w:spacing w:after="0" w:line="360" w:lineRule="auto"/>
        <w:jc w:val="both"/>
        <w:rPr>
          <w:rFonts w:ascii="Times New Roman" w:hAnsi="Times New Roman" w:cs="Times New Roman"/>
          <w:b/>
          <w:bCs/>
          <w:iCs/>
          <w:sz w:val="24"/>
          <w:szCs w:val="24"/>
          <w:u w:val="single"/>
        </w:rPr>
      </w:pPr>
    </w:p>
    <w:p w14:paraId="3C429716" w14:textId="77777777" w:rsidR="005063E1" w:rsidRPr="00992359" w:rsidRDefault="005063E1" w:rsidP="00BB4979">
      <w:pPr>
        <w:spacing w:after="0" w:line="360" w:lineRule="auto"/>
        <w:jc w:val="both"/>
        <w:rPr>
          <w:rFonts w:ascii="Times New Roman" w:hAnsi="Times New Roman" w:cs="Times New Roman"/>
          <w:b/>
          <w:bCs/>
          <w:iCs/>
          <w:sz w:val="24"/>
          <w:szCs w:val="24"/>
          <w:u w:val="single"/>
        </w:rPr>
      </w:pPr>
    </w:p>
    <w:p w14:paraId="3D4144D5" w14:textId="29FAEA26" w:rsidR="00754A5C" w:rsidRPr="00992359" w:rsidRDefault="00754A5C" w:rsidP="00BB4979">
      <w:pPr>
        <w:spacing w:after="0" w:line="360" w:lineRule="auto"/>
        <w:jc w:val="both"/>
        <w:rPr>
          <w:rFonts w:ascii="Times New Roman" w:hAnsi="Times New Roman" w:cs="Times New Roman"/>
          <w:b/>
          <w:bCs/>
          <w:iCs/>
          <w:sz w:val="24"/>
          <w:szCs w:val="24"/>
          <w:u w:val="single"/>
        </w:rPr>
      </w:pPr>
      <w:r w:rsidRPr="00992359">
        <w:rPr>
          <w:rFonts w:ascii="Times New Roman" w:hAnsi="Times New Roman" w:cs="Times New Roman"/>
          <w:b/>
          <w:bCs/>
          <w:iCs/>
          <w:sz w:val="24"/>
          <w:szCs w:val="24"/>
          <w:u w:val="single"/>
        </w:rPr>
        <w:t>References</w:t>
      </w:r>
    </w:p>
    <w:p w14:paraId="0BFA74F3" w14:textId="77777777" w:rsidR="00754A5C" w:rsidRPr="00BB4979" w:rsidRDefault="00754A5C" w:rsidP="00BB4979">
      <w:pPr>
        <w:spacing w:after="0" w:line="360" w:lineRule="auto"/>
        <w:jc w:val="both"/>
        <w:rPr>
          <w:rFonts w:ascii="Times New Roman" w:hAnsi="Times New Roman" w:cs="Times New Roman"/>
          <w:iCs/>
          <w:sz w:val="24"/>
          <w:szCs w:val="24"/>
        </w:rPr>
      </w:pPr>
    </w:p>
    <w:p w14:paraId="22655264" w14:textId="77777777" w:rsidR="00754A5C" w:rsidRDefault="00754A5C" w:rsidP="00BB4979">
      <w:pPr>
        <w:spacing w:after="0" w:line="360" w:lineRule="auto"/>
        <w:jc w:val="both"/>
        <w:rPr>
          <w:rFonts w:ascii="Times New Roman" w:hAnsi="Times New Roman" w:cs="Times New Roman"/>
          <w:iCs/>
          <w:sz w:val="24"/>
          <w:szCs w:val="24"/>
        </w:rPr>
      </w:pPr>
      <w:r w:rsidRPr="00754A5C">
        <w:rPr>
          <w:rFonts w:ascii="Times New Roman" w:hAnsi="Times New Roman" w:cs="Times New Roman"/>
          <w:iCs/>
          <w:sz w:val="24"/>
          <w:szCs w:val="24"/>
        </w:rPr>
        <w:t xml:space="preserve">Berry C and Freeland R (2011) </w:t>
      </w:r>
      <w:r w:rsidRPr="00754A5C">
        <w:rPr>
          <w:rFonts w:ascii="Times New Roman" w:hAnsi="Times New Roman" w:cs="Times New Roman"/>
          <w:i/>
          <w:sz w:val="24"/>
          <w:szCs w:val="24"/>
        </w:rPr>
        <w:t>Book reviews. Journal of Social Policy</w:t>
      </w:r>
      <w:r w:rsidRPr="00754A5C">
        <w:rPr>
          <w:rFonts w:ascii="Times New Roman" w:hAnsi="Times New Roman" w:cs="Times New Roman"/>
          <w:iCs/>
          <w:sz w:val="24"/>
          <w:szCs w:val="24"/>
        </w:rPr>
        <w:t xml:space="preserve"> 40(4): 853–874.</w:t>
      </w:r>
    </w:p>
    <w:p w14:paraId="24167E14" w14:textId="77777777" w:rsidR="00754A5C" w:rsidRDefault="00754A5C" w:rsidP="00BB4979">
      <w:pPr>
        <w:spacing w:after="0" w:line="360" w:lineRule="auto"/>
        <w:jc w:val="both"/>
        <w:rPr>
          <w:rFonts w:ascii="Times New Roman" w:hAnsi="Times New Roman" w:cs="Times New Roman"/>
          <w:iCs/>
          <w:sz w:val="24"/>
          <w:szCs w:val="24"/>
        </w:rPr>
      </w:pPr>
      <w:r w:rsidRPr="00754A5C">
        <w:rPr>
          <w:rFonts w:ascii="Times New Roman" w:hAnsi="Times New Roman" w:cs="Times New Roman"/>
          <w:iCs/>
          <w:sz w:val="24"/>
          <w:szCs w:val="24"/>
        </w:rPr>
        <w:t xml:space="preserve">Bessant J, Farthing R and Watts R (2017) </w:t>
      </w:r>
      <w:r w:rsidRPr="00754A5C">
        <w:rPr>
          <w:rFonts w:ascii="Times New Roman" w:hAnsi="Times New Roman" w:cs="Times New Roman"/>
          <w:i/>
          <w:sz w:val="24"/>
          <w:szCs w:val="24"/>
        </w:rPr>
        <w:t>The Precarious Generation: A Political Economy of Young People</w:t>
      </w:r>
      <w:r w:rsidRPr="00754A5C">
        <w:rPr>
          <w:rFonts w:ascii="Times New Roman" w:hAnsi="Times New Roman" w:cs="Times New Roman"/>
          <w:iCs/>
          <w:sz w:val="24"/>
          <w:szCs w:val="24"/>
        </w:rPr>
        <w:t>. London: Routledge.</w:t>
      </w:r>
    </w:p>
    <w:p w14:paraId="0DEF7E24" w14:textId="5A8C73C1" w:rsidR="00754A5C" w:rsidRDefault="00754A5C" w:rsidP="00BB4979">
      <w:pPr>
        <w:spacing w:after="0" w:line="360" w:lineRule="auto"/>
        <w:jc w:val="both"/>
        <w:rPr>
          <w:rFonts w:ascii="Times New Roman" w:hAnsi="Times New Roman" w:cs="Times New Roman"/>
          <w:iCs/>
          <w:sz w:val="24"/>
          <w:szCs w:val="24"/>
        </w:rPr>
      </w:pPr>
      <w:r w:rsidRPr="00754A5C">
        <w:rPr>
          <w:rFonts w:ascii="Times New Roman" w:hAnsi="Times New Roman" w:cs="Times New Roman"/>
          <w:iCs/>
          <w:sz w:val="24"/>
          <w:szCs w:val="24"/>
        </w:rPr>
        <w:t xml:space="preserve">Howker E and Malik S (2010) </w:t>
      </w:r>
      <w:r w:rsidRPr="00754A5C">
        <w:rPr>
          <w:rFonts w:ascii="Times New Roman" w:hAnsi="Times New Roman" w:cs="Times New Roman"/>
          <w:i/>
          <w:sz w:val="24"/>
          <w:szCs w:val="24"/>
        </w:rPr>
        <w:t>Jilted Generation: How Britain Bankrupted its Youth.</w:t>
      </w:r>
      <w:r w:rsidRPr="00754A5C">
        <w:rPr>
          <w:rFonts w:ascii="Times New Roman" w:hAnsi="Times New Roman" w:cs="Times New Roman"/>
          <w:iCs/>
          <w:sz w:val="24"/>
          <w:szCs w:val="24"/>
        </w:rPr>
        <w:t xml:space="preserve"> London: Icon Books</w:t>
      </w:r>
    </w:p>
    <w:p w14:paraId="59419232" w14:textId="6F25BE62" w:rsidR="00992359" w:rsidRDefault="00992359" w:rsidP="00BB4979">
      <w:pPr>
        <w:spacing w:after="0"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Leverhulme Trust (2015) </w:t>
      </w:r>
      <w:r w:rsidRPr="00992359">
        <w:rPr>
          <w:rFonts w:ascii="Times New Roman" w:hAnsi="Times New Roman" w:cs="Times New Roman"/>
          <w:i/>
          <w:sz w:val="24"/>
          <w:szCs w:val="24"/>
        </w:rPr>
        <w:t>Mind the Hou</w:t>
      </w:r>
      <w:r>
        <w:rPr>
          <w:rFonts w:ascii="Times New Roman" w:hAnsi="Times New Roman" w:cs="Times New Roman"/>
          <w:i/>
          <w:sz w:val="24"/>
          <w:szCs w:val="24"/>
        </w:rPr>
        <w:t>s</w:t>
      </w:r>
      <w:r w:rsidRPr="00992359">
        <w:rPr>
          <w:rFonts w:ascii="Times New Roman" w:hAnsi="Times New Roman" w:cs="Times New Roman"/>
          <w:i/>
          <w:sz w:val="24"/>
          <w:szCs w:val="24"/>
        </w:rPr>
        <w:t>ing Wealth Gap</w:t>
      </w:r>
      <w:r>
        <w:rPr>
          <w:rFonts w:ascii="Times New Roman" w:hAnsi="Times New Roman" w:cs="Times New Roman"/>
          <w:iCs/>
          <w:sz w:val="24"/>
          <w:szCs w:val="24"/>
        </w:rPr>
        <w:t xml:space="preserve">. Available at: </w:t>
      </w:r>
      <w:hyperlink r:id="rId7" w:history="1">
        <w:r w:rsidRPr="009A120D">
          <w:rPr>
            <w:rStyle w:val="Hyperlink"/>
            <w:rFonts w:ascii="Times New Roman" w:hAnsi="Times New Roman" w:cs="Times New Roman"/>
            <w:iCs/>
            <w:sz w:val="24"/>
            <w:szCs w:val="24"/>
          </w:rPr>
          <w:t>https://www.birmingham.ac.uk/research/chasm/research/projects/housing-wealth-gap.aspx</w:t>
        </w:r>
      </w:hyperlink>
      <w:r>
        <w:rPr>
          <w:rFonts w:ascii="Times New Roman" w:hAnsi="Times New Roman" w:cs="Times New Roman"/>
          <w:iCs/>
          <w:sz w:val="24"/>
          <w:szCs w:val="24"/>
        </w:rPr>
        <w:t xml:space="preserve"> Accessed on 20/11/2019</w:t>
      </w:r>
    </w:p>
    <w:p w14:paraId="37C6D962" w14:textId="77777777" w:rsidR="00754A5C" w:rsidRDefault="00754A5C" w:rsidP="00BB4979">
      <w:pPr>
        <w:spacing w:after="0" w:line="360" w:lineRule="auto"/>
        <w:jc w:val="both"/>
        <w:rPr>
          <w:rFonts w:ascii="Times New Roman" w:hAnsi="Times New Roman" w:cs="Times New Roman"/>
          <w:iCs/>
          <w:sz w:val="24"/>
          <w:szCs w:val="24"/>
        </w:rPr>
      </w:pPr>
      <w:r w:rsidRPr="00EF7C4F">
        <w:rPr>
          <w:rFonts w:ascii="Times New Roman" w:hAnsi="Times New Roman" w:cs="Times New Roman"/>
          <w:iCs/>
          <w:sz w:val="24"/>
          <w:szCs w:val="24"/>
        </w:rPr>
        <w:t xml:space="preserve">McKee K, Moore T and Crawford J (2015) </w:t>
      </w:r>
      <w:r w:rsidRPr="00754A5C">
        <w:rPr>
          <w:rFonts w:ascii="Times New Roman" w:hAnsi="Times New Roman" w:cs="Times New Roman"/>
          <w:i/>
          <w:sz w:val="24"/>
          <w:szCs w:val="24"/>
        </w:rPr>
        <w:t>Understanding the Housing Aspirations of People in Scotland</w:t>
      </w:r>
      <w:r w:rsidRPr="00EF7C4F">
        <w:rPr>
          <w:rFonts w:ascii="Times New Roman" w:hAnsi="Times New Roman" w:cs="Times New Roman"/>
          <w:iCs/>
          <w:sz w:val="24"/>
          <w:szCs w:val="24"/>
        </w:rPr>
        <w:t>. Edinburgh: Scottish Government.</w:t>
      </w:r>
    </w:p>
    <w:p w14:paraId="628E682E" w14:textId="27FAC60C" w:rsidR="00754A5C" w:rsidRPr="00B00EDB" w:rsidRDefault="00754A5C" w:rsidP="005B42D9">
      <w:pPr>
        <w:spacing w:after="0" w:line="360" w:lineRule="auto"/>
        <w:jc w:val="both"/>
        <w:rPr>
          <w:rFonts w:ascii="Times New Roman" w:hAnsi="Times New Roman" w:cs="Times New Roman"/>
          <w:iCs/>
          <w:sz w:val="24"/>
          <w:szCs w:val="24"/>
        </w:rPr>
      </w:pPr>
      <w:r w:rsidRPr="006808D4">
        <w:rPr>
          <w:rFonts w:ascii="Times New Roman" w:hAnsi="Times New Roman" w:cs="Times New Roman"/>
          <w:iCs/>
          <w:sz w:val="24"/>
          <w:szCs w:val="24"/>
        </w:rPr>
        <w:t xml:space="preserve">Moore P (2016) </w:t>
      </w:r>
      <w:r w:rsidRPr="00754A5C">
        <w:rPr>
          <w:rFonts w:ascii="Times New Roman" w:hAnsi="Times New Roman" w:cs="Times New Roman"/>
          <w:i/>
          <w:sz w:val="24"/>
          <w:szCs w:val="24"/>
        </w:rPr>
        <w:t>How Britain Voted.</w:t>
      </w:r>
      <w:r w:rsidRPr="006808D4">
        <w:rPr>
          <w:rFonts w:ascii="Times New Roman" w:hAnsi="Times New Roman" w:cs="Times New Roman"/>
          <w:iCs/>
          <w:sz w:val="24"/>
          <w:szCs w:val="24"/>
        </w:rPr>
        <w:t xml:space="preserve"> Available at: </w:t>
      </w:r>
      <w:hyperlink r:id="rId8" w:history="1">
        <w:r w:rsidR="00992359" w:rsidRPr="009A120D">
          <w:rPr>
            <w:rStyle w:val="Hyperlink"/>
            <w:rFonts w:ascii="Times New Roman" w:hAnsi="Times New Roman" w:cs="Times New Roman"/>
            <w:iCs/>
            <w:sz w:val="24"/>
            <w:szCs w:val="24"/>
          </w:rPr>
          <w:t>https://yougov.co.uk/news/2016/06/27/howbritain-voted/</w:t>
        </w:r>
      </w:hyperlink>
      <w:r w:rsidR="00992359">
        <w:rPr>
          <w:rFonts w:ascii="Times New Roman" w:hAnsi="Times New Roman" w:cs="Times New Roman"/>
          <w:iCs/>
          <w:sz w:val="24"/>
          <w:szCs w:val="24"/>
        </w:rPr>
        <w:t xml:space="preserve"> </w:t>
      </w:r>
      <w:r w:rsidRPr="006808D4">
        <w:rPr>
          <w:rFonts w:ascii="Times New Roman" w:hAnsi="Times New Roman" w:cs="Times New Roman"/>
          <w:iCs/>
          <w:sz w:val="24"/>
          <w:szCs w:val="24"/>
        </w:rPr>
        <w:t xml:space="preserve"> (accessed 30 June 2016).</w:t>
      </w:r>
    </w:p>
    <w:p w14:paraId="0C3F95EA" w14:textId="77777777" w:rsidR="00754A5C" w:rsidRDefault="00754A5C" w:rsidP="00BB4979">
      <w:pPr>
        <w:spacing w:after="0" w:line="360" w:lineRule="auto"/>
        <w:jc w:val="both"/>
        <w:rPr>
          <w:rFonts w:ascii="Times New Roman" w:hAnsi="Times New Roman" w:cs="Times New Roman"/>
          <w:iCs/>
          <w:sz w:val="24"/>
          <w:szCs w:val="24"/>
        </w:rPr>
      </w:pPr>
      <w:r w:rsidRPr="00754A5C">
        <w:rPr>
          <w:rFonts w:ascii="Times New Roman" w:hAnsi="Times New Roman" w:cs="Times New Roman"/>
          <w:iCs/>
          <w:sz w:val="24"/>
          <w:szCs w:val="24"/>
        </w:rPr>
        <w:t xml:space="preserve">Pilcher J (1994) </w:t>
      </w:r>
      <w:r w:rsidRPr="00754A5C">
        <w:rPr>
          <w:rFonts w:ascii="Times New Roman" w:hAnsi="Times New Roman" w:cs="Times New Roman"/>
          <w:i/>
          <w:sz w:val="24"/>
          <w:szCs w:val="24"/>
        </w:rPr>
        <w:t>Mannheim’s sociology of generations: An undervalued legacy</w:t>
      </w:r>
      <w:r w:rsidRPr="00754A5C">
        <w:rPr>
          <w:rFonts w:ascii="Times New Roman" w:hAnsi="Times New Roman" w:cs="Times New Roman"/>
          <w:iCs/>
          <w:sz w:val="24"/>
          <w:szCs w:val="24"/>
        </w:rPr>
        <w:t>. British Journal of Sociology 45(3): 481–495.</w:t>
      </w:r>
    </w:p>
    <w:p w14:paraId="7E66E661" w14:textId="77777777" w:rsidR="00754A5C" w:rsidRDefault="00754A5C" w:rsidP="00BB4979">
      <w:pPr>
        <w:spacing w:after="0" w:line="360" w:lineRule="auto"/>
        <w:jc w:val="both"/>
        <w:rPr>
          <w:rFonts w:ascii="Times New Roman" w:hAnsi="Times New Roman" w:cs="Times New Roman"/>
          <w:iCs/>
          <w:sz w:val="24"/>
          <w:szCs w:val="24"/>
        </w:rPr>
      </w:pPr>
      <w:r w:rsidRPr="00754A5C">
        <w:rPr>
          <w:rFonts w:ascii="Times New Roman" w:hAnsi="Times New Roman" w:cs="Times New Roman"/>
          <w:iCs/>
          <w:sz w:val="24"/>
          <w:szCs w:val="24"/>
        </w:rPr>
        <w:t xml:space="preserve">Woodman D and Wyn J (2015) </w:t>
      </w:r>
      <w:r w:rsidRPr="00754A5C">
        <w:rPr>
          <w:rFonts w:ascii="Times New Roman" w:hAnsi="Times New Roman" w:cs="Times New Roman"/>
          <w:i/>
          <w:sz w:val="24"/>
          <w:szCs w:val="24"/>
        </w:rPr>
        <w:t>Youth and Generation: Rethinking Change and Inequality in the Lives of Young People</w:t>
      </w:r>
      <w:r w:rsidRPr="00754A5C">
        <w:rPr>
          <w:rFonts w:ascii="Times New Roman" w:hAnsi="Times New Roman" w:cs="Times New Roman"/>
          <w:iCs/>
          <w:sz w:val="24"/>
          <w:szCs w:val="24"/>
        </w:rPr>
        <w:t>. London: SAGE Publications Ltd.</w:t>
      </w:r>
    </w:p>
    <w:sectPr w:rsidR="00754A5C">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439F70" w14:textId="77777777" w:rsidR="003C21E7" w:rsidRDefault="003C21E7" w:rsidP="003C21E7">
      <w:pPr>
        <w:spacing w:after="0" w:line="240" w:lineRule="auto"/>
      </w:pPr>
      <w:r>
        <w:separator/>
      </w:r>
    </w:p>
  </w:endnote>
  <w:endnote w:type="continuationSeparator" w:id="0">
    <w:p w14:paraId="5E097F95" w14:textId="77777777" w:rsidR="003C21E7" w:rsidRDefault="003C21E7" w:rsidP="003C21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86811469"/>
      <w:docPartObj>
        <w:docPartGallery w:val="Page Numbers (Bottom of Page)"/>
        <w:docPartUnique/>
      </w:docPartObj>
    </w:sdtPr>
    <w:sdtEndPr>
      <w:rPr>
        <w:rFonts w:ascii="Times New Roman" w:hAnsi="Times New Roman" w:cs="Times New Roman"/>
        <w:noProof/>
      </w:rPr>
    </w:sdtEndPr>
    <w:sdtContent>
      <w:p w14:paraId="75B8AD38" w14:textId="77777777" w:rsidR="003C21E7" w:rsidRPr="003C21E7" w:rsidRDefault="003C21E7">
        <w:pPr>
          <w:pStyle w:val="Footer"/>
          <w:jc w:val="center"/>
          <w:rPr>
            <w:rFonts w:ascii="Times New Roman" w:hAnsi="Times New Roman" w:cs="Times New Roman"/>
          </w:rPr>
        </w:pPr>
        <w:r w:rsidRPr="003C21E7">
          <w:rPr>
            <w:rFonts w:ascii="Times New Roman" w:hAnsi="Times New Roman" w:cs="Times New Roman"/>
          </w:rPr>
          <w:fldChar w:fldCharType="begin"/>
        </w:r>
        <w:r w:rsidRPr="003C21E7">
          <w:rPr>
            <w:rFonts w:ascii="Times New Roman" w:hAnsi="Times New Roman" w:cs="Times New Roman"/>
          </w:rPr>
          <w:instrText xml:space="preserve"> PAGE   \* MERGEFORMAT </w:instrText>
        </w:r>
        <w:r w:rsidRPr="003C21E7">
          <w:rPr>
            <w:rFonts w:ascii="Times New Roman" w:hAnsi="Times New Roman" w:cs="Times New Roman"/>
          </w:rPr>
          <w:fldChar w:fldCharType="separate"/>
        </w:r>
        <w:r w:rsidR="00B578BE">
          <w:rPr>
            <w:rFonts w:ascii="Times New Roman" w:hAnsi="Times New Roman" w:cs="Times New Roman"/>
            <w:noProof/>
          </w:rPr>
          <w:t>1</w:t>
        </w:r>
        <w:r w:rsidRPr="003C21E7">
          <w:rPr>
            <w:rFonts w:ascii="Times New Roman" w:hAnsi="Times New Roman" w:cs="Times New Roman"/>
            <w:noProof/>
          </w:rPr>
          <w:fldChar w:fldCharType="end"/>
        </w:r>
      </w:p>
    </w:sdtContent>
  </w:sdt>
  <w:p w14:paraId="48DA2A5D" w14:textId="77777777" w:rsidR="003C21E7" w:rsidRDefault="003C21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13481D" w14:textId="77777777" w:rsidR="003C21E7" w:rsidRDefault="003C21E7" w:rsidP="003C21E7">
      <w:pPr>
        <w:spacing w:after="0" w:line="240" w:lineRule="auto"/>
      </w:pPr>
      <w:r>
        <w:separator/>
      </w:r>
    </w:p>
  </w:footnote>
  <w:footnote w:type="continuationSeparator" w:id="0">
    <w:p w14:paraId="77F4FC54" w14:textId="77777777" w:rsidR="003C21E7" w:rsidRDefault="003C21E7" w:rsidP="003C21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A2AE7B" w14:textId="5B5659D8" w:rsidR="003C21E7" w:rsidRPr="003C21E7" w:rsidRDefault="003C21E7" w:rsidP="003C21E7">
    <w:pPr>
      <w:pStyle w:val="Header"/>
      <w:jc w:val="center"/>
      <w:rPr>
        <w:rFonts w:ascii="Times New Roman" w:hAnsi="Times New Roman" w:cs="Times New Roman"/>
      </w:rPr>
    </w:pPr>
    <w:r w:rsidRPr="003C21E7">
      <w:rPr>
        <w:rFonts w:ascii="Times New Roman" w:hAnsi="Times New Roman" w:cs="Times New Roman"/>
      </w:rPr>
      <w:t xml:space="preserve">Module Code: </w:t>
    </w:r>
    <w:r w:rsidR="00E4105F">
      <w:rPr>
        <w:rFonts w:ascii="Times New Roman" w:hAnsi="Times New Roman" w:cs="Times New Roman"/>
      </w:rPr>
      <w:t>ECGE4001Q</w:t>
    </w:r>
  </w:p>
  <w:p w14:paraId="240C87E4" w14:textId="02D25C5D" w:rsidR="003C21E7" w:rsidRPr="003C21E7" w:rsidRDefault="003C21E7" w:rsidP="003C21E7">
    <w:pPr>
      <w:pStyle w:val="Header"/>
      <w:jc w:val="center"/>
      <w:rPr>
        <w:rFonts w:ascii="Times New Roman" w:hAnsi="Times New Roman" w:cs="Times New Roman"/>
      </w:rPr>
    </w:pPr>
    <w:r w:rsidRPr="003C21E7">
      <w:rPr>
        <w:rFonts w:ascii="Times New Roman" w:hAnsi="Times New Roman" w:cs="Times New Roman"/>
      </w:rPr>
      <w:t xml:space="preserve">Assessment number: </w:t>
    </w:r>
    <w:r w:rsidR="00E4105F">
      <w:rPr>
        <w:rFonts w:ascii="Times New Roman" w:hAnsi="Times New Roman" w:cs="Times New Roman"/>
      </w:rPr>
      <w:t>1</w:t>
    </w:r>
  </w:p>
  <w:p w14:paraId="0FC5FC30" w14:textId="10327E63" w:rsidR="003C21E7" w:rsidRDefault="003C21E7" w:rsidP="003C21E7">
    <w:pPr>
      <w:pStyle w:val="Header"/>
      <w:jc w:val="center"/>
      <w:rPr>
        <w:rFonts w:ascii="Times New Roman" w:hAnsi="Times New Roman" w:cs="Times New Roman"/>
      </w:rPr>
    </w:pPr>
    <w:r w:rsidRPr="003C21E7">
      <w:rPr>
        <w:rFonts w:ascii="Times New Roman" w:hAnsi="Times New Roman" w:cs="Times New Roman"/>
      </w:rPr>
      <w:t xml:space="preserve">Student Number: </w:t>
    </w:r>
    <w:r w:rsidR="00E4105F">
      <w:rPr>
        <w:rFonts w:ascii="Times New Roman" w:hAnsi="Times New Roman" w:cs="Times New Roman"/>
      </w:rPr>
      <w:t>1804460</w:t>
    </w:r>
  </w:p>
  <w:p w14:paraId="3968866B" w14:textId="77777777" w:rsidR="003C21E7" w:rsidRPr="003C21E7" w:rsidRDefault="003C21E7" w:rsidP="003C21E7">
    <w:pPr>
      <w:pStyle w:val="Header"/>
      <w:jc w:val="cent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0678E6"/>
    <w:multiLevelType w:val="hybridMultilevel"/>
    <w:tmpl w:val="DEB20A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7C1696"/>
    <w:multiLevelType w:val="hybridMultilevel"/>
    <w:tmpl w:val="5E1CC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7930C9"/>
    <w:multiLevelType w:val="hybridMultilevel"/>
    <w:tmpl w:val="A7EA3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540961"/>
    <w:multiLevelType w:val="hybridMultilevel"/>
    <w:tmpl w:val="02E085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1E7"/>
    <w:rsid w:val="00025E92"/>
    <w:rsid w:val="000E24ED"/>
    <w:rsid w:val="00131734"/>
    <w:rsid w:val="001E6A09"/>
    <w:rsid w:val="001E7AD2"/>
    <w:rsid w:val="001F56A1"/>
    <w:rsid w:val="00203D6A"/>
    <w:rsid w:val="00271E4D"/>
    <w:rsid w:val="00285E86"/>
    <w:rsid w:val="002877B8"/>
    <w:rsid w:val="002E1E6E"/>
    <w:rsid w:val="00306A55"/>
    <w:rsid w:val="003C21E7"/>
    <w:rsid w:val="00400AB2"/>
    <w:rsid w:val="00404BC9"/>
    <w:rsid w:val="004A01EC"/>
    <w:rsid w:val="005063E1"/>
    <w:rsid w:val="00530F26"/>
    <w:rsid w:val="00572BBC"/>
    <w:rsid w:val="005A2587"/>
    <w:rsid w:val="005B42D9"/>
    <w:rsid w:val="005C0F1F"/>
    <w:rsid w:val="005D19FF"/>
    <w:rsid w:val="006808D4"/>
    <w:rsid w:val="00680B76"/>
    <w:rsid w:val="006C05E0"/>
    <w:rsid w:val="006F756A"/>
    <w:rsid w:val="007055C6"/>
    <w:rsid w:val="00721C25"/>
    <w:rsid w:val="00754A5C"/>
    <w:rsid w:val="007A41CE"/>
    <w:rsid w:val="007D78D8"/>
    <w:rsid w:val="008551E7"/>
    <w:rsid w:val="00882F21"/>
    <w:rsid w:val="008F10D8"/>
    <w:rsid w:val="008F59B3"/>
    <w:rsid w:val="00920AB2"/>
    <w:rsid w:val="00932BDD"/>
    <w:rsid w:val="0093350B"/>
    <w:rsid w:val="00992359"/>
    <w:rsid w:val="00A05908"/>
    <w:rsid w:val="00A3633C"/>
    <w:rsid w:val="00A81458"/>
    <w:rsid w:val="00A822EF"/>
    <w:rsid w:val="00B00EDB"/>
    <w:rsid w:val="00B277FD"/>
    <w:rsid w:val="00B418D4"/>
    <w:rsid w:val="00B578BE"/>
    <w:rsid w:val="00BB4979"/>
    <w:rsid w:val="00BF2A94"/>
    <w:rsid w:val="00C16D43"/>
    <w:rsid w:val="00C52DBC"/>
    <w:rsid w:val="00C62847"/>
    <w:rsid w:val="00C67E25"/>
    <w:rsid w:val="00D22167"/>
    <w:rsid w:val="00D7559C"/>
    <w:rsid w:val="00D939DE"/>
    <w:rsid w:val="00DA4806"/>
    <w:rsid w:val="00DA5965"/>
    <w:rsid w:val="00E4105F"/>
    <w:rsid w:val="00E569C2"/>
    <w:rsid w:val="00EC4A5A"/>
    <w:rsid w:val="00EF7C4F"/>
    <w:rsid w:val="00F918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3E9379"/>
  <w15:chartTrackingRefBased/>
  <w15:docId w15:val="{3FD23717-553B-465A-82A6-D6B2D96ED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6A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21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21E7"/>
  </w:style>
  <w:style w:type="paragraph" w:styleId="Footer">
    <w:name w:val="footer"/>
    <w:basedOn w:val="Normal"/>
    <w:link w:val="FooterChar"/>
    <w:uiPriority w:val="99"/>
    <w:unhideWhenUsed/>
    <w:rsid w:val="003C21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21E7"/>
  </w:style>
  <w:style w:type="paragraph" w:styleId="ListParagraph">
    <w:name w:val="List Paragraph"/>
    <w:basedOn w:val="Normal"/>
    <w:uiPriority w:val="34"/>
    <w:qFormat/>
    <w:rsid w:val="003C21E7"/>
    <w:pPr>
      <w:ind w:left="720"/>
      <w:contextualSpacing/>
    </w:pPr>
  </w:style>
  <w:style w:type="character" w:styleId="Hyperlink">
    <w:name w:val="Hyperlink"/>
    <w:basedOn w:val="DefaultParagraphFont"/>
    <w:uiPriority w:val="99"/>
    <w:unhideWhenUsed/>
    <w:rsid w:val="006808D4"/>
    <w:rPr>
      <w:color w:val="0563C1" w:themeColor="hyperlink"/>
      <w:u w:val="single"/>
    </w:rPr>
  </w:style>
  <w:style w:type="character" w:styleId="UnresolvedMention">
    <w:name w:val="Unresolved Mention"/>
    <w:basedOn w:val="DefaultParagraphFont"/>
    <w:uiPriority w:val="99"/>
    <w:semiHidden/>
    <w:unhideWhenUsed/>
    <w:rsid w:val="006808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gov.co.uk/news/2016/06/27/howbritain-voted/" TargetMode="External"/><Relationship Id="rId3" Type="http://schemas.openxmlformats.org/officeDocument/2006/relationships/settings" Target="settings.xml"/><Relationship Id="rId7" Type="http://schemas.openxmlformats.org/officeDocument/2006/relationships/hyperlink" Target="https://www.birmingham.ac.uk/research/chasm/research/projects/housing-wealth-gap.asp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1515</TotalTime>
  <Pages>6</Pages>
  <Words>1852</Words>
  <Characters>10560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Lohmann-Hancock</dc:creator>
  <cp:keywords/>
  <dc:description/>
  <cp:lastModifiedBy>Jen Davies</cp:lastModifiedBy>
  <cp:revision>13</cp:revision>
  <dcterms:created xsi:type="dcterms:W3CDTF">2019-11-21T09:03:00Z</dcterms:created>
  <dcterms:modified xsi:type="dcterms:W3CDTF">2019-12-13T10:15:00Z</dcterms:modified>
</cp:coreProperties>
</file>