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2C3F2A" w14:textId="1CCD927E" w:rsidR="00FD316D" w:rsidRDefault="00FD316D" w:rsidP="00281107">
      <w:pPr>
        <w:spacing w:line="360" w:lineRule="auto"/>
        <w:jc w:val="both"/>
        <w:rPr>
          <w:rFonts w:ascii="Arial" w:hAnsi="Arial" w:cs="Arial"/>
        </w:rPr>
      </w:pPr>
    </w:p>
    <w:p w14:paraId="153ADBFB" w14:textId="77777777" w:rsidR="00FD316D" w:rsidRDefault="00FD316D" w:rsidP="00281107">
      <w:pPr>
        <w:spacing w:line="360" w:lineRule="auto"/>
        <w:jc w:val="both"/>
        <w:rPr>
          <w:rFonts w:ascii="Arial" w:hAnsi="Arial" w:cs="Arial"/>
        </w:rPr>
      </w:pPr>
    </w:p>
    <w:sdt>
      <w:sdtPr>
        <w:rPr>
          <w:rFonts w:ascii="Arial" w:hAnsi="Arial" w:cs="Arial"/>
        </w:rPr>
        <w:id w:val="1824546034"/>
        <w:docPartObj>
          <w:docPartGallery w:val="Cover Pages"/>
          <w:docPartUnique/>
        </w:docPartObj>
      </w:sdtPr>
      <w:sdtEndPr>
        <w:rPr>
          <w:b/>
          <w:bCs/>
        </w:rPr>
      </w:sdtEndPr>
      <w:sdtContent>
        <w:p w14:paraId="0E29DE39" w14:textId="5809B331" w:rsidR="001634F8" w:rsidRPr="002D010D" w:rsidRDefault="001634F8" w:rsidP="00281107">
          <w:pPr>
            <w:spacing w:line="360" w:lineRule="auto"/>
            <w:jc w:val="both"/>
            <w:rPr>
              <w:rFonts w:ascii="Arial" w:hAnsi="Arial" w:cs="Arial"/>
            </w:rPr>
          </w:pPr>
          <w:r w:rsidRPr="002D010D">
            <w:rPr>
              <w:rFonts w:ascii="Arial" w:hAnsi="Arial" w:cs="Arial"/>
              <w:noProof/>
            </w:rPr>
            <mc:AlternateContent>
              <mc:Choice Requires="wpg">
                <w:drawing>
                  <wp:anchor distT="0" distB="0" distL="114300" distR="114300" simplePos="0" relativeHeight="251669504" behindDoc="0" locked="0" layoutInCell="1" allowOverlap="1" wp14:anchorId="773EDFD5" wp14:editId="421DF8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C9208D" id="Group 157"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2D010D">
            <w:rPr>
              <w:rFonts w:ascii="Arial" w:hAnsi="Arial" w:cs="Arial"/>
              <w:noProof/>
            </w:rPr>
            <mc:AlternateContent>
              <mc:Choice Requires="wps">
                <w:drawing>
                  <wp:anchor distT="0" distB="0" distL="114300" distR="114300" simplePos="0" relativeHeight="251667456" behindDoc="0" locked="0" layoutInCell="1" allowOverlap="1" wp14:anchorId="12C96B1F" wp14:editId="541F3C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5F35CE" w14:textId="015DB41A" w:rsidR="001634F8" w:rsidRPr="00311D26" w:rsidRDefault="00AC4B23" w:rsidP="009E5C0C">
                                    <w:pPr>
                                      <w:pStyle w:val="NoSpacing"/>
                                      <w:spacing w:line="360" w:lineRule="auto"/>
                                      <w:jc w:val="right"/>
                                      <w:rPr>
                                        <w:rFonts w:ascii="Arial" w:hAnsi="Arial" w:cs="Arial"/>
                                        <w:sz w:val="24"/>
                                        <w:szCs w:val="24"/>
                                      </w:rPr>
                                    </w:pPr>
                                    <w:r w:rsidRPr="00311D26">
                                      <w:rPr>
                                        <w:rFonts w:ascii="Arial" w:hAnsi="Arial" w:cs="Arial"/>
                                        <w:sz w:val="24"/>
                                        <w:szCs w:val="24"/>
                                      </w:rPr>
                                      <w:t xml:space="preserve">Student: </w:t>
                                    </w:r>
                                    <w:r w:rsidR="001634F8" w:rsidRPr="00311D26">
                                      <w:rPr>
                                        <w:rFonts w:ascii="Arial" w:hAnsi="Arial" w:cs="Arial"/>
                                        <w:sz w:val="24"/>
                                        <w:szCs w:val="24"/>
                                      </w:rPr>
                                      <w:t xml:space="preserve">Livia </w:t>
                                    </w:r>
                                    <w:r w:rsidRPr="00311D26">
                                      <w:rPr>
                                        <w:rFonts w:ascii="Arial" w:hAnsi="Arial" w:cs="Arial"/>
                                        <w:sz w:val="24"/>
                                        <w:szCs w:val="24"/>
                                      </w:rPr>
                                      <w:t xml:space="preserve">Monica </w:t>
                                    </w:r>
                                    <w:r w:rsidR="001634F8" w:rsidRPr="00311D26">
                                      <w:rPr>
                                        <w:rFonts w:ascii="Arial" w:hAnsi="Arial" w:cs="Arial"/>
                                        <w:sz w:val="24"/>
                                        <w:szCs w:val="24"/>
                                      </w:rPr>
                                      <w:t>Dragan (2130234)</w:t>
                                    </w:r>
                                  </w:p>
                                </w:sdtContent>
                              </w:sdt>
                              <w:p w14:paraId="599FF301" w14:textId="38AD04DA" w:rsidR="001634F8" w:rsidRPr="00311D26" w:rsidRDefault="00000000" w:rsidP="009E5C0C">
                                <w:pPr>
                                  <w:pStyle w:val="NoSpacing"/>
                                  <w:spacing w:line="360" w:lineRule="auto"/>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AC4B23" w:rsidRPr="00311D26">
                                      <w:rPr>
                                        <w:rFonts w:ascii="Arial" w:hAnsi="Arial" w:cs="Arial"/>
                                        <w:sz w:val="24"/>
                                        <w:szCs w:val="24"/>
                                      </w:rPr>
                                      <w:t xml:space="preserve">Lecturer: </w:t>
                                    </w:r>
                                    <w:r w:rsidR="000F5BBC">
                                      <w:rPr>
                                        <w:rFonts w:ascii="Arial" w:hAnsi="Arial" w:cs="Arial"/>
                                        <w:sz w:val="24"/>
                                        <w:szCs w:val="24"/>
                                      </w:rPr>
                                      <w:t xml:space="preserve">Dr. </w:t>
                                    </w:r>
                                    <w:r w:rsidR="00AC4B23" w:rsidRPr="00311D26">
                                      <w:rPr>
                                        <w:rFonts w:ascii="Arial" w:hAnsi="Arial" w:cs="Arial"/>
                                        <w:sz w:val="24"/>
                                        <w:szCs w:val="24"/>
                                      </w:rPr>
                                      <w:t>Abdallah Naser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C96B1F"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74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5F35CE" w14:textId="015DB41A" w:rsidR="001634F8" w:rsidRPr="00311D26" w:rsidRDefault="00AC4B23" w:rsidP="009E5C0C">
                              <w:pPr>
                                <w:pStyle w:val="NoSpacing"/>
                                <w:spacing w:line="360" w:lineRule="auto"/>
                                <w:jc w:val="right"/>
                                <w:rPr>
                                  <w:rFonts w:ascii="Arial" w:hAnsi="Arial" w:cs="Arial"/>
                                  <w:sz w:val="24"/>
                                  <w:szCs w:val="24"/>
                                </w:rPr>
                              </w:pPr>
                              <w:r w:rsidRPr="00311D26">
                                <w:rPr>
                                  <w:rFonts w:ascii="Arial" w:hAnsi="Arial" w:cs="Arial"/>
                                  <w:sz w:val="24"/>
                                  <w:szCs w:val="24"/>
                                </w:rPr>
                                <w:t xml:space="preserve">Student: </w:t>
                              </w:r>
                              <w:r w:rsidR="001634F8" w:rsidRPr="00311D26">
                                <w:rPr>
                                  <w:rFonts w:ascii="Arial" w:hAnsi="Arial" w:cs="Arial"/>
                                  <w:sz w:val="24"/>
                                  <w:szCs w:val="24"/>
                                </w:rPr>
                                <w:t xml:space="preserve">Livia </w:t>
                              </w:r>
                              <w:r w:rsidRPr="00311D26">
                                <w:rPr>
                                  <w:rFonts w:ascii="Arial" w:hAnsi="Arial" w:cs="Arial"/>
                                  <w:sz w:val="24"/>
                                  <w:szCs w:val="24"/>
                                </w:rPr>
                                <w:t xml:space="preserve">Monica </w:t>
                              </w:r>
                              <w:r w:rsidR="001634F8" w:rsidRPr="00311D26">
                                <w:rPr>
                                  <w:rFonts w:ascii="Arial" w:hAnsi="Arial" w:cs="Arial"/>
                                  <w:sz w:val="24"/>
                                  <w:szCs w:val="24"/>
                                </w:rPr>
                                <w:t>Dragan (2130234)</w:t>
                              </w:r>
                            </w:p>
                          </w:sdtContent>
                        </w:sdt>
                        <w:p w14:paraId="599FF301" w14:textId="38AD04DA" w:rsidR="001634F8" w:rsidRPr="00311D26" w:rsidRDefault="00000000" w:rsidP="009E5C0C">
                          <w:pPr>
                            <w:pStyle w:val="NoSpacing"/>
                            <w:spacing w:line="360" w:lineRule="auto"/>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AC4B23" w:rsidRPr="00311D26">
                                <w:rPr>
                                  <w:rFonts w:ascii="Arial" w:hAnsi="Arial" w:cs="Arial"/>
                                  <w:sz w:val="24"/>
                                  <w:szCs w:val="24"/>
                                </w:rPr>
                                <w:t xml:space="preserve">Lecturer: </w:t>
                              </w:r>
                              <w:r w:rsidR="000F5BBC">
                                <w:rPr>
                                  <w:rFonts w:ascii="Arial" w:hAnsi="Arial" w:cs="Arial"/>
                                  <w:sz w:val="24"/>
                                  <w:szCs w:val="24"/>
                                </w:rPr>
                                <w:t xml:space="preserve">Dr. </w:t>
                              </w:r>
                              <w:r w:rsidR="00AC4B23" w:rsidRPr="00311D26">
                                <w:rPr>
                                  <w:rFonts w:ascii="Arial" w:hAnsi="Arial" w:cs="Arial"/>
                                  <w:sz w:val="24"/>
                                  <w:szCs w:val="24"/>
                                </w:rPr>
                                <w:t>Abdallah Naser</w:t>
                              </w:r>
                            </w:sdtContent>
                          </w:sdt>
                        </w:p>
                      </w:txbxContent>
                    </v:textbox>
                    <w10:wrap type="square" anchorx="page" anchory="page"/>
                  </v:shape>
                </w:pict>
              </mc:Fallback>
            </mc:AlternateContent>
          </w:r>
        </w:p>
        <w:p w14:paraId="5F83123A" w14:textId="01585D85" w:rsidR="001634F8" w:rsidRPr="002D010D" w:rsidRDefault="00427740" w:rsidP="00281107">
          <w:pPr>
            <w:spacing w:line="360" w:lineRule="auto"/>
            <w:jc w:val="both"/>
            <w:rPr>
              <w:rFonts w:ascii="Arial" w:hAnsi="Arial" w:cs="Arial"/>
              <w:b/>
              <w:bCs/>
            </w:rPr>
          </w:pPr>
          <w:r w:rsidRPr="002D010D">
            <w:rPr>
              <w:rFonts w:ascii="Arial" w:hAnsi="Arial" w:cs="Arial"/>
              <w:noProof/>
            </w:rPr>
            <mc:AlternateContent>
              <mc:Choice Requires="wps">
                <w:drawing>
                  <wp:anchor distT="0" distB="0" distL="114300" distR="114300" simplePos="0" relativeHeight="251666432" behindDoc="0" locked="0" layoutInCell="1" allowOverlap="1" wp14:anchorId="0814F7E1" wp14:editId="0F38D44E">
                    <wp:simplePos x="0" y="0"/>
                    <wp:positionH relativeFrom="page">
                      <wp:posOffset>-45720</wp:posOffset>
                    </wp:positionH>
                    <wp:positionV relativeFrom="page">
                      <wp:posOffset>2346960</wp:posOffset>
                    </wp:positionV>
                    <wp:extent cx="7208520" cy="2595880"/>
                    <wp:effectExtent l="0" t="0" r="0" b="13970"/>
                    <wp:wrapSquare wrapText="bothSides"/>
                    <wp:docPr id="154" name="Text Box 163"/>
                    <wp:cNvGraphicFramePr/>
                    <a:graphic xmlns:a="http://schemas.openxmlformats.org/drawingml/2006/main">
                      <a:graphicData uri="http://schemas.microsoft.com/office/word/2010/wordprocessingShape">
                        <wps:wsp>
                          <wps:cNvSpPr txBox="1"/>
                          <wps:spPr>
                            <a:xfrm>
                              <a:off x="0" y="0"/>
                              <a:ext cx="7208520" cy="259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D9E37E" w14:textId="420D0D9E" w:rsidR="001634F8" w:rsidRPr="00311D26" w:rsidRDefault="00000000" w:rsidP="00311D26">
                                <w:pPr>
                                  <w:rPr>
                                    <w:rFonts w:ascii="Arial" w:hAnsi="Arial" w:cs="Arial"/>
                                    <w:b/>
                                    <w:bCs/>
                                    <w:sz w:val="40"/>
                                    <w:szCs w:val="40"/>
                                  </w:rPr>
                                </w:pPr>
                                <w:sdt>
                                  <w:sdtPr>
                                    <w:rPr>
                                      <w:rFonts w:ascii="Arial" w:hAnsi="Arial" w:cs="Arial"/>
                                      <w:b/>
                                      <w:bCs/>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27740" w:rsidRPr="00311D26">
                                      <w:rPr>
                                        <w:rFonts w:ascii="Arial" w:hAnsi="Arial" w:cs="Arial"/>
                                        <w:b/>
                                        <w:bCs/>
                                        <w:caps/>
                                        <w:sz w:val="40"/>
                                        <w:szCs w:val="40"/>
                                      </w:rPr>
                                      <w:t>Strategic management for sme’s</w:t>
                                    </w:r>
                                  </w:sdtContent>
                                </w:sdt>
                              </w:p>
                              <w:sdt>
                                <w:sdtPr>
                                  <w:rPr>
                                    <w:rFonts w:ascii="Arial" w:hAnsi="Arial"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F92C65" w14:textId="54BCEAC9" w:rsidR="001634F8" w:rsidRPr="00311D26" w:rsidRDefault="00427740" w:rsidP="009A19F4">
                                    <w:pPr>
                                      <w:spacing w:line="360" w:lineRule="auto"/>
                                      <w:rPr>
                                        <w:rFonts w:ascii="Arial" w:hAnsi="Arial" w:cs="Arial"/>
                                        <w:smallCaps/>
                                        <w:sz w:val="28"/>
                                        <w:szCs w:val="28"/>
                                      </w:rPr>
                                    </w:pPr>
                                    <w:r w:rsidRPr="00311D26">
                                      <w:rPr>
                                        <w:rFonts w:ascii="Arial" w:hAnsi="Arial" w:cs="Arial"/>
                                        <w:sz w:val="28"/>
                                        <w:szCs w:val="28"/>
                                      </w:rPr>
                                      <w:t>BA Leadership and Management Skills for the Workplace BMSW 6104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814F7E1" id="Text Box 163" o:spid="_x0000_s1027" type="#_x0000_t202" style="position:absolute;left:0;text-align:left;margin-left:-3.6pt;margin-top:184.8pt;width:567.6pt;height:204.4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" filled="f" stroked="f" strokeweight=".5pt">
                    <v:textbox inset="126pt,0,54pt,0">
                      <w:txbxContent>
                        <w:p w14:paraId="46D9E37E" w14:textId="420D0D9E" w:rsidR="001634F8" w:rsidRPr="00311D26" w:rsidRDefault="00000000" w:rsidP="00311D26">
                          <w:pPr>
                            <w:rPr>
                              <w:rFonts w:ascii="Arial" w:hAnsi="Arial" w:cs="Arial"/>
                              <w:b/>
                              <w:bCs/>
                              <w:sz w:val="40"/>
                              <w:szCs w:val="40"/>
                            </w:rPr>
                          </w:pPr>
                          <w:sdt>
                            <w:sdtPr>
                              <w:rPr>
                                <w:rFonts w:ascii="Arial" w:hAnsi="Arial" w:cs="Arial"/>
                                <w:b/>
                                <w:bCs/>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27740" w:rsidRPr="00311D26">
                                <w:rPr>
                                  <w:rFonts w:ascii="Arial" w:hAnsi="Arial" w:cs="Arial"/>
                                  <w:b/>
                                  <w:bCs/>
                                  <w:caps/>
                                  <w:sz w:val="40"/>
                                  <w:szCs w:val="40"/>
                                </w:rPr>
                                <w:t>Strategic management for sme’s</w:t>
                              </w:r>
                            </w:sdtContent>
                          </w:sdt>
                        </w:p>
                        <w:sdt>
                          <w:sdtPr>
                            <w:rPr>
                              <w:rFonts w:ascii="Arial" w:hAnsi="Arial"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F92C65" w14:textId="54BCEAC9" w:rsidR="001634F8" w:rsidRPr="00311D26" w:rsidRDefault="00427740" w:rsidP="009A19F4">
                              <w:pPr>
                                <w:spacing w:line="360" w:lineRule="auto"/>
                                <w:rPr>
                                  <w:rFonts w:ascii="Arial" w:hAnsi="Arial" w:cs="Arial"/>
                                  <w:smallCaps/>
                                  <w:sz w:val="28"/>
                                  <w:szCs w:val="28"/>
                                </w:rPr>
                              </w:pPr>
                              <w:r w:rsidRPr="00311D26">
                                <w:rPr>
                                  <w:rFonts w:ascii="Arial" w:hAnsi="Arial" w:cs="Arial"/>
                                  <w:sz w:val="28"/>
                                  <w:szCs w:val="28"/>
                                </w:rPr>
                                <w:t>BA Leadership and Management Skills for the Workplace BMSW 6104</w:t>
                              </w:r>
                            </w:p>
                          </w:sdtContent>
                        </w:sdt>
                      </w:txbxContent>
                    </v:textbox>
                    <w10:wrap type="square" anchorx="page" anchory="page"/>
                  </v:shape>
                </w:pict>
              </mc:Fallback>
            </mc:AlternateContent>
          </w:r>
          <w:r w:rsidR="001634F8" w:rsidRPr="002D010D">
            <w:rPr>
              <w:rFonts w:ascii="Arial" w:hAnsi="Arial" w:cs="Arial"/>
              <w:b/>
              <w:bCs/>
            </w:rPr>
            <w:br w:type="page"/>
          </w:r>
        </w:p>
      </w:sdtContent>
    </w:sdt>
    <w:p w14:paraId="1EF7618F" w14:textId="77777777" w:rsidR="00B341AE" w:rsidRPr="002D010D" w:rsidRDefault="00B341AE" w:rsidP="00281107">
      <w:pPr>
        <w:spacing w:line="360" w:lineRule="auto"/>
        <w:jc w:val="both"/>
        <w:rPr>
          <w:rFonts w:ascii="Arial" w:hAnsi="Arial" w:cs="Arial"/>
          <w:b/>
          <w:bCs/>
        </w:rPr>
        <w:sectPr w:rsidR="00B341AE" w:rsidRPr="002D010D" w:rsidSect="001634F8">
          <w:footerReference w:type="default" r:id="rId10"/>
          <w:footerReference w:type="first" r:id="rId11"/>
          <w:pgSz w:w="11906" w:h="16838"/>
          <w:pgMar w:top="1440" w:right="1440" w:bottom="1440" w:left="1440" w:header="708" w:footer="708" w:gutter="0"/>
          <w:pgNumType w:start="0"/>
          <w:cols w:space="708"/>
          <w:titlePg/>
          <w:docGrid w:linePitch="360"/>
        </w:sectPr>
      </w:pPr>
    </w:p>
    <w:sdt>
      <w:sdtPr>
        <w:rPr>
          <w:rFonts w:ascii="Arial" w:eastAsiaTheme="minorHAnsi" w:hAnsi="Arial" w:cs="Arial"/>
          <w:color w:val="auto"/>
          <w:kern w:val="2"/>
          <w:sz w:val="22"/>
          <w:szCs w:val="22"/>
          <w:lang w:val="en-GB"/>
          <w14:ligatures w14:val="standardContextual"/>
        </w:rPr>
        <w:id w:val="1365634175"/>
        <w:docPartObj>
          <w:docPartGallery w:val="Table of Contents"/>
          <w:docPartUnique/>
        </w:docPartObj>
      </w:sdtPr>
      <w:sdtEndPr>
        <w:rPr>
          <w:b/>
          <w:bCs/>
          <w:noProof/>
        </w:rPr>
      </w:sdtEndPr>
      <w:sdtContent>
        <w:p w14:paraId="12ED7F17" w14:textId="45F02472" w:rsidR="00A523B3" w:rsidRPr="008F4E29" w:rsidRDefault="00A523B3" w:rsidP="008F4E29">
          <w:pPr>
            <w:pStyle w:val="TOCHeading"/>
            <w:spacing w:line="360" w:lineRule="auto"/>
            <w:jc w:val="both"/>
            <w:rPr>
              <w:rFonts w:ascii="Arial" w:hAnsi="Arial" w:cs="Arial"/>
              <w:b/>
              <w:bCs/>
              <w:color w:val="auto"/>
              <w:sz w:val="22"/>
              <w:szCs w:val="22"/>
            </w:rPr>
          </w:pPr>
          <w:r w:rsidRPr="008F4E29">
            <w:rPr>
              <w:rFonts w:ascii="Arial" w:hAnsi="Arial" w:cs="Arial"/>
              <w:b/>
              <w:bCs/>
              <w:color w:val="auto"/>
              <w:sz w:val="22"/>
              <w:szCs w:val="22"/>
            </w:rPr>
            <w:t>Table of Contents</w:t>
          </w:r>
        </w:p>
        <w:p w14:paraId="35CB513F" w14:textId="64174B1E" w:rsidR="008F4E29" w:rsidRPr="008F4E29" w:rsidRDefault="00A523B3" w:rsidP="008F4E29">
          <w:pPr>
            <w:pStyle w:val="TOC1"/>
            <w:tabs>
              <w:tab w:val="right" w:leader="dot" w:pos="9016"/>
            </w:tabs>
            <w:spacing w:line="360" w:lineRule="auto"/>
            <w:rPr>
              <w:rFonts w:ascii="Arial" w:eastAsiaTheme="minorEastAsia" w:hAnsi="Arial" w:cs="Arial"/>
              <w:noProof/>
              <w:sz w:val="24"/>
              <w:szCs w:val="24"/>
              <w:lang w:eastAsia="en-GB"/>
            </w:rPr>
          </w:pPr>
          <w:r w:rsidRPr="008F4E29">
            <w:rPr>
              <w:rFonts w:ascii="Arial" w:hAnsi="Arial" w:cs="Arial"/>
            </w:rPr>
            <w:fldChar w:fldCharType="begin"/>
          </w:r>
          <w:r w:rsidRPr="008F4E29">
            <w:rPr>
              <w:rFonts w:ascii="Arial" w:hAnsi="Arial" w:cs="Arial"/>
            </w:rPr>
            <w:instrText xml:space="preserve"> TOC \o "1-3" \h \z \u </w:instrText>
          </w:r>
          <w:r w:rsidRPr="008F4E29">
            <w:rPr>
              <w:rFonts w:ascii="Arial" w:hAnsi="Arial" w:cs="Arial"/>
            </w:rPr>
            <w:fldChar w:fldCharType="separate"/>
          </w:r>
          <w:hyperlink w:anchor="_Toc182483527" w:history="1">
            <w:r w:rsidR="008F4E29" w:rsidRPr="008F4E29">
              <w:rPr>
                <w:rStyle w:val="Hyperlink"/>
                <w:rFonts w:ascii="Arial" w:hAnsi="Arial" w:cs="Arial"/>
                <w:b/>
                <w:bCs/>
                <w:noProof/>
              </w:rPr>
              <w:t>Introduction</w:t>
            </w:r>
            <w:r w:rsidR="008F4E29" w:rsidRPr="008F4E29">
              <w:rPr>
                <w:rFonts w:ascii="Arial" w:hAnsi="Arial" w:cs="Arial"/>
                <w:noProof/>
                <w:webHidden/>
              </w:rPr>
              <w:tab/>
            </w:r>
            <w:r w:rsidR="008F4E29" w:rsidRPr="008F4E29">
              <w:rPr>
                <w:rFonts w:ascii="Arial" w:hAnsi="Arial" w:cs="Arial"/>
                <w:noProof/>
                <w:webHidden/>
              </w:rPr>
              <w:fldChar w:fldCharType="begin"/>
            </w:r>
            <w:r w:rsidR="008F4E29" w:rsidRPr="008F4E29">
              <w:rPr>
                <w:rFonts w:ascii="Arial" w:hAnsi="Arial" w:cs="Arial"/>
                <w:noProof/>
                <w:webHidden/>
              </w:rPr>
              <w:instrText xml:space="preserve"> PAGEREF _Toc182483527 \h </w:instrText>
            </w:r>
            <w:r w:rsidR="008F4E29" w:rsidRPr="008F4E29">
              <w:rPr>
                <w:rFonts w:ascii="Arial" w:hAnsi="Arial" w:cs="Arial"/>
                <w:noProof/>
                <w:webHidden/>
              </w:rPr>
            </w:r>
            <w:r w:rsidR="008F4E29" w:rsidRPr="008F4E29">
              <w:rPr>
                <w:rFonts w:ascii="Arial" w:hAnsi="Arial" w:cs="Arial"/>
                <w:noProof/>
                <w:webHidden/>
              </w:rPr>
              <w:fldChar w:fldCharType="separate"/>
            </w:r>
            <w:r w:rsidR="008F4E29" w:rsidRPr="008F4E29">
              <w:rPr>
                <w:rFonts w:ascii="Arial" w:hAnsi="Arial" w:cs="Arial"/>
                <w:noProof/>
                <w:webHidden/>
              </w:rPr>
              <w:t>1</w:t>
            </w:r>
            <w:r w:rsidR="008F4E29" w:rsidRPr="008F4E29">
              <w:rPr>
                <w:rFonts w:ascii="Arial" w:hAnsi="Arial" w:cs="Arial"/>
                <w:noProof/>
                <w:webHidden/>
              </w:rPr>
              <w:fldChar w:fldCharType="end"/>
            </w:r>
          </w:hyperlink>
        </w:p>
        <w:p w14:paraId="53F8B34E" w14:textId="79DBA585" w:rsidR="008F4E29" w:rsidRPr="008F4E29" w:rsidRDefault="008F4E29" w:rsidP="008F4E29">
          <w:pPr>
            <w:pStyle w:val="TOC2"/>
            <w:tabs>
              <w:tab w:val="right" w:leader="dot" w:pos="9016"/>
            </w:tabs>
            <w:spacing w:line="360" w:lineRule="auto"/>
            <w:rPr>
              <w:rFonts w:ascii="Arial" w:eastAsiaTheme="minorEastAsia" w:hAnsi="Arial" w:cs="Arial"/>
              <w:noProof/>
              <w:sz w:val="24"/>
              <w:szCs w:val="24"/>
              <w:lang w:eastAsia="en-GB"/>
            </w:rPr>
          </w:pPr>
          <w:hyperlink w:anchor="_Toc182483528" w:history="1">
            <w:r w:rsidRPr="008F4E29">
              <w:rPr>
                <w:rStyle w:val="Hyperlink"/>
                <w:rFonts w:ascii="Arial" w:hAnsi="Arial" w:cs="Arial"/>
                <w:b/>
                <w:bCs/>
                <w:noProof/>
              </w:rPr>
              <w:t>Analysis of Porter’s Five Forces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_Toc182483528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2</w:t>
            </w:r>
            <w:r w:rsidRPr="008F4E29">
              <w:rPr>
                <w:rFonts w:ascii="Arial" w:hAnsi="Arial" w:cs="Arial"/>
                <w:noProof/>
                <w:webHidden/>
              </w:rPr>
              <w:fldChar w:fldCharType="end"/>
            </w:r>
          </w:hyperlink>
        </w:p>
        <w:p w14:paraId="070393E0" w14:textId="3DAB2501" w:rsidR="008F4E29" w:rsidRPr="008F4E29" w:rsidRDefault="008F4E29" w:rsidP="008F4E29">
          <w:pPr>
            <w:pStyle w:val="TOC1"/>
            <w:tabs>
              <w:tab w:val="right" w:leader="dot" w:pos="9016"/>
            </w:tabs>
            <w:spacing w:line="360" w:lineRule="auto"/>
            <w:rPr>
              <w:rFonts w:ascii="Arial" w:eastAsiaTheme="minorEastAsia" w:hAnsi="Arial" w:cs="Arial"/>
              <w:noProof/>
              <w:sz w:val="24"/>
              <w:szCs w:val="24"/>
              <w:lang w:eastAsia="en-GB"/>
            </w:rPr>
          </w:pPr>
          <w:hyperlink w:anchor="_Toc182483529" w:history="1">
            <w:r w:rsidRPr="008F4E29">
              <w:rPr>
                <w:rStyle w:val="Hyperlink"/>
                <w:rFonts w:ascii="Arial" w:hAnsi="Arial" w:cs="Arial"/>
                <w:b/>
                <w:bCs/>
                <w:noProof/>
                <w:lang w:val="en-US"/>
              </w:rPr>
              <w:t>Critical Analysis of Cambridge Nutritional Sciences’ External and Internal Environment.</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_Toc182483529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3</w:t>
            </w:r>
            <w:r w:rsidRPr="008F4E29">
              <w:rPr>
                <w:rFonts w:ascii="Arial" w:hAnsi="Arial" w:cs="Arial"/>
                <w:noProof/>
                <w:webHidden/>
              </w:rPr>
              <w:fldChar w:fldCharType="end"/>
            </w:r>
          </w:hyperlink>
        </w:p>
        <w:p w14:paraId="2F4CB85D" w14:textId="01F70BB2" w:rsidR="008F4E29" w:rsidRPr="008F4E29" w:rsidRDefault="008F4E29" w:rsidP="008F4E29">
          <w:pPr>
            <w:pStyle w:val="TOC2"/>
            <w:tabs>
              <w:tab w:val="right" w:leader="dot" w:pos="9016"/>
            </w:tabs>
            <w:spacing w:line="360" w:lineRule="auto"/>
            <w:rPr>
              <w:rFonts w:ascii="Arial" w:eastAsiaTheme="minorEastAsia" w:hAnsi="Arial" w:cs="Arial"/>
              <w:noProof/>
              <w:sz w:val="24"/>
              <w:szCs w:val="24"/>
              <w:lang w:eastAsia="en-GB"/>
            </w:rPr>
          </w:pPr>
          <w:hyperlink w:anchor="_Toc182483530" w:history="1">
            <w:r w:rsidRPr="008F4E29">
              <w:rPr>
                <w:rStyle w:val="Hyperlink"/>
                <w:rFonts w:ascii="Arial" w:hAnsi="Arial" w:cs="Arial"/>
                <w:b/>
                <w:bCs/>
                <w:noProof/>
                <w:lang w:val="en-US"/>
              </w:rPr>
              <w:t>PESTEL Analysis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_Toc182483530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3</w:t>
            </w:r>
            <w:r w:rsidRPr="008F4E29">
              <w:rPr>
                <w:rFonts w:ascii="Arial" w:hAnsi="Arial" w:cs="Arial"/>
                <w:noProof/>
                <w:webHidden/>
              </w:rPr>
              <w:fldChar w:fldCharType="end"/>
            </w:r>
          </w:hyperlink>
        </w:p>
        <w:p w14:paraId="2D49A645" w14:textId="40332317" w:rsidR="008F4E29" w:rsidRPr="008F4E29" w:rsidRDefault="008F4E29" w:rsidP="008F4E29">
          <w:pPr>
            <w:pStyle w:val="TOC2"/>
            <w:tabs>
              <w:tab w:val="right" w:leader="dot" w:pos="9016"/>
            </w:tabs>
            <w:spacing w:line="360" w:lineRule="auto"/>
            <w:rPr>
              <w:rFonts w:ascii="Arial" w:eastAsiaTheme="minorEastAsia" w:hAnsi="Arial" w:cs="Arial"/>
              <w:noProof/>
              <w:sz w:val="24"/>
              <w:szCs w:val="24"/>
              <w:lang w:eastAsia="en-GB"/>
            </w:rPr>
          </w:pPr>
          <w:hyperlink w:anchor="_Toc182483531" w:history="1">
            <w:r w:rsidRPr="008F4E29">
              <w:rPr>
                <w:rStyle w:val="Hyperlink"/>
                <w:rFonts w:ascii="Arial" w:hAnsi="Arial" w:cs="Arial"/>
                <w:b/>
                <w:bCs/>
                <w:noProof/>
                <w:lang w:val="en-US"/>
              </w:rPr>
              <w:t>SWOT Analysis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_Toc182483531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4</w:t>
            </w:r>
            <w:r w:rsidRPr="008F4E29">
              <w:rPr>
                <w:rFonts w:ascii="Arial" w:hAnsi="Arial" w:cs="Arial"/>
                <w:noProof/>
                <w:webHidden/>
              </w:rPr>
              <w:fldChar w:fldCharType="end"/>
            </w:r>
          </w:hyperlink>
        </w:p>
        <w:p w14:paraId="7D7C80C6" w14:textId="1246906A" w:rsidR="008F4E29" w:rsidRPr="008F4E29" w:rsidRDefault="008F4E29" w:rsidP="008F4E29">
          <w:pPr>
            <w:pStyle w:val="TOC1"/>
            <w:tabs>
              <w:tab w:val="right" w:leader="dot" w:pos="9016"/>
            </w:tabs>
            <w:spacing w:line="360" w:lineRule="auto"/>
            <w:rPr>
              <w:rFonts w:ascii="Arial" w:eastAsiaTheme="minorEastAsia" w:hAnsi="Arial" w:cs="Arial"/>
              <w:noProof/>
              <w:sz w:val="24"/>
              <w:szCs w:val="24"/>
              <w:lang w:eastAsia="en-GB"/>
            </w:rPr>
          </w:pPr>
          <w:hyperlink w:anchor="_Toc182483532" w:history="1">
            <w:r w:rsidRPr="008F4E29">
              <w:rPr>
                <w:rStyle w:val="Hyperlink"/>
                <w:rFonts w:ascii="Arial" w:hAnsi="Arial" w:cs="Arial"/>
                <w:b/>
                <w:bCs/>
                <w:noProof/>
              </w:rPr>
              <w:t>Cambridge Nutritional Sciences (CNS) Stakeholders.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_Toc182483532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5</w:t>
            </w:r>
            <w:r w:rsidRPr="008F4E29">
              <w:rPr>
                <w:rFonts w:ascii="Arial" w:hAnsi="Arial" w:cs="Arial"/>
                <w:noProof/>
                <w:webHidden/>
              </w:rPr>
              <w:fldChar w:fldCharType="end"/>
            </w:r>
          </w:hyperlink>
        </w:p>
        <w:p w14:paraId="2C6538B9" w14:textId="63D5CB19" w:rsidR="008F4E29" w:rsidRPr="008F4E29" w:rsidRDefault="008F4E29" w:rsidP="008F4E29">
          <w:pPr>
            <w:pStyle w:val="TOC2"/>
            <w:tabs>
              <w:tab w:val="right" w:leader="dot" w:pos="9016"/>
            </w:tabs>
            <w:spacing w:line="360" w:lineRule="auto"/>
            <w:rPr>
              <w:rFonts w:ascii="Arial" w:eastAsiaTheme="minorEastAsia" w:hAnsi="Arial" w:cs="Arial"/>
              <w:noProof/>
              <w:sz w:val="24"/>
              <w:szCs w:val="24"/>
              <w:lang w:eastAsia="en-GB"/>
            </w:rPr>
          </w:pPr>
          <w:hyperlink w:anchor="_Toc182483533" w:history="1">
            <w:r w:rsidRPr="008F4E29">
              <w:rPr>
                <w:rStyle w:val="Hyperlink"/>
                <w:rFonts w:ascii="Arial" w:hAnsi="Arial" w:cs="Arial"/>
                <w:b/>
                <w:bCs/>
                <w:noProof/>
              </w:rPr>
              <w:t>Stakeholders’ Analysis and Management Strategies of CNS.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_Toc182483533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6</w:t>
            </w:r>
            <w:r w:rsidRPr="008F4E29">
              <w:rPr>
                <w:rFonts w:ascii="Arial" w:hAnsi="Arial" w:cs="Arial"/>
                <w:noProof/>
                <w:webHidden/>
              </w:rPr>
              <w:fldChar w:fldCharType="end"/>
            </w:r>
          </w:hyperlink>
        </w:p>
        <w:p w14:paraId="423DD05F" w14:textId="5AD408EF" w:rsidR="008F4E29" w:rsidRPr="008F4E29" w:rsidRDefault="008F4E29" w:rsidP="008F4E29">
          <w:pPr>
            <w:pStyle w:val="TOC1"/>
            <w:tabs>
              <w:tab w:val="right" w:leader="dot" w:pos="9016"/>
            </w:tabs>
            <w:spacing w:line="360" w:lineRule="auto"/>
            <w:rPr>
              <w:rFonts w:ascii="Arial" w:eastAsiaTheme="minorEastAsia" w:hAnsi="Arial" w:cs="Arial"/>
              <w:noProof/>
              <w:sz w:val="24"/>
              <w:szCs w:val="24"/>
              <w:lang w:eastAsia="en-GB"/>
            </w:rPr>
          </w:pPr>
          <w:hyperlink w:anchor="_Toc182483534" w:history="1">
            <w:r w:rsidRPr="008F4E29">
              <w:rPr>
                <w:rStyle w:val="Hyperlink"/>
                <w:rFonts w:ascii="Arial" w:hAnsi="Arial" w:cs="Arial"/>
                <w:b/>
                <w:bCs/>
                <w:noProof/>
              </w:rPr>
              <w:t>Strategy Growth Analysis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_Toc182483534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9</w:t>
            </w:r>
            <w:r w:rsidRPr="008F4E29">
              <w:rPr>
                <w:rFonts w:ascii="Arial" w:hAnsi="Arial" w:cs="Arial"/>
                <w:noProof/>
                <w:webHidden/>
              </w:rPr>
              <w:fldChar w:fldCharType="end"/>
            </w:r>
          </w:hyperlink>
        </w:p>
        <w:p w14:paraId="586FAB12" w14:textId="773FD80E" w:rsidR="008F4E29" w:rsidRPr="008F4E29" w:rsidRDefault="008F4E29" w:rsidP="008F4E29">
          <w:pPr>
            <w:pStyle w:val="TOC1"/>
            <w:tabs>
              <w:tab w:val="right" w:leader="dot" w:pos="9016"/>
            </w:tabs>
            <w:spacing w:line="360" w:lineRule="auto"/>
            <w:rPr>
              <w:rFonts w:ascii="Arial" w:eastAsiaTheme="minorEastAsia" w:hAnsi="Arial" w:cs="Arial"/>
              <w:noProof/>
              <w:sz w:val="24"/>
              <w:szCs w:val="24"/>
              <w:lang w:eastAsia="en-GB"/>
            </w:rPr>
          </w:pPr>
          <w:hyperlink w:anchor="_Toc182483535" w:history="1">
            <w:r w:rsidRPr="008F4E29">
              <w:rPr>
                <w:rStyle w:val="Hyperlink"/>
                <w:rFonts w:ascii="Arial" w:hAnsi="Arial" w:cs="Arial"/>
                <w:b/>
                <w:bCs/>
                <w:noProof/>
              </w:rPr>
              <w:t>Competitor Reactions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_Toc182483535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11</w:t>
            </w:r>
            <w:r w:rsidRPr="008F4E29">
              <w:rPr>
                <w:rFonts w:ascii="Arial" w:hAnsi="Arial" w:cs="Arial"/>
                <w:noProof/>
                <w:webHidden/>
              </w:rPr>
              <w:fldChar w:fldCharType="end"/>
            </w:r>
          </w:hyperlink>
        </w:p>
        <w:p w14:paraId="4F02B438" w14:textId="61076551" w:rsidR="008F4E29" w:rsidRPr="008F4E29" w:rsidRDefault="008F4E29" w:rsidP="008F4E29">
          <w:pPr>
            <w:pStyle w:val="TOC1"/>
            <w:tabs>
              <w:tab w:val="right" w:leader="dot" w:pos="9016"/>
            </w:tabs>
            <w:spacing w:line="360" w:lineRule="auto"/>
            <w:rPr>
              <w:rFonts w:ascii="Arial" w:eastAsiaTheme="minorEastAsia" w:hAnsi="Arial" w:cs="Arial"/>
              <w:noProof/>
              <w:sz w:val="24"/>
              <w:szCs w:val="24"/>
              <w:lang w:eastAsia="en-GB"/>
            </w:rPr>
          </w:pPr>
          <w:hyperlink w:anchor="_Toc182483536" w:history="1">
            <w:r w:rsidRPr="008F4E29">
              <w:rPr>
                <w:rStyle w:val="Hyperlink"/>
                <w:rFonts w:ascii="Arial" w:hAnsi="Arial" w:cs="Arial"/>
                <w:b/>
                <w:bCs/>
                <w:noProof/>
              </w:rPr>
              <w:t>Strategic Recommendations for Cambridge Nutritional Sciences (CNS)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_Toc182483536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11</w:t>
            </w:r>
            <w:r w:rsidRPr="008F4E29">
              <w:rPr>
                <w:rFonts w:ascii="Arial" w:hAnsi="Arial" w:cs="Arial"/>
                <w:noProof/>
                <w:webHidden/>
              </w:rPr>
              <w:fldChar w:fldCharType="end"/>
            </w:r>
          </w:hyperlink>
        </w:p>
        <w:p w14:paraId="35C8AAA7" w14:textId="4DBA08BC" w:rsidR="008F4E29" w:rsidRPr="008F4E29" w:rsidRDefault="008F4E29" w:rsidP="008F4E29">
          <w:pPr>
            <w:pStyle w:val="TOC1"/>
            <w:tabs>
              <w:tab w:val="right" w:leader="dot" w:pos="9016"/>
            </w:tabs>
            <w:spacing w:line="360" w:lineRule="auto"/>
            <w:rPr>
              <w:rFonts w:ascii="Arial" w:eastAsiaTheme="minorEastAsia" w:hAnsi="Arial" w:cs="Arial"/>
              <w:noProof/>
              <w:sz w:val="24"/>
              <w:szCs w:val="24"/>
              <w:lang w:eastAsia="en-GB"/>
            </w:rPr>
          </w:pPr>
          <w:hyperlink w:anchor="_Toc182483537" w:history="1">
            <w:r w:rsidRPr="008F4E29">
              <w:rPr>
                <w:rStyle w:val="Hyperlink"/>
                <w:rFonts w:ascii="Arial" w:hAnsi="Arial" w:cs="Arial"/>
                <w:b/>
                <w:bCs/>
                <w:noProof/>
              </w:rPr>
              <w:t>Conclusion</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_Toc182483537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11</w:t>
            </w:r>
            <w:r w:rsidRPr="008F4E29">
              <w:rPr>
                <w:rFonts w:ascii="Arial" w:hAnsi="Arial" w:cs="Arial"/>
                <w:noProof/>
                <w:webHidden/>
              </w:rPr>
              <w:fldChar w:fldCharType="end"/>
            </w:r>
          </w:hyperlink>
        </w:p>
        <w:p w14:paraId="6E478821" w14:textId="18FCE59A" w:rsidR="008F4E29" w:rsidRPr="008F4E29" w:rsidRDefault="008F4E29" w:rsidP="008F4E29">
          <w:pPr>
            <w:pStyle w:val="TOC1"/>
            <w:tabs>
              <w:tab w:val="right" w:leader="dot" w:pos="9016"/>
            </w:tabs>
            <w:spacing w:line="360" w:lineRule="auto"/>
            <w:rPr>
              <w:rFonts w:ascii="Arial" w:eastAsiaTheme="minorEastAsia" w:hAnsi="Arial" w:cs="Arial"/>
              <w:noProof/>
              <w:sz w:val="24"/>
              <w:szCs w:val="24"/>
              <w:lang w:eastAsia="en-GB"/>
            </w:rPr>
          </w:pPr>
          <w:hyperlink w:anchor="_Toc182483538" w:history="1">
            <w:r w:rsidRPr="008F4E29">
              <w:rPr>
                <w:rStyle w:val="Hyperlink"/>
                <w:rFonts w:ascii="Arial" w:hAnsi="Arial" w:cs="Arial"/>
                <w:b/>
                <w:bCs/>
                <w:noProof/>
              </w:rPr>
              <w:t>References</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_Toc182483538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12</w:t>
            </w:r>
            <w:r w:rsidRPr="008F4E29">
              <w:rPr>
                <w:rFonts w:ascii="Arial" w:hAnsi="Arial" w:cs="Arial"/>
                <w:noProof/>
                <w:webHidden/>
              </w:rPr>
              <w:fldChar w:fldCharType="end"/>
            </w:r>
          </w:hyperlink>
        </w:p>
        <w:p w14:paraId="493E546C" w14:textId="4D73214F" w:rsidR="008F4E29" w:rsidRPr="008F4E29" w:rsidRDefault="008F4E29" w:rsidP="008F4E29">
          <w:pPr>
            <w:pStyle w:val="TOC1"/>
            <w:tabs>
              <w:tab w:val="right" w:leader="dot" w:pos="9016"/>
            </w:tabs>
            <w:spacing w:line="360" w:lineRule="auto"/>
            <w:rPr>
              <w:rFonts w:ascii="Arial" w:eastAsiaTheme="minorEastAsia" w:hAnsi="Arial" w:cs="Arial"/>
              <w:noProof/>
              <w:sz w:val="24"/>
              <w:szCs w:val="24"/>
              <w:lang w:eastAsia="en-GB"/>
            </w:rPr>
          </w:pPr>
          <w:hyperlink w:anchor="_Toc182483539" w:history="1">
            <w:r w:rsidRPr="008F4E29">
              <w:rPr>
                <w:rStyle w:val="Hyperlink"/>
                <w:rFonts w:ascii="Arial" w:hAnsi="Arial" w:cs="Arial"/>
                <w:b/>
                <w:bCs/>
                <w:noProof/>
              </w:rPr>
              <w:t>Appendix</w:t>
            </w:r>
            <w:r w:rsidRPr="008F4E29">
              <w:rPr>
                <w:rFonts w:ascii="Arial" w:hAnsi="Arial" w:cs="Arial"/>
                <w:noProof/>
                <w:webHidden/>
              </w:rPr>
              <w:tab/>
            </w:r>
            <w:r w:rsidRPr="008F4E29">
              <w:rPr>
                <w:rFonts w:ascii="Arial" w:hAnsi="Arial" w:cs="Arial"/>
                <w:noProof/>
                <w:webHidden/>
              </w:rPr>
              <w:fldChar w:fldCharType="begin"/>
            </w:r>
            <w:r w:rsidRPr="008F4E29">
              <w:rPr>
                <w:rFonts w:ascii="Arial" w:hAnsi="Arial" w:cs="Arial"/>
                <w:noProof/>
                <w:webHidden/>
              </w:rPr>
              <w:instrText xml:space="preserve"> PAGEREF _Toc182483539 \h </w:instrText>
            </w:r>
            <w:r w:rsidRPr="008F4E29">
              <w:rPr>
                <w:rFonts w:ascii="Arial" w:hAnsi="Arial" w:cs="Arial"/>
                <w:noProof/>
                <w:webHidden/>
              </w:rPr>
            </w:r>
            <w:r w:rsidRPr="008F4E29">
              <w:rPr>
                <w:rFonts w:ascii="Arial" w:hAnsi="Arial" w:cs="Arial"/>
                <w:noProof/>
                <w:webHidden/>
              </w:rPr>
              <w:fldChar w:fldCharType="separate"/>
            </w:r>
            <w:r w:rsidRPr="008F4E29">
              <w:rPr>
                <w:rFonts w:ascii="Arial" w:hAnsi="Arial" w:cs="Arial"/>
                <w:noProof/>
                <w:webHidden/>
              </w:rPr>
              <w:t>1</w:t>
            </w:r>
            <w:r w:rsidRPr="008F4E29">
              <w:rPr>
                <w:rFonts w:ascii="Arial" w:hAnsi="Arial" w:cs="Arial"/>
                <w:noProof/>
                <w:webHidden/>
              </w:rPr>
              <w:fldChar w:fldCharType="end"/>
            </w:r>
          </w:hyperlink>
        </w:p>
        <w:p w14:paraId="3C3145D6" w14:textId="77398594" w:rsidR="00A523B3" w:rsidRPr="002D010D" w:rsidRDefault="00A523B3" w:rsidP="008F4E29">
          <w:pPr>
            <w:spacing w:line="360" w:lineRule="auto"/>
            <w:jc w:val="both"/>
            <w:rPr>
              <w:rFonts w:ascii="Arial" w:hAnsi="Arial" w:cs="Arial"/>
            </w:rPr>
          </w:pPr>
          <w:r w:rsidRPr="008F4E29">
            <w:rPr>
              <w:rFonts w:ascii="Arial" w:hAnsi="Arial" w:cs="Arial"/>
              <w:b/>
              <w:bCs/>
              <w:noProof/>
            </w:rPr>
            <w:fldChar w:fldCharType="end"/>
          </w:r>
        </w:p>
      </w:sdtContent>
    </w:sdt>
    <w:p w14:paraId="2F711059" w14:textId="77777777" w:rsidR="0081159D" w:rsidRPr="002D010D" w:rsidRDefault="0081159D" w:rsidP="00281107">
      <w:pPr>
        <w:spacing w:line="360" w:lineRule="auto"/>
        <w:jc w:val="both"/>
        <w:rPr>
          <w:rFonts w:ascii="Arial" w:hAnsi="Arial" w:cs="Arial"/>
          <w:b/>
          <w:bCs/>
        </w:rPr>
        <w:sectPr w:rsidR="0081159D" w:rsidRPr="002D010D" w:rsidSect="00311D26">
          <w:footerReference w:type="first" r:id="rId12"/>
          <w:pgSz w:w="11906" w:h="16838"/>
          <w:pgMar w:top="1440" w:right="1440" w:bottom="1440" w:left="1440" w:header="708" w:footer="708" w:gutter="0"/>
          <w:pgNumType w:start="1"/>
          <w:cols w:space="708"/>
          <w:titlePg/>
          <w:docGrid w:linePitch="360"/>
        </w:sectPr>
      </w:pPr>
    </w:p>
    <w:p w14:paraId="3AE2220C" w14:textId="71800B64" w:rsidR="00203171" w:rsidRPr="002D010D" w:rsidRDefault="00752A8E" w:rsidP="00281107">
      <w:pPr>
        <w:pStyle w:val="Heading1"/>
        <w:spacing w:line="360" w:lineRule="auto"/>
        <w:jc w:val="both"/>
        <w:rPr>
          <w:rFonts w:ascii="Arial" w:hAnsi="Arial" w:cs="Arial"/>
          <w:b/>
          <w:bCs/>
          <w:color w:val="auto"/>
          <w:sz w:val="22"/>
          <w:szCs w:val="22"/>
        </w:rPr>
      </w:pPr>
      <w:bookmarkStart w:id="0" w:name="_Toc182483527"/>
      <w:r w:rsidRPr="002D010D">
        <w:rPr>
          <w:rFonts w:ascii="Arial" w:hAnsi="Arial" w:cs="Arial"/>
          <w:b/>
          <w:bCs/>
          <w:color w:val="auto"/>
          <w:sz w:val="22"/>
          <w:szCs w:val="22"/>
        </w:rPr>
        <w:lastRenderedPageBreak/>
        <w:t>Introduction</w:t>
      </w:r>
      <w:bookmarkEnd w:id="0"/>
    </w:p>
    <w:p w14:paraId="1EA09CE1" w14:textId="77777777" w:rsidR="00E65C1E" w:rsidRPr="002D010D" w:rsidRDefault="00606C72" w:rsidP="00281107">
      <w:pPr>
        <w:spacing w:line="360" w:lineRule="auto"/>
        <w:jc w:val="both"/>
        <w:rPr>
          <w:rFonts w:ascii="Arial" w:hAnsi="Arial" w:cs="Arial"/>
        </w:rPr>
      </w:pPr>
      <w:r w:rsidRPr="002D010D">
        <w:rPr>
          <w:rFonts w:ascii="Arial" w:hAnsi="Arial" w:cs="Arial"/>
        </w:rPr>
        <w:t xml:space="preserve">Porter (1996) defines strategy as the establishment of a distinctive and valuable position, entailing a different array of activities. </w:t>
      </w:r>
    </w:p>
    <w:p w14:paraId="6A2131E6" w14:textId="699723E0" w:rsidR="00025FE5" w:rsidRPr="002D010D" w:rsidRDefault="00774F67" w:rsidP="00281107">
      <w:pPr>
        <w:spacing w:line="360" w:lineRule="auto"/>
        <w:jc w:val="both"/>
        <w:rPr>
          <w:rFonts w:ascii="Arial" w:hAnsi="Arial" w:cs="Arial"/>
        </w:rPr>
      </w:pPr>
      <w:r w:rsidRPr="002D010D">
        <w:rPr>
          <w:rFonts w:ascii="Arial" w:hAnsi="Arial" w:cs="Arial"/>
        </w:rPr>
        <w:t>Strategic management is the research-based discipline that focuses on how organisations formulate and implement strategies to achieve long-term goals and competitive advantage</w:t>
      </w:r>
      <w:r w:rsidR="00DB04A5" w:rsidRPr="002D010D">
        <w:rPr>
          <w:rFonts w:ascii="Arial" w:hAnsi="Arial" w:cs="Arial"/>
        </w:rPr>
        <w:t xml:space="preserve">. </w:t>
      </w:r>
      <w:r w:rsidR="00025FE5" w:rsidRPr="002D010D">
        <w:rPr>
          <w:rFonts w:ascii="Arial" w:hAnsi="Arial" w:cs="Arial"/>
        </w:rPr>
        <w:t>Identifying, assessing, and putting strategies into action to achieve organisational goals is the process of strategic management (Jeffs, 2008).</w:t>
      </w:r>
    </w:p>
    <w:p w14:paraId="7325E883" w14:textId="6E1F7D6D" w:rsidR="00025FE5" w:rsidRPr="002D010D" w:rsidRDefault="00025FE5" w:rsidP="00281107">
      <w:pPr>
        <w:spacing w:line="360" w:lineRule="auto"/>
        <w:jc w:val="both"/>
        <w:rPr>
          <w:rFonts w:ascii="Arial" w:hAnsi="Arial" w:cs="Arial"/>
        </w:rPr>
      </w:pPr>
      <w:r w:rsidRPr="002D010D">
        <w:rPr>
          <w:rFonts w:ascii="Arial" w:hAnsi="Arial" w:cs="Arial"/>
        </w:rPr>
        <w:t xml:space="preserve">This report provides a strategic analysis of Cambridge Nutritional Sciences (CNS), </w:t>
      </w:r>
      <w:r w:rsidR="00D647BF">
        <w:rPr>
          <w:rFonts w:ascii="Arial" w:hAnsi="Arial" w:cs="Arial"/>
        </w:rPr>
        <w:t>an</w:t>
      </w:r>
      <w:r w:rsidRPr="002D010D">
        <w:rPr>
          <w:rFonts w:ascii="Arial" w:hAnsi="Arial" w:cs="Arial"/>
        </w:rPr>
        <w:t xml:space="preserve"> </w:t>
      </w:r>
      <w:r w:rsidR="001E72D4">
        <w:rPr>
          <w:rFonts w:ascii="Arial" w:hAnsi="Arial" w:cs="Arial"/>
        </w:rPr>
        <w:t xml:space="preserve">SME in the </w:t>
      </w:r>
      <w:r w:rsidRPr="002D010D">
        <w:rPr>
          <w:rFonts w:ascii="Arial" w:hAnsi="Arial" w:cs="Arial"/>
        </w:rPr>
        <w:t>UK</w:t>
      </w:r>
      <w:r w:rsidR="001E72D4">
        <w:rPr>
          <w:rFonts w:ascii="Arial" w:hAnsi="Arial" w:cs="Arial"/>
        </w:rPr>
        <w:t xml:space="preserve"> </w:t>
      </w:r>
      <w:r w:rsidRPr="002D010D">
        <w:rPr>
          <w:rFonts w:ascii="Arial" w:hAnsi="Arial" w:cs="Arial"/>
        </w:rPr>
        <w:t xml:space="preserve">specializing in food intolerance testing and nutritional diagnostics. </w:t>
      </w:r>
      <w:r w:rsidR="009B4ADF" w:rsidRPr="002D010D">
        <w:rPr>
          <w:rFonts w:ascii="Arial" w:hAnsi="Arial" w:cs="Arial"/>
        </w:rPr>
        <w:t>W</w:t>
      </w:r>
      <w:r w:rsidRPr="002D010D">
        <w:rPr>
          <w:rFonts w:ascii="Arial" w:hAnsi="Arial" w:cs="Arial"/>
        </w:rPr>
        <w:t>ithin the healthcare diagnostics sector, CNS offers advanced diagnostic services for individual health management. This assignment aims to critically appraise CNS’s current strategy using Porter’s Five Forces, PESTLE, SWOT, and stakeholder analysis. The analysis will identify strategic growth options and recommend actions for securing CNS’s long-term success.</w:t>
      </w:r>
    </w:p>
    <w:p w14:paraId="20C45ABB" w14:textId="275E01DA" w:rsidR="00F81EF4" w:rsidRPr="002D010D" w:rsidRDefault="0097095A" w:rsidP="00281107">
      <w:pPr>
        <w:spacing w:line="360" w:lineRule="auto"/>
        <w:jc w:val="both"/>
        <w:rPr>
          <w:rFonts w:ascii="Arial" w:hAnsi="Arial" w:cs="Arial"/>
          <w:b/>
          <w:bCs/>
        </w:rPr>
      </w:pPr>
      <w:r w:rsidRPr="002D010D">
        <w:rPr>
          <w:rFonts w:ascii="Arial" w:hAnsi="Arial" w:cs="Arial"/>
          <w:b/>
          <w:bCs/>
        </w:rPr>
        <w:t>Critical Appraisal of Cambridge Nutritional Sciences' Current Strategy</w:t>
      </w:r>
    </w:p>
    <w:p w14:paraId="3009B392" w14:textId="26569388" w:rsidR="00322DC6" w:rsidRPr="002D010D" w:rsidRDefault="00322DC6" w:rsidP="00281107">
      <w:pPr>
        <w:spacing w:line="360" w:lineRule="auto"/>
        <w:jc w:val="both"/>
        <w:rPr>
          <w:rFonts w:ascii="Arial" w:hAnsi="Arial" w:cs="Arial"/>
        </w:rPr>
      </w:pPr>
      <w:r w:rsidRPr="002D010D">
        <w:rPr>
          <w:rFonts w:ascii="Arial" w:hAnsi="Arial" w:cs="Arial"/>
        </w:rPr>
        <w:t xml:space="preserve">Cambridge Nutritional Sciences (CNS) </w:t>
      </w:r>
      <w:r w:rsidR="009B4ADF" w:rsidRPr="002D010D">
        <w:rPr>
          <w:rFonts w:ascii="Arial" w:hAnsi="Arial" w:cs="Arial"/>
        </w:rPr>
        <w:t>i</w:t>
      </w:r>
      <w:r w:rsidRPr="002D010D">
        <w:rPr>
          <w:rFonts w:ascii="Arial" w:hAnsi="Arial" w:cs="Arial"/>
        </w:rPr>
        <w:t xml:space="preserve">s </w:t>
      </w:r>
      <w:r w:rsidR="009B4ADF" w:rsidRPr="002D010D">
        <w:rPr>
          <w:rFonts w:ascii="Arial" w:hAnsi="Arial" w:cs="Arial"/>
        </w:rPr>
        <w:t>a</w:t>
      </w:r>
      <w:r w:rsidRPr="002D010D">
        <w:rPr>
          <w:rFonts w:ascii="Arial" w:hAnsi="Arial" w:cs="Arial"/>
        </w:rPr>
        <w:t xml:space="preserve"> health diagnostics co</w:t>
      </w:r>
      <w:r w:rsidR="009B4ADF" w:rsidRPr="002D010D">
        <w:rPr>
          <w:rFonts w:ascii="Arial" w:hAnsi="Arial" w:cs="Arial"/>
        </w:rPr>
        <w:t>mpany</w:t>
      </w:r>
      <w:r w:rsidRPr="002D010D">
        <w:rPr>
          <w:rFonts w:ascii="Arial" w:hAnsi="Arial" w:cs="Arial"/>
        </w:rPr>
        <w:t xml:space="preserve"> specialising in food intolerance and nutritional examinations. </w:t>
      </w:r>
      <w:r w:rsidR="009B4ADF" w:rsidRPr="002D010D">
        <w:rPr>
          <w:rFonts w:ascii="Arial" w:hAnsi="Arial" w:cs="Arial"/>
        </w:rPr>
        <w:t>Its</w:t>
      </w:r>
      <w:r w:rsidRPr="002D010D">
        <w:rPr>
          <w:rFonts w:ascii="Arial" w:hAnsi="Arial" w:cs="Arial"/>
        </w:rPr>
        <w:t xml:space="preserve"> goal is to lead the world in individualised nutritional diagnostics and give people precise health information to improve their well-being. The objective is to provide high-quality, scientifically based testing solutions that enable individuals to make informed health decisions</w:t>
      </w:r>
      <w:r w:rsidR="007128C8">
        <w:rPr>
          <w:rFonts w:ascii="Arial" w:hAnsi="Arial" w:cs="Arial"/>
        </w:rPr>
        <w:t xml:space="preserve"> (</w:t>
      </w:r>
      <w:proofErr w:type="spellStart"/>
      <w:r w:rsidR="007128C8">
        <w:rPr>
          <w:rFonts w:ascii="Arial" w:hAnsi="Arial" w:cs="Arial"/>
        </w:rPr>
        <w:t>CNSLab</w:t>
      </w:r>
      <w:proofErr w:type="spellEnd"/>
      <w:r w:rsidR="007128C8">
        <w:rPr>
          <w:rFonts w:ascii="Arial" w:hAnsi="Arial" w:cs="Arial"/>
        </w:rPr>
        <w:t>, no date)</w:t>
      </w:r>
      <w:r w:rsidRPr="002D010D">
        <w:rPr>
          <w:rFonts w:ascii="Arial" w:hAnsi="Arial" w:cs="Arial"/>
        </w:rPr>
        <w:t xml:space="preserve">. </w:t>
      </w:r>
    </w:p>
    <w:p w14:paraId="7F3AC1E0" w14:textId="77777777" w:rsidR="00322DC6" w:rsidRPr="002D010D" w:rsidRDefault="00322DC6" w:rsidP="00281107">
      <w:pPr>
        <w:spacing w:line="360" w:lineRule="auto"/>
        <w:jc w:val="both"/>
        <w:rPr>
          <w:rFonts w:ascii="Arial" w:hAnsi="Arial" w:cs="Arial"/>
        </w:rPr>
      </w:pPr>
      <w:r w:rsidRPr="002D010D">
        <w:rPr>
          <w:rFonts w:ascii="Arial" w:hAnsi="Arial" w:cs="Arial"/>
        </w:rPr>
        <w:t>The primary strategic objectives of the organisation encompass:</w:t>
      </w:r>
    </w:p>
    <w:p w14:paraId="0C2CA66A" w14:textId="77777777" w:rsidR="00322DC6" w:rsidRPr="002D010D" w:rsidRDefault="00322DC6" w:rsidP="00281107">
      <w:pPr>
        <w:spacing w:line="360" w:lineRule="auto"/>
        <w:jc w:val="both"/>
        <w:rPr>
          <w:rFonts w:ascii="Arial" w:hAnsi="Arial" w:cs="Arial"/>
        </w:rPr>
      </w:pPr>
      <w:r w:rsidRPr="002D010D">
        <w:rPr>
          <w:rFonts w:ascii="Arial" w:hAnsi="Arial" w:cs="Arial"/>
        </w:rPr>
        <w:t>utilising technological innovation in diagnostic tests to increase their clientele.</w:t>
      </w:r>
    </w:p>
    <w:p w14:paraId="27F8E3B0" w14:textId="43F3A42E" w:rsidR="00322DC6" w:rsidRPr="002D010D" w:rsidRDefault="009B4ADF" w:rsidP="00281107">
      <w:pPr>
        <w:spacing w:line="360" w:lineRule="auto"/>
        <w:jc w:val="both"/>
        <w:rPr>
          <w:rFonts w:ascii="Arial" w:hAnsi="Arial" w:cs="Arial"/>
        </w:rPr>
      </w:pPr>
      <w:r w:rsidRPr="002D010D">
        <w:rPr>
          <w:rFonts w:ascii="Arial" w:hAnsi="Arial" w:cs="Arial"/>
        </w:rPr>
        <w:t>f</w:t>
      </w:r>
      <w:r w:rsidR="00322DC6" w:rsidRPr="002D010D">
        <w:rPr>
          <w:rFonts w:ascii="Arial" w:hAnsi="Arial" w:cs="Arial"/>
        </w:rPr>
        <w:t>ostering robust customer relationships through the provision of personalised services.</w:t>
      </w:r>
    </w:p>
    <w:p w14:paraId="12438CBD" w14:textId="77777777" w:rsidR="00322DC6" w:rsidRPr="002D010D" w:rsidRDefault="00322DC6" w:rsidP="00281107">
      <w:pPr>
        <w:spacing w:line="360" w:lineRule="auto"/>
        <w:jc w:val="both"/>
        <w:rPr>
          <w:rFonts w:ascii="Arial" w:hAnsi="Arial" w:cs="Arial"/>
        </w:rPr>
      </w:pPr>
      <w:r w:rsidRPr="002D010D">
        <w:rPr>
          <w:rFonts w:ascii="Arial" w:hAnsi="Arial" w:cs="Arial"/>
        </w:rPr>
        <w:t>maximising operational effectiveness to sustain competitive pricing and superior service.</w:t>
      </w:r>
    </w:p>
    <w:p w14:paraId="3BA94EB6" w14:textId="4A170447" w:rsidR="00322DC6" w:rsidRPr="002D010D" w:rsidRDefault="00322DC6" w:rsidP="00281107">
      <w:pPr>
        <w:spacing w:line="360" w:lineRule="auto"/>
        <w:jc w:val="both"/>
        <w:rPr>
          <w:rFonts w:ascii="Arial" w:hAnsi="Arial" w:cs="Arial"/>
        </w:rPr>
      </w:pPr>
      <w:r w:rsidRPr="002D010D">
        <w:rPr>
          <w:rFonts w:ascii="Arial" w:hAnsi="Arial" w:cs="Arial"/>
        </w:rPr>
        <w:t>CNS markets itself as a specialised supplier in the expanding field of customised medical diagnostics. Because of its emphasis on clear, high-quality testing, the business can attract health-conscious customers looking for trustworthy outcomes for treating diseases linked to nutrition and food intolerances</w:t>
      </w:r>
      <w:r w:rsidR="007128C8">
        <w:rPr>
          <w:rFonts w:ascii="Arial" w:hAnsi="Arial" w:cs="Arial"/>
        </w:rPr>
        <w:t xml:space="preserve"> (</w:t>
      </w:r>
      <w:proofErr w:type="spellStart"/>
      <w:r w:rsidR="007128C8">
        <w:rPr>
          <w:rFonts w:ascii="Arial" w:hAnsi="Arial" w:cs="Arial"/>
        </w:rPr>
        <w:t>CNSLab</w:t>
      </w:r>
      <w:proofErr w:type="spellEnd"/>
      <w:r w:rsidR="007128C8">
        <w:rPr>
          <w:rFonts w:ascii="Arial" w:hAnsi="Arial" w:cs="Arial"/>
        </w:rPr>
        <w:t>, no date)</w:t>
      </w:r>
      <w:r w:rsidRPr="002D010D">
        <w:rPr>
          <w:rFonts w:ascii="Arial" w:hAnsi="Arial" w:cs="Arial"/>
        </w:rPr>
        <w:t xml:space="preserve">. CNS's </w:t>
      </w:r>
      <w:r w:rsidR="009B4ADF" w:rsidRPr="002D010D">
        <w:rPr>
          <w:rFonts w:ascii="Arial" w:hAnsi="Arial" w:cs="Arial"/>
        </w:rPr>
        <w:t>research and development (R&amp;D) investment </w:t>
      </w:r>
      <w:r w:rsidRPr="002D010D">
        <w:rPr>
          <w:rFonts w:ascii="Arial" w:hAnsi="Arial" w:cs="Arial"/>
        </w:rPr>
        <w:t>underpins its differentiation approach, guaranteeing that its diagnostic solutions have been scientifically verified and superior to less expensive market alternatives.</w:t>
      </w:r>
    </w:p>
    <w:p w14:paraId="693D75F4" w14:textId="49C48EBB" w:rsidR="00322DC6" w:rsidRPr="002D010D" w:rsidRDefault="00322DC6" w:rsidP="00281107">
      <w:pPr>
        <w:spacing w:line="360" w:lineRule="auto"/>
        <w:jc w:val="both"/>
        <w:rPr>
          <w:rFonts w:ascii="Arial" w:hAnsi="Arial" w:cs="Arial"/>
        </w:rPr>
      </w:pPr>
      <w:r w:rsidRPr="002D010D">
        <w:rPr>
          <w:rFonts w:ascii="Arial" w:hAnsi="Arial" w:cs="Arial"/>
        </w:rPr>
        <w:t xml:space="preserve">Nevertheless, the organisation encounters numerous obstacles. The diagnostics sector is intensely competitive, with new competitors arising as technological advancements reduce obstacles to entry. CNS operates within a constrained market centred on food intolerance, </w:t>
      </w:r>
      <w:r w:rsidRPr="002D010D">
        <w:rPr>
          <w:rFonts w:ascii="Arial" w:hAnsi="Arial" w:cs="Arial"/>
        </w:rPr>
        <w:lastRenderedPageBreak/>
        <w:t>hence restricting its development potential unless it diversifies its offerings. CNS has cultivated trust within its niche</w:t>
      </w:r>
      <w:r w:rsidR="009B4ADF" w:rsidRPr="002D010D">
        <w:rPr>
          <w:rFonts w:ascii="Arial" w:hAnsi="Arial" w:cs="Arial"/>
        </w:rPr>
        <w:t xml:space="preserve">, </w:t>
      </w:r>
      <w:r w:rsidRPr="002D010D">
        <w:rPr>
          <w:rFonts w:ascii="Arial" w:hAnsi="Arial" w:cs="Arial"/>
        </w:rPr>
        <w:t>but growing operations and sustaining affordable prices in the face of increasing competition will be crucial for longevity.</w:t>
      </w:r>
    </w:p>
    <w:p w14:paraId="75E309AC" w14:textId="0DA3CA6B" w:rsidR="00322DC6" w:rsidRPr="002D010D" w:rsidRDefault="00322DC6" w:rsidP="00281107">
      <w:pPr>
        <w:spacing w:line="360" w:lineRule="auto"/>
        <w:jc w:val="both"/>
        <w:rPr>
          <w:rFonts w:ascii="Arial" w:hAnsi="Arial" w:cs="Arial"/>
        </w:rPr>
      </w:pPr>
      <w:bookmarkStart w:id="1" w:name="_Toc182483528"/>
      <w:r w:rsidRPr="00D259EB">
        <w:rPr>
          <w:rStyle w:val="Heading2Char"/>
          <w:rFonts w:ascii="Arial" w:hAnsi="Arial" w:cs="Arial"/>
          <w:b/>
          <w:bCs/>
          <w:color w:val="auto"/>
          <w:sz w:val="22"/>
          <w:szCs w:val="22"/>
        </w:rPr>
        <w:t>Analysis of Porter’s Five Forces</w:t>
      </w:r>
      <w:bookmarkEnd w:id="1"/>
      <w:r w:rsidR="009B4ADF" w:rsidRPr="002D010D">
        <w:rPr>
          <w:rFonts w:ascii="Arial" w:hAnsi="Arial" w:cs="Arial"/>
        </w:rPr>
        <w:t>.</w:t>
      </w:r>
    </w:p>
    <w:p w14:paraId="2E65D37B" w14:textId="39A86E7F" w:rsidR="009B4ADF" w:rsidRPr="002D010D" w:rsidRDefault="00322DC6" w:rsidP="00281107">
      <w:pPr>
        <w:spacing w:line="360" w:lineRule="auto"/>
        <w:jc w:val="both"/>
        <w:rPr>
          <w:rFonts w:ascii="Arial" w:hAnsi="Arial" w:cs="Arial"/>
        </w:rPr>
      </w:pPr>
      <w:r w:rsidRPr="002D010D">
        <w:rPr>
          <w:rFonts w:ascii="Arial" w:hAnsi="Arial" w:cs="Arial"/>
        </w:rPr>
        <w:t>Porter’s Five Forces</w:t>
      </w:r>
      <w:r w:rsidR="00281107">
        <w:rPr>
          <w:rFonts w:ascii="Arial" w:hAnsi="Arial" w:cs="Arial"/>
        </w:rPr>
        <w:t xml:space="preserve"> </w:t>
      </w:r>
      <w:r w:rsidR="00281107" w:rsidRPr="002D010D">
        <w:rPr>
          <w:rFonts w:ascii="Arial" w:hAnsi="Arial" w:cs="Arial"/>
        </w:rPr>
        <w:t>(2008)</w:t>
      </w:r>
      <w:r w:rsidRPr="002D010D">
        <w:rPr>
          <w:rFonts w:ascii="Arial" w:hAnsi="Arial" w:cs="Arial"/>
        </w:rPr>
        <w:t xml:space="preserve"> framework is utilised to evaluate CNS's competitive position and comprehend the industry's dynamics.</w:t>
      </w:r>
      <w:r w:rsidR="009B4ADF" w:rsidRPr="002D010D">
        <w:rPr>
          <w:rFonts w:ascii="Arial" w:hAnsi="Arial" w:cs="Arial"/>
        </w:rPr>
        <w:t> </w:t>
      </w:r>
      <w:r w:rsidRPr="002D010D">
        <w:rPr>
          <w:rFonts w:ascii="Arial" w:hAnsi="Arial" w:cs="Arial"/>
        </w:rPr>
        <w:t>The</w:t>
      </w:r>
      <w:r w:rsidR="009B4ADF" w:rsidRPr="002D010D">
        <w:rPr>
          <w:rFonts w:ascii="Arial" w:hAnsi="Arial" w:cs="Arial"/>
        </w:rPr>
        <w:t xml:space="preserve"> </w:t>
      </w:r>
      <w:r w:rsidRPr="002D010D">
        <w:rPr>
          <w:rFonts w:ascii="Arial" w:hAnsi="Arial" w:cs="Arial"/>
        </w:rPr>
        <w:t>health diagnostics business, especially personalised testing, is becoming accessible due to technological advancements.</w:t>
      </w:r>
    </w:p>
    <w:p w14:paraId="1D76F176" w14:textId="6A6E8EB6" w:rsidR="00322DC6" w:rsidRPr="002D010D" w:rsidRDefault="00322DC6" w:rsidP="00281107">
      <w:pPr>
        <w:spacing w:line="360" w:lineRule="auto"/>
        <w:jc w:val="both"/>
        <w:rPr>
          <w:rFonts w:ascii="Arial" w:hAnsi="Arial" w:cs="Arial"/>
        </w:rPr>
      </w:pPr>
      <w:r w:rsidRPr="00B767A7">
        <w:rPr>
          <w:rFonts w:ascii="Arial" w:hAnsi="Arial" w:cs="Arial"/>
          <w:b/>
          <w:bCs/>
        </w:rPr>
        <w:t>New entrants</w:t>
      </w:r>
      <w:r w:rsidRPr="002D010D">
        <w:rPr>
          <w:rFonts w:ascii="Arial" w:hAnsi="Arial" w:cs="Arial"/>
        </w:rPr>
        <w:t>. The initial investment in laboratory infrastructure and adherence to regulatory standards creates a barrier, but this is reduced with technological innovation and increasing demand for home-based testing kits. CNS’s strong reputation and commitment to quality provide some protection, but its niche focus could attract competitors with lower operational costs. The risk posed by new entrants is moderate</w:t>
      </w:r>
      <w:r w:rsidR="009B4ADF" w:rsidRPr="002D010D">
        <w:rPr>
          <w:rFonts w:ascii="Arial" w:hAnsi="Arial" w:cs="Arial"/>
        </w:rPr>
        <w:t>.</w:t>
      </w:r>
    </w:p>
    <w:p w14:paraId="771A0E96" w14:textId="713FBC2E" w:rsidR="00322DC6" w:rsidRPr="002D010D" w:rsidRDefault="00322DC6" w:rsidP="00281107">
      <w:pPr>
        <w:spacing w:line="360" w:lineRule="auto"/>
        <w:jc w:val="both"/>
        <w:rPr>
          <w:rFonts w:ascii="Arial" w:hAnsi="Arial" w:cs="Arial"/>
        </w:rPr>
      </w:pPr>
      <w:r w:rsidRPr="00B767A7">
        <w:rPr>
          <w:rFonts w:ascii="Arial" w:hAnsi="Arial" w:cs="Arial"/>
          <w:b/>
          <w:bCs/>
        </w:rPr>
        <w:t>The bargaining power of suppliers</w:t>
      </w:r>
      <w:r w:rsidRPr="002D010D">
        <w:rPr>
          <w:rFonts w:ascii="Arial" w:hAnsi="Arial" w:cs="Arial"/>
        </w:rPr>
        <w:t xml:space="preserve">: CNS depends on premium vendors for its diagnostic kits and laboratory equipment. </w:t>
      </w:r>
      <w:r w:rsidR="00B767A7">
        <w:rPr>
          <w:rFonts w:ascii="Arial" w:hAnsi="Arial" w:cs="Arial"/>
        </w:rPr>
        <w:t>The</w:t>
      </w:r>
      <w:r w:rsidRPr="002D010D">
        <w:rPr>
          <w:rFonts w:ascii="Arial" w:hAnsi="Arial" w:cs="Arial"/>
        </w:rPr>
        <w:t xml:space="preserve"> availability of specialised diagnostic materials is limited, giving suppliers significant bargaining power. The CNS can mitigate this problem by expanding its supply network and securing long-term agreements with critical suppliers. The bargaining strength of suppliers is moderate.</w:t>
      </w:r>
    </w:p>
    <w:p w14:paraId="3DAE7EB6" w14:textId="77777777" w:rsidR="00322DC6" w:rsidRPr="002D010D" w:rsidRDefault="00322DC6" w:rsidP="00281107">
      <w:pPr>
        <w:spacing w:line="360" w:lineRule="auto"/>
        <w:jc w:val="both"/>
        <w:rPr>
          <w:rFonts w:ascii="Arial" w:hAnsi="Arial" w:cs="Arial"/>
        </w:rPr>
      </w:pPr>
      <w:r w:rsidRPr="00B767A7">
        <w:rPr>
          <w:rFonts w:ascii="Arial" w:hAnsi="Arial" w:cs="Arial"/>
          <w:b/>
          <w:bCs/>
        </w:rPr>
        <w:t>The bargaining power of buyers</w:t>
      </w:r>
      <w:r w:rsidRPr="002D010D">
        <w:rPr>
          <w:rFonts w:ascii="Arial" w:hAnsi="Arial" w:cs="Arial"/>
        </w:rPr>
        <w:t xml:space="preserve"> is substantial, as consumers can select from several diagnostic providers, including more cost-effective alternatives that offer comparable testing services. Despite CNS's emphasis on precision and customised assistance, clients may easily shift to competitors if they see more value elsewhere. The bargaining power of customers is substantial, particularly when awareness of alternative possibilities rises.</w:t>
      </w:r>
    </w:p>
    <w:p w14:paraId="6A3FED72" w14:textId="77777777" w:rsidR="00322DC6" w:rsidRPr="002D010D" w:rsidRDefault="00322DC6" w:rsidP="00281107">
      <w:pPr>
        <w:spacing w:line="360" w:lineRule="auto"/>
        <w:jc w:val="both"/>
        <w:rPr>
          <w:rFonts w:ascii="Arial" w:hAnsi="Arial" w:cs="Arial"/>
        </w:rPr>
      </w:pPr>
      <w:r w:rsidRPr="00B767A7">
        <w:rPr>
          <w:rFonts w:ascii="Arial" w:hAnsi="Arial" w:cs="Arial"/>
          <w:b/>
          <w:bCs/>
        </w:rPr>
        <w:t>The potential for substitutes</w:t>
      </w:r>
      <w:r w:rsidRPr="002D010D">
        <w:rPr>
          <w:rFonts w:ascii="Arial" w:hAnsi="Arial" w:cs="Arial"/>
        </w:rPr>
        <w:t>, such as home diagnostics and alternative nutritional approaches like elimination diets, presents a significant challenge to the CNS. Numerous clients may choose less expensive, less precise testing or attempt to self-diagnose their intolerances through unscientific methods. This is why CNS needs to keep highlighting the accuracy and scientific support of its services. Substitutes pose a high threat.</w:t>
      </w:r>
    </w:p>
    <w:p w14:paraId="03F78E13" w14:textId="31852CBF" w:rsidR="00F81EF4" w:rsidRPr="002D010D" w:rsidRDefault="00322DC6" w:rsidP="00281107">
      <w:pPr>
        <w:spacing w:line="360" w:lineRule="auto"/>
        <w:jc w:val="both"/>
        <w:rPr>
          <w:rFonts w:ascii="Arial" w:hAnsi="Arial" w:cs="Arial"/>
        </w:rPr>
      </w:pPr>
      <w:r w:rsidRPr="00B767A7">
        <w:rPr>
          <w:rFonts w:ascii="Arial" w:hAnsi="Arial" w:cs="Arial"/>
          <w:b/>
          <w:bCs/>
        </w:rPr>
        <w:t>Industry Rivalry</w:t>
      </w:r>
      <w:r w:rsidRPr="002D010D">
        <w:rPr>
          <w:rFonts w:ascii="Arial" w:hAnsi="Arial" w:cs="Arial"/>
        </w:rPr>
        <w:t>: The health diagnostics sector is marked by fierce competition, with numerous companies providing comparable food intolerance and health testing services. Established entities and newcomers are ever competing in terms of pricing, technological advancements, and service distinction. CNS's specialised focus and exceptional quality provide a competitive advantage, yet rivals are increasingly investing in similar services. The level of competition is high.</w:t>
      </w:r>
    </w:p>
    <w:p w14:paraId="3F9BCD37" w14:textId="34EB3C14" w:rsidR="00322DC6" w:rsidRPr="00D259EB" w:rsidRDefault="00322DC6" w:rsidP="00281107">
      <w:pPr>
        <w:pStyle w:val="Heading1"/>
        <w:spacing w:line="360" w:lineRule="auto"/>
        <w:jc w:val="both"/>
        <w:rPr>
          <w:rFonts w:ascii="Arial" w:hAnsi="Arial" w:cs="Arial"/>
          <w:b/>
          <w:bCs/>
          <w:color w:val="auto"/>
          <w:sz w:val="22"/>
          <w:szCs w:val="22"/>
          <w:lang w:val="en-US"/>
        </w:rPr>
      </w:pPr>
      <w:bookmarkStart w:id="2" w:name="_Toc182483529"/>
      <w:r w:rsidRPr="00D259EB">
        <w:rPr>
          <w:rFonts w:ascii="Arial" w:hAnsi="Arial" w:cs="Arial"/>
          <w:b/>
          <w:bCs/>
          <w:color w:val="auto"/>
          <w:sz w:val="22"/>
          <w:szCs w:val="22"/>
          <w:lang w:val="en-US"/>
        </w:rPr>
        <w:lastRenderedPageBreak/>
        <w:t xml:space="preserve">Critical Analysis of Cambridge Nutritional Sciences’ External and Internal </w:t>
      </w:r>
      <w:r w:rsidR="00B62CAC" w:rsidRPr="00D259EB">
        <w:rPr>
          <w:rFonts w:ascii="Arial" w:hAnsi="Arial" w:cs="Arial"/>
          <w:b/>
          <w:bCs/>
          <w:color w:val="auto"/>
          <w:sz w:val="22"/>
          <w:szCs w:val="22"/>
          <w:lang w:val="en-US"/>
        </w:rPr>
        <w:t>E</w:t>
      </w:r>
      <w:r w:rsidRPr="00D259EB">
        <w:rPr>
          <w:rFonts w:ascii="Arial" w:hAnsi="Arial" w:cs="Arial"/>
          <w:b/>
          <w:bCs/>
          <w:color w:val="auto"/>
          <w:sz w:val="22"/>
          <w:szCs w:val="22"/>
          <w:lang w:val="en-US"/>
        </w:rPr>
        <w:t>nvironment</w:t>
      </w:r>
      <w:r w:rsidR="00D259EB">
        <w:rPr>
          <w:rFonts w:ascii="Arial" w:hAnsi="Arial" w:cs="Arial"/>
          <w:b/>
          <w:bCs/>
          <w:color w:val="auto"/>
          <w:sz w:val="22"/>
          <w:szCs w:val="22"/>
          <w:lang w:val="en-US"/>
        </w:rPr>
        <w:t>.</w:t>
      </w:r>
      <w:bookmarkEnd w:id="2"/>
    </w:p>
    <w:p w14:paraId="571C8D5F" w14:textId="77777777" w:rsidR="00322DC6" w:rsidRPr="00D259EB" w:rsidRDefault="00322DC6" w:rsidP="00281107">
      <w:pPr>
        <w:pStyle w:val="Heading2"/>
        <w:spacing w:line="360" w:lineRule="auto"/>
        <w:jc w:val="both"/>
        <w:rPr>
          <w:rFonts w:ascii="Arial" w:hAnsi="Arial" w:cs="Arial"/>
          <w:b/>
          <w:bCs/>
          <w:color w:val="auto"/>
          <w:sz w:val="22"/>
          <w:szCs w:val="22"/>
          <w:lang w:val="en-US"/>
        </w:rPr>
      </w:pPr>
      <w:bookmarkStart w:id="3" w:name="_Toc182483530"/>
      <w:r w:rsidRPr="00D259EB">
        <w:rPr>
          <w:rFonts w:ascii="Arial" w:hAnsi="Arial" w:cs="Arial"/>
          <w:b/>
          <w:bCs/>
          <w:color w:val="auto"/>
          <w:sz w:val="22"/>
          <w:szCs w:val="22"/>
          <w:lang w:val="en-US"/>
        </w:rPr>
        <w:t>PESTEL Analysis</w:t>
      </w:r>
      <w:bookmarkEnd w:id="3"/>
    </w:p>
    <w:p w14:paraId="354E4ED8" w14:textId="675F76C1" w:rsidR="00283DBF" w:rsidRPr="002D010D" w:rsidRDefault="00283DBF" w:rsidP="00281107">
      <w:pPr>
        <w:spacing w:line="360" w:lineRule="auto"/>
        <w:jc w:val="both"/>
        <w:rPr>
          <w:rFonts w:ascii="Arial" w:hAnsi="Arial" w:cs="Arial"/>
          <w:lang w:val="en-US"/>
        </w:rPr>
      </w:pPr>
      <w:r w:rsidRPr="002D010D">
        <w:rPr>
          <w:rFonts w:ascii="Arial" w:hAnsi="Arial" w:cs="Arial"/>
          <w:lang w:val="en-US"/>
        </w:rPr>
        <w:t xml:space="preserve">PESTEL (Political, Economic, Social, Technological, Environmental, and Legal) analyses external aspects affecting an </w:t>
      </w:r>
      <w:r w:rsidR="00427740" w:rsidRPr="002D010D">
        <w:rPr>
          <w:rFonts w:ascii="Arial" w:hAnsi="Arial" w:cs="Arial"/>
          <w:lang w:val="en-US"/>
        </w:rPr>
        <w:t>organization</w:t>
      </w:r>
      <w:r w:rsidRPr="002D010D">
        <w:rPr>
          <w:rFonts w:ascii="Arial" w:hAnsi="Arial" w:cs="Arial"/>
          <w:lang w:val="en-US"/>
        </w:rPr>
        <w:t xml:space="preserve">. This tool helps companies </w:t>
      </w:r>
      <w:r w:rsidR="00427740" w:rsidRPr="002D010D">
        <w:rPr>
          <w:rFonts w:ascii="Arial" w:hAnsi="Arial" w:cs="Arial"/>
          <w:lang w:val="en-US"/>
        </w:rPr>
        <w:t>analyze</w:t>
      </w:r>
      <w:r w:rsidRPr="002D010D">
        <w:rPr>
          <w:rFonts w:ascii="Arial" w:hAnsi="Arial" w:cs="Arial"/>
          <w:lang w:val="en-US"/>
        </w:rPr>
        <w:t xml:space="preserve"> macro-environmental elements that affect strategy, operations, and decision-making. PESTEL helps Cambridge Nutritional Sciences (CNS), a health diagnostics company, evaluate external threats and opportunities and change its strategy.</w:t>
      </w:r>
    </w:p>
    <w:p w14:paraId="18337582" w14:textId="301C30B9"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Political factors</w:t>
      </w:r>
      <w:r w:rsidR="00D259EB">
        <w:rPr>
          <w:rFonts w:ascii="Arial" w:hAnsi="Arial" w:cs="Arial"/>
          <w:lang w:val="en-US"/>
        </w:rPr>
        <w:t>.</w:t>
      </w:r>
    </w:p>
    <w:p w14:paraId="092FC92E" w14:textId="50D0797A" w:rsidR="00283DBF" w:rsidRPr="002D010D" w:rsidRDefault="00283DBF" w:rsidP="00281107">
      <w:pPr>
        <w:spacing w:line="360" w:lineRule="auto"/>
        <w:jc w:val="both"/>
        <w:rPr>
          <w:rFonts w:ascii="Arial" w:hAnsi="Arial" w:cs="Arial"/>
          <w:lang w:val="en-US"/>
        </w:rPr>
      </w:pPr>
      <w:r w:rsidRPr="002D010D">
        <w:rPr>
          <w:rFonts w:ascii="Arial" w:hAnsi="Arial" w:cs="Arial"/>
          <w:lang w:val="en-US"/>
        </w:rPr>
        <w:t xml:space="preserve">Health agencies like the UK Medicines and Healthcare </w:t>
      </w:r>
      <w:r w:rsidR="00311D26" w:rsidRPr="002D010D">
        <w:rPr>
          <w:rFonts w:ascii="Arial" w:hAnsi="Arial" w:cs="Arial"/>
          <w:lang w:val="en-US"/>
        </w:rPr>
        <w:t>Products</w:t>
      </w:r>
      <w:r w:rsidRPr="002D010D">
        <w:rPr>
          <w:rFonts w:ascii="Arial" w:hAnsi="Arial" w:cs="Arial"/>
          <w:lang w:val="en-US"/>
        </w:rPr>
        <w:t xml:space="preserve"> Regulatory Agency (MHRA) govern the healthcare and diagnostics industries, and CNS must follow their rules. CNS service demand depends on political stability, healthcare financing, and public health awareness. For instance, heightened government attention to nutritional health, food intolerance, and </w:t>
      </w:r>
      <w:r w:rsidR="00427740" w:rsidRPr="002D010D">
        <w:rPr>
          <w:rFonts w:ascii="Arial" w:hAnsi="Arial" w:cs="Arial"/>
          <w:lang w:val="en-US"/>
        </w:rPr>
        <w:t>individualized</w:t>
      </w:r>
      <w:r w:rsidRPr="002D010D">
        <w:rPr>
          <w:rFonts w:ascii="Arial" w:hAnsi="Arial" w:cs="Arial"/>
          <w:lang w:val="en-US"/>
        </w:rPr>
        <w:t xml:space="preserve"> healthcare may improve the company's growth chances. However, Brexit trade policies may disrupt the supply chain and cost of importing </w:t>
      </w:r>
      <w:r w:rsidR="00427740" w:rsidRPr="002D010D">
        <w:rPr>
          <w:rFonts w:ascii="Arial" w:hAnsi="Arial" w:cs="Arial"/>
          <w:lang w:val="en-US"/>
        </w:rPr>
        <w:t>specialized</w:t>
      </w:r>
      <w:r w:rsidRPr="002D010D">
        <w:rPr>
          <w:rFonts w:ascii="Arial" w:hAnsi="Arial" w:cs="Arial"/>
          <w:lang w:val="en-US"/>
        </w:rPr>
        <w:t xml:space="preserve"> diagnostic equipment.</w:t>
      </w:r>
    </w:p>
    <w:p w14:paraId="0945B218" w14:textId="4485F5C9"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Economic factors</w:t>
      </w:r>
      <w:r w:rsidR="00D259EB">
        <w:rPr>
          <w:rFonts w:ascii="Arial" w:hAnsi="Arial" w:cs="Arial"/>
          <w:lang w:val="en-US"/>
        </w:rPr>
        <w:t>.</w:t>
      </w:r>
    </w:p>
    <w:p w14:paraId="51CE0807" w14:textId="54621622" w:rsidR="00283DBF" w:rsidRPr="002D010D" w:rsidRDefault="00283DBF" w:rsidP="00281107">
      <w:pPr>
        <w:spacing w:line="360" w:lineRule="auto"/>
        <w:jc w:val="both"/>
        <w:rPr>
          <w:rFonts w:ascii="Arial" w:hAnsi="Arial" w:cs="Arial"/>
          <w:lang w:val="en-US"/>
        </w:rPr>
      </w:pPr>
      <w:r w:rsidRPr="002D010D">
        <w:rPr>
          <w:rFonts w:ascii="Arial" w:hAnsi="Arial" w:cs="Arial"/>
          <w:lang w:val="en-US"/>
        </w:rPr>
        <w:t xml:space="preserve">CNS operations and customer buying habits are heavily influenced by the economy. Consumers are spending more on preventative health due to the trend towards </w:t>
      </w:r>
      <w:r w:rsidR="00427740" w:rsidRPr="002D010D">
        <w:rPr>
          <w:rFonts w:ascii="Arial" w:hAnsi="Arial" w:cs="Arial"/>
          <w:lang w:val="en-US"/>
        </w:rPr>
        <w:t>personalized</w:t>
      </w:r>
      <w:r w:rsidRPr="002D010D">
        <w:rPr>
          <w:rFonts w:ascii="Arial" w:hAnsi="Arial" w:cs="Arial"/>
          <w:lang w:val="en-US"/>
        </w:rPr>
        <w:t xml:space="preserve"> health and wellness. However, post-Brexit inflationary pressures and recessions could lower disposable incomes and limit demand for non-essential health diagnostics like food intolerance testing. Inflation may raise operational expenses, threatening CNS's competitive pricing strategy.</w:t>
      </w:r>
    </w:p>
    <w:p w14:paraId="6816CF0E" w14:textId="6232EBEC"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Social Factors</w:t>
      </w:r>
      <w:r w:rsidR="00D259EB">
        <w:rPr>
          <w:rFonts w:ascii="Arial" w:hAnsi="Arial" w:cs="Arial"/>
          <w:lang w:val="en-US"/>
        </w:rPr>
        <w:t>.</w:t>
      </w:r>
    </w:p>
    <w:p w14:paraId="4E12361C" w14:textId="64AC8A0A" w:rsidR="00283DBF" w:rsidRPr="002D010D" w:rsidRDefault="00283DBF" w:rsidP="00281107">
      <w:pPr>
        <w:spacing w:line="360" w:lineRule="auto"/>
        <w:jc w:val="both"/>
        <w:rPr>
          <w:rFonts w:ascii="Arial" w:hAnsi="Arial" w:cs="Arial"/>
          <w:lang w:val="en-US"/>
        </w:rPr>
      </w:pPr>
      <w:r w:rsidRPr="002D010D">
        <w:rPr>
          <w:rFonts w:ascii="Arial" w:hAnsi="Arial" w:cs="Arial"/>
          <w:lang w:val="en-US"/>
        </w:rPr>
        <w:t xml:space="preserve">CNS operates in a socially driven industry. Wellness and </w:t>
      </w:r>
      <w:r w:rsidR="00427740" w:rsidRPr="002D010D">
        <w:rPr>
          <w:rFonts w:ascii="Arial" w:hAnsi="Arial" w:cs="Arial"/>
          <w:lang w:val="en-US"/>
        </w:rPr>
        <w:t>personalized</w:t>
      </w:r>
      <w:r w:rsidRPr="002D010D">
        <w:rPr>
          <w:rFonts w:ascii="Arial" w:hAnsi="Arial" w:cs="Arial"/>
          <w:lang w:val="en-US"/>
        </w:rPr>
        <w:t xml:space="preserve"> nutrition are gaining popularity. Consumers are more aware of food intolerances and willing to get tested to improve their health. CNS benefits from this social trend, which increases demand for its superior, scientifically validated services. However, difficulties could arise from a lack of confidence in diagnostic services or social </w:t>
      </w:r>
      <w:proofErr w:type="spellStart"/>
      <w:r w:rsidR="00311D26" w:rsidRPr="002D010D">
        <w:rPr>
          <w:rFonts w:ascii="Arial" w:hAnsi="Arial" w:cs="Arial"/>
          <w:lang w:val="en-US"/>
        </w:rPr>
        <w:t>scepticism</w:t>
      </w:r>
      <w:proofErr w:type="spellEnd"/>
      <w:r w:rsidRPr="002D010D">
        <w:rPr>
          <w:rFonts w:ascii="Arial" w:hAnsi="Arial" w:cs="Arial"/>
          <w:lang w:val="en-US"/>
        </w:rPr>
        <w:t xml:space="preserve"> over the reliability of food intolerance testing. CNS must engage, educate, and develop confidence with consumers by transparently communicating its products' scientific competence.</w:t>
      </w:r>
    </w:p>
    <w:p w14:paraId="2BB2AAD6" w14:textId="569196A6"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Technological factors</w:t>
      </w:r>
      <w:r w:rsidR="00D259EB">
        <w:rPr>
          <w:rFonts w:ascii="Arial" w:hAnsi="Arial" w:cs="Arial"/>
          <w:lang w:val="en-US"/>
        </w:rPr>
        <w:t>.</w:t>
      </w:r>
    </w:p>
    <w:p w14:paraId="0050A558" w14:textId="661EF664" w:rsidR="00283DBF" w:rsidRPr="002D010D" w:rsidRDefault="00283DBF" w:rsidP="00281107">
      <w:pPr>
        <w:spacing w:line="360" w:lineRule="auto"/>
        <w:jc w:val="both"/>
        <w:rPr>
          <w:rFonts w:ascii="Arial" w:hAnsi="Arial" w:cs="Arial"/>
          <w:lang w:val="en-US"/>
        </w:rPr>
      </w:pPr>
      <w:r w:rsidRPr="002D010D">
        <w:rPr>
          <w:rFonts w:ascii="Arial" w:hAnsi="Arial" w:cs="Arial"/>
          <w:lang w:val="en-US"/>
        </w:rPr>
        <w:t>Technological advances are crucial to health diagnoses. Advanced diagnostic technologies,</w:t>
      </w:r>
      <w:r w:rsidR="001E43D8">
        <w:rPr>
          <w:rFonts w:ascii="Arial" w:hAnsi="Arial" w:cs="Arial"/>
          <w:lang w:val="en-US"/>
        </w:rPr>
        <w:t xml:space="preserve"> </w:t>
      </w:r>
      <w:r w:rsidRPr="002D010D">
        <w:rPr>
          <w:rFonts w:ascii="Arial" w:hAnsi="Arial" w:cs="Arial"/>
          <w:lang w:val="en-US"/>
        </w:rPr>
        <w:t xml:space="preserve">laboratory automation, and data analytics improve testing accuracy and speed for CNS. </w:t>
      </w:r>
      <w:r w:rsidRPr="002D010D">
        <w:rPr>
          <w:rFonts w:ascii="Arial" w:hAnsi="Arial" w:cs="Arial"/>
          <w:lang w:val="en-US"/>
        </w:rPr>
        <w:lastRenderedPageBreak/>
        <w:t>Telemedicine and at-home health diagnostics offer CNS options to expand its reach and incorporate new technology to fulfil consumer convenience demands. Nevertheless, the quick speed of technological advancement can also be a disadvantage since rivals might create testing methods that are more effective or less expensive, endangering CNS's advantages over rivals.</w:t>
      </w:r>
    </w:p>
    <w:p w14:paraId="30E3CD07" w14:textId="2A4D36F2"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Environmental Factors</w:t>
      </w:r>
      <w:r w:rsidR="00D259EB">
        <w:rPr>
          <w:rFonts w:ascii="Arial" w:hAnsi="Arial" w:cs="Arial"/>
          <w:lang w:val="en-US"/>
        </w:rPr>
        <w:t>.</w:t>
      </w:r>
    </w:p>
    <w:p w14:paraId="2E3D57E4"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Consumers and regulators value sustainability and environmental responsibility more. CNS must address its environmental impact, including diagnostic kit waste and laboratory energy use. Sustainable packaging and eco-friendly practices can provide CNS with a competitive advantage and match consumer demands. In the short run, these approaches may raise operational costs.</w:t>
      </w:r>
    </w:p>
    <w:p w14:paraId="02619F99" w14:textId="6F41B72E"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Legal Factors</w:t>
      </w:r>
      <w:r w:rsidR="00D259EB">
        <w:rPr>
          <w:rFonts w:ascii="Arial" w:hAnsi="Arial" w:cs="Arial"/>
          <w:lang w:val="en-US"/>
        </w:rPr>
        <w:t>.</w:t>
      </w:r>
    </w:p>
    <w:p w14:paraId="763454EB"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Product safety, data privacy, and medical accuracy are strictly regulated in the diagnostics industry. CNS is subject to EU and UK laws concerning data security, intellectual property, and consumer health. Due to health data's sensitivity, GDPR compliance is crucial. Failure to comply can lead to fines, reputational harm, and customer dissatisfaction. CNS must adapt to changing legal norms to avoid legal issues and maintain its market position.</w:t>
      </w:r>
    </w:p>
    <w:p w14:paraId="4177B8D1" w14:textId="2608CFCF" w:rsidR="00283DBF" w:rsidRPr="00D259EB" w:rsidRDefault="00283DBF" w:rsidP="00281107">
      <w:pPr>
        <w:pStyle w:val="Heading2"/>
        <w:spacing w:line="360" w:lineRule="auto"/>
        <w:jc w:val="both"/>
        <w:rPr>
          <w:rFonts w:ascii="Arial" w:hAnsi="Arial" w:cs="Arial"/>
          <w:b/>
          <w:bCs/>
          <w:color w:val="auto"/>
          <w:sz w:val="22"/>
          <w:szCs w:val="22"/>
          <w:lang w:val="en-US"/>
        </w:rPr>
      </w:pPr>
      <w:bookmarkStart w:id="4" w:name="_Toc182483531"/>
      <w:r w:rsidRPr="00D259EB">
        <w:rPr>
          <w:rFonts w:ascii="Arial" w:hAnsi="Arial" w:cs="Arial"/>
          <w:b/>
          <w:bCs/>
          <w:color w:val="auto"/>
          <w:sz w:val="22"/>
          <w:szCs w:val="22"/>
          <w:lang w:val="en-US"/>
        </w:rPr>
        <w:t xml:space="preserve">SWOT </w:t>
      </w:r>
      <w:r w:rsidR="00E624F5">
        <w:rPr>
          <w:rFonts w:ascii="Arial" w:hAnsi="Arial" w:cs="Arial"/>
          <w:b/>
          <w:bCs/>
          <w:color w:val="auto"/>
          <w:sz w:val="22"/>
          <w:szCs w:val="22"/>
          <w:lang w:val="en-US"/>
        </w:rPr>
        <w:t>A</w:t>
      </w:r>
      <w:r w:rsidRPr="00D259EB">
        <w:rPr>
          <w:rFonts w:ascii="Arial" w:hAnsi="Arial" w:cs="Arial"/>
          <w:b/>
          <w:bCs/>
          <w:color w:val="auto"/>
          <w:sz w:val="22"/>
          <w:szCs w:val="22"/>
          <w:lang w:val="en-US"/>
        </w:rPr>
        <w:t>nalysis</w:t>
      </w:r>
      <w:bookmarkEnd w:id="4"/>
    </w:p>
    <w:p w14:paraId="28F9F71B" w14:textId="7BF57D0F" w:rsidR="00283DBF" w:rsidRPr="002D010D" w:rsidRDefault="00427740" w:rsidP="00281107">
      <w:pPr>
        <w:spacing w:line="360" w:lineRule="auto"/>
        <w:jc w:val="both"/>
        <w:rPr>
          <w:rFonts w:ascii="Arial" w:hAnsi="Arial" w:cs="Arial"/>
          <w:lang w:val="en-US"/>
        </w:rPr>
      </w:pPr>
      <w:r w:rsidRPr="002D010D">
        <w:rPr>
          <w:rFonts w:ascii="Arial" w:hAnsi="Arial" w:cs="Arial"/>
          <w:lang w:val="en-US"/>
        </w:rPr>
        <w:t>Organizations</w:t>
      </w:r>
      <w:r w:rsidR="00283DBF" w:rsidRPr="002D010D">
        <w:rPr>
          <w:rFonts w:ascii="Arial" w:hAnsi="Arial" w:cs="Arial"/>
          <w:lang w:val="en-US"/>
        </w:rPr>
        <w:t xml:space="preserve"> </w:t>
      </w:r>
      <w:r w:rsidR="00AC4B23" w:rsidRPr="002D010D">
        <w:rPr>
          <w:rFonts w:ascii="Arial" w:hAnsi="Arial" w:cs="Arial"/>
          <w:lang w:val="en-US"/>
        </w:rPr>
        <w:t>utilize</w:t>
      </w:r>
      <w:r w:rsidR="00283DBF" w:rsidRPr="002D010D">
        <w:rPr>
          <w:rFonts w:ascii="Arial" w:hAnsi="Arial" w:cs="Arial"/>
          <w:lang w:val="en-US"/>
        </w:rPr>
        <w:t xml:space="preserve"> SWOT (Strengths, Weaknesses, Opportunities, Threats) to assess their internal and external environments. It identifies essential aspects to mitigate external dangers and seize opportunities.</w:t>
      </w:r>
    </w:p>
    <w:p w14:paraId="18897DBC" w14:textId="6FFA31DC"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Strengths</w:t>
      </w:r>
      <w:r w:rsidR="00D259EB">
        <w:rPr>
          <w:rFonts w:ascii="Arial" w:hAnsi="Arial" w:cs="Arial"/>
          <w:lang w:val="en-US"/>
        </w:rPr>
        <w:t>.</w:t>
      </w:r>
    </w:p>
    <w:p w14:paraId="6DA94E3D" w14:textId="1581818F" w:rsidR="00283DBF" w:rsidRPr="002D010D" w:rsidRDefault="00283DBF" w:rsidP="00281107">
      <w:pPr>
        <w:spacing w:line="360" w:lineRule="auto"/>
        <w:jc w:val="both"/>
        <w:rPr>
          <w:rFonts w:ascii="Arial" w:hAnsi="Arial" w:cs="Arial"/>
          <w:lang w:val="en-US"/>
        </w:rPr>
      </w:pPr>
      <w:r w:rsidRPr="002D010D">
        <w:rPr>
          <w:rFonts w:ascii="Arial" w:hAnsi="Arial" w:cs="Arial"/>
          <w:lang w:val="en-US"/>
        </w:rPr>
        <w:t xml:space="preserve">High-Quality Diagnostics: CNS offers science-backed food intolerance testing that is accurate and </w:t>
      </w:r>
      <w:r w:rsidR="00427740" w:rsidRPr="002D010D">
        <w:rPr>
          <w:rFonts w:ascii="Arial" w:hAnsi="Arial" w:cs="Arial"/>
          <w:lang w:val="en-US"/>
        </w:rPr>
        <w:t>dependable</w:t>
      </w:r>
      <w:r w:rsidRPr="002D010D">
        <w:rPr>
          <w:rFonts w:ascii="Arial" w:hAnsi="Arial" w:cs="Arial"/>
          <w:lang w:val="en-US"/>
        </w:rPr>
        <w:t>, unlike low-cost competitors.</w:t>
      </w:r>
    </w:p>
    <w:p w14:paraId="132B7C2A"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Brand Trust: CNS is a trusted UK diagnostic provider. An industry that values accuracy and scientific confirmation needs this trust.</w:t>
      </w:r>
    </w:p>
    <w:p w14:paraId="0647106F"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Skilled Workforce: CNS's scientists, dietitians, and technicians provide accurate diagnostics and excellent customer service.</w:t>
      </w:r>
    </w:p>
    <w:p w14:paraId="6F4E1623" w14:textId="6C57B610"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Weaknesses</w:t>
      </w:r>
      <w:r w:rsidR="00D259EB">
        <w:rPr>
          <w:rFonts w:ascii="Arial" w:hAnsi="Arial" w:cs="Arial"/>
          <w:lang w:val="en-US"/>
        </w:rPr>
        <w:t>.</w:t>
      </w:r>
    </w:p>
    <w:p w14:paraId="21B4362D"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Limited Market emphasis: CNS's UK emphasis may limit its growth compared to worldwide competition.</w:t>
      </w:r>
    </w:p>
    <w:p w14:paraId="198F20C3"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lastRenderedPageBreak/>
        <w:t>Operating Costs: Inflation and environmental activities may raise CNS's operating costs and pricing strategy.</w:t>
      </w:r>
    </w:p>
    <w:p w14:paraId="22E88619"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Technological Dependence: CNS is sensitive to industry disruptions due to its reliance on innovative technologies.</w:t>
      </w:r>
    </w:p>
    <w:p w14:paraId="4D6D3BD5" w14:textId="7BF06870"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Opportunities</w:t>
      </w:r>
      <w:r w:rsidR="00D259EB">
        <w:rPr>
          <w:rFonts w:ascii="Arial" w:hAnsi="Arial" w:cs="Arial"/>
          <w:lang w:val="en-US"/>
        </w:rPr>
        <w:t>.</w:t>
      </w:r>
    </w:p>
    <w:p w14:paraId="729D308B"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International Expansion: CNS can grow and lessen its UK market dependence by exploring international markets.</w:t>
      </w:r>
    </w:p>
    <w:p w14:paraId="135C405B"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Service Diversification: CNS can grow its customer base and revenue by offering diagnostic services beyond food intolerance testing.</w:t>
      </w:r>
    </w:p>
    <w:p w14:paraId="551DA046" w14:textId="6516307B" w:rsidR="00283DBF" w:rsidRPr="002D010D" w:rsidRDefault="00283DBF" w:rsidP="00281107">
      <w:pPr>
        <w:spacing w:line="360" w:lineRule="auto"/>
        <w:jc w:val="both"/>
        <w:rPr>
          <w:rFonts w:ascii="Arial" w:hAnsi="Arial" w:cs="Arial"/>
          <w:lang w:val="en-US"/>
        </w:rPr>
      </w:pPr>
      <w:r w:rsidRPr="002D010D">
        <w:rPr>
          <w:rFonts w:ascii="Arial" w:hAnsi="Arial" w:cs="Arial"/>
          <w:lang w:val="en-US"/>
        </w:rPr>
        <w:t xml:space="preserve">Strategic Partnerships: CNS can expand its services and market reach by partnering with healthcare providers and wellness </w:t>
      </w:r>
      <w:proofErr w:type="spellStart"/>
      <w:r w:rsidR="00556545">
        <w:rPr>
          <w:rFonts w:ascii="Arial" w:hAnsi="Arial" w:cs="Arial"/>
          <w:lang w:val="en-US"/>
        </w:rPr>
        <w:t>organisations</w:t>
      </w:r>
      <w:proofErr w:type="spellEnd"/>
      <w:r w:rsidRPr="002D010D">
        <w:rPr>
          <w:rFonts w:ascii="Arial" w:hAnsi="Arial" w:cs="Arial"/>
          <w:lang w:val="en-US"/>
        </w:rPr>
        <w:t>.</w:t>
      </w:r>
    </w:p>
    <w:p w14:paraId="6C9A86A0" w14:textId="50E38ECB" w:rsidR="00283DBF" w:rsidRPr="002D010D" w:rsidRDefault="00283DBF" w:rsidP="00281107">
      <w:pPr>
        <w:spacing w:line="360" w:lineRule="auto"/>
        <w:jc w:val="both"/>
        <w:rPr>
          <w:rFonts w:ascii="Arial" w:hAnsi="Arial" w:cs="Arial"/>
          <w:lang w:val="en-US"/>
        </w:rPr>
      </w:pPr>
      <w:r w:rsidRPr="00E624F5">
        <w:rPr>
          <w:rFonts w:ascii="Arial" w:hAnsi="Arial" w:cs="Arial"/>
          <w:b/>
          <w:bCs/>
          <w:lang w:val="en-US"/>
        </w:rPr>
        <w:t>Threats</w:t>
      </w:r>
      <w:r w:rsidR="00D259EB">
        <w:rPr>
          <w:rFonts w:ascii="Arial" w:hAnsi="Arial" w:cs="Arial"/>
          <w:lang w:val="en-US"/>
        </w:rPr>
        <w:t>.</w:t>
      </w:r>
    </w:p>
    <w:p w14:paraId="7F2BA939"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Changing rules in the healthcare and diagnostics industry can affect CNS's operations and compliance.</w:t>
      </w:r>
    </w:p>
    <w:p w14:paraId="4907EEB6"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Increased competition from established and new businesses can hurt CNS's market share and profitability.</w:t>
      </w:r>
    </w:p>
    <w:p w14:paraId="594F59CC" w14:textId="77777777" w:rsidR="00283DBF" w:rsidRPr="002D010D" w:rsidRDefault="00283DBF" w:rsidP="00281107">
      <w:pPr>
        <w:spacing w:line="360" w:lineRule="auto"/>
        <w:jc w:val="both"/>
        <w:rPr>
          <w:rFonts w:ascii="Arial" w:hAnsi="Arial" w:cs="Arial"/>
          <w:lang w:val="en-US"/>
        </w:rPr>
      </w:pPr>
      <w:r w:rsidRPr="002D010D">
        <w:rPr>
          <w:rFonts w:ascii="Arial" w:hAnsi="Arial" w:cs="Arial"/>
          <w:lang w:val="en-US"/>
        </w:rPr>
        <w:t>Technological Disruption: Rapid diagnostic technology developments may make CNS's solutions obsolete, endangering its competitive position.</w:t>
      </w:r>
    </w:p>
    <w:p w14:paraId="03486D20" w14:textId="2DF3248E" w:rsidR="003C1E05" w:rsidRPr="00D259EB" w:rsidRDefault="003C1E05" w:rsidP="00281107">
      <w:pPr>
        <w:pStyle w:val="Heading1"/>
        <w:spacing w:line="360" w:lineRule="auto"/>
        <w:jc w:val="both"/>
        <w:rPr>
          <w:rFonts w:ascii="Arial" w:hAnsi="Arial" w:cs="Arial"/>
          <w:b/>
          <w:bCs/>
          <w:color w:val="auto"/>
          <w:sz w:val="22"/>
          <w:szCs w:val="22"/>
        </w:rPr>
      </w:pPr>
      <w:bookmarkStart w:id="5" w:name="_Toc182483532"/>
      <w:r w:rsidRPr="00D259EB">
        <w:rPr>
          <w:rFonts w:ascii="Arial" w:hAnsi="Arial" w:cs="Arial"/>
          <w:b/>
          <w:bCs/>
          <w:color w:val="auto"/>
          <w:sz w:val="22"/>
          <w:szCs w:val="22"/>
        </w:rPr>
        <w:t>Cambridge Nutritional Sciences (CNS)</w:t>
      </w:r>
      <w:r w:rsidR="00E113B7">
        <w:rPr>
          <w:rFonts w:ascii="Arial" w:hAnsi="Arial" w:cs="Arial"/>
          <w:b/>
          <w:bCs/>
          <w:color w:val="auto"/>
          <w:sz w:val="22"/>
          <w:szCs w:val="22"/>
        </w:rPr>
        <w:t xml:space="preserve"> </w:t>
      </w:r>
      <w:r w:rsidR="00E113B7" w:rsidRPr="00D259EB">
        <w:rPr>
          <w:rFonts w:ascii="Arial" w:hAnsi="Arial" w:cs="Arial"/>
          <w:b/>
          <w:bCs/>
          <w:color w:val="auto"/>
          <w:sz w:val="22"/>
          <w:szCs w:val="22"/>
        </w:rPr>
        <w:t>Stakeholder</w:t>
      </w:r>
      <w:r w:rsidR="00E113B7">
        <w:rPr>
          <w:rFonts w:ascii="Arial" w:hAnsi="Arial" w:cs="Arial"/>
          <w:b/>
          <w:bCs/>
          <w:color w:val="auto"/>
          <w:sz w:val="22"/>
          <w:szCs w:val="22"/>
        </w:rPr>
        <w:t>s</w:t>
      </w:r>
      <w:r w:rsidR="00D259EB">
        <w:rPr>
          <w:rFonts w:ascii="Arial" w:hAnsi="Arial" w:cs="Arial"/>
          <w:b/>
          <w:bCs/>
          <w:color w:val="auto"/>
          <w:sz w:val="22"/>
          <w:szCs w:val="22"/>
        </w:rPr>
        <w:t>.</w:t>
      </w:r>
      <w:bookmarkEnd w:id="5"/>
    </w:p>
    <w:p w14:paraId="4B9203AA" w14:textId="2B17F7FC" w:rsidR="00C43E21" w:rsidRPr="00C43E21" w:rsidRDefault="00C43E21" w:rsidP="00281107">
      <w:pPr>
        <w:spacing w:line="360" w:lineRule="auto"/>
        <w:jc w:val="both"/>
        <w:rPr>
          <w:rFonts w:ascii="Arial" w:hAnsi="Arial" w:cs="Arial"/>
        </w:rPr>
      </w:pPr>
      <w:r w:rsidRPr="00C43E21">
        <w:rPr>
          <w:rFonts w:ascii="Arial" w:hAnsi="Arial" w:cs="Arial"/>
        </w:rPr>
        <w:t>According to Edward Freeman</w:t>
      </w:r>
      <w:r w:rsidR="000271E8">
        <w:rPr>
          <w:rFonts w:ascii="Arial" w:hAnsi="Arial" w:cs="Arial"/>
        </w:rPr>
        <w:t xml:space="preserve"> (1984)</w:t>
      </w:r>
      <w:r w:rsidRPr="00C43E21">
        <w:rPr>
          <w:rFonts w:ascii="Arial" w:hAnsi="Arial" w:cs="Arial"/>
        </w:rPr>
        <w:t xml:space="preserve">, widely considered the “father” of stakeholder theory, stakeholders are any individuals or groups that affect or are affected by an organisation’s objectives. Freeman </w:t>
      </w:r>
      <w:r w:rsidR="000271E8">
        <w:rPr>
          <w:rFonts w:ascii="Arial" w:hAnsi="Arial" w:cs="Arial"/>
        </w:rPr>
        <w:t xml:space="preserve">(1984) </w:t>
      </w:r>
      <w:r w:rsidRPr="00C43E21">
        <w:rPr>
          <w:rFonts w:ascii="Arial" w:hAnsi="Arial" w:cs="Arial"/>
        </w:rPr>
        <w:t>describes stakeholders as those who have a “stake” in the company or who can benefit from or be harmed by its actions. A company's stakeholders are vital because they either contribute to the success of the organisation or are influenced by its success.</w:t>
      </w:r>
    </w:p>
    <w:p w14:paraId="3BA37011" w14:textId="7DBF7DBE" w:rsidR="00C43E21" w:rsidRPr="00C43E21" w:rsidRDefault="00C43E21" w:rsidP="00281107">
      <w:pPr>
        <w:spacing w:line="360" w:lineRule="auto"/>
        <w:jc w:val="both"/>
        <w:rPr>
          <w:rFonts w:ascii="Arial" w:hAnsi="Arial" w:cs="Arial"/>
        </w:rPr>
      </w:pPr>
      <w:r w:rsidRPr="00C43E21">
        <w:rPr>
          <w:rFonts w:ascii="Arial" w:hAnsi="Arial" w:cs="Arial"/>
        </w:rPr>
        <w:t>They have varied degrees of power and influence over the organisation, and they play an important part in the process of creating value for the organisation.</w:t>
      </w:r>
      <w:r w:rsidR="00E113B7">
        <w:rPr>
          <w:rFonts w:ascii="Arial" w:hAnsi="Arial" w:cs="Arial"/>
        </w:rPr>
        <w:t xml:space="preserve"> </w:t>
      </w:r>
      <w:r w:rsidRPr="00C43E21">
        <w:rPr>
          <w:rFonts w:ascii="Arial" w:hAnsi="Arial" w:cs="Arial"/>
        </w:rPr>
        <w:t xml:space="preserve">Cambridge Nutritional Sciences (CNS) has a wide variety of persons and groups who are considered stakeholders </w:t>
      </w:r>
      <w:r w:rsidR="00E113B7">
        <w:rPr>
          <w:rFonts w:ascii="Arial" w:hAnsi="Arial" w:cs="Arial"/>
        </w:rPr>
        <w:t>w</w:t>
      </w:r>
      <w:r w:rsidRPr="00C43E21">
        <w:rPr>
          <w:rFonts w:ascii="Arial" w:hAnsi="Arial" w:cs="Arial"/>
        </w:rPr>
        <w:t>h</w:t>
      </w:r>
      <w:r w:rsidR="00E113B7">
        <w:rPr>
          <w:rFonts w:ascii="Arial" w:hAnsi="Arial" w:cs="Arial"/>
        </w:rPr>
        <w:t>o</w:t>
      </w:r>
      <w:r w:rsidRPr="00C43E21">
        <w:rPr>
          <w:rFonts w:ascii="Arial" w:hAnsi="Arial" w:cs="Arial"/>
        </w:rPr>
        <w:t xml:space="preserve"> have an interest in the company's operations, performance, and long-term viability.</w:t>
      </w:r>
    </w:p>
    <w:p w14:paraId="2483B764" w14:textId="77777777" w:rsidR="00C43E21" w:rsidRPr="00C43E21" w:rsidRDefault="00C43E21" w:rsidP="00281107">
      <w:pPr>
        <w:spacing w:line="360" w:lineRule="auto"/>
        <w:jc w:val="both"/>
        <w:rPr>
          <w:rFonts w:ascii="Arial" w:hAnsi="Arial" w:cs="Arial"/>
        </w:rPr>
      </w:pPr>
      <w:r w:rsidRPr="00C43E21">
        <w:rPr>
          <w:rFonts w:ascii="Arial" w:hAnsi="Arial" w:cs="Arial"/>
        </w:rPr>
        <w:t>Customers: Individuals purchasing CNS’s diagnostic services, particularly health-conscious consumers seeking reliable food intolerance and nutritional testing.</w:t>
      </w:r>
    </w:p>
    <w:p w14:paraId="6C1F4E8B" w14:textId="77777777" w:rsidR="00C43E21" w:rsidRPr="00C43E21" w:rsidRDefault="00C43E21" w:rsidP="00281107">
      <w:pPr>
        <w:spacing w:line="360" w:lineRule="auto"/>
        <w:jc w:val="both"/>
        <w:rPr>
          <w:rFonts w:ascii="Arial" w:hAnsi="Arial" w:cs="Arial"/>
        </w:rPr>
      </w:pPr>
      <w:r w:rsidRPr="00C43E21">
        <w:rPr>
          <w:rFonts w:ascii="Arial" w:hAnsi="Arial" w:cs="Arial"/>
        </w:rPr>
        <w:lastRenderedPageBreak/>
        <w:t>Employees: The company’s internal staff, including scientists, lab technicians, and customer service personnel.</w:t>
      </w:r>
    </w:p>
    <w:p w14:paraId="081514D3" w14:textId="77777777" w:rsidR="00C43E21" w:rsidRPr="00C43E21" w:rsidRDefault="00C43E21" w:rsidP="00281107">
      <w:pPr>
        <w:spacing w:line="360" w:lineRule="auto"/>
        <w:jc w:val="both"/>
        <w:rPr>
          <w:rFonts w:ascii="Arial" w:hAnsi="Arial" w:cs="Arial"/>
        </w:rPr>
      </w:pPr>
      <w:r w:rsidRPr="00C43E21">
        <w:rPr>
          <w:rFonts w:ascii="Arial" w:hAnsi="Arial" w:cs="Arial"/>
        </w:rPr>
        <w:t>Suppliers: Companies providing the necessary diagnostic materials, lab equipment, and technological solutions required for CNS’s operations.</w:t>
      </w:r>
    </w:p>
    <w:p w14:paraId="2BCC8C8A" w14:textId="77777777" w:rsidR="00C43E21" w:rsidRPr="00C43E21" w:rsidRDefault="00C43E21" w:rsidP="00281107">
      <w:pPr>
        <w:spacing w:line="360" w:lineRule="auto"/>
        <w:jc w:val="both"/>
        <w:rPr>
          <w:rFonts w:ascii="Arial" w:hAnsi="Arial" w:cs="Arial"/>
        </w:rPr>
      </w:pPr>
      <w:r w:rsidRPr="00C43E21">
        <w:rPr>
          <w:rFonts w:ascii="Arial" w:hAnsi="Arial" w:cs="Arial"/>
        </w:rPr>
        <w:t>Healthcare Professionals: doctors, nutritionists, and other healthcare providers who may recommend CNS services to patients.</w:t>
      </w:r>
    </w:p>
    <w:p w14:paraId="61385236" w14:textId="77777777" w:rsidR="00C43E21" w:rsidRPr="00C43E21" w:rsidRDefault="00C43E21" w:rsidP="00281107">
      <w:pPr>
        <w:spacing w:line="360" w:lineRule="auto"/>
        <w:jc w:val="both"/>
        <w:rPr>
          <w:rFonts w:ascii="Arial" w:hAnsi="Arial" w:cs="Arial"/>
        </w:rPr>
      </w:pPr>
      <w:r w:rsidRPr="00C43E21">
        <w:rPr>
          <w:rFonts w:ascii="Arial" w:hAnsi="Arial" w:cs="Arial"/>
        </w:rPr>
        <w:t>Regulatory Bodies: Organisations such as the Medicines and Healthcare Products Regulatory Agency (MHRA) are responsible for regulating healthcare companies and ensuring compliance with health and safety standards.</w:t>
      </w:r>
    </w:p>
    <w:p w14:paraId="48B6D7C7" w14:textId="77777777" w:rsidR="00C43E21" w:rsidRPr="00C43E21" w:rsidRDefault="00C43E21" w:rsidP="00281107">
      <w:pPr>
        <w:spacing w:line="360" w:lineRule="auto"/>
        <w:jc w:val="both"/>
        <w:rPr>
          <w:rFonts w:ascii="Arial" w:hAnsi="Arial" w:cs="Arial"/>
        </w:rPr>
      </w:pPr>
      <w:r w:rsidRPr="00C43E21">
        <w:rPr>
          <w:rFonts w:ascii="Arial" w:hAnsi="Arial" w:cs="Arial"/>
        </w:rPr>
        <w:t>Investors/Shareholders: Individuals or institutions that have invested capital into CNS and expect financial returns.</w:t>
      </w:r>
    </w:p>
    <w:p w14:paraId="2980D84B" w14:textId="77777777" w:rsidR="00C43E21" w:rsidRPr="00C43E21" w:rsidRDefault="00C43E21" w:rsidP="00281107">
      <w:pPr>
        <w:spacing w:line="360" w:lineRule="auto"/>
        <w:jc w:val="both"/>
        <w:rPr>
          <w:rFonts w:ascii="Arial" w:hAnsi="Arial" w:cs="Arial"/>
        </w:rPr>
      </w:pPr>
      <w:r w:rsidRPr="00C43E21">
        <w:rPr>
          <w:rFonts w:ascii="Arial" w:hAnsi="Arial" w:cs="Arial"/>
        </w:rPr>
        <w:t>Competitors: Other diagnostic companies offering similar services in the food intolerance and healthcare diagnostics markets.</w:t>
      </w:r>
    </w:p>
    <w:p w14:paraId="4EF67768" w14:textId="77777777" w:rsidR="00C43E21" w:rsidRPr="00C43E21" w:rsidRDefault="00C43E21" w:rsidP="00281107">
      <w:pPr>
        <w:spacing w:line="360" w:lineRule="auto"/>
        <w:jc w:val="both"/>
        <w:rPr>
          <w:rFonts w:ascii="Arial" w:hAnsi="Arial" w:cs="Arial"/>
        </w:rPr>
      </w:pPr>
      <w:r w:rsidRPr="00C43E21">
        <w:rPr>
          <w:rFonts w:ascii="Arial" w:hAnsi="Arial" w:cs="Arial"/>
        </w:rPr>
        <w:t>Government/Public Health Authorities: These authorities influence healthcare policies and regulations that affect CNS’s operations.</w:t>
      </w:r>
    </w:p>
    <w:p w14:paraId="604FB988" w14:textId="25D5EA43" w:rsidR="00C43E21" w:rsidRDefault="00C43E21" w:rsidP="00281107">
      <w:pPr>
        <w:pStyle w:val="Heading2"/>
        <w:spacing w:line="360" w:lineRule="auto"/>
        <w:jc w:val="both"/>
        <w:rPr>
          <w:rFonts w:ascii="Arial" w:hAnsi="Arial" w:cs="Arial"/>
          <w:b/>
          <w:bCs/>
          <w:color w:val="auto"/>
          <w:sz w:val="22"/>
          <w:szCs w:val="22"/>
        </w:rPr>
      </w:pPr>
      <w:bookmarkStart w:id="6" w:name="_Toc182483533"/>
      <w:r w:rsidRPr="00D259EB">
        <w:rPr>
          <w:rFonts w:ascii="Arial" w:hAnsi="Arial" w:cs="Arial"/>
          <w:b/>
          <w:bCs/>
          <w:color w:val="auto"/>
          <w:sz w:val="22"/>
          <w:szCs w:val="22"/>
        </w:rPr>
        <w:t xml:space="preserve">Stakeholders’ </w:t>
      </w:r>
      <w:r w:rsidR="00E113B7">
        <w:rPr>
          <w:rFonts w:ascii="Arial" w:hAnsi="Arial" w:cs="Arial"/>
          <w:b/>
          <w:bCs/>
          <w:color w:val="auto"/>
          <w:sz w:val="22"/>
          <w:szCs w:val="22"/>
        </w:rPr>
        <w:t xml:space="preserve">Analysis </w:t>
      </w:r>
      <w:r w:rsidR="00E113B7" w:rsidRPr="00F75F6B">
        <w:rPr>
          <w:rStyle w:val="Heading2Char"/>
          <w:rFonts w:ascii="Arial" w:hAnsi="Arial" w:cs="Arial"/>
          <w:b/>
          <w:bCs/>
          <w:color w:val="auto"/>
          <w:sz w:val="22"/>
          <w:szCs w:val="22"/>
        </w:rPr>
        <w:t>and Management Strategies of CNS</w:t>
      </w:r>
      <w:r w:rsidR="00D259EB">
        <w:rPr>
          <w:rFonts w:ascii="Arial" w:hAnsi="Arial" w:cs="Arial"/>
          <w:b/>
          <w:bCs/>
          <w:color w:val="auto"/>
          <w:sz w:val="22"/>
          <w:szCs w:val="22"/>
        </w:rPr>
        <w:t>.</w:t>
      </w:r>
      <w:bookmarkEnd w:id="6"/>
    </w:p>
    <w:p w14:paraId="6D8D6DB2" w14:textId="77777777" w:rsidR="00C43E21" w:rsidRPr="00C43E21" w:rsidRDefault="00C43E21" w:rsidP="00281107">
      <w:pPr>
        <w:spacing w:line="360" w:lineRule="auto"/>
        <w:jc w:val="both"/>
        <w:rPr>
          <w:rFonts w:ascii="Arial" w:hAnsi="Arial" w:cs="Arial"/>
        </w:rPr>
      </w:pPr>
      <w:r w:rsidRPr="00C43E21">
        <w:rPr>
          <w:rFonts w:ascii="Arial" w:hAnsi="Arial" w:cs="Arial"/>
        </w:rPr>
        <w:t>Stakeholders can be analysed using a Power/Interest Grid, which categorises stakeholders based on their level of power (the ability to influence the organisation) and interest (the degree to which they are affected by the organisation’s actions).</w:t>
      </w:r>
    </w:p>
    <w:p w14:paraId="65B636F4" w14:textId="30B31128" w:rsidR="00C43E21" w:rsidRPr="00C43E21" w:rsidRDefault="00C43E21" w:rsidP="00281107">
      <w:pPr>
        <w:spacing w:line="360" w:lineRule="auto"/>
        <w:jc w:val="both"/>
        <w:rPr>
          <w:rFonts w:ascii="Arial" w:hAnsi="Arial" w:cs="Arial"/>
        </w:rPr>
      </w:pPr>
      <w:r w:rsidRPr="00C43E21">
        <w:rPr>
          <w:rFonts w:ascii="Arial" w:hAnsi="Arial" w:cs="Arial"/>
        </w:rPr>
        <w:t>Stakeholders can be categorised according to their level of power (the capacity to influence the organisation) and interest (the extent to which they are impacted by the organisation's actions)</w:t>
      </w:r>
      <w:r w:rsidR="009A1368">
        <w:rPr>
          <w:rFonts w:ascii="Arial" w:hAnsi="Arial" w:cs="Arial"/>
        </w:rPr>
        <w:t xml:space="preserve"> (Cadle et. al, 2014)</w:t>
      </w:r>
      <w:r w:rsidRPr="00C43E21">
        <w:rPr>
          <w:rFonts w:ascii="Arial" w:hAnsi="Arial" w:cs="Arial"/>
        </w:rPr>
        <w:t>.</w:t>
      </w:r>
    </w:p>
    <w:p w14:paraId="1A67210F" w14:textId="77777777" w:rsidR="00C43E21" w:rsidRPr="00C43E21" w:rsidRDefault="00C43E21" w:rsidP="00281107">
      <w:pPr>
        <w:spacing w:line="360" w:lineRule="auto"/>
        <w:jc w:val="both"/>
        <w:rPr>
          <w:rFonts w:ascii="Arial" w:hAnsi="Arial" w:cs="Arial"/>
        </w:rPr>
      </w:pPr>
      <w:r w:rsidRPr="00805C63">
        <w:rPr>
          <w:rFonts w:ascii="Arial" w:hAnsi="Arial" w:cs="Arial"/>
          <w:b/>
          <w:bCs/>
        </w:rPr>
        <w:t>Customer Influence</w:t>
      </w:r>
      <w:r w:rsidRPr="00C43E21">
        <w:rPr>
          <w:rFonts w:ascii="Arial" w:hAnsi="Arial" w:cs="Arial"/>
        </w:rPr>
        <w:t>: High Power, High Interest</w:t>
      </w:r>
    </w:p>
    <w:p w14:paraId="016BFDF1" w14:textId="77777777" w:rsidR="00C43E21" w:rsidRPr="00C43E21" w:rsidRDefault="00C43E21" w:rsidP="00281107">
      <w:pPr>
        <w:spacing w:line="360" w:lineRule="auto"/>
        <w:jc w:val="both"/>
        <w:rPr>
          <w:rFonts w:ascii="Arial" w:hAnsi="Arial" w:cs="Arial"/>
        </w:rPr>
      </w:pPr>
      <w:r w:rsidRPr="00C43E21">
        <w:rPr>
          <w:rFonts w:ascii="Arial" w:hAnsi="Arial" w:cs="Arial"/>
        </w:rPr>
        <w:t>Customers are the primary source of revenue for CNS, making them highly influential. Their satisfaction and loyalty directly impact the company’s reputation and profitability. Given the competitive nature of the diagnostics market, customers have the power to switch to alternative providers if CNS does not meet their expectations.</w:t>
      </w:r>
    </w:p>
    <w:p w14:paraId="53F84083" w14:textId="4D14117F" w:rsidR="00C43E21" w:rsidRPr="00C43E21" w:rsidRDefault="00C43E21" w:rsidP="00281107">
      <w:pPr>
        <w:spacing w:line="360" w:lineRule="auto"/>
        <w:jc w:val="both"/>
        <w:rPr>
          <w:rFonts w:ascii="Arial" w:hAnsi="Arial" w:cs="Arial"/>
        </w:rPr>
      </w:pPr>
      <w:r w:rsidRPr="00C43E21">
        <w:rPr>
          <w:rFonts w:ascii="Arial" w:hAnsi="Arial" w:cs="Arial"/>
        </w:rPr>
        <w:t>Customers expect accurate and reliable diagnostics, fast service delivery, and personalised advice.</w:t>
      </w:r>
      <w:r w:rsidR="00D7652E">
        <w:rPr>
          <w:rFonts w:ascii="Arial" w:hAnsi="Arial" w:cs="Arial"/>
        </w:rPr>
        <w:t xml:space="preserve"> </w:t>
      </w:r>
      <w:r w:rsidRPr="00C43E21">
        <w:rPr>
          <w:rFonts w:ascii="Arial" w:hAnsi="Arial" w:cs="Arial"/>
        </w:rPr>
        <w:t>CNS should engage customers actively, providing continuous support through customer service and follow-up consultations. Investing in personalised services and enhancing diagnostic accuracy can strengthen loyalty and reduce the risk of switching to competitors.</w:t>
      </w:r>
    </w:p>
    <w:p w14:paraId="75CFB4A5" w14:textId="77777777" w:rsidR="00C43E21" w:rsidRPr="00C43E21" w:rsidRDefault="00C43E21" w:rsidP="00281107">
      <w:pPr>
        <w:spacing w:line="360" w:lineRule="auto"/>
        <w:jc w:val="both"/>
        <w:rPr>
          <w:rFonts w:ascii="Arial" w:hAnsi="Arial" w:cs="Arial"/>
        </w:rPr>
      </w:pPr>
      <w:r w:rsidRPr="00805C63">
        <w:rPr>
          <w:rFonts w:ascii="Arial" w:hAnsi="Arial" w:cs="Arial"/>
          <w:b/>
          <w:bCs/>
        </w:rPr>
        <w:lastRenderedPageBreak/>
        <w:t>Regulatory Bodies Influence</w:t>
      </w:r>
      <w:r w:rsidRPr="00C43E21">
        <w:rPr>
          <w:rFonts w:ascii="Arial" w:hAnsi="Arial" w:cs="Arial"/>
        </w:rPr>
        <w:t>: High Power, High Interest</w:t>
      </w:r>
    </w:p>
    <w:p w14:paraId="5E026F15" w14:textId="75E40D35" w:rsidR="00C43E21" w:rsidRPr="00C43E21" w:rsidRDefault="00C43E21" w:rsidP="00281107">
      <w:pPr>
        <w:spacing w:line="360" w:lineRule="auto"/>
        <w:jc w:val="both"/>
        <w:rPr>
          <w:rFonts w:ascii="Arial" w:hAnsi="Arial" w:cs="Arial"/>
        </w:rPr>
      </w:pPr>
      <w:r w:rsidRPr="00C43E21">
        <w:rPr>
          <w:rFonts w:ascii="Arial" w:hAnsi="Arial" w:cs="Arial"/>
        </w:rPr>
        <w:t>Regulatory bodies such as the MHRA have significant power over CNS because non-compliance can result in fines, operational restrictions, or even closure. These organisations have the authority to dictate the standards CNS must meet to operate legally.</w:t>
      </w:r>
      <w:r w:rsidR="00D7652E">
        <w:rPr>
          <w:rFonts w:ascii="Arial" w:hAnsi="Arial" w:cs="Arial"/>
        </w:rPr>
        <w:t xml:space="preserve"> </w:t>
      </w:r>
      <w:r w:rsidRPr="00C43E21">
        <w:rPr>
          <w:rFonts w:ascii="Arial" w:hAnsi="Arial" w:cs="Arial"/>
        </w:rPr>
        <w:t>Regulatory bodies expect adherence to health and safety regulations, ethical conduct, and accurate reporting.</w:t>
      </w:r>
      <w:r w:rsidR="00D7652E">
        <w:rPr>
          <w:rFonts w:ascii="Arial" w:hAnsi="Arial" w:cs="Arial"/>
        </w:rPr>
        <w:t xml:space="preserve"> </w:t>
      </w:r>
      <w:r w:rsidRPr="00C43E21">
        <w:rPr>
          <w:rFonts w:ascii="Arial" w:hAnsi="Arial" w:cs="Arial"/>
        </w:rPr>
        <w:t>CNS must maintain full compliance with all relevant regulations. This includes regular audits, staying updated on regulatory changes, and ensuring transparency in reporting. A compliance officer should be tasked with maintaining strong communication with these agencies.</w:t>
      </w:r>
    </w:p>
    <w:p w14:paraId="1E6C6E7E" w14:textId="77777777" w:rsidR="00C43E21" w:rsidRPr="00C43E21" w:rsidRDefault="00C43E21" w:rsidP="00281107">
      <w:pPr>
        <w:spacing w:line="360" w:lineRule="auto"/>
        <w:jc w:val="both"/>
        <w:rPr>
          <w:rFonts w:ascii="Arial" w:hAnsi="Arial" w:cs="Arial"/>
        </w:rPr>
      </w:pPr>
      <w:r w:rsidRPr="00805C63">
        <w:rPr>
          <w:rFonts w:ascii="Arial" w:hAnsi="Arial" w:cs="Arial"/>
          <w:b/>
          <w:bCs/>
        </w:rPr>
        <w:t>Investors/Shareholders Influence</w:t>
      </w:r>
      <w:r w:rsidRPr="00C43E21">
        <w:rPr>
          <w:rFonts w:ascii="Arial" w:hAnsi="Arial" w:cs="Arial"/>
        </w:rPr>
        <w:t>: High Power, High Interest</w:t>
      </w:r>
    </w:p>
    <w:p w14:paraId="791DC3C6" w14:textId="3DD33943" w:rsidR="00C43E21" w:rsidRPr="00C43E21" w:rsidRDefault="00C43E21" w:rsidP="00281107">
      <w:pPr>
        <w:spacing w:line="360" w:lineRule="auto"/>
        <w:jc w:val="both"/>
        <w:rPr>
          <w:rFonts w:ascii="Arial" w:hAnsi="Arial" w:cs="Arial"/>
        </w:rPr>
      </w:pPr>
      <w:r w:rsidRPr="00C43E21">
        <w:rPr>
          <w:rFonts w:ascii="Arial" w:hAnsi="Arial" w:cs="Arial"/>
        </w:rPr>
        <w:t>Investors provide the financial capital that allows CNS to grow and innovate. They have a vested interest in the company’s profitability and long-term sustainability, giving them significant influence over strategic decisions.</w:t>
      </w:r>
      <w:r w:rsidR="00D7652E">
        <w:rPr>
          <w:rFonts w:ascii="Arial" w:hAnsi="Arial" w:cs="Arial"/>
        </w:rPr>
        <w:t xml:space="preserve"> </w:t>
      </w:r>
      <w:r w:rsidRPr="00C43E21">
        <w:rPr>
          <w:rFonts w:ascii="Arial" w:hAnsi="Arial" w:cs="Arial"/>
        </w:rPr>
        <w:t>Investors expect financial returns, business growth, and sound financial management.</w:t>
      </w:r>
      <w:r w:rsidR="00D7652E">
        <w:rPr>
          <w:rFonts w:ascii="Arial" w:hAnsi="Arial" w:cs="Arial"/>
        </w:rPr>
        <w:t xml:space="preserve"> </w:t>
      </w:r>
      <w:r w:rsidRPr="00C43E21">
        <w:rPr>
          <w:rFonts w:ascii="Arial" w:hAnsi="Arial" w:cs="Arial"/>
        </w:rPr>
        <w:t>CNS should provide regular updates on its financial performance and growth plans. By focusing on sustainable growth strategies, such as expanding into international markets or diversifying services, CNS can demonstrate its long-term potential to investors.</w:t>
      </w:r>
    </w:p>
    <w:p w14:paraId="05EC8EAD" w14:textId="77777777" w:rsidR="00C43E21" w:rsidRPr="00C43E21" w:rsidRDefault="00C43E21" w:rsidP="00281107">
      <w:pPr>
        <w:spacing w:line="360" w:lineRule="auto"/>
        <w:jc w:val="both"/>
        <w:rPr>
          <w:rFonts w:ascii="Arial" w:hAnsi="Arial" w:cs="Arial"/>
        </w:rPr>
      </w:pPr>
      <w:r w:rsidRPr="00805C63">
        <w:rPr>
          <w:rFonts w:ascii="Arial" w:hAnsi="Arial" w:cs="Arial"/>
          <w:b/>
          <w:bCs/>
        </w:rPr>
        <w:t>Healthcare Professional Influence</w:t>
      </w:r>
      <w:r w:rsidRPr="00C43E21">
        <w:rPr>
          <w:rFonts w:ascii="Arial" w:hAnsi="Arial" w:cs="Arial"/>
        </w:rPr>
        <w:t>: High Power, Low Interest</w:t>
      </w:r>
    </w:p>
    <w:p w14:paraId="51730461" w14:textId="1FF6B1D7" w:rsidR="00C43E21" w:rsidRPr="00C43E21" w:rsidRDefault="00C43E21" w:rsidP="00281107">
      <w:pPr>
        <w:spacing w:line="360" w:lineRule="auto"/>
        <w:jc w:val="both"/>
        <w:rPr>
          <w:rFonts w:ascii="Arial" w:hAnsi="Arial" w:cs="Arial"/>
        </w:rPr>
      </w:pPr>
      <w:r w:rsidRPr="00C43E21">
        <w:rPr>
          <w:rFonts w:ascii="Arial" w:hAnsi="Arial" w:cs="Arial"/>
        </w:rPr>
        <w:t>Healthcare professionals act as influencers who can recommend CNS’s services to their patients. However, their involvement with CNS is typically limited to making referrals.</w:t>
      </w:r>
      <w:r w:rsidR="00D7652E">
        <w:rPr>
          <w:rFonts w:ascii="Arial" w:hAnsi="Arial" w:cs="Arial"/>
        </w:rPr>
        <w:t xml:space="preserve"> </w:t>
      </w:r>
      <w:r w:rsidRPr="00C43E21">
        <w:rPr>
          <w:rFonts w:ascii="Arial" w:hAnsi="Arial" w:cs="Arial"/>
        </w:rPr>
        <w:t>They expect reliable diagnostics that they can trust for their patients.</w:t>
      </w:r>
      <w:r w:rsidR="00D7652E">
        <w:rPr>
          <w:rFonts w:ascii="Arial" w:hAnsi="Arial" w:cs="Arial"/>
        </w:rPr>
        <w:t xml:space="preserve"> </w:t>
      </w:r>
      <w:r w:rsidRPr="00C43E21">
        <w:rPr>
          <w:rFonts w:ascii="Arial" w:hAnsi="Arial" w:cs="Arial"/>
        </w:rPr>
        <w:t>CNS should keep these stakeholders satisfied by ensuring their diagnostics meet the highest standards and offering referral incentives. Educating healthcare professionals on CNS’s unique strengths can encourage continued recommendations.</w:t>
      </w:r>
    </w:p>
    <w:p w14:paraId="447BEA8F" w14:textId="77777777" w:rsidR="00C43E21" w:rsidRPr="00C43E21" w:rsidRDefault="00C43E21" w:rsidP="00281107">
      <w:pPr>
        <w:spacing w:line="360" w:lineRule="auto"/>
        <w:jc w:val="both"/>
        <w:rPr>
          <w:rFonts w:ascii="Arial" w:hAnsi="Arial" w:cs="Arial"/>
        </w:rPr>
      </w:pPr>
      <w:r w:rsidRPr="00805C63">
        <w:rPr>
          <w:rFonts w:ascii="Arial" w:hAnsi="Arial" w:cs="Arial"/>
          <w:b/>
          <w:bCs/>
        </w:rPr>
        <w:t>Employee Influence</w:t>
      </w:r>
      <w:r w:rsidRPr="00C43E21">
        <w:rPr>
          <w:rFonts w:ascii="Arial" w:hAnsi="Arial" w:cs="Arial"/>
        </w:rPr>
        <w:t>: Low Power, High Interest</w:t>
      </w:r>
    </w:p>
    <w:p w14:paraId="3AAC404D" w14:textId="77777777" w:rsidR="00E624F5" w:rsidRDefault="00C43E21" w:rsidP="00281107">
      <w:pPr>
        <w:spacing w:line="360" w:lineRule="auto"/>
        <w:jc w:val="both"/>
        <w:rPr>
          <w:rFonts w:ascii="Arial" w:hAnsi="Arial" w:cs="Arial"/>
        </w:rPr>
      </w:pPr>
      <w:r w:rsidRPr="00C43E21">
        <w:rPr>
          <w:rFonts w:ascii="Arial" w:hAnsi="Arial" w:cs="Arial"/>
        </w:rPr>
        <w:t>CNS’s employees, especially its skilled workforce, play a crucial role in delivering quality diagnostics. Although they have less formal power, their influence is significant due to their ability to impact customer satisfaction and the quality of services.</w:t>
      </w:r>
      <w:r w:rsidR="00D7652E">
        <w:rPr>
          <w:rFonts w:ascii="Arial" w:hAnsi="Arial" w:cs="Arial"/>
        </w:rPr>
        <w:t xml:space="preserve"> </w:t>
      </w:r>
      <w:r w:rsidRPr="00C43E21">
        <w:rPr>
          <w:rFonts w:ascii="Arial" w:hAnsi="Arial" w:cs="Arial"/>
        </w:rPr>
        <w:t>Employees expect fair compensation, career development opportunities, and a positive working environment.</w:t>
      </w:r>
      <w:r w:rsidR="00D7652E">
        <w:rPr>
          <w:rFonts w:ascii="Arial" w:hAnsi="Arial" w:cs="Arial"/>
        </w:rPr>
        <w:t xml:space="preserve"> </w:t>
      </w:r>
      <w:r w:rsidRPr="00C43E21">
        <w:rPr>
          <w:rFonts w:ascii="Arial" w:hAnsi="Arial" w:cs="Arial"/>
        </w:rPr>
        <w:t>CNS should keep employees informed and engaged, offering professional development, performance incentives, and a supportive work culture. Retaining skilled employees is vital to maintaining high service quality.</w:t>
      </w:r>
    </w:p>
    <w:p w14:paraId="0ABD1C54" w14:textId="77777777" w:rsidR="00E624F5" w:rsidRDefault="00E624F5" w:rsidP="00281107">
      <w:pPr>
        <w:spacing w:line="360" w:lineRule="auto"/>
        <w:jc w:val="both"/>
        <w:rPr>
          <w:rFonts w:ascii="Arial" w:hAnsi="Arial" w:cs="Arial"/>
        </w:rPr>
      </w:pPr>
    </w:p>
    <w:p w14:paraId="64D2ADF7" w14:textId="7D2B8C95" w:rsidR="00C43E21" w:rsidRPr="00C43E21" w:rsidRDefault="00C43E21" w:rsidP="00281107">
      <w:pPr>
        <w:spacing w:line="360" w:lineRule="auto"/>
        <w:jc w:val="both"/>
        <w:rPr>
          <w:rFonts w:ascii="Arial" w:hAnsi="Arial" w:cs="Arial"/>
        </w:rPr>
      </w:pPr>
      <w:r w:rsidRPr="00805C63">
        <w:rPr>
          <w:rFonts w:ascii="Arial" w:hAnsi="Arial" w:cs="Arial"/>
          <w:b/>
          <w:bCs/>
        </w:rPr>
        <w:lastRenderedPageBreak/>
        <w:t>Suppliers Influence</w:t>
      </w:r>
      <w:r w:rsidRPr="00C43E21">
        <w:rPr>
          <w:rFonts w:ascii="Arial" w:hAnsi="Arial" w:cs="Arial"/>
        </w:rPr>
        <w:t>: Low Power, High Interest</w:t>
      </w:r>
    </w:p>
    <w:p w14:paraId="17AA07F3" w14:textId="6754CD7A" w:rsidR="00C43E21" w:rsidRPr="00C43E21" w:rsidRDefault="00C43E21" w:rsidP="00281107">
      <w:pPr>
        <w:spacing w:line="360" w:lineRule="auto"/>
        <w:jc w:val="both"/>
        <w:rPr>
          <w:rFonts w:ascii="Arial" w:hAnsi="Arial" w:cs="Arial"/>
        </w:rPr>
      </w:pPr>
      <w:r w:rsidRPr="00C43E21">
        <w:rPr>
          <w:rFonts w:ascii="Arial" w:hAnsi="Arial" w:cs="Arial"/>
        </w:rPr>
        <w:t>Suppliers provide essential materials for CNS’s operations but typically have limited power unless they offer specialised or hard-to-source products.</w:t>
      </w:r>
      <w:r w:rsidR="00D7652E">
        <w:rPr>
          <w:rFonts w:ascii="Arial" w:hAnsi="Arial" w:cs="Arial"/>
        </w:rPr>
        <w:t xml:space="preserve"> </w:t>
      </w:r>
      <w:r w:rsidRPr="00C43E21">
        <w:rPr>
          <w:rFonts w:ascii="Arial" w:hAnsi="Arial" w:cs="Arial"/>
        </w:rPr>
        <w:t>They expect timely payments and long-term partnerships.</w:t>
      </w:r>
      <w:r w:rsidR="00D7652E">
        <w:rPr>
          <w:rFonts w:ascii="Arial" w:hAnsi="Arial" w:cs="Arial"/>
        </w:rPr>
        <w:t xml:space="preserve"> </w:t>
      </w:r>
      <w:r w:rsidRPr="00C43E21">
        <w:rPr>
          <w:rFonts w:ascii="Arial" w:hAnsi="Arial" w:cs="Arial"/>
        </w:rPr>
        <w:t>CNS should maintain good relationships with suppliers by ensuring timely payments and fostering partnerships. Diversifying suppliers can also mitigate risks associated with supply chain disruptions.</w:t>
      </w:r>
    </w:p>
    <w:p w14:paraId="70FFA724" w14:textId="77777777" w:rsidR="00C43E21" w:rsidRPr="00C43E21" w:rsidRDefault="00C43E21" w:rsidP="00281107">
      <w:pPr>
        <w:spacing w:line="360" w:lineRule="auto"/>
        <w:jc w:val="both"/>
        <w:rPr>
          <w:rFonts w:ascii="Arial" w:hAnsi="Arial" w:cs="Arial"/>
        </w:rPr>
      </w:pPr>
      <w:r w:rsidRPr="00805C63">
        <w:rPr>
          <w:rFonts w:ascii="Arial" w:hAnsi="Arial" w:cs="Arial"/>
          <w:b/>
          <w:bCs/>
        </w:rPr>
        <w:t>Competitors Influence</w:t>
      </w:r>
      <w:r w:rsidRPr="00C43E21">
        <w:rPr>
          <w:rFonts w:ascii="Arial" w:hAnsi="Arial" w:cs="Arial"/>
        </w:rPr>
        <w:t>: Low Power, Low Interest</w:t>
      </w:r>
    </w:p>
    <w:p w14:paraId="6330E2D0" w14:textId="7CA6A6C9" w:rsidR="00C43E21" w:rsidRPr="00C43E21" w:rsidRDefault="00C43E21" w:rsidP="00281107">
      <w:pPr>
        <w:spacing w:line="360" w:lineRule="auto"/>
        <w:jc w:val="both"/>
        <w:rPr>
          <w:rFonts w:ascii="Arial" w:hAnsi="Arial" w:cs="Arial"/>
        </w:rPr>
      </w:pPr>
      <w:r w:rsidRPr="00C43E21">
        <w:rPr>
          <w:rFonts w:ascii="Arial" w:hAnsi="Arial" w:cs="Arial"/>
        </w:rPr>
        <w:t>Competitors pose a significant threat but have limited direct influence on CNS’s operations unless they disrupt the market with significant innovation.</w:t>
      </w:r>
      <w:r w:rsidR="00D7652E">
        <w:rPr>
          <w:rFonts w:ascii="Arial" w:hAnsi="Arial" w:cs="Arial"/>
        </w:rPr>
        <w:t xml:space="preserve"> </w:t>
      </w:r>
      <w:r w:rsidRPr="00C43E21">
        <w:rPr>
          <w:rFonts w:ascii="Arial" w:hAnsi="Arial" w:cs="Arial"/>
        </w:rPr>
        <w:t>Competitors expect to capture market share and offer competitive services.</w:t>
      </w:r>
      <w:r w:rsidR="00D7652E">
        <w:rPr>
          <w:rFonts w:ascii="Arial" w:hAnsi="Arial" w:cs="Arial"/>
        </w:rPr>
        <w:t xml:space="preserve"> </w:t>
      </w:r>
      <w:r w:rsidRPr="00C43E21">
        <w:rPr>
          <w:rFonts w:ascii="Arial" w:hAnsi="Arial" w:cs="Arial"/>
        </w:rPr>
        <w:t>CNS should monitor competitors closely and differentiate itself by continuously improving its diagnostics, customer service, and pricing strategy.</w:t>
      </w:r>
    </w:p>
    <w:p w14:paraId="657A43AA" w14:textId="77777777" w:rsidR="00C43E21" w:rsidRPr="00C43E21" w:rsidRDefault="00C43E21" w:rsidP="00281107">
      <w:pPr>
        <w:spacing w:line="360" w:lineRule="auto"/>
        <w:jc w:val="both"/>
        <w:rPr>
          <w:rFonts w:ascii="Arial" w:hAnsi="Arial" w:cs="Arial"/>
        </w:rPr>
      </w:pPr>
      <w:r w:rsidRPr="00805C63">
        <w:rPr>
          <w:rFonts w:ascii="Arial" w:hAnsi="Arial" w:cs="Arial"/>
          <w:b/>
          <w:bCs/>
        </w:rPr>
        <w:t>Public Health Authorities Influence</w:t>
      </w:r>
      <w:r w:rsidRPr="00C43E21">
        <w:rPr>
          <w:rFonts w:ascii="Arial" w:hAnsi="Arial" w:cs="Arial"/>
        </w:rPr>
        <w:t>: Low Power, Low Interest</w:t>
      </w:r>
    </w:p>
    <w:p w14:paraId="119DB1D0" w14:textId="407B5566" w:rsidR="002D010D" w:rsidRDefault="00C43E21" w:rsidP="00281107">
      <w:pPr>
        <w:spacing w:line="360" w:lineRule="auto"/>
        <w:jc w:val="both"/>
        <w:rPr>
          <w:rFonts w:ascii="Arial" w:hAnsi="Arial" w:cs="Arial"/>
        </w:rPr>
      </w:pPr>
      <w:r w:rsidRPr="00C43E21">
        <w:rPr>
          <w:rFonts w:ascii="Arial" w:hAnsi="Arial" w:cs="Arial"/>
        </w:rPr>
        <w:t>Public health authorities influence healthcare policies and public awareness campaigns but do not directly impact CNS’s daily operations.</w:t>
      </w:r>
      <w:r w:rsidR="00D7652E">
        <w:rPr>
          <w:rFonts w:ascii="Arial" w:hAnsi="Arial" w:cs="Arial"/>
        </w:rPr>
        <w:t xml:space="preserve"> </w:t>
      </w:r>
      <w:r w:rsidRPr="00C43E21">
        <w:rPr>
          <w:rFonts w:ascii="Arial" w:hAnsi="Arial" w:cs="Arial"/>
        </w:rPr>
        <w:t>They expect alignment with public health objectives and contributions to community well-being.</w:t>
      </w:r>
      <w:r w:rsidR="00D7652E">
        <w:rPr>
          <w:rFonts w:ascii="Arial" w:hAnsi="Arial" w:cs="Arial"/>
        </w:rPr>
        <w:t xml:space="preserve"> </w:t>
      </w:r>
      <w:r w:rsidRPr="00C43E21">
        <w:rPr>
          <w:rFonts w:ascii="Arial" w:hAnsi="Arial" w:cs="Arial"/>
        </w:rPr>
        <w:t>CNS should monitor these stakeholders and participate in public health initiatives where possible, aligning its services with broader health trends.</w:t>
      </w:r>
      <w:r w:rsidR="00D7652E">
        <w:rPr>
          <w:rFonts w:ascii="Arial" w:hAnsi="Arial" w:cs="Arial"/>
        </w:rPr>
        <w:t xml:space="preserve"> </w:t>
      </w:r>
    </w:p>
    <w:p w14:paraId="74409EBE" w14:textId="6E16E48B" w:rsidR="00D7652E" w:rsidRPr="002D010D" w:rsidRDefault="00D7652E" w:rsidP="00281107">
      <w:pPr>
        <w:spacing w:line="360" w:lineRule="auto"/>
        <w:jc w:val="both"/>
        <w:rPr>
          <w:rFonts w:ascii="Arial" w:hAnsi="Arial" w:cs="Arial"/>
        </w:rPr>
      </w:pPr>
      <w:r w:rsidRPr="002D010D">
        <w:rPr>
          <w:rFonts w:ascii="Arial" w:hAnsi="Arial" w:cs="Arial"/>
          <w:noProof/>
        </w:rPr>
        <w:drawing>
          <wp:inline distT="0" distB="0" distL="0" distR="0" wp14:anchorId="7F4A9CB5" wp14:editId="5E51574D">
            <wp:extent cx="5731510" cy="3223895"/>
            <wp:effectExtent l="0" t="0" r="2540" b="0"/>
            <wp:docPr id="665847502" name="Picture 6" descr="A grid of colorful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847502" name="Picture 6" descr="A grid of colorful squares&#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1B890D2" w14:textId="239AF116" w:rsidR="00B61A92" w:rsidRPr="00E113B7" w:rsidRDefault="00B62CAC" w:rsidP="00281107">
      <w:pPr>
        <w:pStyle w:val="Heading1"/>
        <w:spacing w:line="360" w:lineRule="auto"/>
        <w:jc w:val="both"/>
        <w:rPr>
          <w:rFonts w:ascii="Arial" w:hAnsi="Arial" w:cs="Arial"/>
          <w:b/>
          <w:bCs/>
          <w:color w:val="auto"/>
          <w:sz w:val="22"/>
          <w:szCs w:val="22"/>
        </w:rPr>
      </w:pPr>
      <w:bookmarkStart w:id="7" w:name="_Hlk180680217"/>
      <w:bookmarkStart w:id="8" w:name="_Toc182483534"/>
      <w:r w:rsidRPr="00E113B7">
        <w:rPr>
          <w:rFonts w:ascii="Arial" w:hAnsi="Arial" w:cs="Arial"/>
          <w:b/>
          <w:bCs/>
          <w:color w:val="auto"/>
          <w:sz w:val="22"/>
          <w:szCs w:val="22"/>
        </w:rPr>
        <w:lastRenderedPageBreak/>
        <w:t xml:space="preserve">Strategy </w:t>
      </w:r>
      <w:r w:rsidR="007D6748">
        <w:rPr>
          <w:rFonts w:ascii="Arial" w:hAnsi="Arial" w:cs="Arial"/>
          <w:b/>
          <w:bCs/>
          <w:color w:val="auto"/>
          <w:sz w:val="22"/>
          <w:szCs w:val="22"/>
        </w:rPr>
        <w:t>G</w:t>
      </w:r>
      <w:r w:rsidRPr="00E113B7">
        <w:rPr>
          <w:rFonts w:ascii="Arial" w:hAnsi="Arial" w:cs="Arial"/>
          <w:b/>
          <w:bCs/>
          <w:color w:val="auto"/>
          <w:sz w:val="22"/>
          <w:szCs w:val="22"/>
        </w:rPr>
        <w:t xml:space="preserve">rowth </w:t>
      </w:r>
      <w:r w:rsidR="007D6748">
        <w:rPr>
          <w:rFonts w:ascii="Arial" w:hAnsi="Arial" w:cs="Arial"/>
          <w:b/>
          <w:bCs/>
          <w:color w:val="auto"/>
          <w:sz w:val="22"/>
          <w:szCs w:val="22"/>
        </w:rPr>
        <w:t>A</w:t>
      </w:r>
      <w:r w:rsidRPr="00E113B7">
        <w:rPr>
          <w:rFonts w:ascii="Arial" w:hAnsi="Arial" w:cs="Arial"/>
          <w:b/>
          <w:bCs/>
          <w:color w:val="auto"/>
          <w:sz w:val="22"/>
          <w:szCs w:val="22"/>
        </w:rPr>
        <w:t>nalysis</w:t>
      </w:r>
      <w:bookmarkEnd w:id="8"/>
    </w:p>
    <w:p w14:paraId="2D33391D" w14:textId="11D35AE3" w:rsidR="005B66E3" w:rsidRPr="005B66E3" w:rsidRDefault="005B66E3" w:rsidP="00281107">
      <w:pPr>
        <w:spacing w:line="360" w:lineRule="auto"/>
        <w:jc w:val="both"/>
        <w:rPr>
          <w:rFonts w:ascii="Arial" w:hAnsi="Arial" w:cs="Arial"/>
        </w:rPr>
      </w:pPr>
      <w:r w:rsidRPr="005B66E3">
        <w:rPr>
          <w:rFonts w:ascii="Arial" w:hAnsi="Arial" w:cs="Arial"/>
        </w:rPr>
        <w:t xml:space="preserve">The Ansoff matrix serves as a tool for assessing the three strategic growth options available to Cambridge Nutritional Sciences (CNS): market penetration, product development, and regional expansion, </w:t>
      </w:r>
      <w:r>
        <w:rPr>
          <w:rFonts w:ascii="Arial" w:hAnsi="Arial" w:cs="Arial"/>
        </w:rPr>
        <w:t>co</w:t>
      </w:r>
      <w:r w:rsidRPr="005B66E3">
        <w:rPr>
          <w:rFonts w:ascii="Arial" w:hAnsi="Arial" w:cs="Arial"/>
        </w:rPr>
        <w:t>n</w:t>
      </w:r>
      <w:r>
        <w:rPr>
          <w:rFonts w:ascii="Arial" w:hAnsi="Arial" w:cs="Arial"/>
        </w:rPr>
        <w:t>c</w:t>
      </w:r>
      <w:r w:rsidRPr="005B66E3">
        <w:rPr>
          <w:rFonts w:ascii="Arial" w:hAnsi="Arial" w:cs="Arial"/>
        </w:rPr>
        <w:t>e</w:t>
      </w:r>
      <w:r>
        <w:rPr>
          <w:rFonts w:ascii="Arial" w:hAnsi="Arial" w:cs="Arial"/>
        </w:rPr>
        <w:t>rn</w:t>
      </w:r>
      <w:r w:rsidRPr="005B66E3">
        <w:rPr>
          <w:rFonts w:ascii="Arial" w:hAnsi="Arial" w:cs="Arial"/>
        </w:rPr>
        <w:t>in</w:t>
      </w:r>
      <w:r>
        <w:rPr>
          <w:rFonts w:ascii="Arial" w:hAnsi="Arial" w:cs="Arial"/>
        </w:rPr>
        <w:t>g</w:t>
      </w:r>
      <w:r w:rsidRPr="005B66E3">
        <w:rPr>
          <w:rFonts w:ascii="Arial" w:hAnsi="Arial" w:cs="Arial"/>
        </w:rPr>
        <w:t xml:space="preserve"> its objectives and the prevailing market conditions. CNS will analyse this data to identify the most effective strategy for sustainable growth and leadership in functional medicine testing.</w:t>
      </w:r>
    </w:p>
    <w:p w14:paraId="523009C3" w14:textId="03A9BC14" w:rsidR="005B66E3" w:rsidRPr="005B66E3" w:rsidRDefault="005B66E3" w:rsidP="00281107">
      <w:pPr>
        <w:spacing w:line="360" w:lineRule="auto"/>
        <w:jc w:val="both"/>
        <w:rPr>
          <w:rFonts w:ascii="Arial" w:hAnsi="Arial" w:cs="Arial"/>
        </w:rPr>
      </w:pPr>
      <w:r w:rsidRPr="005B66E3">
        <w:rPr>
          <w:rFonts w:ascii="Arial" w:hAnsi="Arial" w:cs="Arial"/>
        </w:rPr>
        <w:t xml:space="preserve">The Ansoff matrix classifies growth strategies based on the distinction between existing and new products and markets, outlining four distinct growth avenues: market penetration, market development, product development, and diversification. Every suggested CNS </w:t>
      </w:r>
      <w:r>
        <w:rPr>
          <w:rFonts w:ascii="Arial" w:hAnsi="Arial" w:cs="Arial"/>
        </w:rPr>
        <w:t>strategy</w:t>
      </w:r>
      <w:r w:rsidRPr="005B66E3">
        <w:rPr>
          <w:rFonts w:ascii="Arial" w:hAnsi="Arial" w:cs="Arial"/>
        </w:rPr>
        <w:t xml:space="preserve"> aligns with a specific quadrant of the matrix:</w:t>
      </w:r>
    </w:p>
    <w:p w14:paraId="3D5D6B82" w14:textId="18E0730B" w:rsidR="005B66E3" w:rsidRPr="005B66E3" w:rsidRDefault="005B66E3" w:rsidP="00281107">
      <w:pPr>
        <w:spacing w:line="360" w:lineRule="auto"/>
        <w:jc w:val="both"/>
        <w:rPr>
          <w:rFonts w:ascii="Arial" w:hAnsi="Arial" w:cs="Arial"/>
        </w:rPr>
      </w:pPr>
      <w:r w:rsidRPr="00D41B5B">
        <w:rPr>
          <w:rFonts w:ascii="Arial" w:hAnsi="Arial" w:cs="Arial"/>
          <w:b/>
          <w:bCs/>
        </w:rPr>
        <w:t>The market penetration</w:t>
      </w:r>
      <w:r w:rsidRPr="005B66E3">
        <w:rPr>
          <w:rFonts w:ascii="Arial" w:hAnsi="Arial" w:cs="Arial"/>
        </w:rPr>
        <w:t xml:space="preserve"> enhances the visibility of existing items to expand market share.</w:t>
      </w:r>
      <w:r>
        <w:rPr>
          <w:rFonts w:ascii="Arial" w:hAnsi="Arial" w:cs="Arial"/>
        </w:rPr>
        <w:t xml:space="preserve"> </w:t>
      </w:r>
      <w:r w:rsidRPr="005B66E3">
        <w:rPr>
          <w:rFonts w:ascii="Arial" w:hAnsi="Arial" w:cs="Arial"/>
        </w:rPr>
        <w:t>CNS could concentrate on increasing its market presence in the at-home testing sector, given that 77% of consumers express a willingness to conduct tests at home, and 60% are open to paying for tests that are not offered by the NHS. Digital marketing, customer trust, and alliances among healthcare providers can facilitate this outcome</w:t>
      </w:r>
      <w:r w:rsidR="00661288">
        <w:rPr>
          <w:rFonts w:ascii="Arial" w:hAnsi="Arial" w:cs="Arial"/>
        </w:rPr>
        <w:t xml:space="preserve"> </w:t>
      </w:r>
      <w:r w:rsidR="00661288" w:rsidRPr="00661288">
        <w:rPr>
          <w:rFonts w:ascii="Arial" w:hAnsi="Arial" w:cs="Arial"/>
        </w:rPr>
        <w:t>(Cambridge Nutritional Sciences, n</w:t>
      </w:r>
      <w:r w:rsidR="00661288">
        <w:rPr>
          <w:rFonts w:ascii="Arial" w:hAnsi="Arial" w:cs="Arial"/>
        </w:rPr>
        <w:t xml:space="preserve">o </w:t>
      </w:r>
      <w:r w:rsidR="00661288" w:rsidRPr="00661288">
        <w:rPr>
          <w:rFonts w:ascii="Arial" w:hAnsi="Arial" w:cs="Arial"/>
        </w:rPr>
        <w:t>d</w:t>
      </w:r>
      <w:r w:rsidR="00661288">
        <w:rPr>
          <w:rFonts w:ascii="Arial" w:hAnsi="Arial" w:cs="Arial"/>
        </w:rPr>
        <w:t>ate</w:t>
      </w:r>
      <w:r w:rsidR="00661288" w:rsidRPr="00661288">
        <w:rPr>
          <w:rFonts w:ascii="Arial" w:hAnsi="Arial" w:cs="Arial"/>
        </w:rPr>
        <w:t>)</w:t>
      </w:r>
      <w:r w:rsidRPr="005B66E3">
        <w:rPr>
          <w:rFonts w:ascii="Arial" w:hAnsi="Arial" w:cs="Arial"/>
        </w:rPr>
        <w:t>.</w:t>
      </w:r>
      <w:r>
        <w:rPr>
          <w:rFonts w:ascii="Arial" w:hAnsi="Arial" w:cs="Arial"/>
        </w:rPr>
        <w:t xml:space="preserve"> </w:t>
      </w:r>
      <w:r w:rsidRPr="005B66E3">
        <w:rPr>
          <w:rFonts w:ascii="Arial" w:hAnsi="Arial" w:cs="Arial"/>
        </w:rPr>
        <w:t>This approach leverages CNS's strengths and aligns with market needs while requiring limited investment. Increasing market share in a rapidly expanding sector has the potential to enhance revenue streams.</w:t>
      </w:r>
      <w:r>
        <w:rPr>
          <w:rFonts w:ascii="Arial" w:hAnsi="Arial" w:cs="Arial"/>
        </w:rPr>
        <w:t xml:space="preserve"> </w:t>
      </w:r>
      <w:r w:rsidRPr="005B66E3">
        <w:rPr>
          <w:rFonts w:ascii="Arial" w:hAnsi="Arial" w:cs="Arial"/>
        </w:rPr>
        <w:t>One potential drawback is that market penetration could limit long-term growth, particularly if the market reaches saturation and becomes susceptible to new entrants or the aggressive marketing strategies of established competitors.</w:t>
      </w:r>
    </w:p>
    <w:p w14:paraId="3B2A8B1A" w14:textId="705F41AD" w:rsidR="005B66E3" w:rsidRPr="005B66E3" w:rsidRDefault="005B66E3" w:rsidP="00281107">
      <w:pPr>
        <w:spacing w:line="360" w:lineRule="auto"/>
        <w:jc w:val="both"/>
        <w:rPr>
          <w:rFonts w:ascii="Arial" w:hAnsi="Arial" w:cs="Arial"/>
        </w:rPr>
      </w:pPr>
      <w:r w:rsidRPr="00D41B5B">
        <w:rPr>
          <w:rFonts w:ascii="Arial" w:hAnsi="Arial" w:cs="Arial"/>
          <w:b/>
          <w:bCs/>
        </w:rPr>
        <w:t>Product Development</w:t>
      </w:r>
      <w:r w:rsidRPr="005B66E3">
        <w:rPr>
          <w:rFonts w:ascii="Arial" w:hAnsi="Arial" w:cs="Arial"/>
        </w:rPr>
        <w:t xml:space="preserve"> (New, Existing Market) involves the creation of new or enhanced products for existing customers.</w:t>
      </w:r>
      <w:r>
        <w:rPr>
          <w:rFonts w:ascii="Arial" w:hAnsi="Arial" w:cs="Arial"/>
        </w:rPr>
        <w:t xml:space="preserve"> </w:t>
      </w:r>
      <w:r w:rsidRPr="005B66E3">
        <w:rPr>
          <w:rFonts w:ascii="Arial" w:hAnsi="Arial" w:cs="Arial"/>
        </w:rPr>
        <w:t xml:space="preserve">As health awareness rises, CNS can invest in gut health tests utilising its </w:t>
      </w:r>
      <w:proofErr w:type="spellStart"/>
      <w:r w:rsidRPr="005B66E3">
        <w:rPr>
          <w:rFonts w:ascii="Arial" w:hAnsi="Arial" w:cs="Arial"/>
        </w:rPr>
        <w:t>FoodPrint</w:t>
      </w:r>
      <w:proofErr w:type="spellEnd"/>
      <w:r w:rsidRPr="005B66E3">
        <w:rPr>
          <w:rFonts w:ascii="Arial" w:hAnsi="Arial" w:cs="Arial"/>
        </w:rPr>
        <w:t xml:space="preserve"> automated assay technology to improve lab capacity</w:t>
      </w:r>
      <w:r w:rsidR="00D647BF">
        <w:rPr>
          <w:rFonts w:ascii="Arial" w:hAnsi="Arial" w:cs="Arial"/>
        </w:rPr>
        <w:t xml:space="preserve"> (Omega Diagnostics, no date)</w:t>
      </w:r>
      <w:r w:rsidRPr="005B66E3">
        <w:rPr>
          <w:rFonts w:ascii="Arial" w:hAnsi="Arial" w:cs="Arial"/>
        </w:rPr>
        <w:t>. Providing for the needs of 40% of customers with gastrointestinal conditions like IBS aligns with the market's shift towards customised health solutions</w:t>
      </w:r>
      <w:r w:rsidR="00661288">
        <w:rPr>
          <w:rFonts w:ascii="Arial" w:hAnsi="Arial" w:cs="Arial"/>
        </w:rPr>
        <w:t xml:space="preserve"> </w:t>
      </w:r>
      <w:r w:rsidR="00661288" w:rsidRPr="00661288">
        <w:rPr>
          <w:rFonts w:ascii="Arial" w:hAnsi="Arial" w:cs="Arial"/>
        </w:rPr>
        <w:t>(Cambridge Nutritional Sciences, n</w:t>
      </w:r>
      <w:r w:rsidR="00661288">
        <w:rPr>
          <w:rFonts w:ascii="Arial" w:hAnsi="Arial" w:cs="Arial"/>
        </w:rPr>
        <w:t xml:space="preserve">o </w:t>
      </w:r>
      <w:r w:rsidR="00661288" w:rsidRPr="00661288">
        <w:rPr>
          <w:rFonts w:ascii="Arial" w:hAnsi="Arial" w:cs="Arial"/>
        </w:rPr>
        <w:t>d</w:t>
      </w:r>
      <w:r w:rsidR="00661288">
        <w:rPr>
          <w:rFonts w:ascii="Arial" w:hAnsi="Arial" w:cs="Arial"/>
        </w:rPr>
        <w:t>ate</w:t>
      </w:r>
      <w:r w:rsidR="00661288" w:rsidRPr="00661288">
        <w:rPr>
          <w:rFonts w:ascii="Arial" w:hAnsi="Arial" w:cs="Arial"/>
        </w:rPr>
        <w:t>)</w:t>
      </w:r>
      <w:r w:rsidRPr="005B66E3">
        <w:rPr>
          <w:rFonts w:ascii="Arial" w:hAnsi="Arial" w:cs="Arial"/>
        </w:rPr>
        <w:t>.</w:t>
      </w:r>
      <w:r>
        <w:rPr>
          <w:rFonts w:ascii="Arial" w:hAnsi="Arial" w:cs="Arial"/>
        </w:rPr>
        <w:t xml:space="preserve"> </w:t>
      </w:r>
      <w:r w:rsidRPr="005B66E3">
        <w:rPr>
          <w:rFonts w:ascii="Arial" w:hAnsi="Arial" w:cs="Arial"/>
        </w:rPr>
        <w:t>CNS is a pioneer in develop</w:t>
      </w:r>
      <w:r w:rsidR="00661288">
        <w:rPr>
          <w:rFonts w:ascii="Arial" w:hAnsi="Arial" w:cs="Arial"/>
        </w:rPr>
        <w:t>i</w:t>
      </w:r>
      <w:r w:rsidRPr="005B66E3">
        <w:rPr>
          <w:rFonts w:ascii="Arial" w:hAnsi="Arial" w:cs="Arial"/>
        </w:rPr>
        <w:t>n</w:t>
      </w:r>
      <w:r w:rsidR="00661288">
        <w:rPr>
          <w:rFonts w:ascii="Arial" w:hAnsi="Arial" w:cs="Arial"/>
        </w:rPr>
        <w:t>g</w:t>
      </w:r>
      <w:r w:rsidRPr="005B66E3">
        <w:rPr>
          <w:rFonts w:ascii="Arial" w:hAnsi="Arial" w:cs="Arial"/>
        </w:rPr>
        <w:t xml:space="preserve"> health-oriented, data-driven testing solutions, as it serves the growing demand. The implementation of this strategy has the potential to enhance income from new products and reinforce CNS's leadership in functional medicine testing.</w:t>
      </w:r>
      <w:r>
        <w:rPr>
          <w:rFonts w:ascii="Arial" w:hAnsi="Arial" w:cs="Arial"/>
        </w:rPr>
        <w:t xml:space="preserve"> </w:t>
      </w:r>
      <w:r w:rsidRPr="005B66E3">
        <w:rPr>
          <w:rFonts w:ascii="Arial" w:hAnsi="Arial" w:cs="Arial"/>
        </w:rPr>
        <w:t>One drawback is that the development of new products necessitates R&amp;D efforts, as well as obtaining regulatory approval. Changes in consumer preferences could reduce the profitability of this investment.</w:t>
      </w:r>
    </w:p>
    <w:p w14:paraId="257C8431" w14:textId="2EC4A8A7" w:rsidR="005B66E3" w:rsidRPr="005B66E3" w:rsidRDefault="005B66E3" w:rsidP="00281107">
      <w:pPr>
        <w:spacing w:line="360" w:lineRule="auto"/>
        <w:jc w:val="both"/>
        <w:rPr>
          <w:rFonts w:ascii="Arial" w:hAnsi="Arial" w:cs="Arial"/>
        </w:rPr>
      </w:pPr>
      <w:r w:rsidRPr="00D41B5B">
        <w:rPr>
          <w:rFonts w:ascii="Arial" w:hAnsi="Arial" w:cs="Arial"/>
          <w:b/>
          <w:bCs/>
        </w:rPr>
        <w:t>Geographic expansion</w:t>
      </w:r>
      <w:r w:rsidRPr="005B66E3">
        <w:rPr>
          <w:rFonts w:ascii="Arial" w:hAnsi="Arial" w:cs="Arial"/>
        </w:rPr>
        <w:t xml:space="preserve"> entails entering new countries with products already available in the market.</w:t>
      </w:r>
      <w:r>
        <w:rPr>
          <w:rFonts w:ascii="Arial" w:hAnsi="Arial" w:cs="Arial"/>
        </w:rPr>
        <w:t xml:space="preserve"> </w:t>
      </w:r>
      <w:r w:rsidRPr="005B66E3">
        <w:rPr>
          <w:rFonts w:ascii="Arial" w:hAnsi="Arial" w:cs="Arial"/>
        </w:rPr>
        <w:t xml:space="preserve">The U.S. and EU markets exhibit potential driven by increasing awareness of gut health and a growing demand for gluten-free and plant-based health solutions. CNS can access these regions through collaborations with local laboratories and by leveraging its </w:t>
      </w:r>
      <w:r w:rsidRPr="005B66E3">
        <w:rPr>
          <w:rFonts w:ascii="Arial" w:hAnsi="Arial" w:cs="Arial"/>
        </w:rPr>
        <w:lastRenderedPageBreak/>
        <w:t>expertise in regulatory matters.</w:t>
      </w:r>
      <w:r>
        <w:rPr>
          <w:rFonts w:ascii="Arial" w:hAnsi="Arial" w:cs="Arial"/>
        </w:rPr>
        <w:t xml:space="preserve"> </w:t>
      </w:r>
      <w:r w:rsidRPr="005B66E3">
        <w:rPr>
          <w:rFonts w:ascii="Arial" w:hAnsi="Arial" w:cs="Arial"/>
        </w:rPr>
        <w:t>This approach diminishes CNS's reliance on the UK market and allows it to capitalise on developmental trends in other high-potential markets. CNS may see a sharp increase in its market share and brand recognition.</w:t>
      </w:r>
      <w:r>
        <w:rPr>
          <w:rFonts w:ascii="Arial" w:hAnsi="Arial" w:cs="Arial"/>
        </w:rPr>
        <w:t xml:space="preserve"> </w:t>
      </w:r>
      <w:r w:rsidRPr="005B66E3">
        <w:rPr>
          <w:rFonts w:ascii="Arial" w:hAnsi="Arial" w:cs="Arial"/>
        </w:rPr>
        <w:t>Geographic expansion involves expert local market knowledge and regulatory compliance, making it costly and complicated. The variations in cultural and customer behaviour could significantly influence CNS's offerings in these emerging regions.</w:t>
      </w:r>
    </w:p>
    <w:p w14:paraId="20BC120B" w14:textId="39739F26" w:rsidR="003E7678" w:rsidRDefault="00885DFA" w:rsidP="00281107">
      <w:pPr>
        <w:spacing w:line="360" w:lineRule="auto"/>
        <w:jc w:val="both"/>
        <w:rPr>
          <w:rFonts w:ascii="Arial" w:hAnsi="Arial" w:cs="Arial"/>
        </w:rPr>
      </w:pPr>
      <w:r w:rsidRPr="00885DFA">
        <w:rPr>
          <w:rFonts w:ascii="Arial" w:hAnsi="Arial" w:cs="Arial"/>
        </w:rPr>
        <w:t>The Ansoff matrix</w:t>
      </w:r>
      <w:r w:rsidR="00D41B5B">
        <w:rPr>
          <w:rFonts w:ascii="Arial" w:hAnsi="Arial" w:cs="Arial"/>
        </w:rPr>
        <w:t xml:space="preserve"> </w:t>
      </w:r>
      <w:r w:rsidRPr="00885DFA">
        <w:rPr>
          <w:rFonts w:ascii="Arial" w:hAnsi="Arial" w:cs="Arial"/>
        </w:rPr>
        <w:t>a</w:t>
      </w:r>
      <w:r w:rsidR="00E126E7">
        <w:rPr>
          <w:rFonts w:ascii="Arial" w:hAnsi="Arial" w:cs="Arial"/>
        </w:rPr>
        <w:t>nalysis</w:t>
      </w:r>
      <w:r w:rsidRPr="00885DFA">
        <w:rPr>
          <w:rFonts w:ascii="Arial" w:hAnsi="Arial" w:cs="Arial"/>
        </w:rPr>
        <w:t xml:space="preserve"> </w:t>
      </w:r>
      <w:r w:rsidR="00D41B5B">
        <w:rPr>
          <w:rFonts w:ascii="Arial" w:hAnsi="Arial" w:cs="Arial"/>
        </w:rPr>
        <w:t>suggests</w:t>
      </w:r>
      <w:r w:rsidRPr="00885DFA">
        <w:rPr>
          <w:rFonts w:ascii="Arial" w:hAnsi="Arial" w:cs="Arial"/>
        </w:rPr>
        <w:t xml:space="preserve"> that CNS should focus on new product development. White (20</w:t>
      </w:r>
      <w:r w:rsidR="00FF262A">
        <w:rPr>
          <w:rFonts w:ascii="Arial" w:hAnsi="Arial" w:cs="Arial"/>
        </w:rPr>
        <w:t>04</w:t>
      </w:r>
      <w:r w:rsidRPr="00885DFA">
        <w:rPr>
          <w:rFonts w:ascii="Arial" w:hAnsi="Arial" w:cs="Arial"/>
        </w:rPr>
        <w:t xml:space="preserve">) highlights that CNS's unique, creative products, such as </w:t>
      </w:r>
      <w:proofErr w:type="spellStart"/>
      <w:r w:rsidRPr="00885DFA">
        <w:rPr>
          <w:rFonts w:ascii="Arial" w:hAnsi="Arial" w:cs="Arial"/>
        </w:rPr>
        <w:t>FoodPrint</w:t>
      </w:r>
      <w:proofErr w:type="spellEnd"/>
      <w:r w:rsidRPr="00885DFA">
        <w:rPr>
          <w:rFonts w:ascii="Arial" w:hAnsi="Arial" w:cs="Arial"/>
        </w:rPr>
        <w:t xml:space="preserve">® gut health diagnostics, give it a competitive edge and client loyalty by making rival replication difficult. </w:t>
      </w:r>
      <w:r w:rsidR="00721C6F">
        <w:rPr>
          <w:rFonts w:ascii="Arial" w:hAnsi="Arial" w:cs="Arial"/>
        </w:rPr>
        <w:t>To</w:t>
      </w:r>
      <w:r w:rsidR="00721C6F" w:rsidRPr="00721C6F">
        <w:rPr>
          <w:rFonts w:ascii="Arial" w:hAnsi="Arial" w:cs="Arial"/>
        </w:rPr>
        <w:t xml:space="preserve"> maintain competitive advantage, core competencies must be strategically aligned with market demands, exploiting existing resources and capabilities and adjusting to environmental changes.</w:t>
      </w:r>
      <w:r w:rsidR="00721C6F">
        <w:rPr>
          <w:rFonts w:ascii="Arial" w:hAnsi="Arial" w:cs="Arial"/>
        </w:rPr>
        <w:t xml:space="preserve"> </w:t>
      </w:r>
      <w:r w:rsidR="003E7678" w:rsidRPr="003E7678">
        <w:rPr>
          <w:rFonts w:ascii="Arial" w:hAnsi="Arial" w:cs="Arial"/>
        </w:rPr>
        <w:t>Constant product innovation strengthens CNS's brand and reaffirms its dedication to promoting functional medicine while meeting the growing need for individualised health solutions</w:t>
      </w:r>
      <w:r w:rsidRPr="00885DFA">
        <w:rPr>
          <w:rFonts w:ascii="Arial" w:hAnsi="Arial" w:cs="Arial"/>
        </w:rPr>
        <w:t xml:space="preserve">. </w:t>
      </w:r>
      <w:r>
        <w:rPr>
          <w:rFonts w:ascii="Arial" w:hAnsi="Arial" w:cs="Arial"/>
        </w:rPr>
        <w:t xml:space="preserve">Allocating </w:t>
      </w:r>
      <w:r w:rsidR="005B66E3" w:rsidRPr="005B66E3">
        <w:rPr>
          <w:rFonts w:ascii="Arial" w:hAnsi="Arial" w:cs="Arial"/>
        </w:rPr>
        <w:t>resources towards data-driven, customised health solutions aligns with CNS's objective of prioritising tailored nutrition within the framework of global healthcare.</w:t>
      </w:r>
      <w:r w:rsidR="003E7678">
        <w:rPr>
          <w:rFonts w:ascii="Arial" w:hAnsi="Arial" w:cs="Arial"/>
        </w:rPr>
        <w:t xml:space="preserve"> </w:t>
      </w:r>
      <w:r w:rsidR="005B66E3" w:rsidRPr="005B66E3">
        <w:rPr>
          <w:rFonts w:ascii="Arial" w:hAnsi="Arial" w:cs="Arial"/>
        </w:rPr>
        <w:t>CNS has the potential to increase its revenue streams by introducing new health tests within its existing market. Expanding its product line enhances the company's ability to withstand market fluctuations and adapt to consumer preferences.</w:t>
      </w:r>
      <w:r w:rsidR="00B17C78">
        <w:rPr>
          <w:rFonts w:ascii="Arial" w:hAnsi="Arial" w:cs="Arial"/>
        </w:rPr>
        <w:t xml:space="preserve"> </w:t>
      </w:r>
      <w:r w:rsidR="005B66E3" w:rsidRPr="005B66E3">
        <w:rPr>
          <w:rFonts w:ascii="Arial" w:hAnsi="Arial" w:cs="Arial"/>
        </w:rPr>
        <w:t xml:space="preserve">The product development strategy aligns with CNS's objective to enhance market empowerment and education by leveraging partnerships to deliver superior diagnostic tools. </w:t>
      </w:r>
    </w:p>
    <w:p w14:paraId="271293DF" w14:textId="0D98F273" w:rsidR="005B66E3" w:rsidRPr="005B66E3" w:rsidRDefault="005B66E3" w:rsidP="00281107">
      <w:pPr>
        <w:spacing w:line="360" w:lineRule="auto"/>
        <w:jc w:val="both"/>
        <w:rPr>
          <w:rFonts w:ascii="Arial" w:hAnsi="Arial" w:cs="Arial"/>
        </w:rPr>
      </w:pPr>
      <w:r w:rsidRPr="005B66E3">
        <w:rPr>
          <w:rFonts w:ascii="Arial" w:hAnsi="Arial" w:cs="Arial"/>
        </w:rPr>
        <w:t xml:space="preserve">The </w:t>
      </w:r>
      <w:proofErr w:type="spellStart"/>
      <w:r w:rsidRPr="005B66E3">
        <w:rPr>
          <w:rFonts w:ascii="Arial" w:hAnsi="Arial" w:cs="Arial"/>
        </w:rPr>
        <w:t>SAFe</w:t>
      </w:r>
      <w:proofErr w:type="spellEnd"/>
      <w:r w:rsidRPr="005B66E3">
        <w:rPr>
          <w:rFonts w:ascii="Arial" w:hAnsi="Arial" w:cs="Arial"/>
        </w:rPr>
        <w:t xml:space="preserve"> analysis indicates that product development represents the most effective strategy for CNS, </w:t>
      </w:r>
      <w:r w:rsidR="00E979C6">
        <w:rPr>
          <w:rFonts w:ascii="Arial" w:hAnsi="Arial" w:cs="Arial"/>
        </w:rPr>
        <w:t>as it</w:t>
      </w:r>
      <w:r w:rsidRPr="005B66E3">
        <w:rPr>
          <w:rFonts w:ascii="Arial" w:hAnsi="Arial" w:cs="Arial"/>
        </w:rPr>
        <w:t xml:space="preserve"> alig</w:t>
      </w:r>
      <w:r w:rsidR="00E979C6">
        <w:rPr>
          <w:rFonts w:ascii="Arial" w:hAnsi="Arial" w:cs="Arial"/>
        </w:rPr>
        <w:t>ns</w:t>
      </w:r>
      <w:r w:rsidRPr="005B66E3">
        <w:rPr>
          <w:rFonts w:ascii="Arial" w:hAnsi="Arial" w:cs="Arial"/>
        </w:rPr>
        <w:t xml:space="preserve"> with suitability, acceptability, and feasibility criteria.</w:t>
      </w:r>
      <w:r w:rsidR="003E7678">
        <w:rPr>
          <w:rFonts w:ascii="Arial" w:hAnsi="Arial" w:cs="Arial"/>
        </w:rPr>
        <w:t xml:space="preserve"> </w:t>
      </w:r>
      <w:r w:rsidRPr="005B66E3">
        <w:rPr>
          <w:rFonts w:ascii="Arial" w:hAnsi="Arial" w:cs="Arial"/>
        </w:rPr>
        <w:t>The approach leverages CNS's strengths, aligns with prevailing market trends, and enhances competitive positioning, thereby facilitating CNS's acquisition of market share in a rapidly expanding sector.</w:t>
      </w:r>
      <w:r>
        <w:rPr>
          <w:rFonts w:ascii="Arial" w:hAnsi="Arial" w:cs="Arial"/>
        </w:rPr>
        <w:t xml:space="preserve"> </w:t>
      </w:r>
      <w:r w:rsidRPr="005B66E3">
        <w:rPr>
          <w:rFonts w:ascii="Arial" w:hAnsi="Arial" w:cs="Arial"/>
        </w:rPr>
        <w:t>Innovative, consumer-focused products demonstrate a favourable risk-return profile, where substantial returns validate the associated expenditures, and stakeholders are expected to value these offerings positively.</w:t>
      </w:r>
      <w:r>
        <w:rPr>
          <w:rFonts w:ascii="Arial" w:hAnsi="Arial" w:cs="Arial"/>
        </w:rPr>
        <w:t xml:space="preserve"> </w:t>
      </w:r>
      <w:r w:rsidRPr="005B66E3">
        <w:rPr>
          <w:rFonts w:ascii="Arial" w:hAnsi="Arial" w:cs="Arial"/>
        </w:rPr>
        <w:t>CNS's organisational structure encourages innovation, and it possesses the resources, technology, and experience necessary to develop and grow innovative diagnostic testing solutions.</w:t>
      </w:r>
    </w:p>
    <w:p w14:paraId="3D759320" w14:textId="31FCCF60" w:rsidR="00DF5ABF" w:rsidRDefault="00DF5ABF" w:rsidP="00281107">
      <w:pPr>
        <w:spacing w:line="360" w:lineRule="auto"/>
        <w:jc w:val="both"/>
        <w:rPr>
          <w:rFonts w:ascii="Arial" w:hAnsi="Arial" w:cs="Arial"/>
        </w:rPr>
      </w:pPr>
      <w:r w:rsidRPr="00DF5ABF">
        <w:rPr>
          <w:rFonts w:ascii="Arial" w:hAnsi="Arial" w:cs="Arial"/>
        </w:rPr>
        <w:t xml:space="preserve">Structured monitoring and supervision of Cambridge Nutritional Sciences' product development plan is necessary. First, set KPIs like product milestones, revenue growth, market share, customer happiness, and partnership involvement. KPI performance, competitor activities, and resource allocation should be reviewed quarterly. Customer surveys and healthcare partner information can be used to adjust to market needs. Create a risk </w:t>
      </w:r>
      <w:r w:rsidRPr="00DF5ABF">
        <w:rPr>
          <w:rFonts w:ascii="Arial" w:hAnsi="Arial" w:cs="Arial"/>
        </w:rPr>
        <w:lastRenderedPageBreak/>
        <w:t xml:space="preserve">management framework to anticipate and prepare for challenges. Finally, use data analytics to track sales and consumer behaviour in </w:t>
      </w:r>
      <w:r>
        <w:rPr>
          <w:rFonts w:ascii="Arial" w:hAnsi="Arial" w:cs="Arial"/>
        </w:rPr>
        <w:t>real-time</w:t>
      </w:r>
      <w:r w:rsidRPr="00DF5ABF">
        <w:rPr>
          <w:rFonts w:ascii="Arial" w:hAnsi="Arial" w:cs="Arial"/>
        </w:rPr>
        <w:t xml:space="preserve"> to improve tactics and results.</w:t>
      </w:r>
    </w:p>
    <w:p w14:paraId="3A7A67A0" w14:textId="483D0432" w:rsidR="00B61A92" w:rsidRPr="00281107" w:rsidRDefault="00B62CAC" w:rsidP="00281107">
      <w:pPr>
        <w:pStyle w:val="Heading1"/>
        <w:spacing w:line="360" w:lineRule="auto"/>
        <w:jc w:val="both"/>
        <w:rPr>
          <w:rFonts w:ascii="Arial" w:hAnsi="Arial" w:cs="Arial"/>
          <w:b/>
          <w:bCs/>
          <w:color w:val="auto"/>
          <w:sz w:val="22"/>
          <w:szCs w:val="22"/>
        </w:rPr>
      </w:pPr>
      <w:bookmarkStart w:id="9" w:name="_Toc182483535"/>
      <w:r w:rsidRPr="00281107">
        <w:rPr>
          <w:rFonts w:ascii="Arial" w:hAnsi="Arial" w:cs="Arial"/>
          <w:b/>
          <w:bCs/>
          <w:color w:val="auto"/>
          <w:sz w:val="22"/>
          <w:szCs w:val="22"/>
        </w:rPr>
        <w:t>Competitor Reactions</w:t>
      </w:r>
      <w:bookmarkEnd w:id="9"/>
    </w:p>
    <w:p w14:paraId="7F40BE1C" w14:textId="6C768ECD" w:rsidR="004F6E24" w:rsidRPr="004F6E24" w:rsidRDefault="004F6E24" w:rsidP="00281107">
      <w:pPr>
        <w:spacing w:line="360" w:lineRule="auto"/>
        <w:jc w:val="both"/>
        <w:rPr>
          <w:rFonts w:ascii="Arial" w:hAnsi="Arial" w:cs="Arial"/>
        </w:rPr>
      </w:pPr>
      <w:r w:rsidRPr="004F6E24">
        <w:rPr>
          <w:rFonts w:ascii="Arial" w:hAnsi="Arial" w:cs="Arial"/>
        </w:rPr>
        <w:t xml:space="preserve">Considering CNS’s product development strategy centred on personalised nutrition diagnostics, UK-based competitors such as </w:t>
      </w:r>
      <w:proofErr w:type="spellStart"/>
      <w:r w:rsidRPr="004F6E24">
        <w:rPr>
          <w:rFonts w:ascii="Arial" w:hAnsi="Arial" w:cs="Arial"/>
        </w:rPr>
        <w:t>YorkTest</w:t>
      </w:r>
      <w:proofErr w:type="spellEnd"/>
      <w:r w:rsidRPr="004F6E24">
        <w:rPr>
          <w:rFonts w:ascii="Arial" w:hAnsi="Arial" w:cs="Arial"/>
        </w:rPr>
        <w:t xml:space="preserve"> Laboratories and </w:t>
      </w:r>
      <w:proofErr w:type="spellStart"/>
      <w:r w:rsidRPr="004F6E24">
        <w:rPr>
          <w:rFonts w:ascii="Arial" w:hAnsi="Arial" w:cs="Arial"/>
        </w:rPr>
        <w:t>Lifelab</w:t>
      </w:r>
      <w:proofErr w:type="spellEnd"/>
      <w:r w:rsidRPr="004F6E24">
        <w:rPr>
          <w:rFonts w:ascii="Arial" w:hAnsi="Arial" w:cs="Arial"/>
        </w:rPr>
        <w:t xml:space="preserve"> Testing are likely to enhance their marketing initiatives, promote their current offerings, or expedite innovation to maintain their market position.</w:t>
      </w:r>
      <w:r>
        <w:rPr>
          <w:rFonts w:ascii="Arial" w:hAnsi="Arial" w:cs="Arial"/>
        </w:rPr>
        <w:t xml:space="preserve"> </w:t>
      </w:r>
      <w:r w:rsidRPr="004F6E24">
        <w:rPr>
          <w:rFonts w:ascii="Arial" w:hAnsi="Arial" w:cs="Arial"/>
        </w:rPr>
        <w:t xml:space="preserve">They may also give discounts or partner with healthcare providers to match CNS's trustworthiness. CNS should promote its </w:t>
      </w:r>
      <w:proofErr w:type="spellStart"/>
      <w:r w:rsidRPr="004F6E24">
        <w:rPr>
          <w:rFonts w:ascii="Arial" w:hAnsi="Arial" w:cs="Arial"/>
        </w:rPr>
        <w:t>FoodPrint</w:t>
      </w:r>
      <w:proofErr w:type="spellEnd"/>
      <w:r w:rsidRPr="004F6E24">
        <w:rPr>
          <w:rFonts w:ascii="Arial" w:hAnsi="Arial" w:cs="Arial"/>
        </w:rPr>
        <w:t>® automated assay and position itself as a gut health diagnostics leader to address these reactions. Targeted digital promotions and unique collaborations can boost client loyalty and differentiate CNS with data-driven, personalised health insights.</w:t>
      </w:r>
    </w:p>
    <w:p w14:paraId="3C512F1A" w14:textId="0635B789" w:rsidR="00341F84" w:rsidRPr="00281107" w:rsidRDefault="00341F84" w:rsidP="00281107">
      <w:pPr>
        <w:pStyle w:val="Heading1"/>
        <w:spacing w:line="360" w:lineRule="auto"/>
        <w:jc w:val="both"/>
        <w:rPr>
          <w:rFonts w:ascii="Arial" w:hAnsi="Arial" w:cs="Arial"/>
          <w:b/>
          <w:bCs/>
          <w:color w:val="auto"/>
          <w:sz w:val="22"/>
          <w:szCs w:val="22"/>
        </w:rPr>
      </w:pPr>
      <w:bookmarkStart w:id="10" w:name="_Toc182483536"/>
      <w:r w:rsidRPr="00281107">
        <w:rPr>
          <w:rFonts w:ascii="Arial" w:hAnsi="Arial" w:cs="Arial"/>
          <w:b/>
          <w:bCs/>
          <w:color w:val="auto"/>
          <w:sz w:val="22"/>
          <w:szCs w:val="22"/>
        </w:rPr>
        <w:t xml:space="preserve">Strategic </w:t>
      </w:r>
      <w:r w:rsidR="00281107" w:rsidRPr="00281107">
        <w:rPr>
          <w:rFonts w:ascii="Arial" w:hAnsi="Arial" w:cs="Arial"/>
          <w:b/>
          <w:bCs/>
          <w:color w:val="auto"/>
          <w:sz w:val="22"/>
          <w:szCs w:val="22"/>
        </w:rPr>
        <w:t>Recommendations</w:t>
      </w:r>
      <w:r w:rsidR="00BA5E43" w:rsidRPr="00281107">
        <w:rPr>
          <w:rFonts w:ascii="Arial" w:hAnsi="Arial" w:cs="Arial"/>
          <w:b/>
          <w:bCs/>
          <w:color w:val="auto"/>
          <w:sz w:val="22"/>
          <w:szCs w:val="22"/>
        </w:rPr>
        <w:t xml:space="preserve"> for Cambridge Nutritional Sciences (CNS)</w:t>
      </w:r>
      <w:bookmarkEnd w:id="10"/>
    </w:p>
    <w:p w14:paraId="7EBD02A3" w14:textId="4F6E0413" w:rsidR="00497C3D" w:rsidRDefault="00BA5E43" w:rsidP="00281107">
      <w:pPr>
        <w:spacing w:line="360" w:lineRule="auto"/>
        <w:jc w:val="both"/>
        <w:rPr>
          <w:rFonts w:ascii="Arial" w:hAnsi="Arial" w:cs="Arial"/>
        </w:rPr>
      </w:pPr>
      <w:r w:rsidRPr="002D010D">
        <w:rPr>
          <w:rFonts w:ascii="Arial" w:hAnsi="Arial" w:cs="Arial"/>
        </w:rPr>
        <w:t>Based on a thorough analysis of internal capabilities and market trends,</w:t>
      </w:r>
      <w:r w:rsidR="00497C3D">
        <w:rPr>
          <w:rFonts w:ascii="Arial" w:hAnsi="Arial" w:cs="Arial"/>
        </w:rPr>
        <w:t xml:space="preserve"> </w:t>
      </w:r>
      <w:r w:rsidR="00497C3D" w:rsidRPr="00497C3D">
        <w:rPr>
          <w:rFonts w:ascii="Arial" w:hAnsi="Arial" w:cs="Arial"/>
        </w:rPr>
        <w:t>Cambridge Nutritional Sciences (CNS) should focus on personalized nutrition solutions to drive sustainable growth. Utilizing the VMOST framework, CNS’s vision emphasizes innovative diagnostic tools tailored to individual health needs. The mission underscores quality and collaboration, aiming to empower consumers. Key objectives include expanding product offerings, increasing market share, building brand trust, and strengthening partnerships. The strategy centr</w:t>
      </w:r>
      <w:r w:rsidR="00497C3D">
        <w:rPr>
          <w:rFonts w:ascii="Arial" w:hAnsi="Arial" w:cs="Arial"/>
        </w:rPr>
        <w:t>e</w:t>
      </w:r>
      <w:r w:rsidR="00497C3D" w:rsidRPr="00497C3D">
        <w:rPr>
          <w:rFonts w:ascii="Arial" w:hAnsi="Arial" w:cs="Arial"/>
        </w:rPr>
        <w:t xml:space="preserve">s on developing diagnostic products using </w:t>
      </w:r>
      <w:proofErr w:type="spellStart"/>
      <w:r w:rsidR="00497C3D" w:rsidRPr="00497C3D">
        <w:rPr>
          <w:rFonts w:ascii="Arial" w:hAnsi="Arial" w:cs="Arial"/>
        </w:rPr>
        <w:t>FoodPrint</w:t>
      </w:r>
      <w:proofErr w:type="spellEnd"/>
      <w:r w:rsidR="00497C3D" w:rsidRPr="00497C3D">
        <w:rPr>
          <w:rFonts w:ascii="Arial" w:hAnsi="Arial" w:cs="Arial"/>
        </w:rPr>
        <w:t>® technology for areas like gut health</w:t>
      </w:r>
      <w:r w:rsidR="00963924">
        <w:rPr>
          <w:rFonts w:ascii="Arial" w:hAnsi="Arial" w:cs="Arial"/>
        </w:rPr>
        <w:t xml:space="preserve">, </w:t>
      </w:r>
      <w:r w:rsidR="00963924" w:rsidRPr="00963924">
        <w:rPr>
          <w:rFonts w:ascii="Arial" w:hAnsi="Arial" w:cs="Arial"/>
        </w:rPr>
        <w:t>addressing the needs of 40% of customers with gastrointestinal issues</w:t>
      </w:r>
      <w:r w:rsidR="00497C3D" w:rsidRPr="00497C3D">
        <w:rPr>
          <w:rFonts w:ascii="Arial" w:hAnsi="Arial" w:cs="Arial"/>
        </w:rPr>
        <w:t xml:space="preserve">. Tactics involve investing in R&amp;D, enhancing collaborations, implementing targeted digital marketing, and optimizing operations for scalability </w:t>
      </w:r>
      <w:r w:rsidR="00FA4D8A">
        <w:rPr>
          <w:rFonts w:ascii="Arial" w:hAnsi="Arial" w:cs="Arial"/>
        </w:rPr>
        <w:t>to meet growing market demand effectively</w:t>
      </w:r>
      <w:r w:rsidR="00497C3D" w:rsidRPr="00497C3D">
        <w:rPr>
          <w:rFonts w:ascii="Arial" w:hAnsi="Arial" w:cs="Arial"/>
        </w:rPr>
        <w:t>.</w:t>
      </w:r>
    </w:p>
    <w:p w14:paraId="6E51B16E" w14:textId="2585C2F9" w:rsidR="003B74E4" w:rsidRPr="00281107" w:rsidRDefault="003B74E4" w:rsidP="00281107">
      <w:pPr>
        <w:pStyle w:val="Heading1"/>
        <w:spacing w:line="360" w:lineRule="auto"/>
        <w:jc w:val="both"/>
        <w:rPr>
          <w:rFonts w:ascii="Arial" w:hAnsi="Arial" w:cs="Arial"/>
          <w:b/>
          <w:bCs/>
          <w:color w:val="auto"/>
          <w:sz w:val="22"/>
          <w:szCs w:val="22"/>
        </w:rPr>
      </w:pPr>
      <w:bookmarkStart w:id="11" w:name="_Toc182483537"/>
      <w:r w:rsidRPr="00281107">
        <w:rPr>
          <w:rFonts w:ascii="Arial" w:hAnsi="Arial" w:cs="Arial"/>
          <w:b/>
          <w:bCs/>
          <w:color w:val="auto"/>
          <w:sz w:val="22"/>
          <w:szCs w:val="22"/>
        </w:rPr>
        <w:t>Conclusion</w:t>
      </w:r>
      <w:bookmarkEnd w:id="11"/>
    </w:p>
    <w:p w14:paraId="7F44D2C5" w14:textId="1893BB20" w:rsidR="005A50E3" w:rsidRPr="002D010D" w:rsidRDefault="005A50E3" w:rsidP="00281107">
      <w:pPr>
        <w:spacing w:line="360" w:lineRule="auto"/>
        <w:jc w:val="both"/>
        <w:rPr>
          <w:rFonts w:ascii="Arial" w:hAnsi="Arial" w:cs="Arial"/>
        </w:rPr>
      </w:pPr>
      <w:r w:rsidRPr="005A50E3">
        <w:rPr>
          <w:rFonts w:ascii="Arial" w:hAnsi="Arial" w:cs="Arial"/>
        </w:rPr>
        <w:t xml:space="preserve">Cambridge Nutritional Sciences (CNS) specialises in food intolerance testing and personalised nutrition in the health diagnostics sector. The report emphasises CNS's strengths in quality diagnostics and brand trust while identifying drawbacks such as restricted market scope and increasing operational expenses. There is growth potential through product creation </w:t>
      </w:r>
      <w:r w:rsidR="00FA4D8A">
        <w:rPr>
          <w:rFonts w:ascii="Arial" w:hAnsi="Arial" w:cs="Arial"/>
        </w:rPr>
        <w:t>using</w:t>
      </w:r>
      <w:r w:rsidRPr="005A50E3">
        <w:rPr>
          <w:rFonts w:ascii="Arial" w:hAnsi="Arial" w:cs="Arial"/>
        </w:rPr>
        <w:t xml:space="preserve"> methodologies such as Porter’s Five Forces, PESTLE, and SWOT analysis. </w:t>
      </w:r>
      <w:r w:rsidR="00261DDF">
        <w:rPr>
          <w:rFonts w:ascii="Arial" w:hAnsi="Arial" w:cs="Arial"/>
        </w:rPr>
        <w:t xml:space="preserve">Diagnostic tools like </w:t>
      </w:r>
      <w:proofErr w:type="spellStart"/>
      <w:r w:rsidR="00261DDF">
        <w:rPr>
          <w:rFonts w:ascii="Arial" w:hAnsi="Arial" w:cs="Arial"/>
        </w:rPr>
        <w:t>FoodPrint</w:t>
      </w:r>
      <w:proofErr w:type="spellEnd"/>
      <w:r w:rsidR="00261DDF">
        <w:rPr>
          <w:rFonts w:ascii="Arial" w:hAnsi="Arial" w:cs="Arial"/>
        </w:rPr>
        <w:t xml:space="preserve"> technology should </w:t>
      </w:r>
      <w:r w:rsidRPr="005A50E3">
        <w:rPr>
          <w:rFonts w:ascii="Arial" w:hAnsi="Arial" w:cs="Arial"/>
        </w:rPr>
        <w:t>be developed to increase market share and consumer confidence. The long-term prosperity of CNS will depend on its ability to track and adjust to changes in the market.</w:t>
      </w:r>
    </w:p>
    <w:p w14:paraId="7DC56788" w14:textId="08DB9D3C" w:rsidR="0036515B" w:rsidRPr="002D010D" w:rsidRDefault="0036515B" w:rsidP="00281107">
      <w:pPr>
        <w:spacing w:line="360" w:lineRule="auto"/>
        <w:jc w:val="both"/>
        <w:rPr>
          <w:rFonts w:ascii="Arial" w:hAnsi="Arial" w:cs="Arial"/>
        </w:rPr>
      </w:pPr>
    </w:p>
    <w:p w14:paraId="38B0AFCA" w14:textId="581A4C8C" w:rsidR="00774F67" w:rsidRPr="002D010D" w:rsidRDefault="00606C72" w:rsidP="00D80885">
      <w:pPr>
        <w:spacing w:line="276" w:lineRule="auto"/>
        <w:jc w:val="both"/>
        <w:rPr>
          <w:rFonts w:ascii="Arial" w:hAnsi="Arial" w:cs="Arial"/>
          <w:b/>
          <w:bCs/>
        </w:rPr>
      </w:pPr>
      <w:bookmarkStart w:id="12" w:name="_Toc182483538"/>
      <w:bookmarkEnd w:id="7"/>
      <w:r w:rsidRPr="00281107">
        <w:rPr>
          <w:rStyle w:val="Heading1Char"/>
          <w:rFonts w:ascii="Arial" w:hAnsi="Arial" w:cs="Arial"/>
          <w:b/>
          <w:bCs/>
          <w:color w:val="auto"/>
          <w:sz w:val="22"/>
          <w:szCs w:val="22"/>
        </w:rPr>
        <w:lastRenderedPageBreak/>
        <w:t>References</w:t>
      </w:r>
      <w:bookmarkEnd w:id="12"/>
      <w:r w:rsidRPr="002D010D">
        <w:rPr>
          <w:rFonts w:ascii="Arial" w:hAnsi="Arial" w:cs="Arial"/>
          <w:b/>
          <w:bCs/>
        </w:rPr>
        <w:t>:</w:t>
      </w:r>
    </w:p>
    <w:p w14:paraId="7A046953"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Ansoff, H.I. (1957) </w:t>
      </w:r>
      <w:r w:rsidRPr="00050786">
        <w:rPr>
          <w:rFonts w:ascii="Arial" w:hAnsi="Arial" w:cs="Arial"/>
          <w:i/>
          <w:iCs/>
        </w:rPr>
        <w:t xml:space="preserve">Strategies for Diversification, Harvard </w:t>
      </w:r>
      <w:r>
        <w:rPr>
          <w:rFonts w:ascii="Arial" w:hAnsi="Arial" w:cs="Arial"/>
          <w:i/>
          <w:iCs/>
        </w:rPr>
        <w:t>Business Review</w:t>
      </w:r>
      <w:r w:rsidRPr="00050786">
        <w:rPr>
          <w:rFonts w:ascii="Arial" w:hAnsi="Arial" w:cs="Arial"/>
          <w:i/>
          <w:iCs/>
        </w:rPr>
        <w:t>.</w:t>
      </w:r>
      <w:r w:rsidRPr="00050786">
        <w:rPr>
          <w:rFonts w:ascii="Arial" w:hAnsi="Arial" w:cs="Arial"/>
        </w:rPr>
        <w:t xml:space="preserve"> Boston</w:t>
      </w:r>
      <w:r w:rsidRPr="00050786">
        <w:rPr>
          <w:rFonts w:ascii="Arial" w:hAnsi="Arial" w:cs="Arial"/>
          <w:i/>
          <w:iCs/>
        </w:rPr>
        <w:t xml:space="preserve">: </w:t>
      </w:r>
      <w:r w:rsidRPr="00050786">
        <w:rPr>
          <w:rFonts w:ascii="Arial" w:hAnsi="Arial" w:cs="Arial"/>
        </w:rPr>
        <w:t>Harvard University</w:t>
      </w:r>
      <w:r w:rsidRPr="00050786">
        <w:rPr>
          <w:rFonts w:ascii="Arial" w:hAnsi="Arial" w:cs="Arial"/>
          <w:i/>
          <w:iCs/>
        </w:rPr>
        <w:t>.</w:t>
      </w:r>
      <w:r w:rsidRPr="00050786">
        <w:rPr>
          <w:rFonts w:ascii="Arial" w:hAnsi="Arial" w:cs="Arial"/>
        </w:rPr>
        <w:t xml:space="preserve"> Graduate School of Business Administration, pp. 113-124.</w:t>
      </w:r>
    </w:p>
    <w:p w14:paraId="164995E2" w14:textId="77777777" w:rsidR="005D4901" w:rsidRDefault="005D4901" w:rsidP="00FA4D8A">
      <w:pPr>
        <w:jc w:val="both"/>
        <w:rPr>
          <w:rFonts w:ascii="Arial" w:hAnsi="Arial" w:cs="Arial"/>
        </w:rPr>
      </w:pPr>
      <w:r w:rsidRPr="00FA4D8A">
        <w:rPr>
          <w:rFonts w:ascii="Arial" w:hAnsi="Arial" w:cs="Arial"/>
        </w:rPr>
        <w:t xml:space="preserve">Ansoff, H.I. (2007) </w:t>
      </w:r>
      <w:r w:rsidRPr="00945636">
        <w:rPr>
          <w:rFonts w:ascii="Arial" w:hAnsi="Arial" w:cs="Arial"/>
          <w:i/>
          <w:iCs/>
        </w:rPr>
        <w:t>Strategic management</w:t>
      </w:r>
      <w:r w:rsidRPr="00FA4D8A">
        <w:rPr>
          <w:rFonts w:ascii="Arial" w:hAnsi="Arial" w:cs="Arial"/>
        </w:rPr>
        <w:t>. Classic ed. Basingstoke: Palgrave Macmillan. Available at:</w:t>
      </w:r>
      <w:r w:rsidRPr="00945636">
        <w:rPr>
          <w:rFonts w:ascii="Arial" w:hAnsi="Arial" w:cs="Arial"/>
        </w:rPr>
        <w:t xml:space="preserve"> </w:t>
      </w:r>
      <w:hyperlink r:id="rId14" w:history="1">
        <w:r w:rsidRPr="00945636">
          <w:rPr>
            <w:rStyle w:val="Hyperlink"/>
            <w:rFonts w:ascii="Arial" w:hAnsi="Arial" w:cs="Arial"/>
            <w:color w:val="auto"/>
            <w:u w:val="none"/>
          </w:rPr>
          <w:t>https://doi.org/10.1057/9780230590601</w:t>
        </w:r>
      </w:hyperlink>
      <w:r w:rsidRPr="00945636">
        <w:rPr>
          <w:rFonts w:ascii="Arial" w:hAnsi="Arial" w:cs="Arial"/>
        </w:rPr>
        <w:t>.</w:t>
      </w:r>
    </w:p>
    <w:p w14:paraId="2007B4FA" w14:textId="77777777" w:rsidR="005D4901" w:rsidRPr="00050786" w:rsidRDefault="005D4901" w:rsidP="00D80885">
      <w:pPr>
        <w:spacing w:line="276" w:lineRule="auto"/>
        <w:rPr>
          <w:rFonts w:ascii="Arial" w:hAnsi="Arial" w:cs="Arial"/>
        </w:rPr>
      </w:pPr>
      <w:r w:rsidRPr="00050786">
        <w:rPr>
          <w:rFonts w:ascii="Arial" w:hAnsi="Arial" w:cs="Arial"/>
        </w:rPr>
        <w:t xml:space="preserve">Barney, J. B., &amp; Hesterly, W. S. (2018) Strategic Management and Competitive Advantage Concepts. New Jersey: Prentice Hill. </w:t>
      </w:r>
    </w:p>
    <w:p w14:paraId="62B6A54C"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Bellamy, L.C., Amoo, N., Mervyn, K., </w:t>
      </w:r>
      <w:proofErr w:type="spellStart"/>
      <w:r w:rsidRPr="00050786">
        <w:rPr>
          <w:rFonts w:ascii="Arial" w:hAnsi="Arial" w:cs="Arial"/>
        </w:rPr>
        <w:t>Hiddlestone</w:t>
      </w:r>
      <w:proofErr w:type="spellEnd"/>
      <w:r w:rsidRPr="00050786">
        <w:rPr>
          <w:rFonts w:ascii="Arial" w:hAnsi="Arial" w:cs="Arial"/>
        </w:rPr>
        <w:t xml:space="preserve">-Mumford, </w:t>
      </w:r>
      <w:proofErr w:type="spellStart"/>
      <w:r w:rsidRPr="00050786">
        <w:rPr>
          <w:rFonts w:ascii="Arial" w:hAnsi="Arial" w:cs="Arial"/>
        </w:rPr>
        <w:t>J.l</w:t>
      </w:r>
      <w:proofErr w:type="spellEnd"/>
      <w:r w:rsidRPr="00050786">
        <w:rPr>
          <w:rFonts w:ascii="Arial" w:hAnsi="Arial" w:cs="Arial"/>
        </w:rPr>
        <w:t xml:space="preserve">. (2019) ‘The use of strategy tools and frameworks by SMEs in the strategy formation process’, </w:t>
      </w:r>
      <w:r w:rsidRPr="00050786">
        <w:rPr>
          <w:rFonts w:ascii="Arial" w:hAnsi="Arial" w:cs="Arial"/>
          <w:i/>
          <w:iCs/>
        </w:rPr>
        <w:t xml:space="preserve">International </w:t>
      </w:r>
      <w:r>
        <w:rPr>
          <w:rFonts w:ascii="Arial" w:hAnsi="Arial" w:cs="Arial"/>
          <w:i/>
          <w:iCs/>
        </w:rPr>
        <w:t>J</w:t>
      </w:r>
      <w:r w:rsidRPr="00050786">
        <w:rPr>
          <w:rFonts w:ascii="Arial" w:hAnsi="Arial" w:cs="Arial"/>
          <w:i/>
          <w:iCs/>
        </w:rPr>
        <w:t xml:space="preserve">ournal of </w:t>
      </w:r>
      <w:r>
        <w:rPr>
          <w:rFonts w:ascii="Arial" w:hAnsi="Arial" w:cs="Arial"/>
          <w:i/>
          <w:iCs/>
        </w:rPr>
        <w:t>o</w:t>
      </w:r>
      <w:r w:rsidRPr="00050786">
        <w:rPr>
          <w:rFonts w:ascii="Arial" w:hAnsi="Arial" w:cs="Arial"/>
          <w:i/>
          <w:iCs/>
        </w:rPr>
        <w:t>rgani</w:t>
      </w:r>
      <w:r>
        <w:rPr>
          <w:rFonts w:ascii="Arial" w:hAnsi="Arial" w:cs="Arial"/>
          <w:i/>
          <w:iCs/>
        </w:rPr>
        <w:t>s</w:t>
      </w:r>
      <w:r w:rsidRPr="00050786">
        <w:rPr>
          <w:rFonts w:ascii="Arial" w:hAnsi="Arial" w:cs="Arial"/>
          <w:i/>
          <w:iCs/>
        </w:rPr>
        <w:t>ational analysis</w:t>
      </w:r>
      <w:r w:rsidRPr="00050786">
        <w:rPr>
          <w:rFonts w:ascii="Arial" w:hAnsi="Arial" w:cs="Arial"/>
        </w:rPr>
        <w:t xml:space="preserve"> (2005), 27(2), pp. 337–367. Available at: </w:t>
      </w:r>
      <w:hyperlink r:id="rId15" w:history="1">
        <w:r w:rsidRPr="00945636">
          <w:rPr>
            <w:rStyle w:val="Hyperlink"/>
            <w:rFonts w:ascii="Arial" w:hAnsi="Arial" w:cs="Arial"/>
            <w:color w:val="auto"/>
            <w:u w:val="none"/>
          </w:rPr>
          <w:t>https://doi.org/10.1108/IJOA-02-2018-1363</w:t>
        </w:r>
      </w:hyperlink>
      <w:r w:rsidRPr="00945636">
        <w:rPr>
          <w:rFonts w:ascii="Arial" w:hAnsi="Arial" w:cs="Arial"/>
        </w:rPr>
        <w:t>.</w:t>
      </w:r>
    </w:p>
    <w:p w14:paraId="13F04395"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Cadle, J., Paul, D., &amp; Turner, P. (2014) Business Analysis Techniques: 99 Essential Tools for Success (2nd ed.).  BCS, The Chartered Institute, pp. 84-88. </w:t>
      </w:r>
    </w:p>
    <w:p w14:paraId="035D5EFC"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Cambridge Nutritional Science (no date) </w:t>
      </w:r>
      <w:r w:rsidRPr="00050786">
        <w:rPr>
          <w:rFonts w:ascii="Arial" w:hAnsi="Arial" w:cs="Arial"/>
          <w:i/>
          <w:iCs/>
        </w:rPr>
        <w:t>Strategy</w:t>
      </w:r>
      <w:r w:rsidRPr="00050786">
        <w:rPr>
          <w:rFonts w:ascii="Arial" w:hAnsi="Arial" w:cs="Arial"/>
        </w:rPr>
        <w:t xml:space="preserve">. Available at: </w:t>
      </w:r>
      <w:hyperlink r:id="rId16" w:history="1">
        <w:r w:rsidRPr="00945636">
          <w:rPr>
            <w:rStyle w:val="Hyperlink"/>
            <w:rFonts w:ascii="Arial" w:hAnsi="Arial" w:cs="Arial"/>
            <w:color w:val="auto"/>
            <w:u w:val="none"/>
          </w:rPr>
          <w:t>https://www.cnsplc.com/about-us/strategy</w:t>
        </w:r>
      </w:hyperlink>
      <w:r w:rsidRPr="00050786">
        <w:rPr>
          <w:rFonts w:ascii="Arial" w:hAnsi="Arial" w:cs="Arial"/>
        </w:rPr>
        <w:t>. (Accessed: 24 October 2024).</w:t>
      </w:r>
    </w:p>
    <w:p w14:paraId="30119156" w14:textId="77777777" w:rsidR="005D4901" w:rsidRPr="00050786" w:rsidRDefault="005D4901" w:rsidP="00D80885">
      <w:pPr>
        <w:spacing w:line="276" w:lineRule="auto"/>
        <w:jc w:val="both"/>
        <w:rPr>
          <w:rFonts w:ascii="Arial" w:hAnsi="Arial" w:cs="Arial"/>
        </w:rPr>
      </w:pPr>
      <w:proofErr w:type="spellStart"/>
      <w:r w:rsidRPr="00050786">
        <w:rPr>
          <w:rFonts w:ascii="Arial" w:hAnsi="Arial" w:cs="Arial"/>
        </w:rPr>
        <w:t>CNSLab</w:t>
      </w:r>
      <w:proofErr w:type="spellEnd"/>
      <w:r w:rsidRPr="00050786">
        <w:rPr>
          <w:rFonts w:ascii="Arial" w:hAnsi="Arial" w:cs="Arial"/>
        </w:rPr>
        <w:t xml:space="preserve"> (no date). </w:t>
      </w:r>
      <w:r w:rsidRPr="00050786">
        <w:rPr>
          <w:rFonts w:ascii="Arial" w:hAnsi="Arial" w:cs="Arial"/>
          <w:i/>
          <w:iCs/>
        </w:rPr>
        <w:t xml:space="preserve">About. </w:t>
      </w:r>
      <w:r w:rsidRPr="00050786">
        <w:rPr>
          <w:rFonts w:ascii="Arial" w:hAnsi="Arial" w:cs="Arial"/>
        </w:rPr>
        <w:t xml:space="preserve">Available at: </w:t>
      </w:r>
      <w:hyperlink r:id="rId17" w:history="1">
        <w:r w:rsidRPr="00945636">
          <w:rPr>
            <w:rStyle w:val="Hyperlink"/>
            <w:rFonts w:ascii="Arial" w:hAnsi="Arial" w:cs="Arial"/>
            <w:color w:val="auto"/>
            <w:u w:val="none"/>
          </w:rPr>
          <w:t>https://www.cnslab.co.uk/about</w:t>
        </w:r>
      </w:hyperlink>
      <w:r w:rsidRPr="00050786">
        <w:rPr>
          <w:rFonts w:ascii="Arial" w:hAnsi="Arial" w:cs="Arial"/>
        </w:rPr>
        <w:t>. (Accessed: 24 October 2024).</w:t>
      </w:r>
    </w:p>
    <w:p w14:paraId="2D015507"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Freeman, R. E. (1984) Strategic Management: A Stakeholder Approach. Cambridge University Press. </w:t>
      </w:r>
    </w:p>
    <w:p w14:paraId="2727BDA5"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Jeffs, C. (2008) </w:t>
      </w:r>
      <w:r w:rsidRPr="00050786">
        <w:rPr>
          <w:rFonts w:ascii="Arial" w:hAnsi="Arial" w:cs="Arial"/>
          <w:i/>
          <w:iCs/>
        </w:rPr>
        <w:t>Strategic management</w:t>
      </w:r>
      <w:r w:rsidRPr="00050786">
        <w:rPr>
          <w:rFonts w:ascii="Arial" w:hAnsi="Arial" w:cs="Arial"/>
        </w:rPr>
        <w:t>. Los Angeles; SAGE.</w:t>
      </w:r>
    </w:p>
    <w:p w14:paraId="3AA31D16" w14:textId="77777777" w:rsidR="005D4901" w:rsidRPr="00050786" w:rsidRDefault="005D4901" w:rsidP="00D80885">
      <w:pPr>
        <w:spacing w:line="276" w:lineRule="auto"/>
        <w:rPr>
          <w:rFonts w:ascii="Arial" w:hAnsi="Arial" w:cs="Arial"/>
        </w:rPr>
      </w:pPr>
      <w:r w:rsidRPr="00050786">
        <w:rPr>
          <w:rFonts w:ascii="Arial" w:hAnsi="Arial" w:cs="Arial"/>
        </w:rPr>
        <w:t>Lynch, R.L. (2018) Strategic management. Eighth edition. Harlow, England: Pearson Education Limited.</w:t>
      </w:r>
    </w:p>
    <w:p w14:paraId="1E9FAD09"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Omega Diagnostics (no date) </w:t>
      </w:r>
      <w:r w:rsidRPr="00050786">
        <w:rPr>
          <w:rFonts w:ascii="Arial" w:hAnsi="Arial" w:cs="Arial"/>
          <w:i/>
          <w:iCs/>
        </w:rPr>
        <w:t>About Us</w:t>
      </w:r>
      <w:r w:rsidRPr="00050786">
        <w:rPr>
          <w:rFonts w:ascii="Arial" w:hAnsi="Arial" w:cs="Arial"/>
        </w:rPr>
        <w:t xml:space="preserve">. Available at: </w:t>
      </w:r>
      <w:hyperlink r:id="rId18" w:history="1">
        <w:r w:rsidRPr="00945636">
          <w:rPr>
            <w:rStyle w:val="Hyperlink"/>
            <w:rFonts w:ascii="Arial" w:hAnsi="Arial" w:cs="Arial"/>
            <w:color w:val="auto"/>
            <w:u w:val="none"/>
          </w:rPr>
          <w:t>https://www.omegadx.com/About-Us</w:t>
        </w:r>
      </w:hyperlink>
      <w:r w:rsidRPr="00050786">
        <w:rPr>
          <w:rFonts w:ascii="Arial" w:hAnsi="Arial" w:cs="Arial"/>
        </w:rPr>
        <w:t>. (Accessed: 24 October 2024).</w:t>
      </w:r>
    </w:p>
    <w:p w14:paraId="6EBDF627"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Omega Diagnostics (no date) </w:t>
      </w:r>
      <w:proofErr w:type="spellStart"/>
      <w:r w:rsidRPr="00050786">
        <w:rPr>
          <w:rFonts w:ascii="Arial" w:hAnsi="Arial" w:cs="Arial"/>
          <w:i/>
          <w:iCs/>
        </w:rPr>
        <w:t>FoodPrint</w:t>
      </w:r>
      <w:proofErr w:type="spellEnd"/>
      <w:r w:rsidRPr="00050786">
        <w:rPr>
          <w:rFonts w:ascii="Arial" w:hAnsi="Arial" w:cs="Arial"/>
          <w:i/>
          <w:iCs/>
        </w:rPr>
        <w:t xml:space="preserve">. </w:t>
      </w:r>
      <w:r w:rsidRPr="00050786">
        <w:rPr>
          <w:rFonts w:ascii="Arial" w:hAnsi="Arial" w:cs="Arial"/>
        </w:rPr>
        <w:t xml:space="preserve">Available at: </w:t>
      </w:r>
      <w:hyperlink r:id="rId19" w:history="1">
        <w:r w:rsidRPr="00945636">
          <w:rPr>
            <w:rStyle w:val="Hyperlink"/>
            <w:rFonts w:ascii="Arial" w:hAnsi="Arial" w:cs="Arial"/>
            <w:color w:val="auto"/>
            <w:u w:val="none"/>
          </w:rPr>
          <w:t>https://www.omegadx.com/Products/FoodPrint</w:t>
        </w:r>
      </w:hyperlink>
      <w:r w:rsidRPr="00050786">
        <w:rPr>
          <w:rFonts w:ascii="Arial" w:hAnsi="Arial" w:cs="Arial"/>
        </w:rPr>
        <w:t>. (Accessed: 24 October 2024).</w:t>
      </w:r>
    </w:p>
    <w:p w14:paraId="089925BD" w14:textId="77777777" w:rsidR="005D4901" w:rsidRPr="00FA4D8A" w:rsidRDefault="005D4901" w:rsidP="005D4901">
      <w:pPr>
        <w:spacing w:line="276" w:lineRule="auto"/>
        <w:jc w:val="both"/>
        <w:rPr>
          <w:rFonts w:ascii="Arial" w:hAnsi="Arial" w:cs="Arial"/>
        </w:rPr>
      </w:pPr>
      <w:r w:rsidRPr="005D4901">
        <w:rPr>
          <w:rFonts w:ascii="Arial" w:hAnsi="Arial" w:cs="Arial"/>
        </w:rPr>
        <w:t xml:space="preserve">Osterwalder, A., Pigneur, Y. and Clark, T. (2010) </w:t>
      </w:r>
      <w:r w:rsidRPr="005D4901">
        <w:rPr>
          <w:rFonts w:ascii="Arial" w:hAnsi="Arial" w:cs="Arial"/>
          <w:i/>
          <w:iCs/>
        </w:rPr>
        <w:t>Business model generation: a handbook for visionaries, game changers, and challengers</w:t>
      </w:r>
      <w:r w:rsidRPr="005D4901">
        <w:rPr>
          <w:rFonts w:ascii="Arial" w:hAnsi="Arial" w:cs="Arial"/>
        </w:rPr>
        <w:t>. Hoboken, New Jersey: John Wiley &amp; Sons.</w:t>
      </w:r>
    </w:p>
    <w:p w14:paraId="764988F7"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Porter, M.E. (1996) </w:t>
      </w:r>
      <w:r w:rsidRPr="00050786">
        <w:rPr>
          <w:rFonts w:ascii="Arial" w:hAnsi="Arial" w:cs="Arial"/>
          <w:i/>
          <w:iCs/>
        </w:rPr>
        <w:t>What is strategy?</w:t>
      </w:r>
      <w:r w:rsidRPr="00050786">
        <w:rPr>
          <w:rFonts w:ascii="Arial" w:hAnsi="Arial" w:cs="Arial"/>
        </w:rPr>
        <w:t xml:space="preserve"> Harvard </w:t>
      </w:r>
      <w:r>
        <w:rPr>
          <w:rFonts w:ascii="Arial" w:hAnsi="Arial" w:cs="Arial"/>
        </w:rPr>
        <w:t>Business Review</w:t>
      </w:r>
      <w:r w:rsidRPr="00050786">
        <w:rPr>
          <w:rFonts w:ascii="Arial" w:hAnsi="Arial" w:cs="Arial"/>
        </w:rPr>
        <w:t>. Boston: Harvard Business Review, pp. 61-78.</w:t>
      </w:r>
    </w:p>
    <w:p w14:paraId="7E186C9B" w14:textId="77777777" w:rsidR="005D4901" w:rsidRPr="00050786" w:rsidRDefault="005D4901" w:rsidP="00D80885">
      <w:pPr>
        <w:spacing w:line="276" w:lineRule="auto"/>
        <w:jc w:val="both"/>
        <w:rPr>
          <w:rFonts w:ascii="Arial" w:hAnsi="Arial" w:cs="Arial"/>
        </w:rPr>
      </w:pPr>
      <w:r w:rsidRPr="00050786">
        <w:rPr>
          <w:rFonts w:ascii="Arial" w:hAnsi="Arial" w:cs="Arial"/>
        </w:rPr>
        <w:t xml:space="preserve">Porter, M.E. (2008) </w:t>
      </w:r>
      <w:r w:rsidRPr="00050786">
        <w:rPr>
          <w:rFonts w:ascii="Arial" w:hAnsi="Arial" w:cs="Arial"/>
          <w:i/>
          <w:iCs/>
        </w:rPr>
        <w:t>The five competitive forces that shape strategy, Harvard Business Review</w:t>
      </w:r>
      <w:r w:rsidRPr="00050786">
        <w:rPr>
          <w:rFonts w:ascii="Arial" w:hAnsi="Arial" w:cs="Arial"/>
        </w:rPr>
        <w:t>. United States: Harvard Business Review, pp. 78–137.</w:t>
      </w:r>
    </w:p>
    <w:p w14:paraId="0A0B6056" w14:textId="77777777" w:rsidR="005D4901" w:rsidRDefault="005D4901" w:rsidP="009A4975">
      <w:pPr>
        <w:jc w:val="both"/>
        <w:rPr>
          <w:rFonts w:ascii="Arial" w:hAnsi="Arial" w:cs="Arial"/>
        </w:rPr>
      </w:pPr>
      <w:r w:rsidRPr="009A4975">
        <w:rPr>
          <w:rFonts w:ascii="Arial" w:hAnsi="Arial" w:cs="Arial"/>
        </w:rPr>
        <w:t xml:space="preserve">Quinn, J.B. (1981) ‘Formulating Strategy One Step at a Time’, </w:t>
      </w:r>
      <w:r w:rsidRPr="009A4975">
        <w:rPr>
          <w:rFonts w:ascii="Arial" w:hAnsi="Arial" w:cs="Arial"/>
          <w:i/>
          <w:iCs/>
        </w:rPr>
        <w:t>The Journal of Business Strategy</w:t>
      </w:r>
      <w:r w:rsidRPr="009A4975">
        <w:rPr>
          <w:rFonts w:ascii="Arial" w:hAnsi="Arial" w:cs="Arial"/>
        </w:rPr>
        <w:t>, 1(3), pp. 42-</w:t>
      </w:r>
      <w:r>
        <w:rPr>
          <w:rFonts w:ascii="Arial" w:hAnsi="Arial" w:cs="Arial"/>
        </w:rPr>
        <w:t>63</w:t>
      </w:r>
      <w:r w:rsidRPr="009A4975">
        <w:rPr>
          <w:rFonts w:ascii="Arial" w:hAnsi="Arial" w:cs="Arial"/>
        </w:rPr>
        <w:t>.</w:t>
      </w:r>
    </w:p>
    <w:p w14:paraId="717B779D" w14:textId="77777777" w:rsidR="005D4901" w:rsidRDefault="005D4901" w:rsidP="00945636">
      <w:pPr>
        <w:spacing w:line="276" w:lineRule="auto"/>
        <w:jc w:val="both"/>
        <w:rPr>
          <w:rFonts w:ascii="Arial" w:hAnsi="Arial" w:cs="Arial"/>
        </w:rPr>
      </w:pPr>
      <w:r w:rsidRPr="00050786">
        <w:rPr>
          <w:rFonts w:ascii="Arial" w:hAnsi="Arial" w:cs="Arial"/>
        </w:rPr>
        <w:t xml:space="preserve">White, C. (2004) </w:t>
      </w:r>
      <w:r w:rsidRPr="00050786">
        <w:rPr>
          <w:rFonts w:ascii="Arial" w:hAnsi="Arial" w:cs="Arial"/>
          <w:i/>
          <w:iCs/>
        </w:rPr>
        <w:t>Strategic Management</w:t>
      </w:r>
      <w:r w:rsidRPr="00050786">
        <w:rPr>
          <w:rFonts w:ascii="Arial" w:hAnsi="Arial" w:cs="Arial"/>
        </w:rPr>
        <w:t xml:space="preserve">. 1st ed. 2004. London: Bloomsbury Academic. Available at: </w:t>
      </w:r>
      <w:hyperlink r:id="rId20" w:history="1">
        <w:r w:rsidRPr="00945636">
          <w:rPr>
            <w:rStyle w:val="Hyperlink"/>
            <w:rFonts w:ascii="Arial" w:hAnsi="Arial" w:cs="Arial"/>
            <w:color w:val="auto"/>
            <w:u w:val="none"/>
          </w:rPr>
          <w:t>https://doi.org/10.1007/978-0-230-55477-1</w:t>
        </w:r>
      </w:hyperlink>
      <w:r w:rsidRPr="00050786">
        <w:rPr>
          <w:rFonts w:ascii="Arial" w:hAnsi="Arial" w:cs="Arial"/>
        </w:rPr>
        <w:t>.</w:t>
      </w:r>
    </w:p>
    <w:p w14:paraId="60BD39FF" w14:textId="73457880" w:rsidR="00FA2F77" w:rsidRPr="00945636" w:rsidRDefault="00FA2F77" w:rsidP="00FA4D8A">
      <w:pPr>
        <w:jc w:val="both"/>
        <w:rPr>
          <w:rFonts w:ascii="Arial" w:hAnsi="Arial" w:cs="Arial"/>
        </w:rPr>
        <w:sectPr w:rsidR="00FA2F77" w:rsidRPr="00945636" w:rsidSect="0028610B">
          <w:headerReference w:type="first" r:id="rId21"/>
          <w:pgSz w:w="11906" w:h="16838"/>
          <w:pgMar w:top="1440" w:right="1440" w:bottom="1440" w:left="1440" w:header="708" w:footer="708" w:gutter="0"/>
          <w:pgNumType w:start="1"/>
          <w:cols w:space="708"/>
          <w:docGrid w:linePitch="360"/>
        </w:sectPr>
      </w:pPr>
    </w:p>
    <w:p w14:paraId="30F05DE7" w14:textId="0F7D6761" w:rsidR="003C1E05" w:rsidRDefault="00461CE0" w:rsidP="00461CE0">
      <w:pPr>
        <w:pStyle w:val="Heading1"/>
        <w:rPr>
          <w:rFonts w:ascii="Arial" w:hAnsi="Arial" w:cs="Arial"/>
          <w:b/>
          <w:bCs/>
          <w:color w:val="auto"/>
          <w:sz w:val="22"/>
          <w:szCs w:val="22"/>
        </w:rPr>
      </w:pPr>
      <w:bookmarkStart w:id="13" w:name="_Toc182483539"/>
      <w:r>
        <w:rPr>
          <w:rFonts w:ascii="Arial" w:hAnsi="Arial" w:cs="Arial"/>
          <w:b/>
          <w:bCs/>
          <w:color w:val="auto"/>
          <w:sz w:val="22"/>
          <w:szCs w:val="22"/>
        </w:rPr>
        <w:lastRenderedPageBreak/>
        <w:t>Appendix</w:t>
      </w:r>
      <w:bookmarkEnd w:id="13"/>
    </w:p>
    <w:p w14:paraId="583AB9FB" w14:textId="44634DBC" w:rsidR="00461CE0" w:rsidRPr="00461CE0" w:rsidRDefault="00461CE0" w:rsidP="00461CE0">
      <w:r>
        <w:rPr>
          <w:noProof/>
        </w:rPr>
        <w:t xml:space="preserve"> </w:t>
      </w:r>
      <w:r w:rsidR="00F20BD4">
        <w:rPr>
          <w:noProof/>
        </w:rPr>
        <w:drawing>
          <wp:inline distT="0" distB="0" distL="0" distR="0" wp14:anchorId="30AA0B5A" wp14:editId="3D23336F">
            <wp:extent cx="8389620" cy="5931285"/>
            <wp:effectExtent l="0" t="0" r="0" b="0"/>
            <wp:docPr id="1265848457" name="Picture 5" descr="A blue and white post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848457" name="Picture 5" descr="A blue and white poster with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8396882" cy="5936419"/>
                    </a:xfrm>
                    <a:prstGeom prst="rect">
                      <a:avLst/>
                    </a:prstGeom>
                  </pic:spPr>
                </pic:pic>
              </a:graphicData>
            </a:graphic>
          </wp:inline>
        </w:drawing>
      </w:r>
    </w:p>
    <w:sectPr w:rsidR="00461CE0" w:rsidRPr="00461CE0" w:rsidSect="00F20BD4">
      <w:pgSz w:w="16838" w:h="11906" w:orient="landscape"/>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3BC3EF" w14:textId="77777777" w:rsidR="00C54139" w:rsidRDefault="00C54139" w:rsidP="00B341AE">
      <w:pPr>
        <w:spacing w:after="0" w:line="240" w:lineRule="auto"/>
      </w:pPr>
      <w:r>
        <w:separator/>
      </w:r>
    </w:p>
  </w:endnote>
  <w:endnote w:type="continuationSeparator" w:id="0">
    <w:p w14:paraId="3FC93AF1" w14:textId="77777777" w:rsidR="00C54139" w:rsidRDefault="00C54139" w:rsidP="00B34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4041824"/>
      <w:docPartObj>
        <w:docPartGallery w:val="Page Numbers (Bottom of Page)"/>
        <w:docPartUnique/>
      </w:docPartObj>
    </w:sdtPr>
    <w:sdtEndPr>
      <w:rPr>
        <w:noProof/>
      </w:rPr>
    </w:sdtEndPr>
    <w:sdtContent>
      <w:p w14:paraId="391EE7D2" w14:textId="43D77F33" w:rsidR="0028610B" w:rsidRDefault="002861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17044C" w14:textId="77777777" w:rsidR="0028610B" w:rsidRDefault="002861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7D798A" w14:textId="531D1DD1" w:rsidR="0081159D" w:rsidRDefault="0081159D">
    <w:pPr>
      <w:pStyle w:val="Footer"/>
      <w:jc w:val="center"/>
    </w:pPr>
  </w:p>
  <w:p w14:paraId="3E9A980C" w14:textId="77777777" w:rsidR="00B341AE" w:rsidRDefault="00B341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E8ED60" w14:textId="4D0E4FF9" w:rsidR="007916BA" w:rsidRDefault="007916BA" w:rsidP="0028610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506FAF" w14:textId="77777777" w:rsidR="00C54139" w:rsidRDefault="00C54139" w:rsidP="00B341AE">
      <w:pPr>
        <w:spacing w:after="0" w:line="240" w:lineRule="auto"/>
      </w:pPr>
      <w:r>
        <w:separator/>
      </w:r>
    </w:p>
  </w:footnote>
  <w:footnote w:type="continuationSeparator" w:id="0">
    <w:p w14:paraId="053CF404" w14:textId="77777777" w:rsidR="00C54139" w:rsidRDefault="00C54139" w:rsidP="00B341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602C8" w14:textId="77777777" w:rsidR="00281107" w:rsidRDefault="002811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8A7C72"/>
    <w:multiLevelType w:val="hybridMultilevel"/>
    <w:tmpl w:val="C77A3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9799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7F9"/>
    <w:rsid w:val="00021D76"/>
    <w:rsid w:val="00022AE9"/>
    <w:rsid w:val="00022FF8"/>
    <w:rsid w:val="00025FE5"/>
    <w:rsid w:val="000271E8"/>
    <w:rsid w:val="00050786"/>
    <w:rsid w:val="0007145A"/>
    <w:rsid w:val="00084E85"/>
    <w:rsid w:val="000E5629"/>
    <w:rsid w:val="000F16EF"/>
    <w:rsid w:val="000F5BBC"/>
    <w:rsid w:val="00110A0E"/>
    <w:rsid w:val="00116A0B"/>
    <w:rsid w:val="00154E64"/>
    <w:rsid w:val="001634F8"/>
    <w:rsid w:val="00167546"/>
    <w:rsid w:val="0016795B"/>
    <w:rsid w:val="001D5300"/>
    <w:rsid w:val="001E43D8"/>
    <w:rsid w:val="001E499C"/>
    <w:rsid w:val="001E72D4"/>
    <w:rsid w:val="00203171"/>
    <w:rsid w:val="002322AF"/>
    <w:rsid w:val="002516DC"/>
    <w:rsid w:val="00256BB2"/>
    <w:rsid w:val="002573B7"/>
    <w:rsid w:val="00261DDF"/>
    <w:rsid w:val="00281107"/>
    <w:rsid w:val="00283DBF"/>
    <w:rsid w:val="0028610B"/>
    <w:rsid w:val="002B37A3"/>
    <w:rsid w:val="002C4AB1"/>
    <w:rsid w:val="002D010D"/>
    <w:rsid w:val="002D637B"/>
    <w:rsid w:val="002E5A05"/>
    <w:rsid w:val="002F03F3"/>
    <w:rsid w:val="0030161E"/>
    <w:rsid w:val="00311D26"/>
    <w:rsid w:val="00322DC6"/>
    <w:rsid w:val="00341F84"/>
    <w:rsid w:val="00355E6E"/>
    <w:rsid w:val="0036515B"/>
    <w:rsid w:val="0039492A"/>
    <w:rsid w:val="003B74E4"/>
    <w:rsid w:val="003C1E05"/>
    <w:rsid w:val="003C1FA1"/>
    <w:rsid w:val="003E7678"/>
    <w:rsid w:val="00401795"/>
    <w:rsid w:val="004027F9"/>
    <w:rsid w:val="004117E2"/>
    <w:rsid w:val="00416186"/>
    <w:rsid w:val="004239DA"/>
    <w:rsid w:val="00427740"/>
    <w:rsid w:val="00434487"/>
    <w:rsid w:val="0044570E"/>
    <w:rsid w:val="00461CE0"/>
    <w:rsid w:val="00464D09"/>
    <w:rsid w:val="00471088"/>
    <w:rsid w:val="00473E3F"/>
    <w:rsid w:val="00497C3D"/>
    <w:rsid w:val="004A6BF6"/>
    <w:rsid w:val="004D0F01"/>
    <w:rsid w:val="004D672F"/>
    <w:rsid w:val="004F6E24"/>
    <w:rsid w:val="005112FE"/>
    <w:rsid w:val="00542D88"/>
    <w:rsid w:val="00556545"/>
    <w:rsid w:val="005A50E3"/>
    <w:rsid w:val="005B2582"/>
    <w:rsid w:val="005B66E3"/>
    <w:rsid w:val="005D4901"/>
    <w:rsid w:val="005F20A0"/>
    <w:rsid w:val="00606C72"/>
    <w:rsid w:val="0061172E"/>
    <w:rsid w:val="006142FE"/>
    <w:rsid w:val="00624B4B"/>
    <w:rsid w:val="00661288"/>
    <w:rsid w:val="006D3920"/>
    <w:rsid w:val="007128C8"/>
    <w:rsid w:val="0072141C"/>
    <w:rsid w:val="00721C6F"/>
    <w:rsid w:val="0074316D"/>
    <w:rsid w:val="00752A8E"/>
    <w:rsid w:val="00757155"/>
    <w:rsid w:val="00774F67"/>
    <w:rsid w:val="007916BA"/>
    <w:rsid w:val="007D60BB"/>
    <w:rsid w:val="007D6748"/>
    <w:rsid w:val="007F3BAC"/>
    <w:rsid w:val="007F5DF8"/>
    <w:rsid w:val="0080535F"/>
    <w:rsid w:val="00805C63"/>
    <w:rsid w:val="0081159D"/>
    <w:rsid w:val="0084598E"/>
    <w:rsid w:val="00846BD3"/>
    <w:rsid w:val="00885DFA"/>
    <w:rsid w:val="008E0363"/>
    <w:rsid w:val="008E504F"/>
    <w:rsid w:val="008F4E29"/>
    <w:rsid w:val="00925D81"/>
    <w:rsid w:val="00934023"/>
    <w:rsid w:val="00945636"/>
    <w:rsid w:val="00963924"/>
    <w:rsid w:val="0097095A"/>
    <w:rsid w:val="009A1368"/>
    <w:rsid w:val="009A19F4"/>
    <w:rsid w:val="009A4975"/>
    <w:rsid w:val="009B01AF"/>
    <w:rsid w:val="009B4ADF"/>
    <w:rsid w:val="009E0A24"/>
    <w:rsid w:val="009E5C0C"/>
    <w:rsid w:val="00A257E1"/>
    <w:rsid w:val="00A359C5"/>
    <w:rsid w:val="00A523B3"/>
    <w:rsid w:val="00A757E1"/>
    <w:rsid w:val="00A869FB"/>
    <w:rsid w:val="00A9640C"/>
    <w:rsid w:val="00AC4B23"/>
    <w:rsid w:val="00AD5269"/>
    <w:rsid w:val="00AD61C5"/>
    <w:rsid w:val="00AF6FBC"/>
    <w:rsid w:val="00B023A6"/>
    <w:rsid w:val="00B17C78"/>
    <w:rsid w:val="00B24B28"/>
    <w:rsid w:val="00B341AE"/>
    <w:rsid w:val="00B3498F"/>
    <w:rsid w:val="00B42390"/>
    <w:rsid w:val="00B61A92"/>
    <w:rsid w:val="00B62CAC"/>
    <w:rsid w:val="00B64900"/>
    <w:rsid w:val="00B70C8A"/>
    <w:rsid w:val="00B767A7"/>
    <w:rsid w:val="00BA4E46"/>
    <w:rsid w:val="00BA5E43"/>
    <w:rsid w:val="00BF07B2"/>
    <w:rsid w:val="00C43DDE"/>
    <w:rsid w:val="00C43E21"/>
    <w:rsid w:val="00C54139"/>
    <w:rsid w:val="00CA202A"/>
    <w:rsid w:val="00CB5F71"/>
    <w:rsid w:val="00D05367"/>
    <w:rsid w:val="00D1291B"/>
    <w:rsid w:val="00D201BD"/>
    <w:rsid w:val="00D24EB7"/>
    <w:rsid w:val="00D259EB"/>
    <w:rsid w:val="00D3023B"/>
    <w:rsid w:val="00D41B5B"/>
    <w:rsid w:val="00D647BF"/>
    <w:rsid w:val="00D7652E"/>
    <w:rsid w:val="00D80885"/>
    <w:rsid w:val="00D81279"/>
    <w:rsid w:val="00D81405"/>
    <w:rsid w:val="00DB04A5"/>
    <w:rsid w:val="00DB652E"/>
    <w:rsid w:val="00DB6A67"/>
    <w:rsid w:val="00DF5ABF"/>
    <w:rsid w:val="00E05961"/>
    <w:rsid w:val="00E113B7"/>
    <w:rsid w:val="00E126E7"/>
    <w:rsid w:val="00E15029"/>
    <w:rsid w:val="00E52AD8"/>
    <w:rsid w:val="00E60853"/>
    <w:rsid w:val="00E624F5"/>
    <w:rsid w:val="00E65C1E"/>
    <w:rsid w:val="00E8097F"/>
    <w:rsid w:val="00E87E3E"/>
    <w:rsid w:val="00E9384E"/>
    <w:rsid w:val="00E979C6"/>
    <w:rsid w:val="00F05D01"/>
    <w:rsid w:val="00F07EFB"/>
    <w:rsid w:val="00F20BD4"/>
    <w:rsid w:val="00F263EC"/>
    <w:rsid w:val="00F331D3"/>
    <w:rsid w:val="00F41570"/>
    <w:rsid w:val="00F4428E"/>
    <w:rsid w:val="00F75F6B"/>
    <w:rsid w:val="00F8058D"/>
    <w:rsid w:val="00F81EF4"/>
    <w:rsid w:val="00FA2F77"/>
    <w:rsid w:val="00FA4D8A"/>
    <w:rsid w:val="00FD316D"/>
    <w:rsid w:val="00FF262A"/>
    <w:rsid w:val="00FF2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2425B8"/>
  <w15:chartTrackingRefBased/>
  <w15:docId w15:val="{6E16EF86-AA1F-4BDD-9324-106B2C306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0A0"/>
  </w:style>
  <w:style w:type="paragraph" w:styleId="Heading1">
    <w:name w:val="heading 1"/>
    <w:basedOn w:val="Normal"/>
    <w:next w:val="Normal"/>
    <w:link w:val="Heading1Char"/>
    <w:uiPriority w:val="9"/>
    <w:qFormat/>
    <w:rsid w:val="004027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27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27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27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27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27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7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7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7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7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27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27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27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27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27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7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7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7F9"/>
    <w:rPr>
      <w:rFonts w:eastAsiaTheme="majorEastAsia" w:cstheme="majorBidi"/>
      <w:color w:val="272727" w:themeColor="text1" w:themeTint="D8"/>
    </w:rPr>
  </w:style>
  <w:style w:type="paragraph" w:styleId="Title">
    <w:name w:val="Title"/>
    <w:basedOn w:val="Normal"/>
    <w:next w:val="Normal"/>
    <w:link w:val="TitleChar"/>
    <w:uiPriority w:val="10"/>
    <w:qFormat/>
    <w:rsid w:val="004027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7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7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7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7F9"/>
    <w:pPr>
      <w:spacing w:before="160"/>
      <w:jc w:val="center"/>
    </w:pPr>
    <w:rPr>
      <w:i/>
      <w:iCs/>
      <w:color w:val="404040" w:themeColor="text1" w:themeTint="BF"/>
    </w:rPr>
  </w:style>
  <w:style w:type="character" w:customStyle="1" w:styleId="QuoteChar">
    <w:name w:val="Quote Char"/>
    <w:basedOn w:val="DefaultParagraphFont"/>
    <w:link w:val="Quote"/>
    <w:uiPriority w:val="29"/>
    <w:rsid w:val="004027F9"/>
    <w:rPr>
      <w:i/>
      <w:iCs/>
      <w:color w:val="404040" w:themeColor="text1" w:themeTint="BF"/>
    </w:rPr>
  </w:style>
  <w:style w:type="paragraph" w:styleId="ListParagraph">
    <w:name w:val="List Paragraph"/>
    <w:basedOn w:val="Normal"/>
    <w:uiPriority w:val="34"/>
    <w:qFormat/>
    <w:rsid w:val="004027F9"/>
    <w:pPr>
      <w:ind w:left="720"/>
      <w:contextualSpacing/>
    </w:pPr>
  </w:style>
  <w:style w:type="character" w:styleId="IntenseEmphasis">
    <w:name w:val="Intense Emphasis"/>
    <w:basedOn w:val="DefaultParagraphFont"/>
    <w:uiPriority w:val="21"/>
    <w:qFormat/>
    <w:rsid w:val="004027F9"/>
    <w:rPr>
      <w:i/>
      <w:iCs/>
      <w:color w:val="0F4761" w:themeColor="accent1" w:themeShade="BF"/>
    </w:rPr>
  </w:style>
  <w:style w:type="paragraph" w:styleId="IntenseQuote">
    <w:name w:val="Intense Quote"/>
    <w:basedOn w:val="Normal"/>
    <w:next w:val="Normal"/>
    <w:link w:val="IntenseQuoteChar"/>
    <w:uiPriority w:val="30"/>
    <w:qFormat/>
    <w:rsid w:val="004027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27F9"/>
    <w:rPr>
      <w:i/>
      <w:iCs/>
      <w:color w:val="0F4761" w:themeColor="accent1" w:themeShade="BF"/>
    </w:rPr>
  </w:style>
  <w:style w:type="character" w:styleId="IntenseReference">
    <w:name w:val="Intense Reference"/>
    <w:basedOn w:val="DefaultParagraphFont"/>
    <w:uiPriority w:val="32"/>
    <w:qFormat/>
    <w:rsid w:val="004027F9"/>
    <w:rPr>
      <w:b/>
      <w:bCs/>
      <w:smallCaps/>
      <w:color w:val="0F4761" w:themeColor="accent1" w:themeShade="BF"/>
      <w:spacing w:val="5"/>
    </w:rPr>
  </w:style>
  <w:style w:type="character" w:styleId="Hyperlink">
    <w:name w:val="Hyperlink"/>
    <w:basedOn w:val="DefaultParagraphFont"/>
    <w:uiPriority w:val="99"/>
    <w:unhideWhenUsed/>
    <w:rsid w:val="00F4428E"/>
    <w:rPr>
      <w:color w:val="467886" w:themeColor="hyperlink"/>
      <w:u w:val="single"/>
    </w:rPr>
  </w:style>
  <w:style w:type="character" w:styleId="UnresolvedMention">
    <w:name w:val="Unresolved Mention"/>
    <w:basedOn w:val="DefaultParagraphFont"/>
    <w:uiPriority w:val="99"/>
    <w:semiHidden/>
    <w:unhideWhenUsed/>
    <w:rsid w:val="00F4428E"/>
    <w:rPr>
      <w:color w:val="605E5C"/>
      <w:shd w:val="clear" w:color="auto" w:fill="E1DFDD"/>
    </w:rPr>
  </w:style>
  <w:style w:type="paragraph" w:styleId="NormalWeb">
    <w:name w:val="Normal (Web)"/>
    <w:basedOn w:val="Normal"/>
    <w:uiPriority w:val="99"/>
    <w:semiHidden/>
    <w:unhideWhenUsed/>
    <w:rsid w:val="008E0363"/>
    <w:rPr>
      <w:rFonts w:ascii="Times New Roman" w:hAnsi="Times New Roman" w:cs="Times New Roman"/>
      <w:sz w:val="24"/>
      <w:szCs w:val="24"/>
    </w:rPr>
  </w:style>
  <w:style w:type="paragraph" w:styleId="NoSpacing">
    <w:name w:val="No Spacing"/>
    <w:link w:val="NoSpacingChar"/>
    <w:uiPriority w:val="1"/>
    <w:qFormat/>
    <w:rsid w:val="001634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634F8"/>
    <w:rPr>
      <w:rFonts w:eastAsiaTheme="minorEastAsia"/>
      <w:kern w:val="0"/>
      <w:lang w:val="en-US"/>
      <w14:ligatures w14:val="none"/>
    </w:rPr>
  </w:style>
  <w:style w:type="paragraph" w:styleId="Header">
    <w:name w:val="header"/>
    <w:basedOn w:val="Normal"/>
    <w:link w:val="HeaderChar"/>
    <w:uiPriority w:val="99"/>
    <w:unhideWhenUsed/>
    <w:rsid w:val="00B34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1AE"/>
  </w:style>
  <w:style w:type="paragraph" w:styleId="Footer">
    <w:name w:val="footer"/>
    <w:basedOn w:val="Normal"/>
    <w:link w:val="FooterChar"/>
    <w:uiPriority w:val="99"/>
    <w:unhideWhenUsed/>
    <w:rsid w:val="00B34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1AE"/>
  </w:style>
  <w:style w:type="paragraph" w:styleId="TOCHeading">
    <w:name w:val="TOC Heading"/>
    <w:basedOn w:val="Heading1"/>
    <w:next w:val="Normal"/>
    <w:uiPriority w:val="39"/>
    <w:unhideWhenUsed/>
    <w:qFormat/>
    <w:rsid w:val="00A523B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11D26"/>
    <w:pPr>
      <w:spacing w:after="100"/>
    </w:pPr>
  </w:style>
  <w:style w:type="paragraph" w:styleId="TOC2">
    <w:name w:val="toc 2"/>
    <w:basedOn w:val="Normal"/>
    <w:next w:val="Normal"/>
    <w:autoRedefine/>
    <w:uiPriority w:val="39"/>
    <w:unhideWhenUsed/>
    <w:rsid w:val="0028610B"/>
    <w:pPr>
      <w:spacing w:after="100"/>
      <w:ind w:left="220"/>
    </w:pPr>
  </w:style>
  <w:style w:type="character" w:styleId="FollowedHyperlink">
    <w:name w:val="FollowedHyperlink"/>
    <w:basedOn w:val="DefaultParagraphFont"/>
    <w:uiPriority w:val="99"/>
    <w:semiHidden/>
    <w:unhideWhenUsed/>
    <w:rsid w:val="00355E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3186290">
      <w:bodyDiv w:val="1"/>
      <w:marLeft w:val="0"/>
      <w:marRight w:val="0"/>
      <w:marTop w:val="0"/>
      <w:marBottom w:val="0"/>
      <w:divBdr>
        <w:top w:val="none" w:sz="0" w:space="0" w:color="auto"/>
        <w:left w:val="none" w:sz="0" w:space="0" w:color="auto"/>
        <w:bottom w:val="none" w:sz="0" w:space="0" w:color="auto"/>
        <w:right w:val="none" w:sz="0" w:space="0" w:color="auto"/>
      </w:divBdr>
    </w:div>
    <w:div w:id="424307131">
      <w:bodyDiv w:val="1"/>
      <w:marLeft w:val="0"/>
      <w:marRight w:val="0"/>
      <w:marTop w:val="0"/>
      <w:marBottom w:val="0"/>
      <w:divBdr>
        <w:top w:val="none" w:sz="0" w:space="0" w:color="auto"/>
        <w:left w:val="none" w:sz="0" w:space="0" w:color="auto"/>
        <w:bottom w:val="none" w:sz="0" w:space="0" w:color="auto"/>
        <w:right w:val="none" w:sz="0" w:space="0" w:color="auto"/>
      </w:divBdr>
    </w:div>
    <w:div w:id="989207935">
      <w:bodyDiv w:val="1"/>
      <w:marLeft w:val="0"/>
      <w:marRight w:val="0"/>
      <w:marTop w:val="0"/>
      <w:marBottom w:val="0"/>
      <w:divBdr>
        <w:top w:val="none" w:sz="0" w:space="0" w:color="auto"/>
        <w:left w:val="none" w:sz="0" w:space="0" w:color="auto"/>
        <w:bottom w:val="none" w:sz="0" w:space="0" w:color="auto"/>
        <w:right w:val="none" w:sz="0" w:space="0" w:color="auto"/>
      </w:divBdr>
    </w:div>
    <w:div w:id="1016927692">
      <w:bodyDiv w:val="1"/>
      <w:marLeft w:val="0"/>
      <w:marRight w:val="0"/>
      <w:marTop w:val="0"/>
      <w:marBottom w:val="0"/>
      <w:divBdr>
        <w:top w:val="none" w:sz="0" w:space="0" w:color="auto"/>
        <w:left w:val="none" w:sz="0" w:space="0" w:color="auto"/>
        <w:bottom w:val="none" w:sz="0" w:space="0" w:color="auto"/>
        <w:right w:val="none" w:sz="0" w:space="0" w:color="auto"/>
      </w:divBdr>
      <w:divsChild>
        <w:div w:id="982807011">
          <w:marLeft w:val="0"/>
          <w:marRight w:val="0"/>
          <w:marTop w:val="0"/>
          <w:marBottom w:val="0"/>
          <w:divBdr>
            <w:top w:val="none" w:sz="0" w:space="0" w:color="auto"/>
            <w:left w:val="none" w:sz="0" w:space="0" w:color="auto"/>
            <w:bottom w:val="none" w:sz="0" w:space="0" w:color="auto"/>
            <w:right w:val="none" w:sz="0" w:space="0" w:color="auto"/>
          </w:divBdr>
          <w:divsChild>
            <w:div w:id="195186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386703">
      <w:bodyDiv w:val="1"/>
      <w:marLeft w:val="0"/>
      <w:marRight w:val="0"/>
      <w:marTop w:val="0"/>
      <w:marBottom w:val="0"/>
      <w:divBdr>
        <w:top w:val="none" w:sz="0" w:space="0" w:color="auto"/>
        <w:left w:val="none" w:sz="0" w:space="0" w:color="auto"/>
        <w:bottom w:val="none" w:sz="0" w:space="0" w:color="auto"/>
        <w:right w:val="none" w:sz="0" w:space="0" w:color="auto"/>
      </w:divBdr>
    </w:div>
    <w:div w:id="1140923901">
      <w:bodyDiv w:val="1"/>
      <w:marLeft w:val="0"/>
      <w:marRight w:val="0"/>
      <w:marTop w:val="0"/>
      <w:marBottom w:val="0"/>
      <w:divBdr>
        <w:top w:val="none" w:sz="0" w:space="0" w:color="auto"/>
        <w:left w:val="none" w:sz="0" w:space="0" w:color="auto"/>
        <w:bottom w:val="none" w:sz="0" w:space="0" w:color="auto"/>
        <w:right w:val="none" w:sz="0" w:space="0" w:color="auto"/>
      </w:divBdr>
    </w:div>
    <w:div w:id="1284843787">
      <w:bodyDiv w:val="1"/>
      <w:marLeft w:val="0"/>
      <w:marRight w:val="0"/>
      <w:marTop w:val="0"/>
      <w:marBottom w:val="0"/>
      <w:divBdr>
        <w:top w:val="none" w:sz="0" w:space="0" w:color="auto"/>
        <w:left w:val="none" w:sz="0" w:space="0" w:color="auto"/>
        <w:bottom w:val="none" w:sz="0" w:space="0" w:color="auto"/>
        <w:right w:val="none" w:sz="0" w:space="0" w:color="auto"/>
      </w:divBdr>
      <w:divsChild>
        <w:div w:id="1365709397">
          <w:marLeft w:val="0"/>
          <w:marRight w:val="0"/>
          <w:marTop w:val="0"/>
          <w:marBottom w:val="0"/>
          <w:divBdr>
            <w:top w:val="none" w:sz="0" w:space="0" w:color="auto"/>
            <w:left w:val="none" w:sz="0" w:space="0" w:color="auto"/>
            <w:bottom w:val="none" w:sz="0" w:space="0" w:color="auto"/>
            <w:right w:val="none" w:sz="0" w:space="0" w:color="auto"/>
          </w:divBdr>
          <w:divsChild>
            <w:div w:id="182793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929125">
      <w:bodyDiv w:val="1"/>
      <w:marLeft w:val="0"/>
      <w:marRight w:val="0"/>
      <w:marTop w:val="0"/>
      <w:marBottom w:val="0"/>
      <w:divBdr>
        <w:top w:val="none" w:sz="0" w:space="0" w:color="auto"/>
        <w:left w:val="none" w:sz="0" w:space="0" w:color="auto"/>
        <w:bottom w:val="none" w:sz="0" w:space="0" w:color="auto"/>
        <w:right w:val="none" w:sz="0" w:space="0" w:color="auto"/>
      </w:divBdr>
    </w:div>
    <w:div w:id="1485780813">
      <w:bodyDiv w:val="1"/>
      <w:marLeft w:val="0"/>
      <w:marRight w:val="0"/>
      <w:marTop w:val="0"/>
      <w:marBottom w:val="0"/>
      <w:divBdr>
        <w:top w:val="none" w:sz="0" w:space="0" w:color="auto"/>
        <w:left w:val="none" w:sz="0" w:space="0" w:color="auto"/>
        <w:bottom w:val="none" w:sz="0" w:space="0" w:color="auto"/>
        <w:right w:val="none" w:sz="0" w:space="0" w:color="auto"/>
      </w:divBdr>
    </w:div>
    <w:div w:id="1491483891">
      <w:bodyDiv w:val="1"/>
      <w:marLeft w:val="0"/>
      <w:marRight w:val="0"/>
      <w:marTop w:val="0"/>
      <w:marBottom w:val="0"/>
      <w:divBdr>
        <w:top w:val="none" w:sz="0" w:space="0" w:color="auto"/>
        <w:left w:val="none" w:sz="0" w:space="0" w:color="auto"/>
        <w:bottom w:val="none" w:sz="0" w:space="0" w:color="auto"/>
        <w:right w:val="none" w:sz="0" w:space="0" w:color="auto"/>
      </w:divBdr>
      <w:divsChild>
        <w:div w:id="1804036175">
          <w:marLeft w:val="0"/>
          <w:marRight w:val="0"/>
          <w:marTop w:val="0"/>
          <w:marBottom w:val="0"/>
          <w:divBdr>
            <w:top w:val="none" w:sz="0" w:space="0" w:color="auto"/>
            <w:left w:val="none" w:sz="0" w:space="0" w:color="auto"/>
            <w:bottom w:val="none" w:sz="0" w:space="0" w:color="auto"/>
            <w:right w:val="none" w:sz="0" w:space="0" w:color="auto"/>
          </w:divBdr>
          <w:divsChild>
            <w:div w:id="206767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798144">
      <w:bodyDiv w:val="1"/>
      <w:marLeft w:val="0"/>
      <w:marRight w:val="0"/>
      <w:marTop w:val="0"/>
      <w:marBottom w:val="0"/>
      <w:divBdr>
        <w:top w:val="none" w:sz="0" w:space="0" w:color="auto"/>
        <w:left w:val="none" w:sz="0" w:space="0" w:color="auto"/>
        <w:bottom w:val="none" w:sz="0" w:space="0" w:color="auto"/>
        <w:right w:val="none" w:sz="0" w:space="0" w:color="auto"/>
      </w:divBdr>
    </w:div>
    <w:div w:id="1519663688">
      <w:bodyDiv w:val="1"/>
      <w:marLeft w:val="0"/>
      <w:marRight w:val="0"/>
      <w:marTop w:val="0"/>
      <w:marBottom w:val="0"/>
      <w:divBdr>
        <w:top w:val="none" w:sz="0" w:space="0" w:color="auto"/>
        <w:left w:val="none" w:sz="0" w:space="0" w:color="auto"/>
        <w:bottom w:val="none" w:sz="0" w:space="0" w:color="auto"/>
        <w:right w:val="none" w:sz="0" w:space="0" w:color="auto"/>
      </w:divBdr>
    </w:div>
    <w:div w:id="1523320738">
      <w:bodyDiv w:val="1"/>
      <w:marLeft w:val="0"/>
      <w:marRight w:val="0"/>
      <w:marTop w:val="0"/>
      <w:marBottom w:val="0"/>
      <w:divBdr>
        <w:top w:val="none" w:sz="0" w:space="0" w:color="auto"/>
        <w:left w:val="none" w:sz="0" w:space="0" w:color="auto"/>
        <w:bottom w:val="none" w:sz="0" w:space="0" w:color="auto"/>
        <w:right w:val="none" w:sz="0" w:space="0" w:color="auto"/>
      </w:divBdr>
    </w:div>
    <w:div w:id="1561476410">
      <w:bodyDiv w:val="1"/>
      <w:marLeft w:val="0"/>
      <w:marRight w:val="0"/>
      <w:marTop w:val="0"/>
      <w:marBottom w:val="0"/>
      <w:divBdr>
        <w:top w:val="none" w:sz="0" w:space="0" w:color="auto"/>
        <w:left w:val="none" w:sz="0" w:space="0" w:color="auto"/>
        <w:bottom w:val="none" w:sz="0" w:space="0" w:color="auto"/>
        <w:right w:val="none" w:sz="0" w:space="0" w:color="auto"/>
      </w:divBdr>
    </w:div>
    <w:div w:id="1712224432">
      <w:bodyDiv w:val="1"/>
      <w:marLeft w:val="0"/>
      <w:marRight w:val="0"/>
      <w:marTop w:val="0"/>
      <w:marBottom w:val="0"/>
      <w:divBdr>
        <w:top w:val="none" w:sz="0" w:space="0" w:color="auto"/>
        <w:left w:val="none" w:sz="0" w:space="0" w:color="auto"/>
        <w:bottom w:val="none" w:sz="0" w:space="0" w:color="auto"/>
        <w:right w:val="none" w:sz="0" w:space="0" w:color="auto"/>
      </w:divBdr>
    </w:div>
    <w:div w:id="1815293380">
      <w:bodyDiv w:val="1"/>
      <w:marLeft w:val="0"/>
      <w:marRight w:val="0"/>
      <w:marTop w:val="0"/>
      <w:marBottom w:val="0"/>
      <w:divBdr>
        <w:top w:val="none" w:sz="0" w:space="0" w:color="auto"/>
        <w:left w:val="none" w:sz="0" w:space="0" w:color="auto"/>
        <w:bottom w:val="none" w:sz="0" w:space="0" w:color="auto"/>
        <w:right w:val="none" w:sz="0" w:space="0" w:color="auto"/>
      </w:divBdr>
    </w:div>
    <w:div w:id="1852261274">
      <w:bodyDiv w:val="1"/>
      <w:marLeft w:val="0"/>
      <w:marRight w:val="0"/>
      <w:marTop w:val="0"/>
      <w:marBottom w:val="0"/>
      <w:divBdr>
        <w:top w:val="none" w:sz="0" w:space="0" w:color="auto"/>
        <w:left w:val="none" w:sz="0" w:space="0" w:color="auto"/>
        <w:bottom w:val="none" w:sz="0" w:space="0" w:color="auto"/>
        <w:right w:val="none" w:sz="0" w:space="0" w:color="auto"/>
      </w:divBdr>
    </w:div>
    <w:div w:id="1861360282">
      <w:bodyDiv w:val="1"/>
      <w:marLeft w:val="0"/>
      <w:marRight w:val="0"/>
      <w:marTop w:val="0"/>
      <w:marBottom w:val="0"/>
      <w:divBdr>
        <w:top w:val="none" w:sz="0" w:space="0" w:color="auto"/>
        <w:left w:val="none" w:sz="0" w:space="0" w:color="auto"/>
        <w:bottom w:val="none" w:sz="0" w:space="0" w:color="auto"/>
        <w:right w:val="none" w:sz="0" w:space="0" w:color="auto"/>
      </w:divBdr>
    </w:div>
    <w:div w:id="1913151627">
      <w:bodyDiv w:val="1"/>
      <w:marLeft w:val="0"/>
      <w:marRight w:val="0"/>
      <w:marTop w:val="0"/>
      <w:marBottom w:val="0"/>
      <w:divBdr>
        <w:top w:val="none" w:sz="0" w:space="0" w:color="auto"/>
        <w:left w:val="none" w:sz="0" w:space="0" w:color="auto"/>
        <w:bottom w:val="none" w:sz="0" w:space="0" w:color="auto"/>
        <w:right w:val="none" w:sz="0" w:space="0" w:color="auto"/>
      </w:divBdr>
    </w:div>
    <w:div w:id="1952659591">
      <w:bodyDiv w:val="1"/>
      <w:marLeft w:val="0"/>
      <w:marRight w:val="0"/>
      <w:marTop w:val="0"/>
      <w:marBottom w:val="0"/>
      <w:divBdr>
        <w:top w:val="none" w:sz="0" w:space="0" w:color="auto"/>
        <w:left w:val="none" w:sz="0" w:space="0" w:color="auto"/>
        <w:bottom w:val="none" w:sz="0" w:space="0" w:color="auto"/>
        <w:right w:val="none" w:sz="0" w:space="0" w:color="auto"/>
      </w:divBdr>
    </w:div>
    <w:div w:id="2018580643">
      <w:bodyDiv w:val="1"/>
      <w:marLeft w:val="0"/>
      <w:marRight w:val="0"/>
      <w:marTop w:val="0"/>
      <w:marBottom w:val="0"/>
      <w:divBdr>
        <w:top w:val="none" w:sz="0" w:space="0" w:color="auto"/>
        <w:left w:val="none" w:sz="0" w:space="0" w:color="auto"/>
        <w:bottom w:val="none" w:sz="0" w:space="0" w:color="auto"/>
        <w:right w:val="none" w:sz="0" w:space="0" w:color="auto"/>
      </w:divBdr>
    </w:div>
    <w:div w:id="2065564241">
      <w:bodyDiv w:val="1"/>
      <w:marLeft w:val="0"/>
      <w:marRight w:val="0"/>
      <w:marTop w:val="0"/>
      <w:marBottom w:val="0"/>
      <w:divBdr>
        <w:top w:val="none" w:sz="0" w:space="0" w:color="auto"/>
        <w:left w:val="none" w:sz="0" w:space="0" w:color="auto"/>
        <w:bottom w:val="none" w:sz="0" w:space="0" w:color="auto"/>
        <w:right w:val="none" w:sz="0" w:space="0" w:color="auto"/>
      </w:divBdr>
    </w:div>
    <w:div w:id="2088721179">
      <w:bodyDiv w:val="1"/>
      <w:marLeft w:val="0"/>
      <w:marRight w:val="0"/>
      <w:marTop w:val="0"/>
      <w:marBottom w:val="0"/>
      <w:divBdr>
        <w:top w:val="none" w:sz="0" w:space="0" w:color="auto"/>
        <w:left w:val="none" w:sz="0" w:space="0" w:color="auto"/>
        <w:bottom w:val="none" w:sz="0" w:space="0" w:color="auto"/>
        <w:right w:val="none" w:sz="0" w:space="0" w:color="auto"/>
      </w:divBdr>
      <w:divsChild>
        <w:div w:id="1160342402">
          <w:marLeft w:val="0"/>
          <w:marRight w:val="0"/>
          <w:marTop w:val="0"/>
          <w:marBottom w:val="0"/>
          <w:divBdr>
            <w:top w:val="none" w:sz="0" w:space="0" w:color="auto"/>
            <w:left w:val="none" w:sz="0" w:space="0" w:color="auto"/>
            <w:bottom w:val="none" w:sz="0" w:space="0" w:color="auto"/>
            <w:right w:val="none" w:sz="0" w:space="0" w:color="auto"/>
          </w:divBdr>
          <w:divsChild>
            <w:div w:id="664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eg"/><Relationship Id="rId18" Type="http://schemas.openxmlformats.org/officeDocument/2006/relationships/hyperlink" Target="https://www.omegadx.com/About-U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www.cnslab.co.uk/about" TargetMode="External"/><Relationship Id="rId2" Type="http://schemas.openxmlformats.org/officeDocument/2006/relationships/numbering" Target="numbering.xml"/><Relationship Id="rId16" Type="http://schemas.openxmlformats.org/officeDocument/2006/relationships/hyperlink" Target="https://www.cnsplc.com/about-us/strategy" TargetMode="External"/><Relationship Id="rId20" Type="http://schemas.openxmlformats.org/officeDocument/2006/relationships/hyperlink" Target="https://doi.org/10.1007/978-0-230-5547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08/IJOA-02-2018-1363"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omegadx.com/Products/FoodPri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57/9780230590601"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Lecturer: Dr. Abdallah Naser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2234</TotalTime>
  <Pages>15</Pages>
  <Words>3980</Words>
  <Characters>26154</Characters>
  <Application>Microsoft Office Word</Application>
  <DocSecurity>0</DocSecurity>
  <Lines>428</Lines>
  <Paragraphs>156</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
  <LinksUpToDate>false</LinksUpToDate>
  <CharactersWithSpaces>29978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BA Leadership and Management Skills for the Workplace BMSW 6104</dc:subject>
  <dc:creator>Student: Livia Monica Dragan (2130234)</dc:creator>
  <cp:keywords/>
  <dc:description/>
  <cp:lastModifiedBy>Livia Dragan (2130234)</cp:lastModifiedBy>
  <cp:revision>65</cp:revision>
  <dcterms:created xsi:type="dcterms:W3CDTF">2024-10-23T10:55:00Z</dcterms:created>
  <dcterms:modified xsi:type="dcterms:W3CDTF">2024-11-14T13:32:00Z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e5f243797b00021fd051ff55c559cd0563fcf33c2a2d9fd541b385c794805aec</vt:lpwstr>
  </property>
</Properties>
</file>