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To what extent do ‘revenant burials’ indicate a fear of the dead returning?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Humanity throughout time has frequently created rumours and myths surrounding death, and explanations of what happens, where souls go, and with this, and the uncertainty that surrounds it, there comes a fear that is wholly associated with what if the dead are not as dead as previously believed. A lack of understanding, of clarification, has lead to superstitions surrounding death, superstitions that were still present significantly recently.</w:t>
      </w:r>
      <w:r w:rsidDel="00000000" w:rsidR="00000000" w:rsidRPr="00000000">
        <w:rPr>
          <w:vertAlign w:val="superscript"/>
        </w:rPr>
        <w:footnoteReference w:customMarkFollows="0" w:id="0"/>
      </w:r>
      <w:r w:rsidDel="00000000" w:rsidR="00000000" w:rsidRPr="00000000">
        <w:rPr>
          <w:rtl w:val="0"/>
        </w:rPr>
        <w:t xml:space="preserve"> Fear of the dead, of death, is near enough ubiquitous, something which remains today and is explained partially by religion, but these superstitions and their links to folklore are still present in many cultures. Instead of folklore and superstitions, within this period there is a representation of death as a descent to the Underworld.</w:t>
      </w:r>
      <w:r w:rsidDel="00000000" w:rsidR="00000000" w:rsidRPr="00000000">
        <w:rPr>
          <w:vertAlign w:val="superscript"/>
        </w:rPr>
        <w:footnoteReference w:customMarkFollows="0" w:id="1"/>
      </w:r>
      <w:r w:rsidDel="00000000" w:rsidR="00000000" w:rsidRPr="00000000">
        <w:rPr>
          <w:rtl w:val="0"/>
        </w:rPr>
        <w:t xml:space="preserve"> The Underworld as represented within myth is one which very few mortal beings are given free passage within, and this is proof within itself of there being very clearly delineated spaces for the living and the dead (it is worth noting here that Euripides does often use presentations of ghosts to illustrate unfinished business, such as within the opening passage of Hecuba).</w:t>
      </w:r>
      <w:r w:rsidDel="00000000" w:rsidR="00000000" w:rsidRPr="00000000">
        <w:rPr>
          <w:vertAlign w:val="superscript"/>
        </w:rPr>
        <w:footnoteReference w:customMarkFollows="0" w:id="2"/>
      </w:r>
      <w:r w:rsidDel="00000000" w:rsidR="00000000" w:rsidRPr="00000000">
        <w:rPr>
          <w:rtl w:val="0"/>
        </w:rPr>
        <w:t xml:space="preserve"> Presentations of those who have ghostly reasons to reemerge are rife within Greco-Roman literature, but not always from a vengeful, terrifying perspective. Ghosts often want to finish things off, but these things are not always their seeking to harm the living.</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Sulosky Weaver presents a series of deviant burials, which shows that those who have been buried have the distinct marks of being restrained after death. This scholar also presents necrophobia within Greek culture as a fact, regardless of their only employing four different burials as evidence of this, and without consideration of any literary sources. These burials have no concrete evidence within them that they were buried as revenants for any particular reason; two of them bear signs of illness of malnutrition, but otherwise they appear to have been regular skeletons.</w:t>
      </w:r>
      <w:r w:rsidDel="00000000" w:rsidR="00000000" w:rsidRPr="00000000">
        <w:rPr>
          <w:vertAlign w:val="superscript"/>
        </w:rPr>
        <w:footnoteReference w:customMarkFollows="0" w:id="4"/>
      </w:r>
      <w:r w:rsidDel="00000000" w:rsidR="00000000" w:rsidRPr="00000000">
        <w:rPr>
          <w:rtl w:val="0"/>
        </w:rPr>
        <w:t xml:space="preserve"> The scholar gives a series of reasons for the circumstances which could lead to a body being buried as a revenant; those who are different, those who are “predestined”, if an animal leaps over the body, those who died in specific circumstances, those who were not given the correct burial rites.</w:t>
      </w:r>
      <w:r w:rsidDel="00000000" w:rsidR="00000000" w:rsidRPr="00000000">
        <w:rPr>
          <w:vertAlign w:val="superscript"/>
        </w:rPr>
        <w:footnoteReference w:customMarkFollows="0" w:id="5"/>
      </w:r>
      <w:r w:rsidDel="00000000" w:rsidR="00000000" w:rsidRPr="00000000">
        <w:rPr>
          <w:rtl w:val="0"/>
        </w:rPr>
        <w:t xml:space="preserve"> It is listed specifically as a fear, something which was universally worried about, that the rising of the dead was seen as something to be feared, that those who would rise would ultimately come looking for revenge. Pliny the Elder negates this approach through his presentation of Hermotinus of Clazomenæ, who is shown to rise, spiritually, from his dead body and explore, does not appear to cause harm to any who are present.</w:t>
      </w:r>
      <w:r w:rsidDel="00000000" w:rsidR="00000000" w:rsidRPr="00000000">
        <w:rPr>
          <w:vertAlign w:val="superscript"/>
        </w:rPr>
        <w:footnoteReference w:customMarkFollows="0" w:id="6"/>
      </w:r>
      <w:r w:rsidDel="00000000" w:rsidR="00000000" w:rsidRPr="00000000">
        <w:rPr>
          <w:rtl w:val="0"/>
        </w:rPr>
        <w:t xml:space="preserve"> Pliny claims that the body was burnt to stop this, which is in accordance with that which Sulosky Weaver argues, but this is reportedly carried out by Hermotinus’s enemies, and while this action was carried out to stop his soul wandering, it was not expressed to have been done out of fear, merely something that appears more like malice.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Pliny lists many of those whose souls appear to come back in some form, but there is not any sense of fear within his work. This text does not present any of these occasions to have had any sort of terrible consequence; none of those who arise continue to wreak havoc upon the land of the living, and he does not list reasons as to why they came back, apart from Gabienus who came to deliver a message. These ghostly apparitions though, are not revenant; they do not appear to have returned to their bodies, their bodies have not woken with their souls.</w:t>
      </w:r>
      <w:r w:rsidDel="00000000" w:rsidR="00000000" w:rsidRPr="00000000">
        <w:rPr>
          <w:vertAlign w:val="superscript"/>
        </w:rPr>
        <w:footnoteReference w:customMarkFollows="0" w:id="7"/>
      </w:r>
      <w:r w:rsidDel="00000000" w:rsidR="00000000" w:rsidRPr="00000000">
        <w:rPr>
          <w:rtl w:val="0"/>
        </w:rPr>
        <w:t xml:space="preserve"> Regardless of this slight stipulation as to what strictly makes a revenant, it could be argued that these particular risings show these individuals to have returned peacefully, something which is directly within contention in regards to the argument proposed by Sulosky Weaver. Judging by this singular text alone, it does not appear to have been particularly believed that there was much danger in regards to those that were supposed to have been dead rising once again.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Alcestis contains a person who moves freely through the afterlife (with divine influence), to make her way back to the land of the living. This is not presented negatively, and though Rabinowitz cites the taboo of death clinging to her, she is not perceived this way.</w:t>
      </w:r>
      <w:r w:rsidDel="00000000" w:rsidR="00000000" w:rsidRPr="00000000">
        <w:rPr>
          <w:vertAlign w:val="superscript"/>
        </w:rPr>
        <w:footnoteReference w:customMarkFollows="0" w:id="8"/>
      </w:r>
      <w:r w:rsidDel="00000000" w:rsidR="00000000" w:rsidRPr="00000000">
        <w:rPr>
          <w:rtl w:val="0"/>
        </w:rPr>
        <w:t xml:space="preserve"> Herakles is the one which makes her movement possible, but she is still a mortal woman who returns, something which is mostly unheard of. This makes her a revenant, someone that has returned to her body, but she does not possess the vengeful nature as described, meaning that she does not strictly remain within the guidelines offered for what makes a revenant.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Euripides and Pliny both present ghost-like entities without any sort of fear, or any kind of presentation of murderous, vengeful revenants, nothing like the modern day zombie representation which the description that Sulosky Weaver uses is similar to. These contemporary authors do not show any fear, or worry, about these people that returned from death to finish their business, and this is argued by a modern scholar, using what is admittedly compelling archaeological evidence. An easy argument for this is simply that the educated, well-off men that wrote these texts were not a part of the general superstitions that surrounded those of the working class. There is a clear delineation between these two types of people, and burial methods is often an easy way to split them.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br w:type="page"/>
      </w: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pPr>
        <w:contextualSpacing w:val="0"/>
        <w:rPr>
          <w:sz w:val="21"/>
          <w:szCs w:val="21"/>
          <w:highlight w:val="white"/>
        </w:rPr>
      </w:pPr>
      <w:r w:rsidDel="00000000" w:rsidR="00000000" w:rsidRPr="00000000">
        <w:rPr>
          <w:sz w:val="21"/>
          <w:szCs w:val="21"/>
          <w:highlight w:val="white"/>
          <w:rtl w:val="0"/>
        </w:rPr>
        <w:t xml:space="preserve">Sulosky Weaver, C., &amp; Di Stefano, Giovanni. (2015). </w:t>
      </w:r>
      <w:r w:rsidDel="00000000" w:rsidR="00000000" w:rsidRPr="00000000">
        <w:rPr>
          <w:i w:val="1"/>
          <w:sz w:val="21"/>
          <w:szCs w:val="21"/>
          <w:highlight w:val="white"/>
          <w:rtl w:val="0"/>
        </w:rPr>
        <w:t xml:space="preserve">Bioarchaeology of Classical Kamarina Life and Death in Greek Sicily</w:t>
      </w:r>
      <w:r w:rsidDel="00000000" w:rsidR="00000000" w:rsidRPr="00000000">
        <w:rPr>
          <w:sz w:val="21"/>
          <w:szCs w:val="21"/>
          <w:highlight w:val="white"/>
          <w:rtl w:val="0"/>
        </w:rPr>
        <w:t xml:space="preserve"> (Bioarchaeological Interpretations of the Human Past). Gainesville: University Press of Florida.</w:t>
      </w:r>
    </w:p>
    <w:p w:rsidR="00000000" w:rsidDel="00000000" w:rsidP="00000000" w:rsidRDefault="00000000" w:rsidRPr="00000000">
      <w:pPr>
        <w:contextualSpacing w:val="0"/>
        <w:rPr>
          <w:rFonts w:ascii="Verdana" w:cs="Verdana" w:eastAsia="Verdana" w:hAnsi="Verdana"/>
          <w:highlight w:val="white"/>
        </w:rPr>
      </w:pPr>
      <w:r w:rsidDel="00000000" w:rsidR="00000000" w:rsidRPr="00000000">
        <w:rPr>
          <w:rFonts w:ascii="Verdana" w:cs="Verdana" w:eastAsia="Verdana" w:hAnsi="Verdana"/>
          <w:highlight w:val="white"/>
          <w:rtl w:val="0"/>
        </w:rPr>
        <w:t xml:space="preserve">The Natural History. Pliny the Elder. John Bostock, M.D., F.R.S. H.T. Riley, Esq., B.A. London. Taylor and Francis, Red Lion Court, Fleet Street. 1855.</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Verdana" w:cs="Verdana" w:eastAsia="Verdana" w:hAnsi="Verdana"/>
          <w:highlight w:val="white"/>
          <w:rtl w:val="0"/>
        </w:rPr>
        <w:t xml:space="preserve">Euripides. The Complete Greek Drama, edited by Whitney J. Oates and Eugene O'Neill, Jr. in two volumes. 1. Hecuba, translated by E. P. Coleridge. New York. Random House. 1938</w:t>
      </w: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Blondell, R., Gamel, M., Rabinowitz, N. and Zweig, B. (1999). </w:t>
      </w:r>
      <w:r w:rsidDel="00000000" w:rsidR="00000000" w:rsidRPr="00000000">
        <w:rPr>
          <w:rFonts w:ascii="Times New Roman" w:cs="Times New Roman" w:eastAsia="Times New Roman" w:hAnsi="Times New Roman"/>
          <w:i w:val="1"/>
          <w:sz w:val="24"/>
          <w:szCs w:val="24"/>
          <w:rtl w:val="0"/>
        </w:rPr>
        <w:t xml:space="preserve">Women on the edge</w:t>
      </w:r>
      <w:r w:rsidDel="00000000" w:rsidR="00000000" w:rsidRPr="00000000">
        <w:rPr>
          <w:rFonts w:ascii="Times New Roman" w:cs="Times New Roman" w:eastAsia="Times New Roman" w:hAnsi="Times New Roman"/>
          <w:sz w:val="24"/>
          <w:szCs w:val="24"/>
          <w:rtl w:val="0"/>
        </w:rPr>
        <w:t xml:space="preserve">. New York: Routledge.</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w:t>
      </w:r>
      <w:r w:rsidDel="00000000" w:rsidR="00000000" w:rsidRPr="00000000">
        <w:rPr>
          <w:rFonts w:ascii="Times New Roman" w:cs="Times New Roman" w:eastAsia="Times New Roman" w:hAnsi="Times New Roman"/>
          <w:i w:val="1"/>
          <w:sz w:val="24"/>
          <w:szCs w:val="24"/>
          <w:rtl w:val="0"/>
        </w:rPr>
        <w:t xml:space="preserve">Alcestis</w:t>
      </w:r>
      <w:r w:rsidDel="00000000" w:rsidR="00000000" w:rsidRPr="00000000">
        <w:rPr>
          <w:rFonts w:ascii="Times New Roman" w:cs="Times New Roman" w:eastAsia="Times New Roman" w:hAnsi="Times New Roman"/>
          <w:sz w:val="24"/>
          <w:szCs w:val="24"/>
          <w:rtl w:val="0"/>
        </w:rPr>
        <w:t xml:space="preserve">. N. S. Rabinowitz (trans.). 1999. USA: Routledge.</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footerReference r:id="rId7"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Verdan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Sulosky Weaver 2015:216</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Eur. Alc. 986</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Eur. Hec. 30</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Sulosky Weaver 2015:211, 216</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Sulosky Weaver 2015:213</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Plin. Nat. 7.52</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Sulosky Weaver 2015:213</w:t>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Sulosky Weaver 2015:213</w:t>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Rabinowitz 1999:103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