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p w14:paraId="27C5BBDE" w14:textId="13A0D5BE" w:rsidR="00D04977" w:rsidRPr="00827B28" w:rsidRDefault="00D04977" w:rsidP="00D04977">
      <w:pPr>
        <w:jc w:val="center"/>
        <w:rPr>
          <w:rFonts w:ascii="Arial Nova" w:eastAsia="Arial Nova" w:hAnsi="Arial Nova" w:cs="Arial Nova"/>
          <w:bCs/>
          <w:sz w:val="44"/>
          <w:szCs w:val="44"/>
        </w:rPr>
      </w:pPr>
      <w:r>
        <w:rPr>
          <w:rFonts w:ascii="Arial Nova" w:eastAsia="Arial Nova" w:hAnsi="Arial Nova" w:cs="Arial Nova"/>
          <w:sz w:val="44"/>
          <w:szCs w:val="44"/>
        </w:rPr>
        <w:t xml:space="preserve">Module: </w:t>
      </w:r>
      <w:r w:rsidRPr="00D04977">
        <w:rPr>
          <w:rFonts w:ascii="Arial Nova" w:eastAsia="Arial Nova" w:hAnsi="Arial Nova" w:cs="Arial Nova"/>
          <w:sz w:val="44"/>
          <w:szCs w:val="44"/>
        </w:rPr>
        <w:t>Changemakers: Creativity and Value Creation</w:t>
      </w:r>
      <w:r w:rsidRPr="00827B28">
        <w:rPr>
          <w:rFonts w:ascii="Arial Nova" w:eastAsia="Arial Nova" w:hAnsi="Arial Nova" w:cs="Arial Nova"/>
          <w:bCs/>
          <w:sz w:val="44"/>
          <w:szCs w:val="44"/>
        </w:rPr>
        <w:t xml:space="preserve">  </w:t>
      </w:r>
    </w:p>
    <w:p w14:paraId="67C5076B" w14:textId="6DB1FDB3" w:rsidR="00D04977" w:rsidRPr="00827B28" w:rsidRDefault="00D04977" w:rsidP="00D04977">
      <w:pPr>
        <w:jc w:val="center"/>
        <w:rPr>
          <w:rFonts w:ascii="Arial Nova" w:eastAsia="Arial Nova" w:hAnsi="Arial Nova" w:cs="Arial Nova"/>
          <w:bCs/>
          <w:sz w:val="44"/>
          <w:szCs w:val="44"/>
        </w:rPr>
      </w:pPr>
      <w:r w:rsidRPr="00827B28">
        <w:rPr>
          <w:rFonts w:ascii="Arial Nova" w:eastAsia="Arial Nova" w:hAnsi="Arial Nova" w:cs="Arial Nova"/>
          <w:bCs/>
          <w:sz w:val="44"/>
          <w:szCs w:val="44"/>
        </w:rPr>
        <w:t xml:space="preserve">Module Code: </w:t>
      </w:r>
      <w:r w:rsidRPr="00D04977">
        <w:rPr>
          <w:rFonts w:ascii="Arial Nova" w:eastAsia="Arial Nova" w:hAnsi="Arial Nova" w:cs="Arial Nova"/>
          <w:sz w:val="44"/>
          <w:szCs w:val="44"/>
        </w:rPr>
        <w:t>BMHP5014</w:t>
      </w:r>
    </w:p>
    <w:p w14:paraId="0CBA7090" w14:textId="77777777" w:rsidR="00D04977" w:rsidRDefault="00D04977" w:rsidP="00D04977">
      <w:pPr>
        <w:jc w:val="center"/>
        <w:rPr>
          <w:rFonts w:ascii="Arial Nova" w:eastAsia="Arial Nova" w:hAnsi="Arial Nova" w:cs="Arial Nova"/>
          <w:sz w:val="44"/>
          <w:szCs w:val="44"/>
        </w:rPr>
      </w:pPr>
      <w:r w:rsidRPr="00827B28">
        <w:rPr>
          <w:rFonts w:ascii="Arial Nova" w:eastAsia="Arial Nova" w:hAnsi="Arial Nova" w:cs="Arial Nova"/>
          <w:bCs/>
          <w:sz w:val="44"/>
          <w:szCs w:val="44"/>
        </w:rPr>
        <w:t>Component 1: Online Portfolio</w:t>
      </w:r>
    </w:p>
    <w:p w14:paraId="677CEBDF" w14:textId="2ADCB31B" w:rsidR="00D04977" w:rsidRDefault="00D04977" w:rsidP="00D04977">
      <w:pPr>
        <w:spacing w:line="360" w:lineRule="auto"/>
        <w:jc w:val="center"/>
        <w:rPr>
          <w:rFonts w:ascii="Arial Nova" w:eastAsia="Arial Nova" w:hAnsi="Arial Nova" w:cs="Arial Nova"/>
          <w:sz w:val="44"/>
          <w:szCs w:val="44"/>
        </w:rPr>
      </w:pPr>
      <w:r>
        <w:rPr>
          <w:rFonts w:ascii="Arial Nova" w:eastAsia="Arial Nova" w:hAnsi="Arial Nova" w:cs="Arial Nova"/>
          <w:sz w:val="44"/>
          <w:szCs w:val="44"/>
        </w:rPr>
        <w:t xml:space="preserve">Student Name: </w:t>
      </w:r>
      <w:proofErr w:type="spellStart"/>
      <w:r w:rsidRPr="00D04977">
        <w:rPr>
          <w:rFonts w:ascii="Arial Nova" w:eastAsia="Arial Nova" w:hAnsi="Arial Nova" w:cs="Arial Nova"/>
          <w:sz w:val="44"/>
          <w:szCs w:val="44"/>
        </w:rPr>
        <w:t>Lutfa</w:t>
      </w:r>
      <w:proofErr w:type="spellEnd"/>
      <w:r w:rsidRPr="00D04977">
        <w:rPr>
          <w:rFonts w:ascii="Arial Nova" w:eastAsia="Arial Nova" w:hAnsi="Arial Nova" w:cs="Arial Nova"/>
          <w:sz w:val="44"/>
          <w:szCs w:val="44"/>
        </w:rPr>
        <w:t xml:space="preserve"> Begum</w:t>
      </w:r>
      <w:r w:rsidRPr="00D04977">
        <w:rPr>
          <w:rFonts w:ascii="Arial Nova" w:eastAsia="Arial Nova" w:hAnsi="Arial Nova" w:cs="Arial Nova"/>
          <w:sz w:val="44"/>
          <w:szCs w:val="44"/>
        </w:rPr>
        <w:br/>
      </w:r>
      <w:r>
        <w:rPr>
          <w:rFonts w:ascii="Arial Nova" w:eastAsia="Arial Nova" w:hAnsi="Arial Nova" w:cs="Arial Nova"/>
          <w:sz w:val="44"/>
          <w:szCs w:val="44"/>
        </w:rPr>
        <w:t xml:space="preserve">Student ID: </w:t>
      </w:r>
      <w:r w:rsidRPr="00D04977">
        <w:rPr>
          <w:rFonts w:ascii="Arial Nova" w:eastAsia="Arial Nova" w:hAnsi="Arial Nova" w:cs="Arial Nova"/>
          <w:sz w:val="44"/>
          <w:szCs w:val="44"/>
        </w:rPr>
        <w:t>2320441</w:t>
      </w:r>
    </w:p>
    <w:p w14:paraId="3E71C69E" w14:textId="32840BF2" w:rsidR="00D04977" w:rsidRPr="0074551A" w:rsidRDefault="00D04977" w:rsidP="00D04977">
      <w:pPr>
        <w:spacing w:line="360" w:lineRule="auto"/>
        <w:jc w:val="center"/>
        <w:rPr>
          <w:rFonts w:ascii="Arial Nova" w:eastAsia="Arial Nova" w:hAnsi="Arial Nova" w:cs="Arial Nova"/>
          <w:sz w:val="44"/>
          <w:szCs w:val="44"/>
        </w:rPr>
      </w:pPr>
      <w:r>
        <w:rPr>
          <w:rFonts w:ascii="Arial Nova" w:eastAsia="Arial Nova" w:hAnsi="Arial Nova" w:cs="Arial Nova"/>
          <w:sz w:val="44"/>
          <w:szCs w:val="44"/>
        </w:rPr>
        <w:t xml:space="preserve">Lecturer’s Name: </w:t>
      </w:r>
      <w:r w:rsidRPr="00D04977">
        <w:rPr>
          <w:rFonts w:ascii="Arial Nova" w:eastAsia="Arial Nova" w:hAnsi="Arial Nova" w:cs="Arial Nova"/>
          <w:sz w:val="44"/>
          <w:szCs w:val="44"/>
        </w:rPr>
        <w:t>Elena Leonova</w:t>
      </w:r>
    </w:p>
    <w:p w14:paraId="56E4423B" w14:textId="77777777" w:rsidR="00D04977" w:rsidRDefault="00D04977" w:rsidP="021F216E">
      <w:pPr>
        <w:jc w:val="center"/>
        <w:rPr>
          <w:rFonts w:ascii="Arial Nova" w:eastAsia="Arial Nova" w:hAnsi="Arial Nova" w:cs="Arial Nova"/>
          <w:sz w:val="96"/>
          <w:szCs w:val="96"/>
        </w:rPr>
      </w:pPr>
    </w:p>
    <w:p w14:paraId="6844EBA0" w14:textId="28C86DEB" w:rsidR="021F216E" w:rsidRDefault="021F216E" w:rsidP="021F216E">
      <w:pPr>
        <w:jc w:val="center"/>
        <w:rPr>
          <w:rFonts w:ascii="Arial Nova" w:eastAsia="Arial Nova" w:hAnsi="Arial Nova" w:cs="Arial Nova"/>
          <w:sz w:val="72"/>
          <w:szCs w:val="72"/>
        </w:rPr>
      </w:pPr>
    </w:p>
    <w:sdt>
      <w:sdtPr>
        <w:id w:val="-1581824199"/>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774C3101" w14:textId="444F0397" w:rsidR="00F35CC4" w:rsidRDefault="00F35CC4">
          <w:pPr>
            <w:pStyle w:val="TOCHeading"/>
          </w:pPr>
          <w:r>
            <w:t>Contents</w:t>
          </w:r>
        </w:p>
        <w:p w14:paraId="2CF5271E" w14:textId="508A2EE0" w:rsidR="00F35CC4" w:rsidRDefault="00F35CC4" w:rsidP="00F35CC4">
          <w:pPr>
            <w:pStyle w:val="TOC1"/>
            <w:rPr>
              <w:noProof/>
            </w:rPr>
          </w:pPr>
          <w:r>
            <w:fldChar w:fldCharType="begin"/>
          </w:r>
          <w:r>
            <w:instrText xml:space="preserve"> TOC \o "1-3" \h \z \u </w:instrText>
          </w:r>
          <w:r>
            <w:fldChar w:fldCharType="separate"/>
          </w:r>
          <w:hyperlink w:anchor="_Toc214138751" w:history="1">
            <w:r w:rsidRPr="003D1D94">
              <w:rPr>
                <w:rStyle w:val="Hyperlink"/>
                <w:noProof/>
              </w:rPr>
              <w:t>Task 1 – Concept Map</w:t>
            </w:r>
            <w:r>
              <w:rPr>
                <w:noProof/>
                <w:webHidden/>
              </w:rPr>
              <w:tab/>
            </w:r>
            <w:r>
              <w:rPr>
                <w:noProof/>
                <w:webHidden/>
              </w:rPr>
              <w:fldChar w:fldCharType="begin"/>
            </w:r>
            <w:r>
              <w:rPr>
                <w:noProof/>
                <w:webHidden/>
              </w:rPr>
              <w:instrText xml:space="preserve"> PAGEREF _Toc214138751 \h </w:instrText>
            </w:r>
            <w:r>
              <w:rPr>
                <w:noProof/>
                <w:webHidden/>
              </w:rPr>
            </w:r>
            <w:r>
              <w:rPr>
                <w:noProof/>
                <w:webHidden/>
              </w:rPr>
              <w:fldChar w:fldCharType="separate"/>
            </w:r>
            <w:r w:rsidR="007461B6">
              <w:rPr>
                <w:noProof/>
                <w:webHidden/>
              </w:rPr>
              <w:t>3</w:t>
            </w:r>
            <w:r>
              <w:rPr>
                <w:noProof/>
                <w:webHidden/>
              </w:rPr>
              <w:fldChar w:fldCharType="end"/>
            </w:r>
          </w:hyperlink>
        </w:p>
        <w:p w14:paraId="53EA8024" w14:textId="7CD70AFC" w:rsidR="00F35CC4" w:rsidRDefault="00F35CC4" w:rsidP="00F35CC4">
          <w:pPr>
            <w:pStyle w:val="TOC1"/>
            <w:rPr>
              <w:noProof/>
            </w:rPr>
          </w:pPr>
          <w:hyperlink w:anchor="_Toc214138752" w:history="1">
            <w:r w:rsidRPr="003D1D94">
              <w:rPr>
                <w:rStyle w:val="Hyperlink"/>
                <w:noProof/>
              </w:rPr>
              <w:t>Task 2 - Self-Reflection of Group Activity</w:t>
            </w:r>
            <w:r>
              <w:rPr>
                <w:noProof/>
                <w:webHidden/>
              </w:rPr>
              <w:tab/>
            </w:r>
            <w:r>
              <w:rPr>
                <w:noProof/>
                <w:webHidden/>
              </w:rPr>
              <w:fldChar w:fldCharType="begin"/>
            </w:r>
            <w:r>
              <w:rPr>
                <w:noProof/>
                <w:webHidden/>
              </w:rPr>
              <w:instrText xml:space="preserve"> PAGEREF _Toc214138752 \h </w:instrText>
            </w:r>
            <w:r>
              <w:rPr>
                <w:noProof/>
                <w:webHidden/>
              </w:rPr>
            </w:r>
            <w:r>
              <w:rPr>
                <w:noProof/>
                <w:webHidden/>
              </w:rPr>
              <w:fldChar w:fldCharType="separate"/>
            </w:r>
            <w:r w:rsidR="007461B6">
              <w:rPr>
                <w:noProof/>
                <w:webHidden/>
              </w:rPr>
              <w:t>5</w:t>
            </w:r>
            <w:r>
              <w:rPr>
                <w:noProof/>
                <w:webHidden/>
              </w:rPr>
              <w:fldChar w:fldCharType="end"/>
            </w:r>
          </w:hyperlink>
        </w:p>
        <w:p w14:paraId="6642C18A" w14:textId="3F24D232" w:rsidR="00F35CC4" w:rsidRDefault="00F35CC4" w:rsidP="00F35CC4">
          <w:pPr>
            <w:pStyle w:val="TOC1"/>
            <w:rPr>
              <w:noProof/>
            </w:rPr>
          </w:pPr>
          <w:hyperlink w:anchor="_Toc214138753" w:history="1">
            <w:r w:rsidRPr="003D1D94">
              <w:rPr>
                <w:rStyle w:val="Hyperlink"/>
                <w:noProof/>
              </w:rPr>
              <w:t>Task 3 - Case Study of a UK innovation</w:t>
            </w:r>
            <w:r>
              <w:rPr>
                <w:noProof/>
                <w:webHidden/>
              </w:rPr>
              <w:tab/>
            </w:r>
            <w:r>
              <w:rPr>
                <w:noProof/>
                <w:webHidden/>
              </w:rPr>
              <w:fldChar w:fldCharType="begin"/>
            </w:r>
            <w:r>
              <w:rPr>
                <w:noProof/>
                <w:webHidden/>
              </w:rPr>
              <w:instrText xml:space="preserve"> PAGEREF _Toc214138753 \h </w:instrText>
            </w:r>
            <w:r>
              <w:rPr>
                <w:noProof/>
                <w:webHidden/>
              </w:rPr>
            </w:r>
            <w:r>
              <w:rPr>
                <w:noProof/>
                <w:webHidden/>
              </w:rPr>
              <w:fldChar w:fldCharType="separate"/>
            </w:r>
            <w:r w:rsidR="007461B6">
              <w:rPr>
                <w:noProof/>
                <w:webHidden/>
              </w:rPr>
              <w:t>6</w:t>
            </w:r>
            <w:r>
              <w:rPr>
                <w:noProof/>
                <w:webHidden/>
              </w:rPr>
              <w:fldChar w:fldCharType="end"/>
            </w:r>
          </w:hyperlink>
        </w:p>
        <w:p w14:paraId="2A07AA85" w14:textId="65A506DB" w:rsidR="00F35CC4" w:rsidRDefault="00F35CC4" w:rsidP="00F35CC4">
          <w:pPr>
            <w:pStyle w:val="TOC1"/>
            <w:rPr>
              <w:noProof/>
            </w:rPr>
          </w:pPr>
          <w:hyperlink w:anchor="_Toc214138754" w:history="1">
            <w:r w:rsidRPr="003D1D94">
              <w:rPr>
                <w:rStyle w:val="Hyperlink"/>
                <w:noProof/>
              </w:rPr>
              <w:t>Task 4 - Research Task</w:t>
            </w:r>
            <w:r>
              <w:rPr>
                <w:noProof/>
                <w:webHidden/>
              </w:rPr>
              <w:tab/>
            </w:r>
            <w:r>
              <w:rPr>
                <w:noProof/>
                <w:webHidden/>
              </w:rPr>
              <w:fldChar w:fldCharType="begin"/>
            </w:r>
            <w:r>
              <w:rPr>
                <w:noProof/>
                <w:webHidden/>
              </w:rPr>
              <w:instrText xml:space="preserve"> PAGEREF _Toc214138754 \h </w:instrText>
            </w:r>
            <w:r>
              <w:rPr>
                <w:noProof/>
                <w:webHidden/>
              </w:rPr>
            </w:r>
            <w:r>
              <w:rPr>
                <w:noProof/>
                <w:webHidden/>
              </w:rPr>
              <w:fldChar w:fldCharType="separate"/>
            </w:r>
            <w:r w:rsidR="007461B6">
              <w:rPr>
                <w:noProof/>
                <w:webHidden/>
              </w:rPr>
              <w:t>8</w:t>
            </w:r>
            <w:r>
              <w:rPr>
                <w:noProof/>
                <w:webHidden/>
              </w:rPr>
              <w:fldChar w:fldCharType="end"/>
            </w:r>
          </w:hyperlink>
        </w:p>
        <w:p w14:paraId="03256C90" w14:textId="61B5D3FA" w:rsidR="00F35CC4" w:rsidRDefault="00F35CC4" w:rsidP="00F35CC4">
          <w:pPr>
            <w:pStyle w:val="TOC1"/>
            <w:rPr>
              <w:noProof/>
            </w:rPr>
          </w:pPr>
          <w:hyperlink w:anchor="_Toc214138755" w:history="1">
            <w:r w:rsidRPr="003D1D94">
              <w:rPr>
                <w:rStyle w:val="Hyperlink"/>
                <w:noProof/>
              </w:rPr>
              <w:t>Task 5 - Podcast</w:t>
            </w:r>
            <w:r>
              <w:rPr>
                <w:noProof/>
                <w:webHidden/>
              </w:rPr>
              <w:tab/>
            </w:r>
            <w:r>
              <w:rPr>
                <w:noProof/>
                <w:webHidden/>
              </w:rPr>
              <w:fldChar w:fldCharType="begin"/>
            </w:r>
            <w:r>
              <w:rPr>
                <w:noProof/>
                <w:webHidden/>
              </w:rPr>
              <w:instrText xml:space="preserve"> PAGEREF _Toc214138755 \h </w:instrText>
            </w:r>
            <w:r>
              <w:rPr>
                <w:noProof/>
                <w:webHidden/>
              </w:rPr>
            </w:r>
            <w:r>
              <w:rPr>
                <w:noProof/>
                <w:webHidden/>
              </w:rPr>
              <w:fldChar w:fldCharType="separate"/>
            </w:r>
            <w:r w:rsidR="007461B6">
              <w:rPr>
                <w:noProof/>
                <w:webHidden/>
              </w:rPr>
              <w:t>10</w:t>
            </w:r>
            <w:r>
              <w:rPr>
                <w:noProof/>
                <w:webHidden/>
              </w:rPr>
              <w:fldChar w:fldCharType="end"/>
            </w:r>
          </w:hyperlink>
        </w:p>
        <w:p w14:paraId="4DC28549" w14:textId="56D9946D" w:rsidR="00F35CC4" w:rsidRDefault="00F35CC4" w:rsidP="00F35CC4">
          <w:pPr>
            <w:pStyle w:val="TOC1"/>
            <w:rPr>
              <w:noProof/>
            </w:rPr>
          </w:pPr>
          <w:hyperlink w:anchor="_Toc214138756" w:history="1">
            <w:r w:rsidRPr="003D1D94">
              <w:rPr>
                <w:rStyle w:val="Hyperlink"/>
                <w:noProof/>
              </w:rPr>
              <w:t>Task 6 - NHS Leadership Framework Analysis</w:t>
            </w:r>
            <w:r>
              <w:rPr>
                <w:noProof/>
                <w:webHidden/>
              </w:rPr>
              <w:tab/>
            </w:r>
            <w:r>
              <w:rPr>
                <w:noProof/>
                <w:webHidden/>
              </w:rPr>
              <w:fldChar w:fldCharType="begin"/>
            </w:r>
            <w:r>
              <w:rPr>
                <w:noProof/>
                <w:webHidden/>
              </w:rPr>
              <w:instrText xml:space="preserve"> PAGEREF _Toc214138756 \h </w:instrText>
            </w:r>
            <w:r>
              <w:rPr>
                <w:noProof/>
                <w:webHidden/>
              </w:rPr>
            </w:r>
            <w:r>
              <w:rPr>
                <w:noProof/>
                <w:webHidden/>
              </w:rPr>
              <w:fldChar w:fldCharType="separate"/>
            </w:r>
            <w:r w:rsidR="007461B6">
              <w:rPr>
                <w:noProof/>
                <w:webHidden/>
              </w:rPr>
              <w:t>11</w:t>
            </w:r>
            <w:r>
              <w:rPr>
                <w:noProof/>
                <w:webHidden/>
              </w:rPr>
              <w:fldChar w:fldCharType="end"/>
            </w:r>
          </w:hyperlink>
        </w:p>
        <w:p w14:paraId="3A802B79" w14:textId="0AA24C27" w:rsidR="00F35CC4" w:rsidRDefault="00F35CC4" w:rsidP="00F35CC4">
          <w:pPr>
            <w:pStyle w:val="TOC1"/>
            <w:rPr>
              <w:noProof/>
            </w:rPr>
          </w:pPr>
          <w:hyperlink w:anchor="_Toc214138757" w:history="1">
            <w:r w:rsidRPr="003D1D94">
              <w:rPr>
                <w:rStyle w:val="Hyperlink"/>
                <w:noProof/>
              </w:rPr>
              <w:t>Task 7 - Self-Reflection Journal Entry</w:t>
            </w:r>
            <w:r>
              <w:rPr>
                <w:noProof/>
                <w:webHidden/>
              </w:rPr>
              <w:tab/>
            </w:r>
            <w:r>
              <w:rPr>
                <w:noProof/>
                <w:webHidden/>
              </w:rPr>
              <w:fldChar w:fldCharType="begin"/>
            </w:r>
            <w:r>
              <w:rPr>
                <w:noProof/>
                <w:webHidden/>
              </w:rPr>
              <w:instrText xml:space="preserve"> PAGEREF _Toc214138757 \h </w:instrText>
            </w:r>
            <w:r>
              <w:rPr>
                <w:noProof/>
                <w:webHidden/>
              </w:rPr>
            </w:r>
            <w:r>
              <w:rPr>
                <w:noProof/>
                <w:webHidden/>
              </w:rPr>
              <w:fldChar w:fldCharType="separate"/>
            </w:r>
            <w:r w:rsidR="007461B6">
              <w:rPr>
                <w:noProof/>
                <w:webHidden/>
              </w:rPr>
              <w:t>13</w:t>
            </w:r>
            <w:r>
              <w:rPr>
                <w:noProof/>
                <w:webHidden/>
              </w:rPr>
              <w:fldChar w:fldCharType="end"/>
            </w:r>
          </w:hyperlink>
        </w:p>
        <w:p w14:paraId="6210854A" w14:textId="13359DC9" w:rsidR="00F35CC4" w:rsidRDefault="00F35CC4" w:rsidP="00F35CC4">
          <w:pPr>
            <w:pStyle w:val="TOC1"/>
            <w:rPr>
              <w:noProof/>
            </w:rPr>
          </w:pPr>
          <w:hyperlink w:anchor="_Toc214138758" w:history="1">
            <w:r w:rsidRPr="003D1D94">
              <w:rPr>
                <w:rStyle w:val="Hyperlink"/>
                <w:noProof/>
              </w:rPr>
              <w:t>Reference List</w:t>
            </w:r>
            <w:r>
              <w:rPr>
                <w:noProof/>
                <w:webHidden/>
              </w:rPr>
              <w:tab/>
            </w:r>
            <w:r>
              <w:rPr>
                <w:noProof/>
                <w:webHidden/>
              </w:rPr>
              <w:fldChar w:fldCharType="begin"/>
            </w:r>
            <w:r>
              <w:rPr>
                <w:noProof/>
                <w:webHidden/>
              </w:rPr>
              <w:instrText xml:space="preserve"> PAGEREF _Toc214138758 \h </w:instrText>
            </w:r>
            <w:r>
              <w:rPr>
                <w:noProof/>
                <w:webHidden/>
              </w:rPr>
            </w:r>
            <w:r>
              <w:rPr>
                <w:noProof/>
                <w:webHidden/>
              </w:rPr>
              <w:fldChar w:fldCharType="separate"/>
            </w:r>
            <w:r w:rsidR="007461B6">
              <w:rPr>
                <w:noProof/>
                <w:webHidden/>
              </w:rPr>
              <w:t>14</w:t>
            </w:r>
            <w:r>
              <w:rPr>
                <w:noProof/>
                <w:webHidden/>
              </w:rPr>
              <w:fldChar w:fldCharType="end"/>
            </w:r>
          </w:hyperlink>
        </w:p>
        <w:p w14:paraId="4100E6C1" w14:textId="6A4DC36C" w:rsidR="00F35CC4" w:rsidRDefault="00F35CC4">
          <w:r>
            <w:rPr>
              <w:b/>
              <w:bCs/>
              <w:noProof/>
            </w:rPr>
            <w:fldChar w:fldCharType="end"/>
          </w:r>
        </w:p>
      </w:sdtContent>
    </w:sdt>
    <w:p w14:paraId="5C2AE86B" w14:textId="77777777" w:rsidR="00F35CC4" w:rsidRDefault="00F35CC4">
      <w:pPr>
        <w:rPr>
          <w:rFonts w:asciiTheme="majorHAnsi" w:eastAsiaTheme="majorEastAsia" w:hAnsiTheme="majorHAnsi" w:cstheme="majorBidi"/>
          <w:sz w:val="40"/>
          <w:szCs w:val="40"/>
        </w:rPr>
      </w:pPr>
      <w:r>
        <w:br w:type="page"/>
      </w:r>
    </w:p>
    <w:p w14:paraId="5ED067C8" w14:textId="07EE4DCA" w:rsidR="32ADAAF6" w:rsidRPr="006E135E" w:rsidRDefault="32ADAAF6" w:rsidP="006E135E">
      <w:pPr>
        <w:pStyle w:val="Heading1"/>
        <w:rPr>
          <w:color w:val="auto"/>
          <w:sz w:val="72"/>
          <w:szCs w:val="72"/>
        </w:rPr>
      </w:pPr>
      <w:bookmarkStart w:id="0" w:name="_Toc214138751"/>
      <w:r w:rsidRPr="006E135E">
        <w:rPr>
          <w:color w:val="auto"/>
        </w:rPr>
        <w:lastRenderedPageBreak/>
        <w:t>Task 1 – Concept Map</w:t>
      </w:r>
      <w:bookmarkEnd w:id="0"/>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w:t>
      </w:r>
      <w:proofErr w:type="gramStart"/>
      <w:r w:rsidRPr="47853A3C">
        <w:rPr>
          <w:rFonts w:ascii="Arial Nova" w:eastAsia="Arial Nova" w:hAnsi="Arial Nova" w:cs="Arial Nova"/>
          <w:i/>
          <w:iCs/>
          <w:color w:val="000000" w:themeColor="text1"/>
        </w:rPr>
        <w:t>explain</w:t>
      </w:r>
      <w:proofErr w:type="gramEnd"/>
      <w:r w:rsidRPr="47853A3C">
        <w:rPr>
          <w:rFonts w:ascii="Arial Nova" w:eastAsia="Arial Nova" w:hAnsi="Arial Nova" w:cs="Arial Nova"/>
          <w:i/>
          <w:iCs/>
          <w:color w:val="000000" w:themeColor="text1"/>
        </w:rPr>
        <w:t xml:space="preserve"> how these concepts interact in a health and social care context (250 words).</w:t>
      </w:r>
    </w:p>
    <w:p w14:paraId="2C8E5B4C" w14:textId="0395E47B" w:rsidR="00123DC5" w:rsidRPr="00123DC5" w:rsidRDefault="00123DC5"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w:drawing>
          <wp:inline distT="0" distB="0" distL="0" distR="0" wp14:anchorId="286B0718" wp14:editId="7B72A2C1">
            <wp:extent cx="5486400" cy="3200400"/>
            <wp:effectExtent l="0" t="0" r="19050" b="0"/>
            <wp:docPr id="15443908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BC7D9FC" w14:textId="38E14C93" w:rsidR="021F216E" w:rsidRDefault="021F216E" w:rsidP="021F216E">
      <w:pPr>
        <w:rPr>
          <w:rFonts w:ascii="Arial Nova" w:eastAsia="Arial Nova" w:hAnsi="Arial Nova" w:cs="Arial Nova"/>
          <w:i/>
          <w:iCs/>
          <w:color w:val="000000" w:themeColor="text1"/>
        </w:rPr>
      </w:pPr>
    </w:p>
    <w:p w14:paraId="591F022B" w14:textId="32C7AD74" w:rsidR="00123DC5" w:rsidRPr="00123DC5" w:rsidRDefault="00123DC5" w:rsidP="00123DC5">
      <w:pPr>
        <w:spacing w:line="360" w:lineRule="auto"/>
        <w:jc w:val="both"/>
        <w:rPr>
          <w:rFonts w:ascii="Arial" w:eastAsia="Arial Nova" w:hAnsi="Arial" w:cs="Arial Nova"/>
          <w:color w:val="000000" w:themeColor="text1"/>
          <w:lang w:val="en-GB"/>
        </w:rPr>
      </w:pPr>
      <w:r w:rsidRPr="00123DC5">
        <w:rPr>
          <w:rFonts w:ascii="Arial" w:eastAsia="Arial Nova" w:hAnsi="Arial" w:cs="Arial Nova"/>
          <w:color w:val="000000" w:themeColor="text1"/>
        </w:rPr>
        <w:t>Task 1 – Concept Map Explanation</w:t>
      </w:r>
    </w:p>
    <w:p w14:paraId="02974699" w14:textId="77777777" w:rsidR="0079730D" w:rsidRPr="0079730D" w:rsidRDefault="0079730D" w:rsidP="0079730D">
      <w:pPr>
        <w:spacing w:line="360" w:lineRule="auto"/>
        <w:jc w:val="both"/>
        <w:rPr>
          <w:rFonts w:ascii="Arial" w:eastAsia="Arial Nova" w:hAnsi="Arial" w:cs="Arial Nova"/>
          <w:color w:val="000000" w:themeColor="text1"/>
          <w:lang w:val="en-GB"/>
        </w:rPr>
      </w:pPr>
      <w:r w:rsidRPr="0079730D">
        <w:rPr>
          <w:rFonts w:ascii="Arial" w:eastAsia="Arial Nova" w:hAnsi="Arial" w:cs="Arial Nova"/>
          <w:color w:val="000000" w:themeColor="text1"/>
          <w:lang w:val="en-GB"/>
        </w:rPr>
        <w:t>Creativity, value creation, and improvement in health and social care are strongly connected. Creativity means generating new and useful ideas that help solve problems in better ways (Boden, 1994). In health and social care, creativity can involve simple or complex ideas, such as designing new ways to support service users or using digital tools to improve communication. Creative thinking helps staff look at challenges from different angles and develop solutions that are safe, effective, and person-centred.</w:t>
      </w:r>
    </w:p>
    <w:p w14:paraId="007C0638" w14:textId="77777777" w:rsidR="0079730D" w:rsidRPr="0079730D" w:rsidRDefault="0079730D" w:rsidP="0079730D">
      <w:pPr>
        <w:spacing w:line="360" w:lineRule="auto"/>
        <w:jc w:val="both"/>
        <w:rPr>
          <w:rFonts w:ascii="Arial" w:eastAsia="Arial Nova" w:hAnsi="Arial" w:cs="Arial Nova"/>
          <w:color w:val="000000" w:themeColor="text1"/>
          <w:lang w:val="en-GB"/>
        </w:rPr>
      </w:pPr>
      <w:r w:rsidRPr="0079730D">
        <w:rPr>
          <w:rFonts w:ascii="Arial" w:eastAsia="Arial Nova" w:hAnsi="Arial" w:cs="Arial Nova"/>
          <w:color w:val="000000" w:themeColor="text1"/>
          <w:lang w:val="en-GB"/>
        </w:rPr>
        <w:t xml:space="preserve">Creativity leads to value creation, which means achieving the best outcomes using the resources available. Porter (2010) explains that value in health care is about improving results for patients while keeping costs manageable. When creative ideas are used to improve services—such as reducing waiting times, improving wellbeing, or making care more accessible—they create value for both patients and providers. For example, </w:t>
      </w:r>
      <w:r w:rsidRPr="0079730D">
        <w:rPr>
          <w:rFonts w:ascii="Arial" w:eastAsia="Arial Nova" w:hAnsi="Arial" w:cs="Arial Nova"/>
          <w:color w:val="000000" w:themeColor="text1"/>
          <w:lang w:val="en-GB"/>
        </w:rPr>
        <w:lastRenderedPageBreak/>
        <w:t>creative activities can improve mental wellbeing and strengthen social connections, which adds personal value to people’s lives (Coulton et al., 2015).</w:t>
      </w:r>
    </w:p>
    <w:p w14:paraId="31075363" w14:textId="77777777" w:rsidR="0079730D" w:rsidRPr="0079730D" w:rsidRDefault="0079730D" w:rsidP="0079730D">
      <w:pPr>
        <w:spacing w:line="360" w:lineRule="auto"/>
        <w:jc w:val="both"/>
        <w:rPr>
          <w:rFonts w:ascii="Arial" w:eastAsia="Arial Nova" w:hAnsi="Arial" w:cs="Arial Nova"/>
          <w:color w:val="000000" w:themeColor="text1"/>
          <w:lang w:val="en-GB"/>
        </w:rPr>
      </w:pPr>
      <w:r w:rsidRPr="0079730D">
        <w:rPr>
          <w:rFonts w:ascii="Arial" w:eastAsia="Arial Nova" w:hAnsi="Arial" w:cs="Arial Nova"/>
          <w:color w:val="000000" w:themeColor="text1"/>
          <w:lang w:val="en-GB"/>
        </w:rPr>
        <w:t>Both creativity and value creation support health and social care improvement. When teams develop new ideas and use resources wisely, services become more efficient, fair, and responsive to people’s needs. Improvement often means reducing inequalities, supporting staff wellbeing, and making care easier to access. Creativity encourages new ways of working, while value creation ensures that these ideas are meaningful and sustainable.</w:t>
      </w:r>
    </w:p>
    <w:p w14:paraId="0116BA8E" w14:textId="77777777" w:rsidR="0079730D" w:rsidRPr="0079730D" w:rsidRDefault="0079730D" w:rsidP="0079730D">
      <w:pPr>
        <w:spacing w:line="360" w:lineRule="auto"/>
        <w:jc w:val="both"/>
        <w:rPr>
          <w:rFonts w:ascii="Arial" w:eastAsia="Arial Nova" w:hAnsi="Arial" w:cs="Arial Nova"/>
          <w:color w:val="000000" w:themeColor="text1"/>
          <w:lang w:val="en-GB"/>
        </w:rPr>
      </w:pPr>
      <w:r w:rsidRPr="0079730D">
        <w:rPr>
          <w:rFonts w:ascii="Arial" w:eastAsia="Arial Nova" w:hAnsi="Arial" w:cs="Arial Nova"/>
          <w:color w:val="000000" w:themeColor="text1"/>
          <w:lang w:val="en-GB"/>
        </w:rPr>
        <w:t>Overall, creativity provides the ideas, value creation measures their impact, and together they drive continuous improvement in health and social care.</w:t>
      </w:r>
    </w:p>
    <w:p w14:paraId="2DB94E29" w14:textId="0384394F" w:rsidR="00123DC5" w:rsidRPr="00123DC5" w:rsidRDefault="00123DC5" w:rsidP="00123DC5">
      <w:pPr>
        <w:spacing w:line="360" w:lineRule="auto"/>
        <w:jc w:val="both"/>
        <w:rPr>
          <w:rFonts w:ascii="Arial" w:eastAsia="Arial Nova" w:hAnsi="Arial" w:cs="Arial Nova"/>
          <w:color w:val="000000" w:themeColor="text1"/>
          <w:lang w:val="en-GB"/>
        </w:rPr>
      </w:pPr>
    </w:p>
    <w:p w14:paraId="783924C5" w14:textId="72BEDB2F" w:rsidR="021F216E" w:rsidRPr="00123DC5" w:rsidRDefault="021F216E" w:rsidP="021F216E">
      <w:pPr>
        <w:rPr>
          <w:rFonts w:ascii="Arial Nova" w:eastAsia="Arial Nova" w:hAnsi="Arial Nova" w:cs="Arial Nova"/>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78587690" w14:textId="1EA7FB69" w:rsidR="32ADAAF6" w:rsidRPr="006E135E" w:rsidRDefault="469F9A50" w:rsidP="006E135E">
      <w:pPr>
        <w:pStyle w:val="Heading1"/>
        <w:rPr>
          <w:color w:val="auto"/>
        </w:rPr>
      </w:pPr>
      <w:bookmarkStart w:id="1" w:name="_Toc214138752"/>
      <w:r w:rsidRPr="006E135E">
        <w:rPr>
          <w:color w:val="auto"/>
        </w:rPr>
        <w:lastRenderedPageBreak/>
        <w:t xml:space="preserve">Task 2 - </w:t>
      </w:r>
      <w:r w:rsidR="32ADAAF6" w:rsidRPr="006E135E">
        <w:rPr>
          <w:color w:val="auto"/>
        </w:rPr>
        <w:t>Self-Reflection of Group Activity</w:t>
      </w:r>
      <w:bookmarkEnd w:id="1"/>
    </w:p>
    <w:p w14:paraId="639F321C" w14:textId="4AB634A8"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 thinking class activity using a reflective model (250 words, 1 source)</w:t>
      </w:r>
    </w:p>
    <w:p w14:paraId="3D56EC1C" w14:textId="77777777" w:rsidR="005A1CA3" w:rsidRPr="005A1CA3" w:rsidRDefault="005A1CA3" w:rsidP="005A1CA3">
      <w:pPr>
        <w:spacing w:line="360" w:lineRule="auto"/>
        <w:jc w:val="both"/>
        <w:rPr>
          <w:rFonts w:ascii="Arial" w:eastAsia="Arial Nova" w:hAnsi="Arial" w:cs="Arial Nova"/>
          <w:color w:val="000000" w:themeColor="text1"/>
          <w:lang w:val="en-GB"/>
        </w:rPr>
      </w:pPr>
      <w:r w:rsidRPr="005A1CA3">
        <w:rPr>
          <w:rFonts w:ascii="Arial" w:eastAsia="Arial Nova" w:hAnsi="Arial" w:cs="Arial Nova"/>
          <w:color w:val="000000" w:themeColor="text1"/>
          <w:lang w:val="en-GB"/>
        </w:rPr>
        <w:t>Using Gibbs’ Reflective Cycle (1988)</w:t>
      </w:r>
    </w:p>
    <w:p w14:paraId="4AACD293" w14:textId="77777777" w:rsidR="005A1CA3" w:rsidRPr="005A1CA3" w:rsidRDefault="005A1CA3" w:rsidP="005A1CA3">
      <w:pPr>
        <w:spacing w:line="360" w:lineRule="auto"/>
        <w:jc w:val="both"/>
        <w:rPr>
          <w:rFonts w:ascii="Arial" w:eastAsia="Arial Nova" w:hAnsi="Arial" w:cs="Arial Nova"/>
          <w:color w:val="000000" w:themeColor="text1"/>
          <w:lang w:val="en-GB"/>
        </w:rPr>
      </w:pPr>
      <w:r w:rsidRPr="005A1CA3">
        <w:rPr>
          <w:rFonts w:ascii="Arial" w:eastAsia="Arial Nova" w:hAnsi="Arial" w:cs="Arial Nova"/>
          <w:color w:val="000000" w:themeColor="text1"/>
          <w:lang w:val="en-GB"/>
        </w:rPr>
        <w:t>During the convergent and divergent thinking class activity, our group worked together to generate creative ideas and then narrow them down. Divergent thinking allowed us to share many different ideas without judging them. Everyone in the group contributed openly, which helped us understand the problem from different angles. I enjoyed this stage because it felt free, creative, and without pressure.</w:t>
      </w:r>
    </w:p>
    <w:p w14:paraId="63173A86" w14:textId="77777777" w:rsidR="005A1CA3" w:rsidRPr="005A1CA3" w:rsidRDefault="005A1CA3" w:rsidP="005A1CA3">
      <w:pPr>
        <w:spacing w:line="360" w:lineRule="auto"/>
        <w:jc w:val="both"/>
        <w:rPr>
          <w:rFonts w:ascii="Arial" w:eastAsia="Arial Nova" w:hAnsi="Arial" w:cs="Arial Nova"/>
          <w:color w:val="000000" w:themeColor="text1"/>
          <w:lang w:val="en-GB"/>
        </w:rPr>
      </w:pPr>
      <w:r w:rsidRPr="005A1CA3">
        <w:rPr>
          <w:rFonts w:ascii="Arial" w:eastAsia="Arial Nova" w:hAnsi="Arial" w:cs="Arial Nova"/>
          <w:color w:val="000000" w:themeColor="text1"/>
          <w:lang w:val="en-GB"/>
        </w:rPr>
        <w:t>In the convergent thinking stage, we evaluated the ideas and selected the most practical one. This part was more challenging because we had to think critically and justify our choices. I realised that my natural style is more divergent, so I sometimes struggled when the group needed to focus on selecting the best idea. However, communicating with others helped me adapt.</w:t>
      </w:r>
    </w:p>
    <w:p w14:paraId="0D2D20D1" w14:textId="77777777" w:rsidR="005A1CA3" w:rsidRPr="005A1CA3" w:rsidRDefault="005A1CA3" w:rsidP="005A1CA3">
      <w:pPr>
        <w:spacing w:line="360" w:lineRule="auto"/>
        <w:jc w:val="both"/>
        <w:rPr>
          <w:rFonts w:ascii="Arial" w:eastAsia="Arial Nova" w:hAnsi="Arial" w:cs="Arial Nova"/>
          <w:color w:val="000000" w:themeColor="text1"/>
          <w:lang w:val="en-GB"/>
        </w:rPr>
      </w:pPr>
      <w:r w:rsidRPr="005A1CA3">
        <w:rPr>
          <w:rFonts w:ascii="Arial" w:eastAsia="Arial Nova" w:hAnsi="Arial" w:cs="Arial Nova"/>
          <w:color w:val="000000" w:themeColor="text1"/>
          <w:lang w:val="en-GB"/>
        </w:rPr>
        <w:t>I learned that both types of thinking are important in health and social care. Divergent thinking helps generate new solutions, while convergent thinking helps choose the most effective one. In real practice, professionals need both to improve services and meet people’s needs.</w:t>
      </w:r>
    </w:p>
    <w:p w14:paraId="1750A840" w14:textId="77777777" w:rsidR="005A1CA3" w:rsidRPr="005A1CA3" w:rsidRDefault="005A1CA3" w:rsidP="005A1CA3">
      <w:pPr>
        <w:spacing w:line="360" w:lineRule="auto"/>
        <w:jc w:val="both"/>
        <w:rPr>
          <w:rFonts w:ascii="Arial" w:eastAsia="Arial Nova" w:hAnsi="Arial" w:cs="Arial Nova"/>
          <w:color w:val="000000" w:themeColor="text1"/>
          <w:lang w:val="en-GB"/>
        </w:rPr>
      </w:pPr>
      <w:r w:rsidRPr="005A1CA3">
        <w:rPr>
          <w:rFonts w:ascii="Arial" w:eastAsia="Arial Nova" w:hAnsi="Arial" w:cs="Arial Nova"/>
          <w:color w:val="000000" w:themeColor="text1"/>
          <w:lang w:val="en-GB"/>
        </w:rPr>
        <w:t>If I were to do this activity again, I would try to balance my thinking more. I would also participate more during the convergent stage by asking questions and helping the group compare ideas. Overall, the activity improved my teamwork, communication, and problem-solving skills. It also helped me understand how creativity and structured decision-making work together to create value in health and social care.</w:t>
      </w:r>
    </w:p>
    <w:p w14:paraId="2FDFC4D6" w14:textId="1F86C576" w:rsidR="021F216E" w:rsidRDefault="021F216E" w:rsidP="021F216E">
      <w:pPr>
        <w:rPr>
          <w:rFonts w:ascii="Arial Nova" w:eastAsia="Arial Nova" w:hAnsi="Arial Nova" w:cs="Arial Nova"/>
          <w:i/>
          <w:iCs/>
          <w:color w:val="000000" w:themeColor="text1"/>
        </w:rPr>
      </w:pPr>
    </w:p>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3D8E9ECA" w14:textId="33CA9756" w:rsidR="32ADAAF6" w:rsidRPr="006E135E" w:rsidRDefault="2A01ADFD" w:rsidP="006E135E">
      <w:pPr>
        <w:pStyle w:val="Heading1"/>
        <w:rPr>
          <w:color w:val="auto"/>
        </w:rPr>
      </w:pPr>
      <w:bookmarkStart w:id="2" w:name="_Toc214138753"/>
      <w:r w:rsidRPr="006E135E">
        <w:rPr>
          <w:color w:val="auto"/>
        </w:rPr>
        <w:lastRenderedPageBreak/>
        <w:t xml:space="preserve">Task 3 - </w:t>
      </w:r>
      <w:r w:rsidR="32ADAAF6" w:rsidRPr="006E135E">
        <w:rPr>
          <w:color w:val="auto"/>
        </w:rPr>
        <w:t>Case Study of a UK innovation</w:t>
      </w:r>
      <w:bookmarkEnd w:id="2"/>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18748B80" w14:textId="0C0A00A1" w:rsidR="00257AC5" w:rsidRPr="00257AC5" w:rsidRDefault="00257AC5" w:rsidP="00257AC5">
      <w:pPr>
        <w:spacing w:line="360" w:lineRule="auto"/>
        <w:jc w:val="both"/>
        <w:rPr>
          <w:rFonts w:ascii="Arial" w:eastAsia="Arial Nova" w:hAnsi="Arial" w:cs="Arial Nova"/>
          <w:lang w:val="en-GB"/>
        </w:rPr>
      </w:pPr>
      <w:r w:rsidRPr="00257AC5">
        <w:rPr>
          <w:rFonts w:ascii="Arial" w:eastAsia="Arial Nova" w:hAnsi="Arial" w:cs="Arial Nova"/>
          <w:lang w:val="en-GB"/>
        </w:rPr>
        <w:t>Innovation Example: NHS at Home – Remote Monitoring</w:t>
      </w:r>
    </w:p>
    <w:p w14:paraId="4A186BD7" w14:textId="77777777" w:rsidR="00257AC5" w:rsidRPr="00257AC5" w:rsidRDefault="00257AC5" w:rsidP="00257AC5">
      <w:pPr>
        <w:spacing w:line="360" w:lineRule="auto"/>
        <w:jc w:val="both"/>
        <w:rPr>
          <w:rFonts w:ascii="Arial" w:eastAsia="Arial Nova" w:hAnsi="Arial" w:cs="Arial Nova"/>
          <w:lang w:val="en-GB"/>
        </w:rPr>
      </w:pPr>
      <w:r w:rsidRPr="00257AC5">
        <w:rPr>
          <w:rFonts w:ascii="Arial" w:eastAsia="Arial Nova" w:hAnsi="Arial" w:cs="Arial Nova"/>
          <w:lang w:val="en-GB"/>
        </w:rPr>
        <w:t>The “NHS at Home” initiative is a creative and innovative project designed to support people with long-term conditions from their own homes. It responds to major pressures in the NHS, including rising hospital admissions, workforce shortages, and the need to deliver care more efficiently (NHS England, 2023). Week 3 materials highlight that innovation in the NHS must combine creativity, technology, and new service models to improve patient outcomes.</w:t>
      </w:r>
    </w:p>
    <w:p w14:paraId="25EDF5BE" w14:textId="77777777" w:rsidR="00257AC5" w:rsidRPr="00257AC5" w:rsidRDefault="00257AC5" w:rsidP="00257AC5">
      <w:pPr>
        <w:spacing w:line="360" w:lineRule="auto"/>
        <w:jc w:val="both"/>
        <w:rPr>
          <w:rFonts w:ascii="Arial" w:eastAsia="Arial Nova" w:hAnsi="Arial" w:cs="Arial Nova"/>
          <w:lang w:val="en-GB"/>
        </w:rPr>
      </w:pPr>
      <w:r w:rsidRPr="00257AC5">
        <w:rPr>
          <w:rFonts w:ascii="Arial" w:eastAsia="Arial Nova" w:hAnsi="Arial" w:cs="Arial Nova"/>
          <w:lang w:val="en-GB"/>
        </w:rPr>
        <w:t>Creativity was used from the beginning of the NHS at Home project. Instead of relying on traditional hospital-based care, NHS teams re-imagined how everyday devices—such as wearable sensors, home monitors, and digital apps—could be used to track vital signs at home. This creative approach aligns with the CQC’s principle of developing innovations with service users and adopting ideas that already work elsewhere (Care Quality Commission, 2021). Using simple tools like blood pressure monitors, oxygen sensors, and smartphone apps, patients were able to record their health data daily.</w:t>
      </w:r>
    </w:p>
    <w:p w14:paraId="34F93D4F" w14:textId="77777777" w:rsidR="00257AC5" w:rsidRPr="00257AC5" w:rsidRDefault="00257AC5" w:rsidP="00257AC5">
      <w:pPr>
        <w:spacing w:line="360" w:lineRule="auto"/>
        <w:jc w:val="both"/>
        <w:rPr>
          <w:rFonts w:ascii="Arial" w:eastAsia="Arial Nova" w:hAnsi="Arial" w:cs="Arial Nova"/>
          <w:lang w:val="en-GB"/>
        </w:rPr>
      </w:pPr>
      <w:r w:rsidRPr="00257AC5">
        <w:rPr>
          <w:rFonts w:ascii="Arial" w:eastAsia="Arial Nova" w:hAnsi="Arial" w:cs="Arial Nova"/>
          <w:lang w:val="en-GB"/>
        </w:rPr>
        <w:t>The initiative also used creative AI-supported predictive analytics (</w:t>
      </w:r>
      <w:proofErr w:type="gramStart"/>
      <w:r w:rsidRPr="00257AC5">
        <w:rPr>
          <w:rFonts w:ascii="Arial" w:eastAsia="Arial Nova" w:hAnsi="Arial" w:cs="Arial Nova"/>
          <w:lang w:val="en-GB"/>
        </w:rPr>
        <w:t>similar to</w:t>
      </w:r>
      <w:proofErr w:type="gramEnd"/>
      <w:r w:rsidRPr="00257AC5">
        <w:rPr>
          <w:rFonts w:ascii="Arial" w:eastAsia="Arial Nova" w:hAnsi="Arial" w:cs="Arial Nova"/>
          <w:lang w:val="en-GB"/>
        </w:rPr>
        <w:t xml:space="preserve"> the AI radiology case), which alerted clinicians to early signs of deterioration. This helped prevent emergency admissions and allowed staff to intervene early. Week 3 content explains that creativity in innovation involves rethinking care pathways, and the NHS at Home model transformed the traditional pathway by shifting care from hospital to home.</w:t>
      </w:r>
    </w:p>
    <w:p w14:paraId="58B1DDE2" w14:textId="77777777" w:rsidR="00257AC5" w:rsidRPr="00257AC5" w:rsidRDefault="00257AC5" w:rsidP="00257AC5">
      <w:pPr>
        <w:spacing w:line="360" w:lineRule="auto"/>
        <w:jc w:val="both"/>
        <w:rPr>
          <w:rFonts w:ascii="Arial" w:eastAsia="Arial Nova" w:hAnsi="Arial" w:cs="Arial Nova"/>
          <w:lang w:val="en-GB"/>
        </w:rPr>
      </w:pPr>
      <w:r w:rsidRPr="00257AC5">
        <w:rPr>
          <w:rFonts w:ascii="Arial" w:eastAsia="Arial Nova" w:hAnsi="Arial" w:cs="Arial Nova"/>
          <w:lang w:val="en-GB"/>
        </w:rPr>
        <w:t xml:space="preserve">The value created for service users was significant. First, patients reported feeling more confident and in control of their health routines. Remote monitoring reduced the anxiety of waiting for appointments and enabled faster support when needed. Second, hospital admissions and readmissions decreased, which created value for the NHS by reducing pressure on emergency services and freeing up beds. This aligns with Week 3’s “value </w:t>
      </w:r>
      <w:r w:rsidRPr="00257AC5">
        <w:rPr>
          <w:rFonts w:ascii="Arial" w:eastAsia="Arial Nova" w:hAnsi="Arial" w:cs="Arial Nova"/>
          <w:lang w:val="en-GB"/>
        </w:rPr>
        <w:lastRenderedPageBreak/>
        <w:t>creation” theme: innovation must improve outcomes, enhance experience, and create efficiencies.</w:t>
      </w:r>
    </w:p>
    <w:p w14:paraId="3A9A0D4E" w14:textId="77777777" w:rsidR="00257AC5" w:rsidRPr="00257AC5" w:rsidRDefault="00257AC5" w:rsidP="00257AC5">
      <w:pPr>
        <w:spacing w:line="360" w:lineRule="auto"/>
        <w:jc w:val="both"/>
        <w:rPr>
          <w:rFonts w:ascii="Arial" w:eastAsia="Arial Nova" w:hAnsi="Arial" w:cs="Arial Nova"/>
          <w:lang w:val="en-GB"/>
        </w:rPr>
      </w:pPr>
      <w:r w:rsidRPr="00257AC5">
        <w:rPr>
          <w:rFonts w:ascii="Arial" w:eastAsia="Arial Nova" w:hAnsi="Arial" w:cs="Arial Nova"/>
          <w:lang w:val="en-GB"/>
        </w:rPr>
        <w:t>The initiative also supported person-centred care, as individuals received personalised monitoring, education, and tailored interventions. According to the CQC, successful innovation focuses on outcomes and impact, and NHS at Home demonstrated improvements in patient wellbeing, safety, and independence (CQC, 2021).</w:t>
      </w:r>
    </w:p>
    <w:p w14:paraId="42FD39E2" w14:textId="77777777" w:rsidR="00257AC5" w:rsidRDefault="00257AC5" w:rsidP="00257AC5">
      <w:pPr>
        <w:spacing w:line="360" w:lineRule="auto"/>
        <w:jc w:val="both"/>
        <w:rPr>
          <w:rFonts w:ascii="Arial" w:eastAsia="Arial Nova" w:hAnsi="Arial" w:cs="Arial Nova"/>
          <w:lang w:val="en-GB"/>
        </w:rPr>
      </w:pPr>
      <w:r w:rsidRPr="00257AC5">
        <w:rPr>
          <w:rFonts w:ascii="Arial" w:eastAsia="Arial Nova" w:hAnsi="Arial" w:cs="Arial Nova"/>
          <w:lang w:val="en-GB"/>
        </w:rPr>
        <w:t>Overall, NHS at Home is a strong example of how creativity, digital tools, and user involvement can transform health and social care. It shows that innovation does not always require expensive new inventions; it often comes from using existing technologies in more imaginative and meaningful ways.</w:t>
      </w:r>
    </w:p>
    <w:p w14:paraId="4653CA2B" w14:textId="77777777" w:rsidR="00257AC5" w:rsidRPr="00257AC5" w:rsidRDefault="00257AC5" w:rsidP="00257AC5">
      <w:pPr>
        <w:spacing w:line="360" w:lineRule="auto"/>
        <w:jc w:val="both"/>
        <w:rPr>
          <w:rFonts w:ascii="Arial" w:eastAsia="Arial Nova" w:hAnsi="Arial" w:cs="Arial Nova"/>
          <w:lang w:val="en-GB"/>
        </w:rPr>
      </w:pPr>
    </w:p>
    <w:p w14:paraId="280BB14E" w14:textId="77777777" w:rsidR="00257AC5" w:rsidRPr="00257AC5" w:rsidRDefault="00257AC5" w:rsidP="00563EB8">
      <w:pPr>
        <w:rPr>
          <w:rFonts w:ascii="Arial Nova" w:eastAsia="Arial Nova" w:hAnsi="Arial Nova" w:cs="Arial Nova"/>
        </w:rPr>
      </w:pPr>
    </w:p>
    <w:p w14:paraId="2CDF689B" w14:textId="30728786" w:rsidR="021F216E" w:rsidRDefault="021F216E" w:rsidP="021F216E">
      <w:pPr>
        <w:rPr>
          <w:rFonts w:ascii="Arial Nova" w:eastAsia="Arial Nova" w:hAnsi="Arial Nova" w:cs="Arial Nova"/>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7E7EEBF1" w14:textId="442FECF6" w:rsidR="79E626CA" w:rsidRPr="006E135E" w:rsidRDefault="11DCB36E" w:rsidP="006E135E">
      <w:pPr>
        <w:pStyle w:val="Heading1"/>
        <w:rPr>
          <w:color w:val="auto"/>
        </w:rPr>
      </w:pPr>
      <w:bookmarkStart w:id="3" w:name="_Toc214138754"/>
      <w:r w:rsidRPr="006E135E">
        <w:rPr>
          <w:color w:val="auto"/>
        </w:rPr>
        <w:lastRenderedPageBreak/>
        <w:t xml:space="preserve">Task 4 - </w:t>
      </w:r>
      <w:r w:rsidR="79E626CA" w:rsidRPr="006E135E">
        <w:rPr>
          <w:color w:val="auto"/>
        </w:rPr>
        <w:t>Research Task</w:t>
      </w:r>
      <w:bookmarkEnd w:id="3"/>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67EE1108" w14:textId="77777777" w:rsidR="000E11A0" w:rsidRPr="000E11A0" w:rsidRDefault="000E11A0" w:rsidP="000E11A0">
      <w:pPr>
        <w:spacing w:line="360" w:lineRule="auto"/>
        <w:jc w:val="both"/>
        <w:rPr>
          <w:rFonts w:ascii="Arial" w:eastAsia="Arial Nova" w:hAnsi="Arial" w:cs="Arial Nova"/>
          <w:lang w:val="en-GB"/>
        </w:rPr>
      </w:pPr>
      <w:r w:rsidRPr="000E11A0">
        <w:rPr>
          <w:rFonts w:ascii="Arial" w:eastAsia="Arial Nova" w:hAnsi="Arial" w:cs="Arial Nova"/>
          <w:lang w:val="en-GB"/>
        </w:rPr>
        <w:t>Issue: Access to Care for Vulnerable Populations in the UK</w:t>
      </w:r>
    </w:p>
    <w:p w14:paraId="33103B52" w14:textId="77777777" w:rsidR="000E11A0" w:rsidRPr="000E11A0" w:rsidRDefault="000E11A0" w:rsidP="000E11A0">
      <w:pPr>
        <w:spacing w:line="360" w:lineRule="auto"/>
        <w:jc w:val="both"/>
        <w:rPr>
          <w:rFonts w:ascii="Arial" w:eastAsia="Arial Nova" w:hAnsi="Arial" w:cs="Arial Nova"/>
          <w:lang w:val="en-GB"/>
        </w:rPr>
      </w:pPr>
      <w:r w:rsidRPr="000E11A0">
        <w:rPr>
          <w:rFonts w:ascii="Arial" w:eastAsia="Arial Nova" w:hAnsi="Arial" w:cs="Arial Nova"/>
          <w:lang w:val="en-GB"/>
        </w:rPr>
        <w:t>A major current issue in UK health and social care is the difficulty vulnerable populations face in accessing timely and appropriate care. Week 4 of the module highlights challenges such as limited resources, social inequalities, and system pressures that make it harder for certain groups—such as low-income families, migrants, people experiencing homelessness, or individuals with disabilities—to get the care they need. Two academic studies help explain why this problem continues.</w:t>
      </w:r>
    </w:p>
    <w:p w14:paraId="10C08359" w14:textId="77777777" w:rsidR="000E11A0" w:rsidRPr="000E11A0" w:rsidRDefault="000E11A0" w:rsidP="000E11A0">
      <w:pPr>
        <w:spacing w:line="360" w:lineRule="auto"/>
        <w:jc w:val="both"/>
        <w:rPr>
          <w:rFonts w:ascii="Arial" w:eastAsia="Arial Nova" w:hAnsi="Arial" w:cs="Arial Nova"/>
          <w:lang w:val="en-GB"/>
        </w:rPr>
      </w:pPr>
      <w:r w:rsidRPr="000E11A0">
        <w:rPr>
          <w:rFonts w:ascii="Arial" w:eastAsia="Arial Nova" w:hAnsi="Arial" w:cs="Arial Nova"/>
          <w:lang w:val="en-GB"/>
        </w:rPr>
        <w:t>The first study by Marmot et al. (2020) examined how social inequalities affect access to healthcare. The researchers found that people living in deprived areas face more barriers, including fewer local services, longer waiting times, and difficulties travelling to appointments. The study showed that poverty, poor housing, and low income make it harder for individuals to maintain their health or seek early support. Marmot et al. explained that these inequalities are “systemic,” meaning they are built into the structure of society rather than caused by individual behaviours. As a result, vulnerable groups experience worse health outcomes and are more likely to rely on emergency care rather than preventative services.</w:t>
      </w:r>
    </w:p>
    <w:p w14:paraId="447B968B" w14:textId="77777777" w:rsidR="000E11A0" w:rsidRPr="000E11A0" w:rsidRDefault="000E11A0" w:rsidP="000E11A0">
      <w:pPr>
        <w:spacing w:line="360" w:lineRule="auto"/>
        <w:jc w:val="both"/>
        <w:rPr>
          <w:rFonts w:ascii="Arial" w:eastAsia="Arial Nova" w:hAnsi="Arial" w:cs="Arial Nova"/>
          <w:lang w:val="en-GB"/>
        </w:rPr>
      </w:pPr>
      <w:r w:rsidRPr="000E11A0">
        <w:rPr>
          <w:rFonts w:ascii="Arial" w:eastAsia="Arial Nova" w:hAnsi="Arial" w:cs="Arial Nova"/>
          <w:lang w:val="en-GB"/>
        </w:rPr>
        <w:t>The second study by Fisher et al. (2021) explored access problems within primary care. Their research found that vulnerable populations struggle due to digital exclusion, language barriers, and difficulties navigating complex NHS systems. Many participants reported challenges using online booking systems, especially older adults and people without stable housing. Fisher et al. also found that GP shortages and capacity pressures reduce appointment availability, which leaves vulnerable groups waiting longer. The study concluded that limited resources, workforce pressures, and social disadvantage interact to create unequal access.</w:t>
      </w:r>
    </w:p>
    <w:p w14:paraId="544B2896" w14:textId="77777777" w:rsidR="000E11A0" w:rsidRPr="000E11A0" w:rsidRDefault="000E11A0" w:rsidP="000E11A0">
      <w:pPr>
        <w:spacing w:line="360" w:lineRule="auto"/>
        <w:jc w:val="both"/>
        <w:rPr>
          <w:rFonts w:ascii="Arial" w:eastAsia="Arial Nova" w:hAnsi="Arial" w:cs="Arial Nova"/>
          <w:lang w:val="en-GB"/>
        </w:rPr>
      </w:pPr>
      <w:r w:rsidRPr="000E11A0">
        <w:rPr>
          <w:rFonts w:ascii="Arial" w:eastAsia="Arial Nova" w:hAnsi="Arial" w:cs="Arial Nova"/>
          <w:lang w:val="en-GB"/>
        </w:rPr>
        <w:lastRenderedPageBreak/>
        <w:t>Together, these articles show that access problems are caused by deep-rooted inequalities, digital and communication barriers, and system-level capacity pressures. Addressing these issues is essential for creating a more inclusive and fair health and social care system.</w:t>
      </w:r>
    </w:p>
    <w:p w14:paraId="0A496E4E" w14:textId="48E76F8E" w:rsidR="021F216E" w:rsidRPr="000E11A0" w:rsidRDefault="021F216E" w:rsidP="000E11A0">
      <w:pPr>
        <w:spacing w:line="360" w:lineRule="auto"/>
        <w:jc w:val="both"/>
        <w:rPr>
          <w:rFonts w:ascii="Arial" w:eastAsia="Arial Nova" w:hAnsi="Arial" w:cs="Arial Nova"/>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2AC0737F" w14:textId="77777777" w:rsidR="00563EB8" w:rsidRDefault="00563EB8" w:rsidP="021F216E">
      <w:pPr>
        <w:rPr>
          <w:rFonts w:ascii="Arial Nova" w:eastAsia="Arial Nova" w:hAnsi="Arial Nova" w:cs="Arial Nova"/>
          <w:i/>
          <w:iCs/>
          <w:color w:val="000000" w:themeColor="text1"/>
        </w:rPr>
      </w:pPr>
    </w:p>
    <w:p w14:paraId="21908EA1" w14:textId="77777777" w:rsidR="00563EB8" w:rsidRDefault="00563EB8" w:rsidP="021F216E">
      <w:pPr>
        <w:rPr>
          <w:rFonts w:ascii="Arial Nova" w:eastAsia="Arial Nova" w:hAnsi="Arial Nova" w:cs="Arial Nova"/>
          <w:i/>
          <w:iCs/>
          <w:color w:val="000000" w:themeColor="text1"/>
        </w:rPr>
      </w:pPr>
    </w:p>
    <w:p w14:paraId="7453D93C" w14:textId="77777777" w:rsidR="00563EB8" w:rsidRDefault="00563EB8" w:rsidP="021F216E">
      <w:pPr>
        <w:rPr>
          <w:rFonts w:ascii="Arial Nova" w:eastAsia="Arial Nova" w:hAnsi="Arial Nova" w:cs="Arial Nova"/>
          <w:i/>
          <w:iCs/>
          <w:color w:val="000000" w:themeColor="text1"/>
        </w:rPr>
      </w:pPr>
    </w:p>
    <w:p w14:paraId="59E81766" w14:textId="77777777" w:rsidR="00563EB8" w:rsidRDefault="00563EB8" w:rsidP="021F216E">
      <w:pPr>
        <w:rPr>
          <w:rFonts w:ascii="Arial Nova" w:eastAsia="Arial Nova" w:hAnsi="Arial Nova" w:cs="Arial Nova"/>
          <w:i/>
          <w:iCs/>
          <w:color w:val="000000" w:themeColor="text1"/>
        </w:rPr>
      </w:pPr>
    </w:p>
    <w:p w14:paraId="3BA2A09D" w14:textId="77777777" w:rsidR="00563EB8" w:rsidRDefault="00563EB8" w:rsidP="021F216E">
      <w:pPr>
        <w:rPr>
          <w:rFonts w:ascii="Arial Nova" w:eastAsia="Arial Nova" w:hAnsi="Arial Nova" w:cs="Arial Nova"/>
          <w:i/>
          <w:iCs/>
          <w:color w:val="000000" w:themeColor="text1"/>
        </w:rPr>
      </w:pPr>
    </w:p>
    <w:p w14:paraId="1E66DAB7" w14:textId="77777777" w:rsidR="00563EB8" w:rsidRDefault="00563EB8" w:rsidP="021F216E">
      <w:pPr>
        <w:rPr>
          <w:rFonts w:ascii="Arial Nova" w:eastAsia="Arial Nova" w:hAnsi="Arial Nova" w:cs="Arial Nova"/>
          <w:i/>
          <w:iCs/>
          <w:color w:val="000000" w:themeColor="text1"/>
        </w:rPr>
      </w:pPr>
    </w:p>
    <w:p w14:paraId="64C96ADE" w14:textId="77777777" w:rsidR="00563EB8" w:rsidRDefault="00563EB8" w:rsidP="021F216E">
      <w:pPr>
        <w:rPr>
          <w:rFonts w:ascii="Arial Nova" w:eastAsia="Arial Nova" w:hAnsi="Arial Nova" w:cs="Arial Nova"/>
          <w:i/>
          <w:iCs/>
          <w:color w:val="000000" w:themeColor="text1"/>
        </w:rPr>
      </w:pPr>
    </w:p>
    <w:p w14:paraId="4138D05F" w14:textId="77777777" w:rsidR="00563EB8" w:rsidRDefault="00563EB8" w:rsidP="021F216E">
      <w:pPr>
        <w:rPr>
          <w:rFonts w:ascii="Arial Nova" w:eastAsia="Arial Nova" w:hAnsi="Arial Nova" w:cs="Arial Nova"/>
          <w:i/>
          <w:iCs/>
          <w:color w:val="000000" w:themeColor="text1"/>
        </w:rPr>
      </w:pPr>
    </w:p>
    <w:p w14:paraId="512F930E" w14:textId="77777777" w:rsidR="00563EB8" w:rsidRDefault="00563EB8" w:rsidP="021F216E">
      <w:pPr>
        <w:rPr>
          <w:rFonts w:ascii="Arial Nova" w:eastAsia="Arial Nova" w:hAnsi="Arial Nova" w:cs="Arial Nova"/>
          <w:i/>
          <w:iCs/>
          <w:color w:val="000000" w:themeColor="text1"/>
        </w:rPr>
      </w:pPr>
    </w:p>
    <w:p w14:paraId="0BD064DA" w14:textId="77777777" w:rsidR="00563EB8" w:rsidRDefault="00563EB8"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1835F48B" w14:textId="77777777" w:rsidR="000E11A0" w:rsidRDefault="000E11A0">
      <w:pPr>
        <w:rPr>
          <w:rFonts w:ascii="Arial Nova" w:eastAsia="Arial Nova" w:hAnsi="Arial Nova" w:cs="Arial Nova"/>
          <w:color w:val="000000" w:themeColor="text1"/>
          <w:sz w:val="44"/>
          <w:szCs w:val="44"/>
        </w:rPr>
      </w:pPr>
      <w:bookmarkStart w:id="4" w:name="_Hlk214133952"/>
      <w:r>
        <w:rPr>
          <w:rFonts w:ascii="Arial Nova" w:eastAsia="Arial Nova" w:hAnsi="Arial Nova" w:cs="Arial Nova"/>
          <w:color w:val="000000" w:themeColor="text1"/>
          <w:sz w:val="44"/>
          <w:szCs w:val="44"/>
        </w:rPr>
        <w:br w:type="page"/>
      </w:r>
    </w:p>
    <w:p w14:paraId="443966C0" w14:textId="59AE8BCC" w:rsidR="6D65878B" w:rsidRPr="006E135E" w:rsidRDefault="72B6EECC" w:rsidP="006E135E">
      <w:pPr>
        <w:pStyle w:val="Heading1"/>
        <w:rPr>
          <w:color w:val="auto"/>
        </w:rPr>
      </w:pPr>
      <w:bookmarkStart w:id="5" w:name="_Hlk214134132"/>
      <w:bookmarkStart w:id="6" w:name="_Toc214138755"/>
      <w:r w:rsidRPr="006E135E">
        <w:rPr>
          <w:color w:val="auto"/>
        </w:rPr>
        <w:lastRenderedPageBreak/>
        <w:t xml:space="preserve">Task </w:t>
      </w:r>
      <w:r w:rsidR="00563EB8" w:rsidRPr="006E135E">
        <w:rPr>
          <w:color w:val="auto"/>
        </w:rPr>
        <w:t>5</w:t>
      </w:r>
      <w:r w:rsidRPr="006E135E">
        <w:rPr>
          <w:color w:val="auto"/>
        </w:rPr>
        <w:t xml:space="preserve"> - </w:t>
      </w:r>
      <w:r w:rsidR="6D65878B" w:rsidRPr="006E135E">
        <w:rPr>
          <w:color w:val="auto"/>
        </w:rPr>
        <w:t>Podcast</w:t>
      </w:r>
      <w:bookmarkEnd w:id="6"/>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4">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bookmarkEnd w:id="4"/>
    <w:bookmarkEnd w:id="5"/>
    <w:p w14:paraId="474DF045" w14:textId="77777777" w:rsidR="001D07DA" w:rsidRPr="001D07DA" w:rsidRDefault="001D07DA" w:rsidP="001D07DA">
      <w:pPr>
        <w:rPr>
          <w:rFonts w:ascii="Arial Nova" w:eastAsia="Arial Nova" w:hAnsi="Arial Nova" w:cs="Arial Nova"/>
          <w:i/>
          <w:iCs/>
          <w:sz w:val="30"/>
          <w:szCs w:val="30"/>
          <w:lang w:val="en-GB"/>
        </w:rPr>
      </w:pPr>
      <w:r w:rsidRPr="001D07DA">
        <w:rPr>
          <w:rFonts w:ascii="Arial Nova" w:eastAsia="Arial Nova" w:hAnsi="Arial Nova" w:cs="Arial Nova"/>
          <w:i/>
          <w:iCs/>
          <w:sz w:val="30"/>
          <w:szCs w:val="30"/>
          <w:lang w:val="en-GB"/>
        </w:rPr>
        <w:fldChar w:fldCharType="begin"/>
      </w:r>
      <w:r w:rsidRPr="001D07DA">
        <w:rPr>
          <w:rFonts w:ascii="Arial Nova" w:eastAsia="Arial Nova" w:hAnsi="Arial Nova" w:cs="Arial Nova"/>
          <w:i/>
          <w:iCs/>
          <w:sz w:val="30"/>
          <w:szCs w:val="30"/>
          <w:lang w:val="en-GB"/>
        </w:rPr>
        <w:instrText>HYPERLINK "https://uowtsd-my.sharepoint.com/:u:/g/personal/2320441_student_uwtsd_ac_uk/IQAPz0yDYoMyRYxXYnZFAxEjAayI9d3QH6udeVx0zuYJNaw?nav=eyJyZWZlcnJhbEluZm8iOnsicmVmZXJyYWxBcHAiOiJPbmVEcml2ZUZvckJ1c2luZXNzIiwicmVmZXJyYWxBcHBQbGF0Zm9ybSI6IldlYiIsInJlZmVycmFsTW9kZSI6InZpZXciLCJyZWZlcnJhbFZpZXciOiJNeUZpbGVzTGlua0NvcHkifX0&amp;e=2s292q"</w:instrText>
      </w:r>
      <w:r w:rsidRPr="001D07DA">
        <w:rPr>
          <w:rFonts w:ascii="Arial Nova" w:eastAsia="Arial Nova" w:hAnsi="Arial Nova" w:cs="Arial Nova"/>
          <w:i/>
          <w:iCs/>
          <w:sz w:val="30"/>
          <w:szCs w:val="30"/>
          <w:lang w:val="en-GB"/>
        </w:rPr>
      </w:r>
      <w:r w:rsidRPr="001D07DA">
        <w:rPr>
          <w:rFonts w:ascii="Arial Nova" w:eastAsia="Arial Nova" w:hAnsi="Arial Nova" w:cs="Arial Nova"/>
          <w:i/>
          <w:iCs/>
          <w:sz w:val="30"/>
          <w:szCs w:val="30"/>
          <w:lang w:val="en-GB"/>
        </w:rPr>
        <w:fldChar w:fldCharType="separate"/>
      </w:r>
      <w:r w:rsidRPr="001D07DA">
        <w:rPr>
          <w:rStyle w:val="Hyperlink"/>
          <w:rFonts w:ascii="Arial Nova" w:eastAsia="Arial Nova" w:hAnsi="Arial Nova" w:cs="Arial Nova"/>
          <w:i/>
          <w:iCs/>
          <w:sz w:val="30"/>
          <w:szCs w:val="30"/>
          <w:lang w:val="en-GB"/>
        </w:rPr>
        <w:t>R</w:t>
      </w:r>
      <w:r w:rsidRPr="001D07DA">
        <w:rPr>
          <w:rStyle w:val="Hyperlink"/>
          <w:rFonts w:ascii="Arial Nova" w:eastAsia="Arial Nova" w:hAnsi="Arial Nova" w:cs="Arial Nova"/>
          <w:i/>
          <w:iCs/>
          <w:sz w:val="30"/>
          <w:szCs w:val="30"/>
          <w:lang w:val="en-GB"/>
        </w:rPr>
        <w:t>e</w:t>
      </w:r>
      <w:r w:rsidRPr="001D07DA">
        <w:rPr>
          <w:rStyle w:val="Hyperlink"/>
          <w:rFonts w:ascii="Arial Nova" w:eastAsia="Arial Nova" w:hAnsi="Arial Nova" w:cs="Arial Nova"/>
          <w:i/>
          <w:iCs/>
          <w:sz w:val="30"/>
          <w:szCs w:val="30"/>
          <w:lang w:val="en-GB"/>
        </w:rPr>
        <w:t>v.mp3</w:t>
      </w:r>
      <w:r w:rsidRPr="001D07DA">
        <w:rPr>
          <w:rFonts w:ascii="Arial Nova" w:eastAsia="Arial Nova" w:hAnsi="Arial Nova" w:cs="Arial Nova"/>
          <w:i/>
          <w:iCs/>
          <w:sz w:val="30"/>
          <w:szCs w:val="30"/>
        </w:rPr>
        <w:fldChar w:fldCharType="end"/>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105B209E" w14:textId="77777777" w:rsidR="00343B29" w:rsidRDefault="00343B29">
      <w:pPr>
        <w:rPr>
          <w:rFonts w:ascii="Arial Nova" w:eastAsia="Arial Nova" w:hAnsi="Arial Nova" w:cs="Arial Nova"/>
          <w:color w:val="000000" w:themeColor="text1"/>
          <w:sz w:val="44"/>
          <w:szCs w:val="44"/>
        </w:rPr>
      </w:pPr>
      <w:bookmarkStart w:id="7" w:name="_Hlk214135317"/>
      <w:r>
        <w:rPr>
          <w:rFonts w:ascii="Arial Nova" w:eastAsia="Arial Nova" w:hAnsi="Arial Nova" w:cs="Arial Nova"/>
          <w:color w:val="000000" w:themeColor="text1"/>
          <w:sz w:val="44"/>
          <w:szCs w:val="44"/>
        </w:rPr>
        <w:br w:type="page"/>
      </w:r>
    </w:p>
    <w:p w14:paraId="58A63EFA" w14:textId="47F8016A" w:rsidR="17E92B46" w:rsidRPr="006E135E" w:rsidRDefault="21B62BFC" w:rsidP="006E135E">
      <w:pPr>
        <w:pStyle w:val="Heading1"/>
        <w:rPr>
          <w:color w:val="auto"/>
        </w:rPr>
      </w:pPr>
      <w:bookmarkStart w:id="8" w:name="_Toc214138756"/>
      <w:r w:rsidRPr="006E135E">
        <w:rPr>
          <w:color w:val="auto"/>
        </w:rPr>
        <w:lastRenderedPageBreak/>
        <w:t xml:space="preserve">Task </w:t>
      </w:r>
      <w:r w:rsidR="00563EB8" w:rsidRPr="006E135E">
        <w:rPr>
          <w:color w:val="auto"/>
        </w:rPr>
        <w:t>6</w:t>
      </w:r>
      <w:r w:rsidRPr="006E135E">
        <w:rPr>
          <w:color w:val="auto"/>
        </w:rPr>
        <w:t xml:space="preserve"> - </w:t>
      </w:r>
      <w:r w:rsidR="17E92B46" w:rsidRPr="006E135E">
        <w:rPr>
          <w:color w:val="auto"/>
        </w:rPr>
        <w:t>NHS Leadership Framework Analysis</w:t>
      </w:r>
      <w:bookmarkEnd w:id="8"/>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bookmarkEnd w:id="7"/>
    <w:p w14:paraId="4013ECC4" w14:textId="3DCE3E1B" w:rsidR="008659E3" w:rsidRPr="008659E3" w:rsidRDefault="008659E3" w:rsidP="008659E3">
      <w:pPr>
        <w:spacing w:line="360" w:lineRule="auto"/>
        <w:jc w:val="both"/>
        <w:rPr>
          <w:rFonts w:ascii="Arial" w:eastAsia="Arial Nova" w:hAnsi="Arial" w:cs="Arial Nova"/>
          <w:lang w:val="en-GB"/>
        </w:rPr>
      </w:pPr>
      <w:r w:rsidRPr="008659E3">
        <w:rPr>
          <w:rFonts w:ascii="Arial" w:eastAsia="Arial Nova" w:hAnsi="Arial" w:cs="Arial Nova"/>
          <w:lang w:val="en-GB"/>
        </w:rPr>
        <w:t xml:space="preserve">Part 1 – Summary of NHS Leadership Framework </w:t>
      </w:r>
    </w:p>
    <w:p w14:paraId="576EE95A" w14:textId="5AE97E6F" w:rsidR="008659E3" w:rsidRPr="008659E3" w:rsidRDefault="006E135E" w:rsidP="008659E3">
      <w:pPr>
        <w:spacing w:line="360" w:lineRule="auto"/>
        <w:jc w:val="both"/>
        <w:rPr>
          <w:rFonts w:ascii="Arial" w:eastAsia="Arial Nova" w:hAnsi="Arial" w:cs="Arial Nova"/>
          <w:lang w:val="en-GB"/>
        </w:rPr>
      </w:pPr>
      <w:r w:rsidRPr="006E135E">
        <w:rPr>
          <w:rFonts w:ascii="Arial" w:eastAsia="Arial Nova" w:hAnsi="Arial" w:cs="Arial Nova"/>
        </w:rPr>
        <w:t xml:space="preserve">The NHS Leadership Framework outlines the </w:t>
      </w:r>
      <w:proofErr w:type="spellStart"/>
      <w:r w:rsidRPr="006E135E">
        <w:rPr>
          <w:rFonts w:ascii="Arial" w:eastAsia="Arial Nova" w:hAnsi="Arial" w:cs="Arial Nova"/>
        </w:rPr>
        <w:t>behaviours</w:t>
      </w:r>
      <w:proofErr w:type="spellEnd"/>
      <w:r w:rsidRPr="006E135E">
        <w:rPr>
          <w:rFonts w:ascii="Arial" w:eastAsia="Arial Nova" w:hAnsi="Arial" w:cs="Arial Nova"/>
        </w:rPr>
        <w:t>, values, and skills that leaders need to deliver high-quality and compassionate health and social care (NHS Leadership Academy, 2021).</w:t>
      </w:r>
      <w:r w:rsidR="008659E3" w:rsidRPr="008659E3">
        <w:rPr>
          <w:rFonts w:ascii="Arial" w:eastAsia="Arial Nova" w:hAnsi="Arial" w:cs="Arial Nova"/>
          <w:lang w:val="en-GB"/>
        </w:rPr>
        <w:t xml:space="preserve"> The model is based on seven key components that help guide leaders at every level. These </w:t>
      </w:r>
      <w:proofErr w:type="gramStart"/>
      <w:r w:rsidR="008659E3" w:rsidRPr="008659E3">
        <w:rPr>
          <w:rFonts w:ascii="Arial" w:eastAsia="Arial Nova" w:hAnsi="Arial" w:cs="Arial Nova"/>
          <w:lang w:val="en-GB"/>
        </w:rPr>
        <w:t>include:</w:t>
      </w:r>
      <w:proofErr w:type="gramEnd"/>
      <w:r w:rsidR="008659E3" w:rsidRPr="008659E3">
        <w:rPr>
          <w:rFonts w:ascii="Arial" w:eastAsia="Arial Nova" w:hAnsi="Arial" w:cs="Arial Nova"/>
          <w:lang w:val="en-GB"/>
        </w:rPr>
        <w:t xml:space="preserve"> </w:t>
      </w:r>
      <w:r w:rsidR="008659E3" w:rsidRPr="008659E3">
        <w:rPr>
          <w:rFonts w:ascii="Arial" w:eastAsia="Arial Nova" w:hAnsi="Arial" w:cs="Arial Nova"/>
          <w:i/>
          <w:iCs/>
          <w:lang w:val="en-GB"/>
        </w:rPr>
        <w:t xml:space="preserve">Inspiring shared purpose, </w:t>
      </w:r>
      <w:proofErr w:type="gramStart"/>
      <w:r w:rsidR="008659E3" w:rsidRPr="008659E3">
        <w:rPr>
          <w:rFonts w:ascii="Arial" w:eastAsia="Arial Nova" w:hAnsi="Arial" w:cs="Arial Nova"/>
          <w:i/>
          <w:iCs/>
          <w:lang w:val="en-GB"/>
        </w:rPr>
        <w:t>Leading</w:t>
      </w:r>
      <w:proofErr w:type="gramEnd"/>
      <w:r w:rsidR="008659E3" w:rsidRPr="008659E3">
        <w:rPr>
          <w:rFonts w:ascii="Arial" w:eastAsia="Arial Nova" w:hAnsi="Arial" w:cs="Arial Nova"/>
          <w:i/>
          <w:iCs/>
          <w:lang w:val="en-GB"/>
        </w:rPr>
        <w:t xml:space="preserve"> with care, </w:t>
      </w:r>
      <w:proofErr w:type="gramStart"/>
      <w:r w:rsidR="008659E3" w:rsidRPr="008659E3">
        <w:rPr>
          <w:rFonts w:ascii="Arial" w:eastAsia="Arial Nova" w:hAnsi="Arial" w:cs="Arial Nova"/>
          <w:i/>
          <w:iCs/>
          <w:lang w:val="en-GB"/>
        </w:rPr>
        <w:t>Evaluating</w:t>
      </w:r>
      <w:proofErr w:type="gramEnd"/>
      <w:r w:rsidR="008659E3" w:rsidRPr="008659E3">
        <w:rPr>
          <w:rFonts w:ascii="Arial" w:eastAsia="Arial Nova" w:hAnsi="Arial" w:cs="Arial Nova"/>
          <w:i/>
          <w:iCs/>
          <w:lang w:val="en-GB"/>
        </w:rPr>
        <w:t xml:space="preserve"> information, </w:t>
      </w:r>
      <w:proofErr w:type="gramStart"/>
      <w:r w:rsidR="008659E3" w:rsidRPr="008659E3">
        <w:rPr>
          <w:rFonts w:ascii="Arial" w:eastAsia="Arial Nova" w:hAnsi="Arial" w:cs="Arial Nova"/>
          <w:i/>
          <w:iCs/>
          <w:lang w:val="en-GB"/>
        </w:rPr>
        <w:t>Connecting</w:t>
      </w:r>
      <w:proofErr w:type="gramEnd"/>
      <w:r w:rsidR="008659E3" w:rsidRPr="008659E3">
        <w:rPr>
          <w:rFonts w:ascii="Arial" w:eastAsia="Arial Nova" w:hAnsi="Arial" w:cs="Arial Nova"/>
          <w:i/>
          <w:iCs/>
          <w:lang w:val="en-GB"/>
        </w:rPr>
        <w:t xml:space="preserve"> our service, Sharing the vision, Engaging the team,</w:t>
      </w:r>
      <w:r w:rsidR="008659E3" w:rsidRPr="008659E3">
        <w:rPr>
          <w:rFonts w:ascii="Arial" w:eastAsia="Arial Nova" w:hAnsi="Arial" w:cs="Arial Nova"/>
          <w:lang w:val="en-GB"/>
        </w:rPr>
        <w:t xml:space="preserve"> and </w:t>
      </w:r>
      <w:proofErr w:type="gramStart"/>
      <w:r w:rsidR="008659E3" w:rsidRPr="008659E3">
        <w:rPr>
          <w:rFonts w:ascii="Arial" w:eastAsia="Arial Nova" w:hAnsi="Arial" w:cs="Arial Nova"/>
          <w:i/>
          <w:iCs/>
          <w:lang w:val="en-GB"/>
        </w:rPr>
        <w:t>Holding</w:t>
      </w:r>
      <w:proofErr w:type="gramEnd"/>
      <w:r w:rsidR="008659E3" w:rsidRPr="008659E3">
        <w:rPr>
          <w:rFonts w:ascii="Arial" w:eastAsia="Arial Nova" w:hAnsi="Arial" w:cs="Arial Nova"/>
          <w:i/>
          <w:iCs/>
          <w:lang w:val="en-GB"/>
        </w:rPr>
        <w:t xml:space="preserve"> ourselves to account</w:t>
      </w:r>
      <w:r w:rsidR="008659E3" w:rsidRPr="008659E3">
        <w:rPr>
          <w:rFonts w:ascii="Arial" w:eastAsia="Arial Nova" w:hAnsi="Arial" w:cs="Arial Nova"/>
          <w:lang w:val="en-GB"/>
        </w:rPr>
        <w:t>. Week 7 explains that these components encourage leaders to act ethically, communicate clearly, and focus on improving the experience of patients and staff.</w:t>
      </w:r>
    </w:p>
    <w:p w14:paraId="54FB0CD8" w14:textId="12EDE6B0" w:rsidR="008659E3" w:rsidRPr="008659E3" w:rsidRDefault="008659E3" w:rsidP="008659E3">
      <w:pPr>
        <w:spacing w:line="360" w:lineRule="auto"/>
        <w:jc w:val="both"/>
        <w:rPr>
          <w:rFonts w:ascii="Arial" w:eastAsia="Arial Nova" w:hAnsi="Arial" w:cs="Arial Nova"/>
          <w:lang w:val="en-GB"/>
        </w:rPr>
      </w:pPr>
      <w:r w:rsidRPr="008659E3">
        <w:rPr>
          <w:rFonts w:ascii="Arial" w:eastAsia="Arial Nova" w:hAnsi="Arial" w:cs="Arial Nova"/>
          <w:lang w:val="en-GB"/>
        </w:rPr>
        <w:t>A core message in the framework is that leadership is not limited to managers</w:t>
      </w:r>
      <w:r w:rsidR="006E135E">
        <w:rPr>
          <w:rFonts w:ascii="Arial" w:eastAsia="Arial Nova" w:hAnsi="Arial" w:cs="Arial Nova"/>
          <w:lang w:val="en-GB"/>
        </w:rPr>
        <w:t xml:space="preserve">, </w:t>
      </w:r>
      <w:r w:rsidRPr="008659E3">
        <w:rPr>
          <w:rFonts w:ascii="Arial" w:eastAsia="Arial Nova" w:hAnsi="Arial" w:cs="Arial Nova"/>
          <w:lang w:val="en-GB"/>
        </w:rPr>
        <w:t>anyone in the NHS can demonstrate leadership by making decisions that support people and improve care. The framework also highlights the importance of compassion, teamwork, and collaboration, especially during times of pressure or change. Leaders must understand the needs of diverse groups, manage resources wisely, and create safe working environments where staff feel supported to speak up and share ideas.</w:t>
      </w:r>
    </w:p>
    <w:p w14:paraId="3E288A91" w14:textId="77777777" w:rsidR="008659E3" w:rsidRPr="008659E3" w:rsidRDefault="008659E3" w:rsidP="008659E3">
      <w:pPr>
        <w:spacing w:line="360" w:lineRule="auto"/>
        <w:jc w:val="both"/>
        <w:rPr>
          <w:rFonts w:ascii="Arial" w:eastAsia="Arial Nova" w:hAnsi="Arial" w:cs="Arial Nova"/>
          <w:lang w:val="en-GB"/>
        </w:rPr>
      </w:pPr>
      <w:r w:rsidRPr="008659E3">
        <w:rPr>
          <w:rFonts w:ascii="Arial" w:eastAsia="Arial Nova" w:hAnsi="Arial" w:cs="Arial Nova"/>
          <w:lang w:val="en-GB"/>
        </w:rPr>
        <w:t>Overall, the NHS Leadership Framework provides a structure that helps leaders focus on quality improvement, patient safety, innovation, and empowering staff. These components ensure leaders can adapt to challenges, encourage creativity, and maintain high standards of care across the NHS (West et al., 2020).</w:t>
      </w:r>
    </w:p>
    <w:p w14:paraId="3458BD2F" w14:textId="10984CFD" w:rsidR="008659E3" w:rsidRPr="008659E3" w:rsidRDefault="008659E3" w:rsidP="008659E3">
      <w:pPr>
        <w:spacing w:line="360" w:lineRule="auto"/>
        <w:jc w:val="both"/>
        <w:rPr>
          <w:rFonts w:ascii="Arial" w:eastAsia="Arial Nova" w:hAnsi="Arial" w:cs="Arial Nova"/>
          <w:lang w:val="en-GB"/>
        </w:rPr>
      </w:pPr>
    </w:p>
    <w:p w14:paraId="4B5E8C1D" w14:textId="4E2C827F" w:rsidR="008659E3" w:rsidRPr="008659E3" w:rsidRDefault="008659E3" w:rsidP="008659E3">
      <w:pPr>
        <w:spacing w:line="360" w:lineRule="auto"/>
        <w:jc w:val="both"/>
        <w:rPr>
          <w:rFonts w:ascii="Arial" w:eastAsia="Arial Nova" w:hAnsi="Arial" w:cs="Arial Nova"/>
          <w:lang w:val="en-GB"/>
        </w:rPr>
      </w:pPr>
      <w:r w:rsidRPr="008659E3">
        <w:rPr>
          <w:rFonts w:ascii="Arial" w:eastAsia="Arial Nova" w:hAnsi="Arial" w:cs="Arial Nova"/>
          <w:lang w:val="en-GB"/>
        </w:rPr>
        <w:t xml:space="preserve">Part 2 – Using One Component to Encourage Creativity </w:t>
      </w:r>
    </w:p>
    <w:p w14:paraId="05321ECA" w14:textId="77777777" w:rsidR="008659E3" w:rsidRPr="008659E3" w:rsidRDefault="008659E3" w:rsidP="008659E3">
      <w:pPr>
        <w:spacing w:line="360" w:lineRule="auto"/>
        <w:jc w:val="both"/>
        <w:rPr>
          <w:rFonts w:ascii="Arial" w:eastAsia="Arial Nova" w:hAnsi="Arial" w:cs="Arial Nova"/>
          <w:lang w:val="en-GB"/>
        </w:rPr>
      </w:pPr>
      <w:r w:rsidRPr="008659E3">
        <w:rPr>
          <w:rFonts w:ascii="Arial" w:eastAsia="Arial Nova" w:hAnsi="Arial" w:cs="Arial Nova"/>
          <w:lang w:val="en-GB"/>
        </w:rPr>
        <w:t>Component chosen: Engaging the Team</w:t>
      </w:r>
    </w:p>
    <w:p w14:paraId="6ED3CE39" w14:textId="77777777" w:rsidR="008659E3" w:rsidRPr="008659E3" w:rsidRDefault="008659E3" w:rsidP="008659E3">
      <w:pPr>
        <w:spacing w:line="360" w:lineRule="auto"/>
        <w:jc w:val="both"/>
        <w:rPr>
          <w:rFonts w:ascii="Arial" w:eastAsia="Arial Nova" w:hAnsi="Arial" w:cs="Arial Nova"/>
          <w:lang w:val="en-GB"/>
        </w:rPr>
      </w:pPr>
      <w:r w:rsidRPr="008659E3">
        <w:rPr>
          <w:rFonts w:ascii="Arial" w:eastAsia="Arial Nova" w:hAnsi="Arial" w:cs="Arial Nova"/>
          <w:lang w:val="en-GB"/>
        </w:rPr>
        <w:t xml:space="preserve">Engaging the team is an important leadership behaviour because it helps staff feel valued and involved in decisions. When leaders engage their teams effectively, they create an </w:t>
      </w:r>
      <w:r w:rsidRPr="008659E3">
        <w:rPr>
          <w:rFonts w:ascii="Arial" w:eastAsia="Arial Nova" w:hAnsi="Arial" w:cs="Arial Nova"/>
          <w:lang w:val="en-GB"/>
        </w:rPr>
        <w:lastRenderedPageBreak/>
        <w:t>environment where people feel confident to share new ideas and take part in creative problem-solving. Week 7 highlights that good leaders encourage open communication, listen actively, and build trust within their teams. This behaviour supports creativity because staff are more likely to suggest improvements when they feel safe and respected.</w:t>
      </w:r>
    </w:p>
    <w:p w14:paraId="4E9B4C4E" w14:textId="77777777" w:rsidR="008659E3" w:rsidRPr="008659E3" w:rsidRDefault="008659E3" w:rsidP="008659E3">
      <w:pPr>
        <w:spacing w:line="360" w:lineRule="auto"/>
        <w:jc w:val="both"/>
        <w:rPr>
          <w:rFonts w:ascii="Arial" w:eastAsia="Arial Nova" w:hAnsi="Arial" w:cs="Arial Nova"/>
          <w:lang w:val="en-GB"/>
        </w:rPr>
      </w:pPr>
      <w:r w:rsidRPr="008659E3">
        <w:rPr>
          <w:rFonts w:ascii="Arial" w:eastAsia="Arial Nova" w:hAnsi="Arial" w:cs="Arial Nova"/>
          <w:lang w:val="en-GB"/>
        </w:rPr>
        <w:t>A leader can use this component by organising regular team huddles, encouraging open discussion, and recognising staff contributions. They can also involve staff in shaping new services, testing ideas, or developing innovations. Research shows that when leaders empower their teams, creativity increases and patient care improves (Ham et al., 2021). Therefore, engaging the team helps build a culture where innovation is welcomed and everyone feels part of positive change.</w:t>
      </w:r>
    </w:p>
    <w:p w14:paraId="156F27C2" w14:textId="301D9C6F" w:rsidR="021F216E" w:rsidRPr="008659E3" w:rsidRDefault="021F216E" w:rsidP="008659E3">
      <w:pPr>
        <w:spacing w:line="360" w:lineRule="auto"/>
        <w:rPr>
          <w:rFonts w:ascii="Arial" w:eastAsia="Arial Nova" w:hAnsi="Arial" w:cs="Arial Nova"/>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743C7137" w14:textId="376E5415" w:rsidR="17E92B46" w:rsidRPr="006E135E" w:rsidRDefault="38F3069B" w:rsidP="006E135E">
      <w:pPr>
        <w:pStyle w:val="Heading1"/>
        <w:rPr>
          <w:color w:val="auto"/>
        </w:rPr>
      </w:pPr>
      <w:bookmarkStart w:id="9" w:name="_Toc214138757"/>
      <w:r w:rsidRPr="006E135E">
        <w:rPr>
          <w:color w:val="auto"/>
        </w:rPr>
        <w:t xml:space="preserve">Task </w:t>
      </w:r>
      <w:r w:rsidR="00563EB8" w:rsidRPr="006E135E">
        <w:rPr>
          <w:color w:val="auto"/>
        </w:rPr>
        <w:t>7</w:t>
      </w:r>
      <w:r w:rsidRPr="006E135E">
        <w:rPr>
          <w:color w:val="auto"/>
        </w:rPr>
        <w:t xml:space="preserve"> - </w:t>
      </w:r>
      <w:r w:rsidR="17E92B46" w:rsidRPr="006E135E">
        <w:rPr>
          <w:color w:val="auto"/>
        </w:rPr>
        <w:t>Self-Reflection Journal Entry</w:t>
      </w:r>
      <w:bookmarkEnd w:id="9"/>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4ADD6BDA" w14:textId="77777777" w:rsidR="00B20CA9" w:rsidRPr="00B20CA9" w:rsidRDefault="00B20CA9" w:rsidP="00B20CA9">
      <w:pPr>
        <w:spacing w:line="360" w:lineRule="auto"/>
        <w:jc w:val="both"/>
        <w:rPr>
          <w:rFonts w:ascii="Arial" w:eastAsia="Arial Nova" w:hAnsi="Arial" w:cs="Arial Nova"/>
          <w:color w:val="000000" w:themeColor="text1"/>
          <w:lang w:val="en-GB"/>
        </w:rPr>
      </w:pPr>
      <w:r w:rsidRPr="00B20CA9">
        <w:rPr>
          <w:rFonts w:ascii="Arial" w:eastAsia="Arial Nova" w:hAnsi="Arial" w:cs="Arial Nova"/>
          <w:color w:val="000000" w:themeColor="text1"/>
          <w:lang w:val="en-GB"/>
        </w:rPr>
        <w:t>During this module, my understanding of creativity and value creation in health and social care has developed greatly. At first, I thought creativity was only about producing new ideas. However, through the weekly sessions, I learned that creativity is also about solving problems in practical ways and improving people’s experiences. Week 9 highlighted that innovation must respond to real pressures such as inequalities, rising demand, and workforce challenges. This helped me see why creativity is essential for improving care in the NHS.</w:t>
      </w:r>
    </w:p>
    <w:p w14:paraId="55218062" w14:textId="40CE6637" w:rsidR="00B20CA9" w:rsidRPr="00B20CA9" w:rsidRDefault="00B20CA9" w:rsidP="00B20CA9">
      <w:pPr>
        <w:spacing w:line="360" w:lineRule="auto"/>
        <w:jc w:val="both"/>
        <w:rPr>
          <w:rFonts w:ascii="Arial" w:eastAsia="Arial Nova" w:hAnsi="Arial" w:cs="Arial Nova"/>
          <w:color w:val="000000" w:themeColor="text1"/>
          <w:lang w:val="en-GB"/>
        </w:rPr>
      </w:pPr>
      <w:r w:rsidRPr="00B20CA9">
        <w:rPr>
          <w:rFonts w:ascii="Arial" w:eastAsia="Arial Nova" w:hAnsi="Arial" w:cs="Arial Nova"/>
          <w:color w:val="000000" w:themeColor="text1"/>
          <w:lang w:val="en-GB"/>
        </w:rPr>
        <w:t>I also learned the importance of reflective practice in my professional development. Reflection helps me think about what worked well, what needs to improve, and how my actions affect service users. The joint statement on reflective practice explains that reflection strengthens professional judgement and supports safer care (Statutory Regulators, 2019). Moon (2020) also highlights that reflection helps learners understand their thinking better and improve future decisions.</w:t>
      </w:r>
    </w:p>
    <w:p w14:paraId="01471DE6" w14:textId="77777777" w:rsidR="00B20CA9" w:rsidRPr="00B20CA9" w:rsidRDefault="00B20CA9" w:rsidP="00B20CA9">
      <w:pPr>
        <w:spacing w:line="360" w:lineRule="auto"/>
        <w:jc w:val="both"/>
        <w:rPr>
          <w:rFonts w:ascii="Arial" w:eastAsia="Arial Nova" w:hAnsi="Arial" w:cs="Arial Nova"/>
          <w:color w:val="000000" w:themeColor="text1"/>
          <w:lang w:val="en-GB"/>
        </w:rPr>
      </w:pPr>
      <w:r w:rsidRPr="00B20CA9">
        <w:rPr>
          <w:rFonts w:ascii="Arial" w:eastAsia="Arial Nova" w:hAnsi="Arial" w:cs="Arial Nova"/>
          <w:color w:val="000000" w:themeColor="text1"/>
          <w:lang w:val="en-GB"/>
        </w:rPr>
        <w:t>This module has changed my professional approach. I now feel more confident using creative tools, such as design thinking, brainstorming, and teamwork, to create value for service users. Overall, this module helped me become more reflective, creative, and focused on person-centred improvement.</w:t>
      </w: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5E2803DD" w14:textId="5DC26F9A" w:rsidR="3EA1690F" w:rsidRDefault="3EA1690F" w:rsidP="006E135E">
      <w:pPr>
        <w:pStyle w:val="Heading1"/>
        <w:rPr>
          <w:color w:val="auto"/>
        </w:rPr>
      </w:pPr>
      <w:bookmarkStart w:id="10" w:name="_Toc214138758"/>
      <w:r w:rsidRPr="006E135E">
        <w:rPr>
          <w:color w:val="auto"/>
        </w:rPr>
        <w:lastRenderedPageBreak/>
        <w:t>Reference List</w:t>
      </w:r>
      <w:bookmarkEnd w:id="10"/>
    </w:p>
    <w:p w14:paraId="21381120" w14:textId="77777777" w:rsidR="0079730D" w:rsidRPr="001F5C5A" w:rsidRDefault="0079730D" w:rsidP="0079730D">
      <w:pPr>
        <w:spacing w:line="360" w:lineRule="auto"/>
        <w:rPr>
          <w:rFonts w:ascii="Arial" w:hAnsi="Arial"/>
          <w:color w:val="000000" w:themeColor="text1"/>
          <w:szCs w:val="30"/>
        </w:rPr>
      </w:pPr>
    </w:p>
    <w:p w14:paraId="37886486" w14:textId="77777777" w:rsidR="0079730D" w:rsidRPr="0079730D" w:rsidRDefault="0079730D" w:rsidP="0079730D">
      <w:pPr>
        <w:spacing w:line="360" w:lineRule="auto"/>
        <w:rPr>
          <w:rFonts w:ascii="Arial" w:hAnsi="Arial"/>
          <w:lang w:val="en-GB"/>
        </w:rPr>
      </w:pPr>
      <w:r w:rsidRPr="0079730D">
        <w:rPr>
          <w:rFonts w:ascii="Arial" w:hAnsi="Arial"/>
          <w:lang w:val="en-GB"/>
        </w:rPr>
        <w:t xml:space="preserve">Boden, M. A. (1994) </w:t>
      </w:r>
      <w:r w:rsidRPr="0079730D">
        <w:rPr>
          <w:rFonts w:ascii="Arial" w:hAnsi="Arial"/>
          <w:i/>
          <w:iCs/>
          <w:lang w:val="en-GB"/>
        </w:rPr>
        <w:t>The Creative Mind: Myths and Mechanisms</w:t>
      </w:r>
      <w:r w:rsidRPr="0079730D">
        <w:rPr>
          <w:rFonts w:ascii="Arial" w:hAnsi="Arial"/>
          <w:lang w:val="en-GB"/>
        </w:rPr>
        <w:t>. London: Routledge.</w:t>
      </w:r>
    </w:p>
    <w:p w14:paraId="06854944" w14:textId="77777777" w:rsidR="0079730D" w:rsidRPr="0079730D" w:rsidRDefault="0079730D" w:rsidP="0079730D">
      <w:pPr>
        <w:spacing w:line="360" w:lineRule="auto"/>
        <w:rPr>
          <w:rFonts w:ascii="Arial" w:eastAsia="Aptos" w:hAnsi="Arial" w:cs="Aptos"/>
          <w:color w:val="000000" w:themeColor="text1"/>
          <w:szCs w:val="30"/>
          <w:lang w:val="en-GB"/>
        </w:rPr>
      </w:pPr>
      <w:r w:rsidRPr="0079730D">
        <w:rPr>
          <w:rFonts w:ascii="Arial" w:eastAsia="Aptos" w:hAnsi="Arial" w:cs="Aptos"/>
          <w:color w:val="000000" w:themeColor="text1"/>
          <w:szCs w:val="30"/>
          <w:lang w:val="en-GB"/>
        </w:rPr>
        <w:t xml:space="preserve">Care Quality Commission (2021) Enabling Innovation and Adoption in Health and Social Care: Developing a Shared View. Available at: </w:t>
      </w:r>
      <w:hyperlink r:id="rId15" w:tgtFrame="_new" w:history="1">
        <w:r w:rsidRPr="0079730D">
          <w:rPr>
            <w:rFonts w:ascii="Arial" w:hAnsi="Arial"/>
            <w:color w:val="000000" w:themeColor="text1"/>
            <w:szCs w:val="30"/>
          </w:rPr>
          <w:t>https://www.cqc.org.u</w:t>
        </w:r>
        <w:r w:rsidRPr="0079730D">
          <w:rPr>
            <w:rFonts w:ascii="Arial" w:hAnsi="Arial"/>
            <w:color w:val="000000" w:themeColor="text1"/>
            <w:szCs w:val="30"/>
          </w:rPr>
          <w:t>k</w:t>
        </w:r>
        <w:r w:rsidRPr="0079730D">
          <w:rPr>
            <w:rFonts w:ascii="Arial" w:hAnsi="Arial"/>
            <w:color w:val="000000" w:themeColor="text1"/>
            <w:szCs w:val="30"/>
          </w:rPr>
          <w:t>/sites/default/files/20210208_InnovationPrinciples_report.pdf</w:t>
        </w:r>
      </w:hyperlink>
    </w:p>
    <w:p w14:paraId="42586E59" w14:textId="77777777" w:rsidR="0079730D" w:rsidRPr="0079730D" w:rsidRDefault="0079730D" w:rsidP="0079730D">
      <w:pPr>
        <w:spacing w:line="360" w:lineRule="auto"/>
        <w:rPr>
          <w:rFonts w:ascii="Arial" w:hAnsi="Arial"/>
          <w:lang w:val="en-GB"/>
        </w:rPr>
      </w:pPr>
      <w:r w:rsidRPr="0079730D">
        <w:rPr>
          <w:rFonts w:ascii="Arial" w:hAnsi="Arial"/>
          <w:lang w:val="en-GB"/>
        </w:rPr>
        <w:t xml:space="preserve">Coulton, S., Clift, S., </w:t>
      </w:r>
      <w:proofErr w:type="spellStart"/>
      <w:r w:rsidRPr="0079730D">
        <w:rPr>
          <w:rFonts w:ascii="Arial" w:hAnsi="Arial"/>
          <w:lang w:val="en-GB"/>
        </w:rPr>
        <w:t>Skingley</w:t>
      </w:r>
      <w:proofErr w:type="spellEnd"/>
      <w:r w:rsidRPr="0079730D">
        <w:rPr>
          <w:rFonts w:ascii="Arial" w:hAnsi="Arial"/>
          <w:lang w:val="en-GB"/>
        </w:rPr>
        <w:t xml:space="preserve">, A. and Rodriguez, J. (2015) ‘Effectiveness and cost-effectiveness of community singing on mental health-related quality of life of older people: Randomised controlled trial’, </w:t>
      </w:r>
      <w:r w:rsidRPr="0079730D">
        <w:rPr>
          <w:rFonts w:ascii="Arial" w:hAnsi="Arial"/>
          <w:i/>
          <w:iCs/>
          <w:lang w:val="en-GB"/>
        </w:rPr>
        <w:t>British Journal of Psychiatry</w:t>
      </w:r>
      <w:r w:rsidRPr="0079730D">
        <w:rPr>
          <w:rFonts w:ascii="Arial" w:hAnsi="Arial"/>
          <w:lang w:val="en-GB"/>
        </w:rPr>
        <w:t xml:space="preserve">, 207, pp. 250–255. </w:t>
      </w:r>
      <w:proofErr w:type="spellStart"/>
      <w:r w:rsidRPr="0079730D">
        <w:rPr>
          <w:rFonts w:ascii="Arial" w:hAnsi="Arial"/>
          <w:lang w:val="en-GB"/>
        </w:rPr>
        <w:t>doi</w:t>
      </w:r>
      <w:proofErr w:type="spellEnd"/>
      <w:r w:rsidRPr="0079730D">
        <w:rPr>
          <w:rFonts w:ascii="Arial" w:hAnsi="Arial"/>
          <w:lang w:val="en-GB"/>
        </w:rPr>
        <w:t>: 10.1192/bjp.bp.113.129908.</w:t>
      </w:r>
    </w:p>
    <w:p w14:paraId="558E3275" w14:textId="77777777" w:rsidR="0079730D" w:rsidRPr="0079730D" w:rsidRDefault="0079730D" w:rsidP="0079730D">
      <w:pPr>
        <w:spacing w:line="360" w:lineRule="auto"/>
        <w:rPr>
          <w:rFonts w:ascii="Arial" w:hAnsi="Arial"/>
          <w:color w:val="000000" w:themeColor="text1"/>
          <w:szCs w:val="30"/>
        </w:rPr>
      </w:pPr>
      <w:r w:rsidRPr="0079730D">
        <w:rPr>
          <w:rFonts w:ascii="Arial" w:hAnsi="Arial"/>
          <w:color w:val="000000" w:themeColor="text1"/>
          <w:szCs w:val="30"/>
        </w:rPr>
        <w:t xml:space="preserve">Fisher, R., Dunn, P., Asaria, M. &amp; </w:t>
      </w:r>
      <w:proofErr w:type="spellStart"/>
      <w:r w:rsidRPr="0079730D">
        <w:rPr>
          <w:rFonts w:ascii="Arial" w:hAnsi="Arial"/>
          <w:color w:val="000000" w:themeColor="text1"/>
          <w:szCs w:val="30"/>
        </w:rPr>
        <w:t>Thorlby</w:t>
      </w:r>
      <w:proofErr w:type="spellEnd"/>
      <w:r w:rsidRPr="0079730D">
        <w:rPr>
          <w:rFonts w:ascii="Arial" w:hAnsi="Arial"/>
          <w:color w:val="000000" w:themeColor="text1"/>
          <w:szCs w:val="30"/>
        </w:rPr>
        <w:t xml:space="preserve">, R. (2020) </w:t>
      </w:r>
      <w:r w:rsidRPr="0079730D">
        <w:rPr>
          <w:rFonts w:ascii="Arial" w:hAnsi="Arial"/>
          <w:i/>
          <w:iCs/>
          <w:color w:val="000000" w:themeColor="text1"/>
          <w:szCs w:val="30"/>
        </w:rPr>
        <w:t>Level or not? Comparing general practice in areas of high and low socioeconomic deprivation in England.</w:t>
      </w:r>
      <w:r w:rsidRPr="0079730D">
        <w:rPr>
          <w:rFonts w:ascii="Arial" w:hAnsi="Arial"/>
          <w:color w:val="000000" w:themeColor="text1"/>
          <w:szCs w:val="30"/>
        </w:rPr>
        <w:t xml:space="preserve"> London: The Health Foundation.</w:t>
      </w:r>
    </w:p>
    <w:p w14:paraId="4B32A272" w14:textId="77777777" w:rsidR="0079730D" w:rsidRPr="0079730D" w:rsidRDefault="0079730D" w:rsidP="0079730D">
      <w:pPr>
        <w:spacing w:line="360" w:lineRule="auto"/>
        <w:rPr>
          <w:rFonts w:ascii="Arial" w:eastAsia="Aptos" w:hAnsi="Arial" w:cs="Aptos"/>
          <w:color w:val="000000" w:themeColor="text1"/>
          <w:szCs w:val="30"/>
          <w:lang w:val="en-GB"/>
        </w:rPr>
      </w:pPr>
      <w:r w:rsidRPr="0079730D">
        <w:rPr>
          <w:rFonts w:ascii="Arial" w:eastAsia="Aptos" w:hAnsi="Arial" w:cs="Aptos"/>
          <w:color w:val="000000" w:themeColor="text1"/>
          <w:szCs w:val="30"/>
          <w:lang w:val="en-GB"/>
        </w:rPr>
        <w:t xml:space="preserve">Gibbs, G. (1988) </w:t>
      </w:r>
      <w:r w:rsidRPr="0079730D">
        <w:rPr>
          <w:rFonts w:ascii="Arial" w:eastAsia="Aptos" w:hAnsi="Arial" w:cs="Aptos"/>
          <w:i/>
          <w:iCs/>
          <w:color w:val="000000" w:themeColor="text1"/>
          <w:szCs w:val="30"/>
          <w:lang w:val="en-GB"/>
        </w:rPr>
        <w:t>Learning by Doing: A Guide to Teaching and Learning Methods</w:t>
      </w:r>
      <w:r w:rsidRPr="0079730D">
        <w:rPr>
          <w:rFonts w:ascii="Arial" w:eastAsia="Aptos" w:hAnsi="Arial" w:cs="Aptos"/>
          <w:color w:val="000000" w:themeColor="text1"/>
          <w:szCs w:val="30"/>
          <w:lang w:val="en-GB"/>
        </w:rPr>
        <w:t>. Oxford: Oxford Further Education Unit.</w:t>
      </w:r>
    </w:p>
    <w:p w14:paraId="708ED77D" w14:textId="77777777" w:rsidR="0079730D" w:rsidRPr="0079730D" w:rsidRDefault="0079730D" w:rsidP="0079730D">
      <w:pPr>
        <w:spacing w:line="360" w:lineRule="auto"/>
        <w:rPr>
          <w:rFonts w:ascii="Arial" w:hAnsi="Arial"/>
          <w:color w:val="000000" w:themeColor="text1"/>
          <w:szCs w:val="30"/>
        </w:rPr>
      </w:pPr>
      <w:r w:rsidRPr="0079730D">
        <w:rPr>
          <w:rFonts w:ascii="Arial" w:hAnsi="Arial"/>
          <w:color w:val="000000" w:themeColor="text1"/>
          <w:szCs w:val="30"/>
        </w:rPr>
        <w:t>Marmot, M. et al. (</w:t>
      </w:r>
      <w:proofErr w:type="gramStart"/>
      <w:r w:rsidRPr="0079730D">
        <w:rPr>
          <w:rFonts w:ascii="Arial" w:hAnsi="Arial"/>
          <w:color w:val="000000" w:themeColor="text1"/>
          <w:szCs w:val="30"/>
        </w:rPr>
        <w:t>2020) ‘</w:t>
      </w:r>
      <w:proofErr w:type="gramEnd"/>
      <w:r w:rsidRPr="0079730D">
        <w:rPr>
          <w:rFonts w:ascii="Arial" w:hAnsi="Arial"/>
          <w:color w:val="000000" w:themeColor="text1"/>
          <w:szCs w:val="30"/>
        </w:rPr>
        <w:t xml:space="preserve">Health equity in England: The Marmot Review 10 years on’, </w:t>
      </w:r>
      <w:r w:rsidRPr="0079730D">
        <w:rPr>
          <w:rFonts w:ascii="Arial" w:hAnsi="Arial"/>
          <w:i/>
          <w:iCs/>
          <w:color w:val="000000" w:themeColor="text1"/>
          <w:szCs w:val="30"/>
        </w:rPr>
        <w:t>BMJ</w:t>
      </w:r>
      <w:r w:rsidRPr="0079730D">
        <w:rPr>
          <w:rFonts w:ascii="Arial" w:hAnsi="Arial"/>
          <w:color w:val="000000" w:themeColor="text1"/>
          <w:szCs w:val="30"/>
        </w:rPr>
        <w:t xml:space="preserve">, 368, m693. </w:t>
      </w:r>
      <w:proofErr w:type="spellStart"/>
      <w:r w:rsidRPr="0079730D">
        <w:rPr>
          <w:rFonts w:ascii="Arial" w:hAnsi="Arial"/>
          <w:color w:val="000000" w:themeColor="text1"/>
          <w:szCs w:val="30"/>
        </w:rPr>
        <w:t>doi</w:t>
      </w:r>
      <w:proofErr w:type="spellEnd"/>
      <w:r w:rsidRPr="0079730D">
        <w:rPr>
          <w:rFonts w:ascii="Arial" w:hAnsi="Arial"/>
          <w:color w:val="000000" w:themeColor="text1"/>
          <w:szCs w:val="30"/>
        </w:rPr>
        <w:t>: 10.1136/bmj.m693.</w:t>
      </w:r>
    </w:p>
    <w:p w14:paraId="32EDBBB7" w14:textId="77777777" w:rsidR="0079730D" w:rsidRPr="0079730D" w:rsidRDefault="0079730D" w:rsidP="0079730D">
      <w:pPr>
        <w:spacing w:line="360" w:lineRule="auto"/>
        <w:rPr>
          <w:rFonts w:ascii="Arial" w:hAnsi="Arial"/>
          <w:szCs w:val="44"/>
          <w:lang w:val="en-GB"/>
        </w:rPr>
      </w:pPr>
      <w:r w:rsidRPr="0079730D">
        <w:rPr>
          <w:rFonts w:ascii="Arial" w:hAnsi="Arial"/>
          <w:szCs w:val="44"/>
          <w:lang w:val="en-GB"/>
        </w:rPr>
        <w:t xml:space="preserve">Moon, J. (2020). </w:t>
      </w:r>
      <w:r w:rsidRPr="0079730D">
        <w:rPr>
          <w:rFonts w:ascii="Arial" w:hAnsi="Arial"/>
          <w:i/>
          <w:iCs/>
          <w:szCs w:val="44"/>
          <w:lang w:val="en-GB"/>
        </w:rPr>
        <w:t>Reflection and Employability: Learning to Learn in Professional Practice</w:t>
      </w:r>
      <w:r w:rsidRPr="0079730D">
        <w:rPr>
          <w:rFonts w:ascii="Arial" w:hAnsi="Arial"/>
          <w:szCs w:val="44"/>
          <w:lang w:val="en-GB"/>
        </w:rPr>
        <w:t>. Routledge.</w:t>
      </w:r>
    </w:p>
    <w:p w14:paraId="65472522" w14:textId="77777777" w:rsidR="0079730D" w:rsidRPr="0079730D" w:rsidRDefault="0079730D" w:rsidP="0079730D">
      <w:pPr>
        <w:spacing w:line="360" w:lineRule="auto"/>
        <w:rPr>
          <w:rFonts w:ascii="Arial" w:hAnsi="Arial"/>
          <w:color w:val="000000" w:themeColor="text1"/>
          <w:szCs w:val="30"/>
        </w:rPr>
      </w:pPr>
      <w:r w:rsidRPr="001F5C5A">
        <w:rPr>
          <w:rFonts w:ascii="Arial" w:hAnsi="Arial"/>
          <w:color w:val="000000" w:themeColor="text1"/>
          <w:szCs w:val="30"/>
        </w:rPr>
        <w:t>NHS England (2023) Supporting care with remote monitoring. Available at:</w:t>
      </w:r>
      <w:r w:rsidRPr="001F5C5A">
        <w:rPr>
          <w:rFonts w:ascii="Arial" w:hAnsi="Arial"/>
          <w:color w:val="000000" w:themeColor="text1"/>
          <w:szCs w:val="30"/>
        </w:rPr>
        <w:br/>
      </w:r>
      <w:hyperlink r:id="rId16" w:tgtFrame="_new" w:history="1">
        <w:r w:rsidRPr="001F5C5A">
          <w:rPr>
            <w:rFonts w:ascii="Arial" w:hAnsi="Arial"/>
            <w:color w:val="000000" w:themeColor="text1"/>
          </w:rPr>
          <w:t>https://transform.england.nhs.uk/covid-19-response/technology-nhs/supporting-the-innovation-collaboratives-to-expand-their-remote-monitoring-plans/</w:t>
        </w:r>
      </w:hyperlink>
      <w:r w:rsidRPr="001F5C5A">
        <w:rPr>
          <w:rFonts w:ascii="Arial" w:hAnsi="Arial"/>
          <w:color w:val="000000" w:themeColor="text1"/>
          <w:szCs w:val="30"/>
        </w:rPr>
        <w:t xml:space="preserve"> (Accessed: 10 November 2025).</w:t>
      </w:r>
    </w:p>
    <w:p w14:paraId="75687864" w14:textId="77777777" w:rsidR="0079730D" w:rsidRPr="0079730D" w:rsidRDefault="0079730D" w:rsidP="0079730D">
      <w:pPr>
        <w:spacing w:line="360" w:lineRule="auto"/>
        <w:rPr>
          <w:rFonts w:ascii="Arial" w:hAnsi="Arial"/>
          <w:lang w:val="en-GB"/>
        </w:rPr>
      </w:pPr>
      <w:r w:rsidRPr="0079730D">
        <w:rPr>
          <w:rFonts w:ascii="Arial" w:hAnsi="Arial"/>
          <w:lang w:val="en-GB"/>
        </w:rPr>
        <w:t xml:space="preserve">Porter, M. E. (2010) ‘What is value in health care?’, </w:t>
      </w:r>
      <w:r w:rsidRPr="0079730D">
        <w:rPr>
          <w:rFonts w:ascii="Arial" w:hAnsi="Arial"/>
          <w:i/>
          <w:iCs/>
          <w:lang w:val="en-GB"/>
        </w:rPr>
        <w:t>New England Journal of Medicine</w:t>
      </w:r>
      <w:r w:rsidRPr="0079730D">
        <w:rPr>
          <w:rFonts w:ascii="Arial" w:hAnsi="Arial"/>
          <w:lang w:val="en-GB"/>
        </w:rPr>
        <w:t xml:space="preserve">, 363(26), pp. 2477–2481. </w:t>
      </w:r>
      <w:proofErr w:type="spellStart"/>
      <w:r w:rsidRPr="0079730D">
        <w:rPr>
          <w:rFonts w:ascii="Arial" w:hAnsi="Arial"/>
          <w:lang w:val="en-GB"/>
        </w:rPr>
        <w:t>doi</w:t>
      </w:r>
      <w:proofErr w:type="spellEnd"/>
      <w:r w:rsidRPr="0079730D">
        <w:rPr>
          <w:rFonts w:ascii="Arial" w:hAnsi="Arial"/>
          <w:lang w:val="en-GB"/>
        </w:rPr>
        <w:t>: 10.1056/NEJMp1011024.</w:t>
      </w:r>
    </w:p>
    <w:p w14:paraId="43DF9BE0" w14:textId="532A8004" w:rsidR="0079730D" w:rsidRPr="0079730D" w:rsidRDefault="0079730D" w:rsidP="0079730D">
      <w:pPr>
        <w:spacing w:line="360" w:lineRule="auto"/>
        <w:rPr>
          <w:rFonts w:ascii="Arial" w:hAnsi="Arial"/>
          <w:szCs w:val="44"/>
        </w:rPr>
      </w:pPr>
      <w:r w:rsidRPr="0079730D">
        <w:rPr>
          <w:rFonts w:ascii="Arial" w:hAnsi="Arial"/>
          <w:szCs w:val="44"/>
        </w:rPr>
        <w:t xml:space="preserve">Statutory Regulators of Health and Care Professionals (2019) </w:t>
      </w:r>
      <w:r w:rsidRPr="0079730D">
        <w:rPr>
          <w:rFonts w:ascii="Arial" w:hAnsi="Arial"/>
          <w:i/>
          <w:iCs/>
          <w:szCs w:val="44"/>
        </w:rPr>
        <w:t>Benefits of becoming a reflective practitioner: Joint statement of support</w:t>
      </w:r>
      <w:r w:rsidRPr="0079730D">
        <w:rPr>
          <w:rFonts w:ascii="Arial" w:hAnsi="Arial"/>
          <w:szCs w:val="44"/>
        </w:rPr>
        <w:t>. Available at:</w:t>
      </w:r>
      <w:r w:rsidRPr="0079730D">
        <w:rPr>
          <w:rFonts w:ascii="Arial" w:hAnsi="Arial"/>
          <w:szCs w:val="44"/>
        </w:rPr>
        <w:br/>
      </w:r>
      <w:r w:rsidRPr="0079730D">
        <w:rPr>
          <w:rFonts w:ascii="Arial" w:hAnsi="Arial"/>
          <w:szCs w:val="44"/>
        </w:rPr>
        <w:lastRenderedPageBreak/>
        <w:t>https://www.hcpc-uk.org/globalassets/news-and-events/benefits-of-becoming-a-reflective-practitioner----joint-statement-2019.pdf (Accessed: 10 November 2025).</w:t>
      </w:r>
    </w:p>
    <w:p w14:paraId="746BAA7A" w14:textId="77777777" w:rsidR="0079730D" w:rsidRPr="0079730D" w:rsidRDefault="0079730D" w:rsidP="0079730D">
      <w:pPr>
        <w:spacing w:line="360" w:lineRule="auto"/>
        <w:rPr>
          <w:rFonts w:ascii="Arial" w:hAnsi="Arial"/>
          <w:szCs w:val="44"/>
          <w:lang w:val="en-GB"/>
        </w:rPr>
      </w:pPr>
      <w:r w:rsidRPr="0079730D">
        <w:rPr>
          <w:rFonts w:ascii="Arial" w:hAnsi="Arial"/>
          <w:szCs w:val="44"/>
        </w:rPr>
        <w:t xml:space="preserve">The NHS Leadership Framework outlines the </w:t>
      </w:r>
      <w:proofErr w:type="spellStart"/>
      <w:r w:rsidRPr="0079730D">
        <w:rPr>
          <w:rFonts w:ascii="Arial" w:hAnsi="Arial"/>
          <w:szCs w:val="44"/>
        </w:rPr>
        <w:t>behaviours</w:t>
      </w:r>
      <w:proofErr w:type="spellEnd"/>
      <w:r w:rsidRPr="0079730D">
        <w:rPr>
          <w:rFonts w:ascii="Arial" w:hAnsi="Arial"/>
          <w:szCs w:val="44"/>
        </w:rPr>
        <w:t>, values, and skills that leaders need to deliver high-quality and compassionate health and social care (NHS Leadership Academy, 2021).</w:t>
      </w:r>
    </w:p>
    <w:sectPr w:rsidR="0079730D" w:rsidRPr="0079730D">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EC4E5" w14:textId="77777777" w:rsidR="009F1B6E" w:rsidRDefault="009F1B6E" w:rsidP="00255A0D">
      <w:pPr>
        <w:spacing w:after="0" w:line="240" w:lineRule="auto"/>
      </w:pPr>
      <w:r>
        <w:separator/>
      </w:r>
    </w:p>
  </w:endnote>
  <w:endnote w:type="continuationSeparator" w:id="0">
    <w:p w14:paraId="646FB018" w14:textId="77777777" w:rsidR="009F1B6E" w:rsidRDefault="009F1B6E"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7422724"/>
      <w:docPartObj>
        <w:docPartGallery w:val="Page Numbers (Bottom of Page)"/>
        <w:docPartUnique/>
      </w:docPartObj>
    </w:sdtPr>
    <w:sdtEndPr>
      <w:rPr>
        <w:noProof/>
      </w:rPr>
    </w:sdtEndPr>
    <w:sdtContent>
      <w:p w14:paraId="1EFD4D38" w14:textId="56E59136" w:rsidR="00E908A8" w:rsidRDefault="00E90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CE734" w14:textId="77777777" w:rsidR="00E908A8" w:rsidRDefault="00E90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F8A11" w14:textId="77777777" w:rsidR="009F1B6E" w:rsidRDefault="009F1B6E" w:rsidP="00255A0D">
      <w:pPr>
        <w:spacing w:after="0" w:line="240" w:lineRule="auto"/>
      </w:pPr>
      <w:r>
        <w:separator/>
      </w:r>
    </w:p>
  </w:footnote>
  <w:footnote w:type="continuationSeparator" w:id="0">
    <w:p w14:paraId="6185CC16" w14:textId="77777777" w:rsidR="009F1B6E" w:rsidRDefault="009F1B6E"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560FA"/>
    <w:rsid w:val="00094EFD"/>
    <w:rsid w:val="000E11A0"/>
    <w:rsid w:val="00123DC5"/>
    <w:rsid w:val="001C40BE"/>
    <w:rsid w:val="001D07DA"/>
    <w:rsid w:val="001F5C5A"/>
    <w:rsid w:val="00255A0D"/>
    <w:rsid w:val="00257AC5"/>
    <w:rsid w:val="00337274"/>
    <w:rsid w:val="00343B29"/>
    <w:rsid w:val="00352BC6"/>
    <w:rsid w:val="003564BC"/>
    <w:rsid w:val="00456C61"/>
    <w:rsid w:val="0050318A"/>
    <w:rsid w:val="00563EB8"/>
    <w:rsid w:val="00577423"/>
    <w:rsid w:val="005A1CA3"/>
    <w:rsid w:val="006E135E"/>
    <w:rsid w:val="007461B6"/>
    <w:rsid w:val="0079730D"/>
    <w:rsid w:val="007F0718"/>
    <w:rsid w:val="008659E3"/>
    <w:rsid w:val="008F2FE9"/>
    <w:rsid w:val="009F1B6E"/>
    <w:rsid w:val="00A507D8"/>
    <w:rsid w:val="00B066EA"/>
    <w:rsid w:val="00B20CA9"/>
    <w:rsid w:val="00BD6DB6"/>
    <w:rsid w:val="00CA384C"/>
    <w:rsid w:val="00D04977"/>
    <w:rsid w:val="00D469F6"/>
    <w:rsid w:val="00DC2ECF"/>
    <w:rsid w:val="00E27A2D"/>
    <w:rsid w:val="00E4568C"/>
    <w:rsid w:val="00E74D14"/>
    <w:rsid w:val="00E908A8"/>
    <w:rsid w:val="00F35CC4"/>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0E11A0"/>
    <w:rPr>
      <w:color w:val="605E5C"/>
      <w:shd w:val="clear" w:color="auto" w:fill="E1DFDD"/>
    </w:rPr>
  </w:style>
  <w:style w:type="paragraph" w:styleId="TOCHeading">
    <w:name w:val="TOC Heading"/>
    <w:basedOn w:val="Heading1"/>
    <w:next w:val="Normal"/>
    <w:uiPriority w:val="39"/>
    <w:unhideWhenUsed/>
    <w:qFormat/>
    <w:rsid w:val="00F35CC4"/>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F35CC4"/>
    <w:pPr>
      <w:tabs>
        <w:tab w:val="right" w:leader="dot" w:pos="9350"/>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ransform.england.nhs.uk/covid-19-response/technology-nhs/supporting-the-innovation-collaboratives-to-expand-their-remote-monitoring-plan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cqc.org.uk/sites/default/files/20210208_InnovationPrinciples_report.pdf"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rev.com/onlinevoicerecorder"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5DB117-41AE-4C00-8882-416832F3554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5A26CC3-F6D3-4344-B50F-E4B5DBA1DEAC}">
      <dgm:prSet phldrT="[Text]"/>
      <dgm:spPr/>
      <dgm:t>
        <a:bodyPr/>
        <a:lstStyle/>
        <a:p>
          <a:r>
            <a:rPr lang="en-GB"/>
            <a:t>Creativity</a:t>
          </a:r>
        </a:p>
      </dgm:t>
    </dgm:pt>
    <dgm:pt modelId="{B3DEC3AA-5659-4D38-A64D-795C81F6C1F0}" type="parTrans" cxnId="{A806F196-1888-4A0F-A72E-AA572FB8BA14}">
      <dgm:prSet/>
      <dgm:spPr/>
      <dgm:t>
        <a:bodyPr/>
        <a:lstStyle/>
        <a:p>
          <a:endParaRPr lang="en-GB"/>
        </a:p>
      </dgm:t>
    </dgm:pt>
    <dgm:pt modelId="{8622BFD5-63D9-454C-99E0-D7E1179F2C4A}" type="sibTrans" cxnId="{A806F196-1888-4A0F-A72E-AA572FB8BA14}">
      <dgm:prSet/>
      <dgm:spPr/>
      <dgm:t>
        <a:bodyPr/>
        <a:lstStyle/>
        <a:p>
          <a:endParaRPr lang="en-GB"/>
        </a:p>
      </dgm:t>
    </dgm:pt>
    <dgm:pt modelId="{B53252C7-A2E7-41DB-8F81-3DF9C29E0A99}" type="asst">
      <dgm:prSet phldrT="[Text]"/>
      <dgm:spPr/>
      <dgm:t>
        <a:bodyPr/>
        <a:lstStyle/>
        <a:p>
          <a:r>
            <a:rPr lang="en-GB"/>
            <a:t>Value Creation</a:t>
          </a:r>
        </a:p>
      </dgm:t>
    </dgm:pt>
    <dgm:pt modelId="{7FF6ACC6-DF2A-44A8-8DC9-33A331FF5491}" type="parTrans" cxnId="{229A96D3-92EE-436A-B3A7-A538EF26199B}">
      <dgm:prSet/>
      <dgm:spPr/>
      <dgm:t>
        <a:bodyPr/>
        <a:lstStyle/>
        <a:p>
          <a:endParaRPr lang="en-GB"/>
        </a:p>
      </dgm:t>
    </dgm:pt>
    <dgm:pt modelId="{AABE583B-79C6-4165-9201-971F5562C4E6}" type="sibTrans" cxnId="{229A96D3-92EE-436A-B3A7-A538EF26199B}">
      <dgm:prSet/>
      <dgm:spPr/>
      <dgm:t>
        <a:bodyPr/>
        <a:lstStyle/>
        <a:p>
          <a:endParaRPr lang="en-GB"/>
        </a:p>
      </dgm:t>
    </dgm:pt>
    <dgm:pt modelId="{E3767D05-CD39-49D4-83C8-DF55C92285C9}">
      <dgm:prSet phldrT="[Text]"/>
      <dgm:spPr/>
      <dgm:t>
        <a:bodyPr/>
        <a:lstStyle/>
        <a:p>
          <a:r>
            <a:rPr lang="en-GB"/>
            <a:t>Improved Patient Outcomes</a:t>
          </a:r>
        </a:p>
      </dgm:t>
    </dgm:pt>
    <dgm:pt modelId="{9687A005-2203-4FA7-94CF-1F7BD1676620}" type="parTrans" cxnId="{24729E6E-D50E-4ED7-8473-FC83F97CB675}">
      <dgm:prSet/>
      <dgm:spPr/>
      <dgm:t>
        <a:bodyPr/>
        <a:lstStyle/>
        <a:p>
          <a:endParaRPr lang="en-GB"/>
        </a:p>
      </dgm:t>
    </dgm:pt>
    <dgm:pt modelId="{35CC03EF-BEDC-4F8E-9D2E-B9E9FB895986}" type="sibTrans" cxnId="{24729E6E-D50E-4ED7-8473-FC83F97CB675}">
      <dgm:prSet/>
      <dgm:spPr/>
      <dgm:t>
        <a:bodyPr/>
        <a:lstStyle/>
        <a:p>
          <a:endParaRPr lang="en-GB"/>
        </a:p>
      </dgm:t>
    </dgm:pt>
    <dgm:pt modelId="{AAC641EA-1ADF-4BBF-BD27-F633A75108E1}">
      <dgm:prSet phldrT="[Text]"/>
      <dgm:spPr/>
      <dgm:t>
        <a:bodyPr/>
        <a:lstStyle/>
        <a:p>
          <a:r>
            <a:rPr lang="en-GB"/>
            <a:t>Efficient Use of Resources</a:t>
          </a:r>
        </a:p>
      </dgm:t>
    </dgm:pt>
    <dgm:pt modelId="{500B719D-DCD0-4D20-83AA-0755939CAEE1}" type="parTrans" cxnId="{E32F9DB7-80FD-4AD8-9C51-65F8889BDE69}">
      <dgm:prSet/>
      <dgm:spPr/>
      <dgm:t>
        <a:bodyPr/>
        <a:lstStyle/>
        <a:p>
          <a:endParaRPr lang="en-GB"/>
        </a:p>
      </dgm:t>
    </dgm:pt>
    <dgm:pt modelId="{AA7EA482-D6C6-4008-A571-825BB2A0A2C2}" type="sibTrans" cxnId="{E32F9DB7-80FD-4AD8-9C51-65F8889BDE69}">
      <dgm:prSet/>
      <dgm:spPr/>
      <dgm:t>
        <a:bodyPr/>
        <a:lstStyle/>
        <a:p>
          <a:endParaRPr lang="en-GB"/>
        </a:p>
      </dgm:t>
    </dgm:pt>
    <dgm:pt modelId="{1E28DCA9-242B-4E1D-8F9F-D17A3579DA69}">
      <dgm:prSet phldrT="[Text]"/>
      <dgm:spPr/>
      <dgm:t>
        <a:bodyPr/>
        <a:lstStyle/>
        <a:p>
          <a:r>
            <a:rPr lang="en-GB"/>
            <a:t>Service Improvement</a:t>
          </a:r>
        </a:p>
      </dgm:t>
    </dgm:pt>
    <dgm:pt modelId="{5942CB21-0329-44C7-B7A4-01CA001382DC}" type="parTrans" cxnId="{62B2D596-F72A-43E4-9736-011469A5AD0D}">
      <dgm:prSet/>
      <dgm:spPr/>
      <dgm:t>
        <a:bodyPr/>
        <a:lstStyle/>
        <a:p>
          <a:endParaRPr lang="en-GB"/>
        </a:p>
      </dgm:t>
    </dgm:pt>
    <dgm:pt modelId="{FBCB2CBD-CA0E-48B6-9B17-8C6F8477AB54}" type="sibTrans" cxnId="{62B2D596-F72A-43E4-9736-011469A5AD0D}">
      <dgm:prSet/>
      <dgm:spPr/>
      <dgm:t>
        <a:bodyPr/>
        <a:lstStyle/>
        <a:p>
          <a:endParaRPr lang="en-GB"/>
        </a:p>
      </dgm:t>
    </dgm:pt>
    <dgm:pt modelId="{BA887023-68D6-474C-86BA-39AD001C6F8F}" type="pres">
      <dgm:prSet presAssocID="{355DB117-41AE-4C00-8882-416832F3554F}" presName="hierChild1" presStyleCnt="0">
        <dgm:presLayoutVars>
          <dgm:orgChart val="1"/>
          <dgm:chPref val="1"/>
          <dgm:dir/>
          <dgm:animOne val="branch"/>
          <dgm:animLvl val="lvl"/>
          <dgm:resizeHandles/>
        </dgm:presLayoutVars>
      </dgm:prSet>
      <dgm:spPr/>
    </dgm:pt>
    <dgm:pt modelId="{3F3A0E80-B060-443E-922B-D19F24A4DC7F}" type="pres">
      <dgm:prSet presAssocID="{25A26CC3-F6D3-4344-B50F-E4B5DBA1DEAC}" presName="hierRoot1" presStyleCnt="0">
        <dgm:presLayoutVars>
          <dgm:hierBranch val="init"/>
        </dgm:presLayoutVars>
      </dgm:prSet>
      <dgm:spPr/>
    </dgm:pt>
    <dgm:pt modelId="{BC77808D-67E8-423F-A43B-8A7C968162BD}" type="pres">
      <dgm:prSet presAssocID="{25A26CC3-F6D3-4344-B50F-E4B5DBA1DEAC}" presName="rootComposite1" presStyleCnt="0"/>
      <dgm:spPr/>
    </dgm:pt>
    <dgm:pt modelId="{1ABB4978-811E-4FF0-A2F8-5D4BDACED96D}" type="pres">
      <dgm:prSet presAssocID="{25A26CC3-F6D3-4344-B50F-E4B5DBA1DEAC}" presName="rootText1" presStyleLbl="node0" presStyleIdx="0" presStyleCnt="1">
        <dgm:presLayoutVars>
          <dgm:chPref val="3"/>
        </dgm:presLayoutVars>
      </dgm:prSet>
      <dgm:spPr/>
    </dgm:pt>
    <dgm:pt modelId="{D18196D3-07E2-4CF8-B4EC-7677B279847C}" type="pres">
      <dgm:prSet presAssocID="{25A26CC3-F6D3-4344-B50F-E4B5DBA1DEAC}" presName="rootConnector1" presStyleLbl="node1" presStyleIdx="0" presStyleCnt="0"/>
      <dgm:spPr/>
    </dgm:pt>
    <dgm:pt modelId="{7A6C8FC9-9568-4E17-9E1A-52F31B3C245F}" type="pres">
      <dgm:prSet presAssocID="{25A26CC3-F6D3-4344-B50F-E4B5DBA1DEAC}" presName="hierChild2" presStyleCnt="0"/>
      <dgm:spPr/>
    </dgm:pt>
    <dgm:pt modelId="{B2427B71-ABB4-47E5-87AD-3D46F44C0DD9}" type="pres">
      <dgm:prSet presAssocID="{9687A005-2203-4FA7-94CF-1F7BD1676620}" presName="Name37" presStyleLbl="parChTrans1D2" presStyleIdx="0" presStyleCnt="4"/>
      <dgm:spPr/>
    </dgm:pt>
    <dgm:pt modelId="{51113765-6D4F-4B2E-AF8C-D7AA7B485CB3}" type="pres">
      <dgm:prSet presAssocID="{E3767D05-CD39-49D4-83C8-DF55C92285C9}" presName="hierRoot2" presStyleCnt="0">
        <dgm:presLayoutVars>
          <dgm:hierBranch val="init"/>
        </dgm:presLayoutVars>
      </dgm:prSet>
      <dgm:spPr/>
    </dgm:pt>
    <dgm:pt modelId="{4E21A01B-4E3F-4371-A69D-CAEC02454CBB}" type="pres">
      <dgm:prSet presAssocID="{E3767D05-CD39-49D4-83C8-DF55C92285C9}" presName="rootComposite" presStyleCnt="0"/>
      <dgm:spPr/>
    </dgm:pt>
    <dgm:pt modelId="{F5C8EB18-1A7A-45AD-B64D-A9612BF01FEA}" type="pres">
      <dgm:prSet presAssocID="{E3767D05-CD39-49D4-83C8-DF55C92285C9}" presName="rootText" presStyleLbl="node2" presStyleIdx="0" presStyleCnt="3">
        <dgm:presLayoutVars>
          <dgm:chPref val="3"/>
        </dgm:presLayoutVars>
      </dgm:prSet>
      <dgm:spPr/>
    </dgm:pt>
    <dgm:pt modelId="{069F2BCF-AE8E-4148-856A-AD45E3C6B49F}" type="pres">
      <dgm:prSet presAssocID="{E3767D05-CD39-49D4-83C8-DF55C92285C9}" presName="rootConnector" presStyleLbl="node2" presStyleIdx="0" presStyleCnt="3"/>
      <dgm:spPr/>
    </dgm:pt>
    <dgm:pt modelId="{B95D0044-C087-4D0F-8463-E551885A9B9C}" type="pres">
      <dgm:prSet presAssocID="{E3767D05-CD39-49D4-83C8-DF55C92285C9}" presName="hierChild4" presStyleCnt="0"/>
      <dgm:spPr/>
    </dgm:pt>
    <dgm:pt modelId="{98C70E35-9B81-4F6A-9543-553CD9F77FAE}" type="pres">
      <dgm:prSet presAssocID="{E3767D05-CD39-49D4-83C8-DF55C92285C9}" presName="hierChild5" presStyleCnt="0"/>
      <dgm:spPr/>
    </dgm:pt>
    <dgm:pt modelId="{F46AE44C-C937-42D4-A5BB-7AF545159FF7}" type="pres">
      <dgm:prSet presAssocID="{500B719D-DCD0-4D20-83AA-0755939CAEE1}" presName="Name37" presStyleLbl="parChTrans1D2" presStyleIdx="1" presStyleCnt="4"/>
      <dgm:spPr/>
    </dgm:pt>
    <dgm:pt modelId="{E99F697B-FFC6-45E8-9D59-9DE7339FDD35}" type="pres">
      <dgm:prSet presAssocID="{AAC641EA-1ADF-4BBF-BD27-F633A75108E1}" presName="hierRoot2" presStyleCnt="0">
        <dgm:presLayoutVars>
          <dgm:hierBranch val="init"/>
        </dgm:presLayoutVars>
      </dgm:prSet>
      <dgm:spPr/>
    </dgm:pt>
    <dgm:pt modelId="{63DDEBD9-934F-4909-A377-1CBF5C1B54C8}" type="pres">
      <dgm:prSet presAssocID="{AAC641EA-1ADF-4BBF-BD27-F633A75108E1}" presName="rootComposite" presStyleCnt="0"/>
      <dgm:spPr/>
    </dgm:pt>
    <dgm:pt modelId="{A27CF432-3371-4DFF-912E-6B949FAF5338}" type="pres">
      <dgm:prSet presAssocID="{AAC641EA-1ADF-4BBF-BD27-F633A75108E1}" presName="rootText" presStyleLbl="node2" presStyleIdx="1" presStyleCnt="3">
        <dgm:presLayoutVars>
          <dgm:chPref val="3"/>
        </dgm:presLayoutVars>
      </dgm:prSet>
      <dgm:spPr/>
    </dgm:pt>
    <dgm:pt modelId="{CF6A1C1E-AB3A-4C06-894E-A681ED0D12C0}" type="pres">
      <dgm:prSet presAssocID="{AAC641EA-1ADF-4BBF-BD27-F633A75108E1}" presName="rootConnector" presStyleLbl="node2" presStyleIdx="1" presStyleCnt="3"/>
      <dgm:spPr/>
    </dgm:pt>
    <dgm:pt modelId="{382C4A2A-24B1-46F5-A74D-E0FF0AC96700}" type="pres">
      <dgm:prSet presAssocID="{AAC641EA-1ADF-4BBF-BD27-F633A75108E1}" presName="hierChild4" presStyleCnt="0"/>
      <dgm:spPr/>
    </dgm:pt>
    <dgm:pt modelId="{89AC7A41-2FBD-404B-A073-1FF63D35F1A2}" type="pres">
      <dgm:prSet presAssocID="{AAC641EA-1ADF-4BBF-BD27-F633A75108E1}" presName="hierChild5" presStyleCnt="0"/>
      <dgm:spPr/>
    </dgm:pt>
    <dgm:pt modelId="{18A2FA57-EFEC-495C-B2AC-69FA336A4A2D}" type="pres">
      <dgm:prSet presAssocID="{5942CB21-0329-44C7-B7A4-01CA001382DC}" presName="Name37" presStyleLbl="parChTrans1D2" presStyleIdx="2" presStyleCnt="4"/>
      <dgm:spPr/>
    </dgm:pt>
    <dgm:pt modelId="{B0F6DC4B-69AC-4674-A28C-F7CFD0C0BA97}" type="pres">
      <dgm:prSet presAssocID="{1E28DCA9-242B-4E1D-8F9F-D17A3579DA69}" presName="hierRoot2" presStyleCnt="0">
        <dgm:presLayoutVars>
          <dgm:hierBranch val="init"/>
        </dgm:presLayoutVars>
      </dgm:prSet>
      <dgm:spPr/>
    </dgm:pt>
    <dgm:pt modelId="{26949519-9223-4477-89E6-CAE586B58368}" type="pres">
      <dgm:prSet presAssocID="{1E28DCA9-242B-4E1D-8F9F-D17A3579DA69}" presName="rootComposite" presStyleCnt="0"/>
      <dgm:spPr/>
    </dgm:pt>
    <dgm:pt modelId="{BDD9FBD3-F2B9-4B46-AB00-4E1E53E8D57C}" type="pres">
      <dgm:prSet presAssocID="{1E28DCA9-242B-4E1D-8F9F-D17A3579DA69}" presName="rootText" presStyleLbl="node2" presStyleIdx="2" presStyleCnt="3">
        <dgm:presLayoutVars>
          <dgm:chPref val="3"/>
        </dgm:presLayoutVars>
      </dgm:prSet>
      <dgm:spPr/>
    </dgm:pt>
    <dgm:pt modelId="{E9E96E0E-F061-480A-9314-0E587C026C4D}" type="pres">
      <dgm:prSet presAssocID="{1E28DCA9-242B-4E1D-8F9F-D17A3579DA69}" presName="rootConnector" presStyleLbl="node2" presStyleIdx="2" presStyleCnt="3"/>
      <dgm:spPr/>
    </dgm:pt>
    <dgm:pt modelId="{E896601A-45CA-49ED-BA33-3446F35CC27A}" type="pres">
      <dgm:prSet presAssocID="{1E28DCA9-242B-4E1D-8F9F-D17A3579DA69}" presName="hierChild4" presStyleCnt="0"/>
      <dgm:spPr/>
    </dgm:pt>
    <dgm:pt modelId="{BFE305F7-B685-4650-BC63-C20766B88AF6}" type="pres">
      <dgm:prSet presAssocID="{1E28DCA9-242B-4E1D-8F9F-D17A3579DA69}" presName="hierChild5" presStyleCnt="0"/>
      <dgm:spPr/>
    </dgm:pt>
    <dgm:pt modelId="{73A2564B-DB92-462E-96F8-9A3F717655EF}" type="pres">
      <dgm:prSet presAssocID="{25A26CC3-F6D3-4344-B50F-E4B5DBA1DEAC}" presName="hierChild3" presStyleCnt="0"/>
      <dgm:spPr/>
    </dgm:pt>
    <dgm:pt modelId="{55512954-D777-444F-AFDB-CB88B6B14D36}" type="pres">
      <dgm:prSet presAssocID="{7FF6ACC6-DF2A-44A8-8DC9-33A331FF5491}" presName="Name111" presStyleLbl="parChTrans1D2" presStyleIdx="3" presStyleCnt="4"/>
      <dgm:spPr/>
    </dgm:pt>
    <dgm:pt modelId="{2E16A813-84E5-47B7-AEDC-76D96304A048}" type="pres">
      <dgm:prSet presAssocID="{B53252C7-A2E7-41DB-8F81-3DF9C29E0A99}" presName="hierRoot3" presStyleCnt="0">
        <dgm:presLayoutVars>
          <dgm:hierBranch val="init"/>
        </dgm:presLayoutVars>
      </dgm:prSet>
      <dgm:spPr/>
    </dgm:pt>
    <dgm:pt modelId="{B4665CC4-76C1-45E8-913E-8F484E62673F}" type="pres">
      <dgm:prSet presAssocID="{B53252C7-A2E7-41DB-8F81-3DF9C29E0A99}" presName="rootComposite3" presStyleCnt="0"/>
      <dgm:spPr/>
    </dgm:pt>
    <dgm:pt modelId="{64D18E88-834F-4145-B962-595FF50D817E}" type="pres">
      <dgm:prSet presAssocID="{B53252C7-A2E7-41DB-8F81-3DF9C29E0A99}" presName="rootText3" presStyleLbl="asst1" presStyleIdx="0" presStyleCnt="1">
        <dgm:presLayoutVars>
          <dgm:chPref val="3"/>
        </dgm:presLayoutVars>
      </dgm:prSet>
      <dgm:spPr/>
    </dgm:pt>
    <dgm:pt modelId="{C051DC45-A573-420B-ABFB-0C596BDFDAB7}" type="pres">
      <dgm:prSet presAssocID="{B53252C7-A2E7-41DB-8F81-3DF9C29E0A99}" presName="rootConnector3" presStyleLbl="asst1" presStyleIdx="0" presStyleCnt="1"/>
      <dgm:spPr/>
    </dgm:pt>
    <dgm:pt modelId="{3CC2FFF4-9C03-4D83-BA34-D6E4FED094BE}" type="pres">
      <dgm:prSet presAssocID="{B53252C7-A2E7-41DB-8F81-3DF9C29E0A99}" presName="hierChild6" presStyleCnt="0"/>
      <dgm:spPr/>
    </dgm:pt>
    <dgm:pt modelId="{6874C0C9-A987-4D5C-A7A6-E7D5ABDE498F}" type="pres">
      <dgm:prSet presAssocID="{B53252C7-A2E7-41DB-8F81-3DF9C29E0A99}" presName="hierChild7" presStyleCnt="0"/>
      <dgm:spPr/>
    </dgm:pt>
  </dgm:ptLst>
  <dgm:cxnLst>
    <dgm:cxn modelId="{DBC0DA12-B954-458B-A5A5-6EACF38F4DDF}" type="presOf" srcId="{E3767D05-CD39-49D4-83C8-DF55C92285C9}" destId="{F5C8EB18-1A7A-45AD-B64D-A9612BF01FEA}" srcOrd="0" destOrd="0" presId="urn:microsoft.com/office/officeart/2005/8/layout/orgChart1"/>
    <dgm:cxn modelId="{0B912E1B-4EED-4E44-B4D7-EFE19E3E773A}" type="presOf" srcId="{AAC641EA-1ADF-4BBF-BD27-F633A75108E1}" destId="{CF6A1C1E-AB3A-4C06-894E-A681ED0D12C0}" srcOrd="1" destOrd="0" presId="urn:microsoft.com/office/officeart/2005/8/layout/orgChart1"/>
    <dgm:cxn modelId="{56A5CF1D-0BC8-4A35-940D-45C2982836A7}" type="presOf" srcId="{9687A005-2203-4FA7-94CF-1F7BD1676620}" destId="{B2427B71-ABB4-47E5-87AD-3D46F44C0DD9}" srcOrd="0" destOrd="0" presId="urn:microsoft.com/office/officeart/2005/8/layout/orgChart1"/>
    <dgm:cxn modelId="{209F5522-9E4E-4AE9-9D75-1F4A92E92676}" type="presOf" srcId="{500B719D-DCD0-4D20-83AA-0755939CAEE1}" destId="{F46AE44C-C937-42D4-A5BB-7AF545159FF7}" srcOrd="0" destOrd="0" presId="urn:microsoft.com/office/officeart/2005/8/layout/orgChart1"/>
    <dgm:cxn modelId="{3CA00763-794B-4361-8E97-28234F9C9148}" type="presOf" srcId="{7FF6ACC6-DF2A-44A8-8DC9-33A331FF5491}" destId="{55512954-D777-444F-AFDB-CB88B6B14D36}" srcOrd="0" destOrd="0" presId="urn:microsoft.com/office/officeart/2005/8/layout/orgChart1"/>
    <dgm:cxn modelId="{8F69A744-A11D-42AD-AB20-CD1E570D00F7}" type="presOf" srcId="{25A26CC3-F6D3-4344-B50F-E4B5DBA1DEAC}" destId="{D18196D3-07E2-4CF8-B4EC-7677B279847C}" srcOrd="1" destOrd="0" presId="urn:microsoft.com/office/officeart/2005/8/layout/orgChart1"/>
    <dgm:cxn modelId="{ACF5926A-880B-4C77-A94E-226823E9E207}" type="presOf" srcId="{5942CB21-0329-44C7-B7A4-01CA001382DC}" destId="{18A2FA57-EFEC-495C-B2AC-69FA336A4A2D}" srcOrd="0" destOrd="0" presId="urn:microsoft.com/office/officeart/2005/8/layout/orgChart1"/>
    <dgm:cxn modelId="{24729E6E-D50E-4ED7-8473-FC83F97CB675}" srcId="{25A26CC3-F6D3-4344-B50F-E4B5DBA1DEAC}" destId="{E3767D05-CD39-49D4-83C8-DF55C92285C9}" srcOrd="1" destOrd="0" parTransId="{9687A005-2203-4FA7-94CF-1F7BD1676620}" sibTransId="{35CC03EF-BEDC-4F8E-9D2E-B9E9FB895986}"/>
    <dgm:cxn modelId="{5EF36E59-E471-4F8D-B955-612AFDA17041}" type="presOf" srcId="{E3767D05-CD39-49D4-83C8-DF55C92285C9}" destId="{069F2BCF-AE8E-4148-856A-AD45E3C6B49F}" srcOrd="1" destOrd="0" presId="urn:microsoft.com/office/officeart/2005/8/layout/orgChart1"/>
    <dgm:cxn modelId="{62B2D596-F72A-43E4-9736-011469A5AD0D}" srcId="{25A26CC3-F6D3-4344-B50F-E4B5DBA1DEAC}" destId="{1E28DCA9-242B-4E1D-8F9F-D17A3579DA69}" srcOrd="3" destOrd="0" parTransId="{5942CB21-0329-44C7-B7A4-01CA001382DC}" sibTransId="{FBCB2CBD-CA0E-48B6-9B17-8C6F8477AB54}"/>
    <dgm:cxn modelId="{A806F196-1888-4A0F-A72E-AA572FB8BA14}" srcId="{355DB117-41AE-4C00-8882-416832F3554F}" destId="{25A26CC3-F6D3-4344-B50F-E4B5DBA1DEAC}" srcOrd="0" destOrd="0" parTransId="{B3DEC3AA-5659-4D38-A64D-795C81F6C1F0}" sibTransId="{8622BFD5-63D9-454C-99E0-D7E1179F2C4A}"/>
    <dgm:cxn modelId="{5F89329E-3A8B-4ED0-A6A8-81578315CA8C}" type="presOf" srcId="{B53252C7-A2E7-41DB-8F81-3DF9C29E0A99}" destId="{64D18E88-834F-4145-B962-595FF50D817E}" srcOrd="0" destOrd="0" presId="urn:microsoft.com/office/officeart/2005/8/layout/orgChart1"/>
    <dgm:cxn modelId="{F08F4FA4-EFE8-4931-A4C4-04B937C597A0}" type="presOf" srcId="{355DB117-41AE-4C00-8882-416832F3554F}" destId="{BA887023-68D6-474C-86BA-39AD001C6F8F}" srcOrd="0" destOrd="0" presId="urn:microsoft.com/office/officeart/2005/8/layout/orgChart1"/>
    <dgm:cxn modelId="{320456A6-E0D3-4594-8570-478A719BCADB}" type="presOf" srcId="{1E28DCA9-242B-4E1D-8F9F-D17A3579DA69}" destId="{BDD9FBD3-F2B9-4B46-AB00-4E1E53E8D57C}" srcOrd="0" destOrd="0" presId="urn:microsoft.com/office/officeart/2005/8/layout/orgChart1"/>
    <dgm:cxn modelId="{E32F9DB7-80FD-4AD8-9C51-65F8889BDE69}" srcId="{25A26CC3-F6D3-4344-B50F-E4B5DBA1DEAC}" destId="{AAC641EA-1ADF-4BBF-BD27-F633A75108E1}" srcOrd="2" destOrd="0" parTransId="{500B719D-DCD0-4D20-83AA-0755939CAEE1}" sibTransId="{AA7EA482-D6C6-4008-A571-825BB2A0A2C2}"/>
    <dgm:cxn modelId="{22B5DAD1-F432-4807-8831-AEB7E85CB031}" type="presOf" srcId="{1E28DCA9-242B-4E1D-8F9F-D17A3579DA69}" destId="{E9E96E0E-F061-480A-9314-0E587C026C4D}" srcOrd="1" destOrd="0" presId="urn:microsoft.com/office/officeart/2005/8/layout/orgChart1"/>
    <dgm:cxn modelId="{E96811D2-02E0-4E3B-A4CE-4D0953667CD6}" type="presOf" srcId="{B53252C7-A2E7-41DB-8F81-3DF9C29E0A99}" destId="{C051DC45-A573-420B-ABFB-0C596BDFDAB7}" srcOrd="1" destOrd="0" presId="urn:microsoft.com/office/officeart/2005/8/layout/orgChart1"/>
    <dgm:cxn modelId="{229A96D3-92EE-436A-B3A7-A538EF26199B}" srcId="{25A26CC3-F6D3-4344-B50F-E4B5DBA1DEAC}" destId="{B53252C7-A2E7-41DB-8F81-3DF9C29E0A99}" srcOrd="0" destOrd="0" parTransId="{7FF6ACC6-DF2A-44A8-8DC9-33A331FF5491}" sibTransId="{AABE583B-79C6-4165-9201-971F5562C4E6}"/>
    <dgm:cxn modelId="{D62053FA-A7F6-4C2F-9887-F7D4ECE1F683}" type="presOf" srcId="{AAC641EA-1ADF-4BBF-BD27-F633A75108E1}" destId="{A27CF432-3371-4DFF-912E-6B949FAF5338}" srcOrd="0" destOrd="0" presId="urn:microsoft.com/office/officeart/2005/8/layout/orgChart1"/>
    <dgm:cxn modelId="{E0A00BFF-A479-4F97-8DE8-F90CB15B7A8A}" type="presOf" srcId="{25A26CC3-F6D3-4344-B50F-E4B5DBA1DEAC}" destId="{1ABB4978-811E-4FF0-A2F8-5D4BDACED96D}" srcOrd="0" destOrd="0" presId="urn:microsoft.com/office/officeart/2005/8/layout/orgChart1"/>
    <dgm:cxn modelId="{52C2B735-83B9-4B22-80BD-5A2A4CC71475}" type="presParOf" srcId="{BA887023-68D6-474C-86BA-39AD001C6F8F}" destId="{3F3A0E80-B060-443E-922B-D19F24A4DC7F}" srcOrd="0" destOrd="0" presId="urn:microsoft.com/office/officeart/2005/8/layout/orgChart1"/>
    <dgm:cxn modelId="{4A3E9F11-70C1-479B-87C4-A92A30CEC03F}" type="presParOf" srcId="{3F3A0E80-B060-443E-922B-D19F24A4DC7F}" destId="{BC77808D-67E8-423F-A43B-8A7C968162BD}" srcOrd="0" destOrd="0" presId="urn:microsoft.com/office/officeart/2005/8/layout/orgChart1"/>
    <dgm:cxn modelId="{A719BA4C-E9C9-43FB-9D12-469EA196DDA7}" type="presParOf" srcId="{BC77808D-67E8-423F-A43B-8A7C968162BD}" destId="{1ABB4978-811E-4FF0-A2F8-5D4BDACED96D}" srcOrd="0" destOrd="0" presId="urn:microsoft.com/office/officeart/2005/8/layout/orgChart1"/>
    <dgm:cxn modelId="{B39D5075-42FC-48C3-8D9F-3A048FA89311}" type="presParOf" srcId="{BC77808D-67E8-423F-A43B-8A7C968162BD}" destId="{D18196D3-07E2-4CF8-B4EC-7677B279847C}" srcOrd="1" destOrd="0" presId="urn:microsoft.com/office/officeart/2005/8/layout/orgChart1"/>
    <dgm:cxn modelId="{8CCFBC16-97BA-447B-A1A6-D1D8C4944BFF}" type="presParOf" srcId="{3F3A0E80-B060-443E-922B-D19F24A4DC7F}" destId="{7A6C8FC9-9568-4E17-9E1A-52F31B3C245F}" srcOrd="1" destOrd="0" presId="urn:microsoft.com/office/officeart/2005/8/layout/orgChart1"/>
    <dgm:cxn modelId="{F73308F5-F7EB-46B7-ABE8-105BCC486ADE}" type="presParOf" srcId="{7A6C8FC9-9568-4E17-9E1A-52F31B3C245F}" destId="{B2427B71-ABB4-47E5-87AD-3D46F44C0DD9}" srcOrd="0" destOrd="0" presId="urn:microsoft.com/office/officeart/2005/8/layout/orgChart1"/>
    <dgm:cxn modelId="{CA63CC2F-0657-49BD-B496-C074987A13D2}" type="presParOf" srcId="{7A6C8FC9-9568-4E17-9E1A-52F31B3C245F}" destId="{51113765-6D4F-4B2E-AF8C-D7AA7B485CB3}" srcOrd="1" destOrd="0" presId="urn:microsoft.com/office/officeart/2005/8/layout/orgChart1"/>
    <dgm:cxn modelId="{B04F16A4-51A4-4701-8457-D0794D7B340C}" type="presParOf" srcId="{51113765-6D4F-4B2E-AF8C-D7AA7B485CB3}" destId="{4E21A01B-4E3F-4371-A69D-CAEC02454CBB}" srcOrd="0" destOrd="0" presId="urn:microsoft.com/office/officeart/2005/8/layout/orgChart1"/>
    <dgm:cxn modelId="{7727E3EE-F32B-488B-8872-E56B9C38854B}" type="presParOf" srcId="{4E21A01B-4E3F-4371-A69D-CAEC02454CBB}" destId="{F5C8EB18-1A7A-45AD-B64D-A9612BF01FEA}" srcOrd="0" destOrd="0" presId="urn:microsoft.com/office/officeart/2005/8/layout/orgChart1"/>
    <dgm:cxn modelId="{0C692E2F-11F5-46FE-83C3-35510C1878FD}" type="presParOf" srcId="{4E21A01B-4E3F-4371-A69D-CAEC02454CBB}" destId="{069F2BCF-AE8E-4148-856A-AD45E3C6B49F}" srcOrd="1" destOrd="0" presId="urn:microsoft.com/office/officeart/2005/8/layout/orgChart1"/>
    <dgm:cxn modelId="{02EEC063-D16F-4A59-963B-A5ECBEA702FA}" type="presParOf" srcId="{51113765-6D4F-4B2E-AF8C-D7AA7B485CB3}" destId="{B95D0044-C087-4D0F-8463-E551885A9B9C}" srcOrd="1" destOrd="0" presId="urn:microsoft.com/office/officeart/2005/8/layout/orgChart1"/>
    <dgm:cxn modelId="{8898DEC8-AC64-435F-B594-6EB9B27A6C67}" type="presParOf" srcId="{51113765-6D4F-4B2E-AF8C-D7AA7B485CB3}" destId="{98C70E35-9B81-4F6A-9543-553CD9F77FAE}" srcOrd="2" destOrd="0" presId="urn:microsoft.com/office/officeart/2005/8/layout/orgChart1"/>
    <dgm:cxn modelId="{77FDAF4E-317B-48A4-9031-B2308823828B}" type="presParOf" srcId="{7A6C8FC9-9568-4E17-9E1A-52F31B3C245F}" destId="{F46AE44C-C937-42D4-A5BB-7AF545159FF7}" srcOrd="2" destOrd="0" presId="urn:microsoft.com/office/officeart/2005/8/layout/orgChart1"/>
    <dgm:cxn modelId="{C5995FBE-D1BB-4139-A7E2-74EB48FDE64A}" type="presParOf" srcId="{7A6C8FC9-9568-4E17-9E1A-52F31B3C245F}" destId="{E99F697B-FFC6-45E8-9D59-9DE7339FDD35}" srcOrd="3" destOrd="0" presId="urn:microsoft.com/office/officeart/2005/8/layout/orgChart1"/>
    <dgm:cxn modelId="{F276DEFC-1D74-4F1F-B9D4-82CD5155D41E}" type="presParOf" srcId="{E99F697B-FFC6-45E8-9D59-9DE7339FDD35}" destId="{63DDEBD9-934F-4909-A377-1CBF5C1B54C8}" srcOrd="0" destOrd="0" presId="urn:microsoft.com/office/officeart/2005/8/layout/orgChart1"/>
    <dgm:cxn modelId="{5129B334-7328-4441-BB6E-2F283A8EB281}" type="presParOf" srcId="{63DDEBD9-934F-4909-A377-1CBF5C1B54C8}" destId="{A27CF432-3371-4DFF-912E-6B949FAF5338}" srcOrd="0" destOrd="0" presId="urn:microsoft.com/office/officeart/2005/8/layout/orgChart1"/>
    <dgm:cxn modelId="{AF567413-D558-4C52-9721-A63ACCE7F943}" type="presParOf" srcId="{63DDEBD9-934F-4909-A377-1CBF5C1B54C8}" destId="{CF6A1C1E-AB3A-4C06-894E-A681ED0D12C0}" srcOrd="1" destOrd="0" presId="urn:microsoft.com/office/officeart/2005/8/layout/orgChart1"/>
    <dgm:cxn modelId="{71EA8390-8691-4B20-8C79-0B39DB42B60C}" type="presParOf" srcId="{E99F697B-FFC6-45E8-9D59-9DE7339FDD35}" destId="{382C4A2A-24B1-46F5-A74D-E0FF0AC96700}" srcOrd="1" destOrd="0" presId="urn:microsoft.com/office/officeart/2005/8/layout/orgChart1"/>
    <dgm:cxn modelId="{A1E1A6B5-918B-45A9-B06A-4FE6212FF7BA}" type="presParOf" srcId="{E99F697B-FFC6-45E8-9D59-9DE7339FDD35}" destId="{89AC7A41-2FBD-404B-A073-1FF63D35F1A2}" srcOrd="2" destOrd="0" presId="urn:microsoft.com/office/officeart/2005/8/layout/orgChart1"/>
    <dgm:cxn modelId="{C0FDE040-2615-4EA4-AC1E-7BB44D40140F}" type="presParOf" srcId="{7A6C8FC9-9568-4E17-9E1A-52F31B3C245F}" destId="{18A2FA57-EFEC-495C-B2AC-69FA336A4A2D}" srcOrd="4" destOrd="0" presId="urn:microsoft.com/office/officeart/2005/8/layout/orgChart1"/>
    <dgm:cxn modelId="{4E5BCAE4-92B1-4AB9-9CFA-3F8316B1AE06}" type="presParOf" srcId="{7A6C8FC9-9568-4E17-9E1A-52F31B3C245F}" destId="{B0F6DC4B-69AC-4674-A28C-F7CFD0C0BA97}" srcOrd="5" destOrd="0" presId="urn:microsoft.com/office/officeart/2005/8/layout/orgChart1"/>
    <dgm:cxn modelId="{5863ECEC-BBB2-434B-A5FA-36EC00ABB485}" type="presParOf" srcId="{B0F6DC4B-69AC-4674-A28C-F7CFD0C0BA97}" destId="{26949519-9223-4477-89E6-CAE586B58368}" srcOrd="0" destOrd="0" presId="urn:microsoft.com/office/officeart/2005/8/layout/orgChart1"/>
    <dgm:cxn modelId="{F814E131-87CC-4C42-B82F-9577EDBAFC2F}" type="presParOf" srcId="{26949519-9223-4477-89E6-CAE586B58368}" destId="{BDD9FBD3-F2B9-4B46-AB00-4E1E53E8D57C}" srcOrd="0" destOrd="0" presId="urn:microsoft.com/office/officeart/2005/8/layout/orgChart1"/>
    <dgm:cxn modelId="{49152EE7-8FA8-4917-8363-02720A1E5219}" type="presParOf" srcId="{26949519-9223-4477-89E6-CAE586B58368}" destId="{E9E96E0E-F061-480A-9314-0E587C026C4D}" srcOrd="1" destOrd="0" presId="urn:microsoft.com/office/officeart/2005/8/layout/orgChart1"/>
    <dgm:cxn modelId="{DBC36980-13DD-49C0-A96F-8A57E956C764}" type="presParOf" srcId="{B0F6DC4B-69AC-4674-A28C-F7CFD0C0BA97}" destId="{E896601A-45CA-49ED-BA33-3446F35CC27A}" srcOrd="1" destOrd="0" presId="urn:microsoft.com/office/officeart/2005/8/layout/orgChart1"/>
    <dgm:cxn modelId="{91A7412E-D51A-4AEA-880C-3951E9065D19}" type="presParOf" srcId="{B0F6DC4B-69AC-4674-A28C-F7CFD0C0BA97}" destId="{BFE305F7-B685-4650-BC63-C20766B88AF6}" srcOrd="2" destOrd="0" presId="urn:microsoft.com/office/officeart/2005/8/layout/orgChart1"/>
    <dgm:cxn modelId="{63FEFAB4-7370-4B64-9FBC-274A027BCAD3}" type="presParOf" srcId="{3F3A0E80-B060-443E-922B-D19F24A4DC7F}" destId="{73A2564B-DB92-462E-96F8-9A3F717655EF}" srcOrd="2" destOrd="0" presId="urn:microsoft.com/office/officeart/2005/8/layout/orgChart1"/>
    <dgm:cxn modelId="{E78B3A4E-3896-45D7-A0C7-28CF3647E2C2}" type="presParOf" srcId="{73A2564B-DB92-462E-96F8-9A3F717655EF}" destId="{55512954-D777-444F-AFDB-CB88B6B14D36}" srcOrd="0" destOrd="0" presId="urn:microsoft.com/office/officeart/2005/8/layout/orgChart1"/>
    <dgm:cxn modelId="{E998722A-EC09-4FC5-84A4-921304E2273E}" type="presParOf" srcId="{73A2564B-DB92-462E-96F8-9A3F717655EF}" destId="{2E16A813-84E5-47B7-AEDC-76D96304A048}" srcOrd="1" destOrd="0" presId="urn:microsoft.com/office/officeart/2005/8/layout/orgChart1"/>
    <dgm:cxn modelId="{B08BFC3F-1069-45A3-A1D2-A24255E1DC39}" type="presParOf" srcId="{2E16A813-84E5-47B7-AEDC-76D96304A048}" destId="{B4665CC4-76C1-45E8-913E-8F484E62673F}" srcOrd="0" destOrd="0" presId="urn:microsoft.com/office/officeart/2005/8/layout/orgChart1"/>
    <dgm:cxn modelId="{94108111-0571-42B8-A0D7-553A160FFA42}" type="presParOf" srcId="{B4665CC4-76C1-45E8-913E-8F484E62673F}" destId="{64D18E88-834F-4145-B962-595FF50D817E}" srcOrd="0" destOrd="0" presId="urn:microsoft.com/office/officeart/2005/8/layout/orgChart1"/>
    <dgm:cxn modelId="{AAA924FE-DE7B-470C-8901-E0FEB24FCD89}" type="presParOf" srcId="{B4665CC4-76C1-45E8-913E-8F484E62673F}" destId="{C051DC45-A573-420B-ABFB-0C596BDFDAB7}" srcOrd="1" destOrd="0" presId="urn:microsoft.com/office/officeart/2005/8/layout/orgChart1"/>
    <dgm:cxn modelId="{F8E4FDF9-AFC6-4552-AC56-AA10AA342334}" type="presParOf" srcId="{2E16A813-84E5-47B7-AEDC-76D96304A048}" destId="{3CC2FFF4-9C03-4D83-BA34-D6E4FED094BE}" srcOrd="1" destOrd="0" presId="urn:microsoft.com/office/officeart/2005/8/layout/orgChart1"/>
    <dgm:cxn modelId="{A428749A-3B68-4200-833A-0307C8DA1CFA}" type="presParOf" srcId="{2E16A813-84E5-47B7-AEDC-76D96304A048}" destId="{6874C0C9-A987-4D5C-A7A6-E7D5ABDE498F}"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512954-D777-444F-AFDB-CB88B6B14D36}">
      <dsp:nvSpPr>
        <dsp:cNvPr id="0" name=""/>
        <dsp:cNvSpPr/>
      </dsp:nvSpPr>
      <dsp:spPr>
        <a:xfrm>
          <a:off x="2574780" y="862362"/>
          <a:ext cx="168419" cy="737837"/>
        </a:xfrm>
        <a:custGeom>
          <a:avLst/>
          <a:gdLst/>
          <a:ahLst/>
          <a:cxnLst/>
          <a:rect l="0" t="0" r="0" b="0"/>
          <a:pathLst>
            <a:path>
              <a:moveTo>
                <a:pt x="168419" y="0"/>
              </a:moveTo>
              <a:lnTo>
                <a:pt x="168419" y="737837"/>
              </a:lnTo>
              <a:lnTo>
                <a:pt x="0" y="73783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A2FA57-EFEC-495C-B2AC-69FA336A4A2D}">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6AE44C-C937-42D4-A5BB-7AF545159FF7}">
      <dsp:nvSpPr>
        <dsp:cNvPr id="0" name=""/>
        <dsp:cNvSpPr/>
      </dsp:nvSpPr>
      <dsp:spPr>
        <a:xfrm>
          <a:off x="2697479" y="862362"/>
          <a:ext cx="91440" cy="1475675"/>
        </a:xfrm>
        <a:custGeom>
          <a:avLst/>
          <a:gdLst/>
          <a:ahLst/>
          <a:cxnLst/>
          <a:rect l="0" t="0" r="0" b="0"/>
          <a:pathLst>
            <a:path>
              <a:moveTo>
                <a:pt x="45720" y="0"/>
              </a:moveTo>
              <a:lnTo>
                <a:pt x="4572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427B71-ABB4-47E5-87AD-3D46F44C0DD9}">
      <dsp:nvSpPr>
        <dsp:cNvPr id="0" name=""/>
        <dsp:cNvSpPr/>
      </dsp:nvSpPr>
      <dsp:spPr>
        <a:xfrm>
          <a:off x="802365" y="862362"/>
          <a:ext cx="1940834" cy="1475675"/>
        </a:xfrm>
        <a:custGeom>
          <a:avLst/>
          <a:gdLst/>
          <a:ahLst/>
          <a:cxnLst/>
          <a:rect l="0" t="0" r="0" b="0"/>
          <a:pathLst>
            <a:path>
              <a:moveTo>
                <a:pt x="1940834" y="0"/>
              </a:moveTo>
              <a:lnTo>
                <a:pt x="1940834" y="1307256"/>
              </a:lnTo>
              <a:lnTo>
                <a:pt x="0" y="1307256"/>
              </a:lnTo>
              <a:lnTo>
                <a:pt x="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BB4978-811E-4FF0-A2F8-5D4BDACED96D}">
      <dsp:nvSpPr>
        <dsp:cNvPr id="0" name=""/>
        <dsp:cNvSpPr/>
      </dsp:nvSpPr>
      <dsp:spPr>
        <a:xfrm>
          <a:off x="1941202" y="60364"/>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Creativity</a:t>
          </a:r>
        </a:p>
      </dsp:txBody>
      <dsp:txXfrm>
        <a:off x="1941202" y="60364"/>
        <a:ext cx="1603995" cy="801997"/>
      </dsp:txXfrm>
    </dsp:sp>
    <dsp:sp modelId="{F5C8EB18-1A7A-45AD-B64D-A9612BF01FEA}">
      <dsp:nvSpPr>
        <dsp:cNvPr id="0" name=""/>
        <dsp:cNvSpPr/>
      </dsp:nvSpPr>
      <dsp:spPr>
        <a:xfrm>
          <a:off x="368"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Improved Patient Outcomes</a:t>
          </a:r>
        </a:p>
      </dsp:txBody>
      <dsp:txXfrm>
        <a:off x="368" y="2338037"/>
        <a:ext cx="1603995" cy="801997"/>
      </dsp:txXfrm>
    </dsp:sp>
    <dsp:sp modelId="{A27CF432-3371-4DFF-912E-6B949FAF5338}">
      <dsp:nvSpPr>
        <dsp:cNvPr id="0" name=""/>
        <dsp:cNvSpPr/>
      </dsp:nvSpPr>
      <dsp:spPr>
        <a:xfrm>
          <a:off x="1941202"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Efficient Use of Resources</a:t>
          </a:r>
        </a:p>
      </dsp:txBody>
      <dsp:txXfrm>
        <a:off x="1941202" y="2338037"/>
        <a:ext cx="1603995" cy="801997"/>
      </dsp:txXfrm>
    </dsp:sp>
    <dsp:sp modelId="{BDD9FBD3-F2B9-4B46-AB00-4E1E53E8D57C}">
      <dsp:nvSpPr>
        <dsp:cNvPr id="0" name=""/>
        <dsp:cNvSpPr/>
      </dsp:nvSpPr>
      <dsp:spPr>
        <a:xfrm>
          <a:off x="3882036"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Service Improvement</a:t>
          </a:r>
        </a:p>
      </dsp:txBody>
      <dsp:txXfrm>
        <a:off x="3882036" y="2338037"/>
        <a:ext cx="1603995" cy="801997"/>
      </dsp:txXfrm>
    </dsp:sp>
    <dsp:sp modelId="{64D18E88-834F-4145-B962-595FF50D817E}">
      <dsp:nvSpPr>
        <dsp:cNvPr id="0" name=""/>
        <dsp:cNvSpPr/>
      </dsp:nvSpPr>
      <dsp:spPr>
        <a:xfrm>
          <a:off x="970785" y="1199201"/>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Value Creation</a:t>
          </a:r>
        </a:p>
      </dsp:txBody>
      <dsp:txXfrm>
        <a:off x="970785" y="119920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8A3EB-12CA-47F0-BA07-E7451A8DA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2650</Words>
  <Characters>15109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Iftekhar Rashid</cp:lastModifiedBy>
  <cp:revision>4</cp:revision>
  <cp:lastPrinted>2025-11-15T23:05:00Z</cp:lastPrinted>
  <dcterms:created xsi:type="dcterms:W3CDTF">2025-11-15T23:04:00Z</dcterms:created>
  <dcterms:modified xsi:type="dcterms:W3CDTF">2025-11-15T23:08:00Z</dcterms:modified>
</cp:coreProperties>
</file>