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A402A0" w:rsidRPr="00CD33A8" w:rsidRDefault="00074402" w:rsidP="006763CC">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6763CC">
      <w:pPr>
        <w:spacing w:line="360" w:lineRule="auto"/>
        <w:rPr>
          <w:rFonts w:asciiTheme="minorBidi" w:hAnsiTheme="minorBidi"/>
          <w:sz w:val="22"/>
        </w:rPr>
      </w:pPr>
    </w:p>
    <w:p w14:paraId="4E267F2C" w14:textId="35E99859" w:rsidR="00074402" w:rsidRPr="00CD33A8" w:rsidRDefault="00074402" w:rsidP="006763CC">
      <w:pPr>
        <w:spacing w:line="360" w:lineRule="auto"/>
        <w:rPr>
          <w:rFonts w:asciiTheme="minorBidi" w:hAnsiTheme="minorBidi"/>
          <w:sz w:val="22"/>
        </w:rPr>
      </w:pPr>
    </w:p>
    <w:p w14:paraId="5D864E3F" w14:textId="04749E68" w:rsidR="00074402" w:rsidRPr="00CD33A8" w:rsidRDefault="00074402" w:rsidP="006763CC">
      <w:pPr>
        <w:spacing w:line="360" w:lineRule="auto"/>
        <w:rPr>
          <w:rFonts w:asciiTheme="minorBidi" w:hAnsiTheme="minorBidi"/>
          <w:sz w:val="22"/>
        </w:rPr>
      </w:pPr>
    </w:p>
    <w:p w14:paraId="22F2817A" w14:textId="77777777" w:rsidR="00074402" w:rsidRPr="00CD33A8" w:rsidRDefault="00074402" w:rsidP="006763CC">
      <w:pPr>
        <w:tabs>
          <w:tab w:val="left" w:pos="6540"/>
        </w:tabs>
        <w:spacing w:line="360" w:lineRule="auto"/>
        <w:rPr>
          <w:rFonts w:asciiTheme="minorBidi" w:hAnsiTheme="minorBidi"/>
          <w:sz w:val="22"/>
        </w:rPr>
      </w:pPr>
    </w:p>
    <w:p w14:paraId="7D557BA5" w14:textId="11E39E15" w:rsidR="00CD33A8" w:rsidRPr="00CD33A8" w:rsidRDefault="00CD33A8" w:rsidP="006763CC">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Module name</w:t>
      </w:r>
      <w:r w:rsidRPr="00CD33A8">
        <w:rPr>
          <w:rFonts w:ascii="Arial" w:hAnsi="Arial" w:cs="Arial"/>
          <w:sz w:val="28"/>
          <w:szCs w:val="28"/>
          <w:lang w:val="nl-NL"/>
        </w:rPr>
        <w:t>:</w:t>
      </w:r>
      <w:r w:rsidR="00FA72DD">
        <w:rPr>
          <w:rFonts w:ascii="Arial" w:hAnsi="Arial" w:cs="Arial"/>
          <w:sz w:val="28"/>
          <w:szCs w:val="28"/>
          <w:lang w:val="nl-NL"/>
        </w:rPr>
        <w:t xml:space="preserve"> Introduction to Health and Social care</w:t>
      </w:r>
    </w:p>
    <w:p w14:paraId="537571AF" w14:textId="681B8724" w:rsidR="00CD33A8" w:rsidRPr="00CD33A8" w:rsidRDefault="00CD33A8" w:rsidP="006763CC">
      <w:pPr>
        <w:tabs>
          <w:tab w:val="left" w:pos="6540"/>
        </w:tabs>
        <w:spacing w:line="360" w:lineRule="auto"/>
        <w:rPr>
          <w:rFonts w:ascii="Arial" w:hAnsi="Arial" w:cs="Arial"/>
          <w:sz w:val="28"/>
          <w:szCs w:val="28"/>
        </w:rPr>
      </w:pPr>
      <w:r w:rsidRPr="00CD33A8">
        <w:rPr>
          <w:rFonts w:ascii="Arial" w:hAnsi="Arial" w:cs="Arial"/>
          <w:b/>
          <w:bCs/>
          <w:sz w:val="28"/>
          <w:szCs w:val="28"/>
        </w:rPr>
        <w:t>Module code</w:t>
      </w:r>
      <w:r w:rsidRPr="00CD33A8">
        <w:rPr>
          <w:rFonts w:ascii="Arial" w:hAnsi="Arial" w:cs="Arial"/>
          <w:sz w:val="28"/>
          <w:szCs w:val="28"/>
        </w:rPr>
        <w:t>:</w:t>
      </w:r>
      <w:r w:rsidR="00FA72DD">
        <w:rPr>
          <w:rFonts w:ascii="Arial" w:hAnsi="Arial" w:cs="Arial"/>
          <w:sz w:val="28"/>
          <w:szCs w:val="28"/>
        </w:rPr>
        <w:t xml:space="preserve">  LCHS4003</w:t>
      </w:r>
    </w:p>
    <w:p w14:paraId="529D7354" w14:textId="77777777" w:rsidR="00CD33A8" w:rsidRPr="00CD33A8" w:rsidRDefault="00CD33A8" w:rsidP="006763CC">
      <w:pPr>
        <w:tabs>
          <w:tab w:val="left" w:pos="6540"/>
        </w:tabs>
        <w:spacing w:line="360" w:lineRule="auto"/>
        <w:rPr>
          <w:rFonts w:ascii="Arial" w:hAnsi="Arial" w:cs="Arial"/>
          <w:b/>
          <w:bCs/>
          <w:sz w:val="28"/>
          <w:szCs w:val="28"/>
          <w:lang w:val="nl-NL"/>
        </w:rPr>
      </w:pPr>
    </w:p>
    <w:p w14:paraId="0A48766D" w14:textId="1E8AE4EC" w:rsidR="00074402" w:rsidRPr="00CD33A8" w:rsidRDefault="00074402" w:rsidP="006763CC">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name</w:t>
      </w:r>
      <w:r w:rsidRPr="00CD33A8">
        <w:rPr>
          <w:rFonts w:ascii="Arial" w:hAnsi="Arial" w:cs="Arial"/>
          <w:sz w:val="28"/>
          <w:szCs w:val="28"/>
          <w:lang w:val="nl-NL"/>
        </w:rPr>
        <w:t>:</w:t>
      </w:r>
      <w:r w:rsidR="00FA72DD">
        <w:rPr>
          <w:rFonts w:ascii="Arial" w:hAnsi="Arial" w:cs="Arial"/>
          <w:sz w:val="28"/>
          <w:szCs w:val="28"/>
          <w:lang w:val="nl-NL"/>
        </w:rPr>
        <w:t>Nicholas Daramola</w:t>
      </w:r>
    </w:p>
    <w:p w14:paraId="39AA4413" w14:textId="60673EF7" w:rsidR="00074402" w:rsidRPr="00CD33A8" w:rsidRDefault="00074402" w:rsidP="006763CC">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ID</w:t>
      </w:r>
      <w:r w:rsidRPr="00CD33A8">
        <w:rPr>
          <w:rFonts w:ascii="Arial" w:hAnsi="Arial" w:cs="Arial"/>
          <w:sz w:val="28"/>
          <w:szCs w:val="28"/>
          <w:lang w:val="nl-NL"/>
        </w:rPr>
        <w:t>:</w:t>
      </w:r>
      <w:r w:rsidR="00FA72DD">
        <w:rPr>
          <w:rFonts w:ascii="Arial" w:hAnsi="Arial" w:cs="Arial"/>
          <w:sz w:val="28"/>
          <w:szCs w:val="28"/>
          <w:lang w:val="nl-NL"/>
        </w:rPr>
        <w:t xml:space="preserve">      2528127</w:t>
      </w:r>
    </w:p>
    <w:p w14:paraId="5E81F6AD" w14:textId="77777777" w:rsidR="00074402" w:rsidRPr="00CD33A8" w:rsidRDefault="00074402" w:rsidP="006763CC">
      <w:pPr>
        <w:tabs>
          <w:tab w:val="left" w:pos="6540"/>
        </w:tabs>
        <w:spacing w:line="360" w:lineRule="auto"/>
        <w:rPr>
          <w:rFonts w:ascii="Arial" w:hAnsi="Arial" w:cs="Arial"/>
          <w:sz w:val="28"/>
          <w:szCs w:val="28"/>
          <w:lang w:val="nl-NL"/>
        </w:rPr>
      </w:pPr>
    </w:p>
    <w:p w14:paraId="1A0B2D2B" w14:textId="3DBE3A2B" w:rsidR="00074402" w:rsidRPr="00CD33A8" w:rsidRDefault="008E3943" w:rsidP="006763CC">
      <w:pPr>
        <w:tabs>
          <w:tab w:val="left" w:pos="6540"/>
        </w:tabs>
        <w:spacing w:line="360" w:lineRule="auto"/>
        <w:rPr>
          <w:rFonts w:ascii="Arial" w:hAnsi="Arial" w:cs="Arial"/>
          <w:sz w:val="28"/>
          <w:szCs w:val="28"/>
        </w:rPr>
      </w:pPr>
      <w:r>
        <w:rPr>
          <w:rFonts w:ascii="Arial" w:hAnsi="Arial" w:cs="Arial"/>
          <w:b/>
          <w:bCs/>
          <w:sz w:val="28"/>
          <w:szCs w:val="28"/>
        </w:rPr>
        <w:t>Lecturer’s name</w:t>
      </w:r>
      <w:r w:rsidR="00074402" w:rsidRPr="00CD33A8">
        <w:rPr>
          <w:rFonts w:ascii="Arial" w:hAnsi="Arial" w:cs="Arial"/>
          <w:sz w:val="28"/>
          <w:szCs w:val="28"/>
        </w:rPr>
        <w:t>:</w:t>
      </w:r>
      <w:r w:rsidR="00FA72DD">
        <w:rPr>
          <w:rFonts w:ascii="Arial" w:hAnsi="Arial" w:cs="Arial"/>
          <w:sz w:val="28"/>
          <w:szCs w:val="28"/>
        </w:rPr>
        <w:t xml:space="preserve">  Caroline Salami</w:t>
      </w:r>
    </w:p>
    <w:p w14:paraId="39D08584" w14:textId="77777777" w:rsidR="00074402" w:rsidRPr="00CD33A8" w:rsidRDefault="00074402" w:rsidP="006763CC">
      <w:pPr>
        <w:tabs>
          <w:tab w:val="left" w:pos="6540"/>
        </w:tabs>
        <w:spacing w:line="360" w:lineRule="auto"/>
        <w:rPr>
          <w:rFonts w:asciiTheme="minorBidi" w:hAnsiTheme="minorBidi"/>
          <w:sz w:val="22"/>
        </w:rPr>
      </w:pPr>
    </w:p>
    <w:p w14:paraId="5B66D125" w14:textId="77777777" w:rsidR="00074402" w:rsidRPr="00CD33A8" w:rsidRDefault="00074402" w:rsidP="006763CC">
      <w:pPr>
        <w:tabs>
          <w:tab w:val="left" w:pos="6540"/>
        </w:tabs>
        <w:spacing w:line="360" w:lineRule="auto"/>
        <w:rPr>
          <w:rFonts w:asciiTheme="minorBidi" w:hAnsiTheme="minorBidi"/>
          <w:sz w:val="22"/>
        </w:rPr>
      </w:pPr>
    </w:p>
    <w:p w14:paraId="291524A2" w14:textId="2CBFF360" w:rsidR="00074402" w:rsidRPr="00CD33A8" w:rsidRDefault="00074402" w:rsidP="006763CC">
      <w:pPr>
        <w:tabs>
          <w:tab w:val="left" w:pos="6540"/>
        </w:tabs>
        <w:spacing w:line="360" w:lineRule="auto"/>
        <w:rPr>
          <w:rFonts w:asciiTheme="minorBidi" w:hAnsiTheme="minorBidi"/>
          <w:sz w:val="22"/>
        </w:rPr>
      </w:pPr>
    </w:p>
    <w:p w14:paraId="5AE88297" w14:textId="24E6B718" w:rsidR="00B87E75" w:rsidRPr="00CD33A8" w:rsidRDefault="00B87E75" w:rsidP="006763CC">
      <w:pPr>
        <w:tabs>
          <w:tab w:val="left" w:pos="6540"/>
        </w:tabs>
        <w:spacing w:line="360" w:lineRule="auto"/>
        <w:rPr>
          <w:rFonts w:asciiTheme="minorBidi" w:hAnsiTheme="minorBidi"/>
          <w:sz w:val="22"/>
        </w:rPr>
      </w:pPr>
    </w:p>
    <w:p w14:paraId="420ADE33" w14:textId="35FB1322" w:rsidR="00B87E75" w:rsidRPr="00CD33A8" w:rsidRDefault="00B87E75" w:rsidP="006763CC">
      <w:pPr>
        <w:spacing w:line="360" w:lineRule="auto"/>
        <w:rPr>
          <w:rFonts w:asciiTheme="minorBidi" w:hAnsiTheme="minorBidi"/>
          <w:sz w:val="22"/>
        </w:rPr>
      </w:pPr>
      <w:r w:rsidRPr="00CD33A8">
        <w:rPr>
          <w:rFonts w:asciiTheme="minorBidi" w:hAnsiTheme="minorBidi"/>
          <w:sz w:val="22"/>
        </w:rPr>
        <w:br w:type="page"/>
      </w:r>
    </w:p>
    <w:sdt>
      <w:sdtPr>
        <w:rPr>
          <w:rFonts w:ascii="Times New Roman" w:eastAsiaTheme="minorHAnsi" w:hAnsi="Times New Roman" w:cstheme="minorBidi"/>
          <w:color w:val="auto"/>
          <w:sz w:val="24"/>
          <w:szCs w:val="22"/>
          <w:lang w:val="en-GB"/>
        </w:rPr>
        <w:id w:val="1094677270"/>
        <w:docPartObj>
          <w:docPartGallery w:val="Table of Contents"/>
          <w:docPartUnique/>
        </w:docPartObj>
      </w:sdtPr>
      <w:sdtEndPr>
        <w:rPr>
          <w:b/>
          <w:bCs/>
          <w:noProof/>
        </w:rPr>
      </w:sdtEndPr>
      <w:sdtContent>
        <w:p w14:paraId="710B1855" w14:textId="30197ABA" w:rsidR="00494122" w:rsidRPr="00494122" w:rsidRDefault="00494122" w:rsidP="00494122">
          <w:pPr>
            <w:pStyle w:val="TOCHeading"/>
            <w:spacing w:line="360" w:lineRule="auto"/>
            <w:jc w:val="center"/>
            <w:rPr>
              <w:rFonts w:ascii="Times New Roman" w:hAnsi="Times New Roman" w:cs="Times New Roman"/>
              <w:b/>
              <w:bCs/>
              <w:color w:val="auto"/>
              <w:sz w:val="24"/>
              <w:szCs w:val="24"/>
            </w:rPr>
          </w:pPr>
          <w:r w:rsidRPr="00494122">
            <w:rPr>
              <w:rFonts w:ascii="Times New Roman" w:hAnsi="Times New Roman" w:cs="Times New Roman"/>
              <w:b/>
              <w:bCs/>
              <w:color w:val="auto"/>
              <w:sz w:val="24"/>
              <w:szCs w:val="24"/>
            </w:rPr>
            <w:t>Table of Contents</w:t>
          </w:r>
        </w:p>
        <w:p w14:paraId="420A8BB8" w14:textId="367E615B" w:rsidR="00494122" w:rsidRPr="00494122" w:rsidRDefault="00494122" w:rsidP="00494122">
          <w:pPr>
            <w:pStyle w:val="TOC1"/>
            <w:tabs>
              <w:tab w:val="right" w:leader="dot" w:pos="9016"/>
            </w:tabs>
            <w:spacing w:line="360" w:lineRule="auto"/>
            <w:rPr>
              <w:rFonts w:cs="Times New Roman"/>
              <w:noProof/>
              <w:szCs w:val="24"/>
            </w:rPr>
          </w:pPr>
          <w:r w:rsidRPr="00494122">
            <w:rPr>
              <w:rFonts w:cs="Times New Roman"/>
              <w:szCs w:val="24"/>
            </w:rPr>
            <w:fldChar w:fldCharType="begin"/>
          </w:r>
          <w:r w:rsidRPr="00494122">
            <w:rPr>
              <w:rFonts w:cs="Times New Roman"/>
              <w:szCs w:val="24"/>
            </w:rPr>
            <w:instrText xml:space="preserve"> TOC \o "1-3" \h \z \u </w:instrText>
          </w:r>
          <w:r w:rsidRPr="00494122">
            <w:rPr>
              <w:rFonts w:cs="Times New Roman"/>
              <w:szCs w:val="24"/>
            </w:rPr>
            <w:fldChar w:fldCharType="separate"/>
          </w:r>
          <w:hyperlink w:anchor="_Toc233832754" w:history="1">
            <w:r w:rsidRPr="00494122">
              <w:rPr>
                <w:rStyle w:val="Hyperlink"/>
                <w:rFonts w:cs="Times New Roman"/>
                <w:noProof/>
                <w:color w:val="auto"/>
                <w:szCs w:val="24"/>
              </w:rPr>
              <w:t>1. Introduction</w:t>
            </w:r>
            <w:r w:rsidRPr="00494122">
              <w:rPr>
                <w:rFonts w:cs="Times New Roman"/>
                <w:noProof/>
                <w:webHidden/>
                <w:szCs w:val="24"/>
              </w:rPr>
              <w:tab/>
            </w:r>
            <w:r w:rsidRPr="00494122">
              <w:rPr>
                <w:rFonts w:cs="Times New Roman"/>
                <w:noProof/>
                <w:webHidden/>
                <w:szCs w:val="24"/>
              </w:rPr>
              <w:fldChar w:fldCharType="begin"/>
            </w:r>
            <w:r w:rsidRPr="00494122">
              <w:rPr>
                <w:rFonts w:cs="Times New Roman"/>
                <w:noProof/>
                <w:webHidden/>
                <w:szCs w:val="24"/>
              </w:rPr>
              <w:instrText xml:space="preserve"> PAGEREF _Toc233832754 \h </w:instrText>
            </w:r>
            <w:r w:rsidRPr="00494122">
              <w:rPr>
                <w:rFonts w:cs="Times New Roman"/>
                <w:noProof/>
                <w:webHidden/>
                <w:szCs w:val="24"/>
              </w:rPr>
            </w:r>
            <w:r w:rsidRPr="00494122">
              <w:rPr>
                <w:rFonts w:cs="Times New Roman"/>
                <w:noProof/>
                <w:webHidden/>
                <w:szCs w:val="24"/>
              </w:rPr>
              <w:fldChar w:fldCharType="separate"/>
            </w:r>
            <w:r w:rsidRPr="00494122">
              <w:rPr>
                <w:rFonts w:cs="Times New Roman"/>
                <w:noProof/>
                <w:webHidden/>
                <w:szCs w:val="24"/>
              </w:rPr>
              <w:t>3</w:t>
            </w:r>
            <w:r w:rsidRPr="00494122">
              <w:rPr>
                <w:rFonts w:cs="Times New Roman"/>
                <w:noProof/>
                <w:webHidden/>
                <w:szCs w:val="24"/>
              </w:rPr>
              <w:fldChar w:fldCharType="end"/>
            </w:r>
          </w:hyperlink>
        </w:p>
        <w:p w14:paraId="299EE7F0" w14:textId="569D8EC7" w:rsidR="00494122" w:rsidRPr="00494122" w:rsidRDefault="00494122" w:rsidP="00494122">
          <w:pPr>
            <w:pStyle w:val="TOC1"/>
            <w:tabs>
              <w:tab w:val="right" w:leader="dot" w:pos="9016"/>
            </w:tabs>
            <w:spacing w:line="360" w:lineRule="auto"/>
            <w:rPr>
              <w:rFonts w:cs="Times New Roman"/>
              <w:noProof/>
              <w:szCs w:val="24"/>
            </w:rPr>
          </w:pPr>
          <w:hyperlink w:anchor="_Toc233832755" w:history="1">
            <w:r w:rsidRPr="00494122">
              <w:rPr>
                <w:rStyle w:val="Hyperlink"/>
                <w:rFonts w:cs="Times New Roman"/>
                <w:noProof/>
                <w:color w:val="auto"/>
                <w:szCs w:val="24"/>
              </w:rPr>
              <w:t>2. Importance of effective communication</w:t>
            </w:r>
            <w:r w:rsidRPr="00494122">
              <w:rPr>
                <w:rFonts w:cs="Times New Roman"/>
                <w:noProof/>
                <w:webHidden/>
                <w:szCs w:val="24"/>
              </w:rPr>
              <w:tab/>
            </w:r>
            <w:r w:rsidRPr="00494122">
              <w:rPr>
                <w:rFonts w:cs="Times New Roman"/>
                <w:noProof/>
                <w:webHidden/>
                <w:szCs w:val="24"/>
              </w:rPr>
              <w:fldChar w:fldCharType="begin"/>
            </w:r>
            <w:r w:rsidRPr="00494122">
              <w:rPr>
                <w:rFonts w:cs="Times New Roman"/>
                <w:noProof/>
                <w:webHidden/>
                <w:szCs w:val="24"/>
              </w:rPr>
              <w:instrText xml:space="preserve"> PAGEREF _Toc233832755 \h </w:instrText>
            </w:r>
            <w:r w:rsidRPr="00494122">
              <w:rPr>
                <w:rFonts w:cs="Times New Roman"/>
                <w:noProof/>
                <w:webHidden/>
                <w:szCs w:val="24"/>
              </w:rPr>
            </w:r>
            <w:r w:rsidRPr="00494122">
              <w:rPr>
                <w:rFonts w:cs="Times New Roman"/>
                <w:noProof/>
                <w:webHidden/>
                <w:szCs w:val="24"/>
              </w:rPr>
              <w:fldChar w:fldCharType="separate"/>
            </w:r>
            <w:r w:rsidRPr="00494122">
              <w:rPr>
                <w:rFonts w:cs="Times New Roman"/>
                <w:noProof/>
                <w:webHidden/>
                <w:szCs w:val="24"/>
              </w:rPr>
              <w:t>3</w:t>
            </w:r>
            <w:r w:rsidRPr="00494122">
              <w:rPr>
                <w:rFonts w:cs="Times New Roman"/>
                <w:noProof/>
                <w:webHidden/>
                <w:szCs w:val="24"/>
              </w:rPr>
              <w:fldChar w:fldCharType="end"/>
            </w:r>
          </w:hyperlink>
        </w:p>
        <w:p w14:paraId="5034B0B6" w14:textId="18E37324" w:rsidR="00494122" w:rsidRPr="00494122" w:rsidRDefault="00494122" w:rsidP="00494122">
          <w:pPr>
            <w:pStyle w:val="TOC1"/>
            <w:tabs>
              <w:tab w:val="right" w:leader="dot" w:pos="9016"/>
            </w:tabs>
            <w:spacing w:line="360" w:lineRule="auto"/>
            <w:rPr>
              <w:rFonts w:cs="Times New Roman"/>
              <w:noProof/>
              <w:szCs w:val="24"/>
            </w:rPr>
          </w:pPr>
          <w:hyperlink w:anchor="_Toc233832756" w:history="1">
            <w:r w:rsidRPr="00494122">
              <w:rPr>
                <w:rStyle w:val="Hyperlink"/>
                <w:rFonts w:cs="Times New Roman"/>
                <w:noProof/>
                <w:color w:val="auto"/>
                <w:szCs w:val="24"/>
              </w:rPr>
              <w:t>3. Importance of good administrative skills</w:t>
            </w:r>
            <w:r w:rsidRPr="00494122">
              <w:rPr>
                <w:rFonts w:cs="Times New Roman"/>
                <w:noProof/>
                <w:webHidden/>
                <w:szCs w:val="24"/>
              </w:rPr>
              <w:tab/>
            </w:r>
            <w:r w:rsidRPr="00494122">
              <w:rPr>
                <w:rFonts w:cs="Times New Roman"/>
                <w:noProof/>
                <w:webHidden/>
                <w:szCs w:val="24"/>
              </w:rPr>
              <w:fldChar w:fldCharType="begin"/>
            </w:r>
            <w:r w:rsidRPr="00494122">
              <w:rPr>
                <w:rFonts w:cs="Times New Roman"/>
                <w:noProof/>
                <w:webHidden/>
                <w:szCs w:val="24"/>
              </w:rPr>
              <w:instrText xml:space="preserve"> PAGEREF _Toc233832756 \h </w:instrText>
            </w:r>
            <w:r w:rsidRPr="00494122">
              <w:rPr>
                <w:rFonts w:cs="Times New Roman"/>
                <w:noProof/>
                <w:webHidden/>
                <w:szCs w:val="24"/>
              </w:rPr>
            </w:r>
            <w:r w:rsidRPr="00494122">
              <w:rPr>
                <w:rFonts w:cs="Times New Roman"/>
                <w:noProof/>
                <w:webHidden/>
                <w:szCs w:val="24"/>
              </w:rPr>
              <w:fldChar w:fldCharType="separate"/>
            </w:r>
            <w:r w:rsidRPr="00494122">
              <w:rPr>
                <w:rFonts w:cs="Times New Roman"/>
                <w:noProof/>
                <w:webHidden/>
                <w:szCs w:val="24"/>
              </w:rPr>
              <w:t>4</w:t>
            </w:r>
            <w:r w:rsidRPr="00494122">
              <w:rPr>
                <w:rFonts w:cs="Times New Roman"/>
                <w:noProof/>
                <w:webHidden/>
                <w:szCs w:val="24"/>
              </w:rPr>
              <w:fldChar w:fldCharType="end"/>
            </w:r>
          </w:hyperlink>
        </w:p>
        <w:p w14:paraId="106C1DBF" w14:textId="65F482E8" w:rsidR="00494122" w:rsidRPr="00494122" w:rsidRDefault="00494122" w:rsidP="00494122">
          <w:pPr>
            <w:pStyle w:val="TOC1"/>
            <w:tabs>
              <w:tab w:val="right" w:leader="dot" w:pos="9016"/>
            </w:tabs>
            <w:spacing w:line="360" w:lineRule="auto"/>
            <w:rPr>
              <w:rFonts w:cs="Times New Roman"/>
              <w:noProof/>
              <w:szCs w:val="24"/>
            </w:rPr>
          </w:pPr>
          <w:hyperlink w:anchor="_Toc233832757" w:history="1">
            <w:r w:rsidRPr="00494122">
              <w:rPr>
                <w:rStyle w:val="Hyperlink"/>
                <w:rFonts w:cs="Times New Roman"/>
                <w:noProof/>
                <w:color w:val="auto"/>
                <w:szCs w:val="24"/>
              </w:rPr>
              <w:t>4. Importance of working collaboratively</w:t>
            </w:r>
            <w:r w:rsidRPr="00494122">
              <w:rPr>
                <w:rFonts w:cs="Times New Roman"/>
                <w:noProof/>
                <w:webHidden/>
                <w:szCs w:val="24"/>
              </w:rPr>
              <w:tab/>
            </w:r>
            <w:r w:rsidRPr="00494122">
              <w:rPr>
                <w:rFonts w:cs="Times New Roman"/>
                <w:noProof/>
                <w:webHidden/>
                <w:szCs w:val="24"/>
              </w:rPr>
              <w:fldChar w:fldCharType="begin"/>
            </w:r>
            <w:r w:rsidRPr="00494122">
              <w:rPr>
                <w:rFonts w:cs="Times New Roman"/>
                <w:noProof/>
                <w:webHidden/>
                <w:szCs w:val="24"/>
              </w:rPr>
              <w:instrText xml:space="preserve"> PAGEREF _Toc233832757 \h </w:instrText>
            </w:r>
            <w:r w:rsidRPr="00494122">
              <w:rPr>
                <w:rFonts w:cs="Times New Roman"/>
                <w:noProof/>
                <w:webHidden/>
                <w:szCs w:val="24"/>
              </w:rPr>
            </w:r>
            <w:r w:rsidRPr="00494122">
              <w:rPr>
                <w:rFonts w:cs="Times New Roman"/>
                <w:noProof/>
                <w:webHidden/>
                <w:szCs w:val="24"/>
              </w:rPr>
              <w:fldChar w:fldCharType="separate"/>
            </w:r>
            <w:r w:rsidRPr="00494122">
              <w:rPr>
                <w:rFonts w:cs="Times New Roman"/>
                <w:noProof/>
                <w:webHidden/>
                <w:szCs w:val="24"/>
              </w:rPr>
              <w:t>5</w:t>
            </w:r>
            <w:r w:rsidRPr="00494122">
              <w:rPr>
                <w:rFonts w:cs="Times New Roman"/>
                <w:noProof/>
                <w:webHidden/>
                <w:szCs w:val="24"/>
              </w:rPr>
              <w:fldChar w:fldCharType="end"/>
            </w:r>
          </w:hyperlink>
        </w:p>
        <w:p w14:paraId="1EBDE3E2" w14:textId="2123F11E" w:rsidR="00494122" w:rsidRPr="00494122" w:rsidRDefault="00494122" w:rsidP="00494122">
          <w:pPr>
            <w:pStyle w:val="TOC1"/>
            <w:tabs>
              <w:tab w:val="right" w:leader="dot" w:pos="9016"/>
            </w:tabs>
            <w:spacing w:line="360" w:lineRule="auto"/>
            <w:rPr>
              <w:rFonts w:cs="Times New Roman"/>
              <w:noProof/>
              <w:szCs w:val="24"/>
            </w:rPr>
          </w:pPr>
          <w:hyperlink w:anchor="_Toc233832758" w:history="1">
            <w:r w:rsidRPr="00494122">
              <w:rPr>
                <w:rStyle w:val="Hyperlink"/>
                <w:rFonts w:cs="Times New Roman"/>
                <w:noProof/>
                <w:color w:val="auto"/>
                <w:szCs w:val="24"/>
              </w:rPr>
              <w:t>5. Conclusion</w:t>
            </w:r>
            <w:r w:rsidRPr="00494122">
              <w:rPr>
                <w:rFonts w:cs="Times New Roman"/>
                <w:noProof/>
                <w:webHidden/>
                <w:szCs w:val="24"/>
              </w:rPr>
              <w:tab/>
            </w:r>
            <w:r w:rsidRPr="00494122">
              <w:rPr>
                <w:rFonts w:cs="Times New Roman"/>
                <w:noProof/>
                <w:webHidden/>
                <w:szCs w:val="24"/>
              </w:rPr>
              <w:fldChar w:fldCharType="begin"/>
            </w:r>
            <w:r w:rsidRPr="00494122">
              <w:rPr>
                <w:rFonts w:cs="Times New Roman"/>
                <w:noProof/>
                <w:webHidden/>
                <w:szCs w:val="24"/>
              </w:rPr>
              <w:instrText xml:space="preserve"> PAGEREF _Toc233832758 \h </w:instrText>
            </w:r>
            <w:r w:rsidRPr="00494122">
              <w:rPr>
                <w:rFonts w:cs="Times New Roman"/>
                <w:noProof/>
                <w:webHidden/>
                <w:szCs w:val="24"/>
              </w:rPr>
            </w:r>
            <w:r w:rsidRPr="00494122">
              <w:rPr>
                <w:rFonts w:cs="Times New Roman"/>
                <w:noProof/>
                <w:webHidden/>
                <w:szCs w:val="24"/>
              </w:rPr>
              <w:fldChar w:fldCharType="separate"/>
            </w:r>
            <w:r w:rsidRPr="00494122">
              <w:rPr>
                <w:rFonts w:cs="Times New Roman"/>
                <w:noProof/>
                <w:webHidden/>
                <w:szCs w:val="24"/>
              </w:rPr>
              <w:t>6</w:t>
            </w:r>
            <w:r w:rsidRPr="00494122">
              <w:rPr>
                <w:rFonts w:cs="Times New Roman"/>
                <w:noProof/>
                <w:webHidden/>
                <w:szCs w:val="24"/>
              </w:rPr>
              <w:fldChar w:fldCharType="end"/>
            </w:r>
          </w:hyperlink>
        </w:p>
        <w:p w14:paraId="75DC111E" w14:textId="5E9A6D20" w:rsidR="00494122" w:rsidRPr="00494122" w:rsidRDefault="00494122" w:rsidP="00494122">
          <w:pPr>
            <w:pStyle w:val="TOC1"/>
            <w:tabs>
              <w:tab w:val="right" w:leader="dot" w:pos="9016"/>
            </w:tabs>
            <w:spacing w:line="360" w:lineRule="auto"/>
            <w:rPr>
              <w:rFonts w:cs="Times New Roman"/>
              <w:noProof/>
              <w:szCs w:val="24"/>
            </w:rPr>
          </w:pPr>
          <w:hyperlink w:anchor="_Toc233832759" w:history="1">
            <w:r w:rsidRPr="00494122">
              <w:rPr>
                <w:rStyle w:val="Hyperlink"/>
                <w:rFonts w:cs="Times New Roman"/>
                <w:noProof/>
                <w:color w:val="auto"/>
                <w:szCs w:val="24"/>
              </w:rPr>
              <w:t>References</w:t>
            </w:r>
            <w:r w:rsidRPr="00494122">
              <w:rPr>
                <w:rFonts w:cs="Times New Roman"/>
                <w:noProof/>
                <w:webHidden/>
                <w:szCs w:val="24"/>
              </w:rPr>
              <w:tab/>
            </w:r>
            <w:r w:rsidRPr="00494122">
              <w:rPr>
                <w:rFonts w:cs="Times New Roman"/>
                <w:noProof/>
                <w:webHidden/>
                <w:szCs w:val="24"/>
              </w:rPr>
              <w:fldChar w:fldCharType="begin"/>
            </w:r>
            <w:r w:rsidRPr="00494122">
              <w:rPr>
                <w:rFonts w:cs="Times New Roman"/>
                <w:noProof/>
                <w:webHidden/>
                <w:szCs w:val="24"/>
              </w:rPr>
              <w:instrText xml:space="preserve"> PAGEREF _Toc233832759 \h </w:instrText>
            </w:r>
            <w:r w:rsidRPr="00494122">
              <w:rPr>
                <w:rFonts w:cs="Times New Roman"/>
                <w:noProof/>
                <w:webHidden/>
                <w:szCs w:val="24"/>
              </w:rPr>
            </w:r>
            <w:r w:rsidRPr="00494122">
              <w:rPr>
                <w:rFonts w:cs="Times New Roman"/>
                <w:noProof/>
                <w:webHidden/>
                <w:szCs w:val="24"/>
              </w:rPr>
              <w:fldChar w:fldCharType="separate"/>
            </w:r>
            <w:r w:rsidRPr="00494122">
              <w:rPr>
                <w:rFonts w:cs="Times New Roman"/>
                <w:noProof/>
                <w:webHidden/>
                <w:szCs w:val="24"/>
              </w:rPr>
              <w:t>7</w:t>
            </w:r>
            <w:r w:rsidRPr="00494122">
              <w:rPr>
                <w:rFonts w:cs="Times New Roman"/>
                <w:noProof/>
                <w:webHidden/>
                <w:szCs w:val="24"/>
              </w:rPr>
              <w:fldChar w:fldCharType="end"/>
            </w:r>
          </w:hyperlink>
        </w:p>
        <w:p w14:paraId="51B15C81" w14:textId="65595B89" w:rsidR="00494122" w:rsidRDefault="00494122" w:rsidP="00494122">
          <w:pPr>
            <w:spacing w:line="360" w:lineRule="auto"/>
          </w:pPr>
          <w:r w:rsidRPr="00494122">
            <w:rPr>
              <w:rFonts w:cs="Times New Roman"/>
              <w:b/>
              <w:bCs/>
              <w:noProof/>
              <w:szCs w:val="24"/>
            </w:rPr>
            <w:fldChar w:fldCharType="end"/>
          </w:r>
        </w:p>
      </w:sdtContent>
    </w:sdt>
    <w:p w14:paraId="2E79F7ED" w14:textId="182913C0" w:rsidR="00B87E75" w:rsidRPr="00CD33A8" w:rsidRDefault="00B87E75" w:rsidP="006763CC">
      <w:pPr>
        <w:spacing w:line="360" w:lineRule="auto"/>
        <w:rPr>
          <w:rFonts w:asciiTheme="minorBidi" w:hAnsiTheme="minorBidi"/>
          <w:sz w:val="22"/>
        </w:rPr>
      </w:pPr>
    </w:p>
    <w:p w14:paraId="7AE771D5" w14:textId="1C06E45A" w:rsidR="00B87E75" w:rsidRPr="00CD33A8" w:rsidRDefault="00B87E75" w:rsidP="006763CC">
      <w:pPr>
        <w:spacing w:line="360" w:lineRule="auto"/>
        <w:rPr>
          <w:rFonts w:asciiTheme="minorBidi" w:hAnsiTheme="minorBidi"/>
          <w:sz w:val="22"/>
        </w:rPr>
      </w:pPr>
    </w:p>
    <w:p w14:paraId="4F7320CB" w14:textId="000D21B8" w:rsidR="00B87E75" w:rsidRPr="00CD33A8" w:rsidRDefault="00B87E75" w:rsidP="006763CC">
      <w:pPr>
        <w:spacing w:line="360" w:lineRule="auto"/>
        <w:rPr>
          <w:rFonts w:asciiTheme="minorBidi" w:hAnsiTheme="minorBidi"/>
          <w:sz w:val="22"/>
        </w:rPr>
      </w:pPr>
      <w:r w:rsidRPr="00CD33A8">
        <w:rPr>
          <w:rFonts w:asciiTheme="minorBidi" w:hAnsiTheme="minorBidi"/>
          <w:sz w:val="22"/>
        </w:rPr>
        <w:br w:type="page"/>
      </w:r>
    </w:p>
    <w:p w14:paraId="12D76753" w14:textId="393172FB" w:rsidR="00B87E75" w:rsidRPr="00CD33A8" w:rsidRDefault="00B87E75" w:rsidP="006763CC">
      <w:pPr>
        <w:pStyle w:val="Heading1"/>
      </w:pPr>
      <w:bookmarkStart w:id="0" w:name="_Toc233832754"/>
      <w:r w:rsidRPr="00CD33A8">
        <w:lastRenderedPageBreak/>
        <w:t>1. Introduction</w:t>
      </w:r>
      <w:bookmarkEnd w:id="0"/>
    </w:p>
    <w:p w14:paraId="14BF3272" w14:textId="2EC543D2" w:rsidR="0026393A" w:rsidRDefault="00B45AB2" w:rsidP="006763CC">
      <w:pPr>
        <w:tabs>
          <w:tab w:val="left" w:pos="6540"/>
        </w:tabs>
        <w:spacing w:line="360" w:lineRule="auto"/>
        <w:rPr>
          <w:rFonts w:ascii="Arial" w:hAnsi="Arial" w:cs="Arial"/>
          <w:sz w:val="22"/>
        </w:rPr>
      </w:pPr>
      <w:r w:rsidRPr="00B45AB2">
        <w:rPr>
          <w:rFonts w:ascii="Arial" w:hAnsi="Arial" w:cs="Arial"/>
          <w:sz w:val="22"/>
        </w:rPr>
        <w:t>Effective communication, good administrative procedures and effective multi-agency working are essential in the health and social care sector in ensuring that all service users are safe and secure</w:t>
      </w:r>
      <w:r>
        <w:rPr>
          <w:rFonts w:ascii="Arial" w:hAnsi="Arial" w:cs="Arial"/>
          <w:sz w:val="22"/>
        </w:rPr>
        <w:t xml:space="preserve"> (</w:t>
      </w:r>
      <w:r w:rsidRPr="00B45AB2">
        <w:rPr>
          <w:rFonts w:ascii="Arial" w:hAnsi="Arial" w:cs="Arial"/>
          <w:sz w:val="22"/>
        </w:rPr>
        <w:t>Kalkowska et al., 2018</w:t>
      </w:r>
      <w:r>
        <w:rPr>
          <w:rFonts w:ascii="Arial" w:hAnsi="Arial" w:cs="Arial"/>
          <w:sz w:val="22"/>
        </w:rPr>
        <w:t>)</w:t>
      </w:r>
      <w:r w:rsidRPr="00B45AB2">
        <w:rPr>
          <w:rFonts w:ascii="Arial" w:hAnsi="Arial" w:cs="Arial"/>
          <w:sz w:val="22"/>
        </w:rPr>
        <w:t xml:space="preserve">. In this report, the following professional needs are explored in relation to the case study of Mrs Thompson who is an </w:t>
      </w:r>
      <w:proofErr w:type="gramStart"/>
      <w:r w:rsidRPr="00B45AB2">
        <w:rPr>
          <w:rFonts w:ascii="Arial" w:hAnsi="Arial" w:cs="Arial"/>
          <w:sz w:val="22"/>
        </w:rPr>
        <w:t>84 year old</w:t>
      </w:r>
      <w:proofErr w:type="gramEnd"/>
      <w:r w:rsidRPr="00B45AB2">
        <w:rPr>
          <w:rFonts w:ascii="Arial" w:hAnsi="Arial" w:cs="Arial"/>
          <w:sz w:val="22"/>
        </w:rPr>
        <w:t xml:space="preserve"> with mild dementia who has just been discharged from hospital after a period of pneumonia. The case of Mrs. Thompson underscores the importance of a coordinated care plan to manage her health issues and concerns, such as medication adherence and home safety concerns. This report illustrates how the skills of a professional can be vital in providing quality person-centred care, </w:t>
      </w:r>
      <w:proofErr w:type="gramStart"/>
      <w:r w:rsidRPr="00B45AB2">
        <w:rPr>
          <w:rFonts w:ascii="Arial" w:hAnsi="Arial" w:cs="Arial"/>
          <w:sz w:val="22"/>
        </w:rPr>
        <w:t>through the use of</w:t>
      </w:r>
      <w:proofErr w:type="gramEnd"/>
      <w:r w:rsidRPr="00B45AB2">
        <w:rPr>
          <w:rFonts w:ascii="Arial" w:hAnsi="Arial" w:cs="Arial"/>
          <w:sz w:val="22"/>
        </w:rPr>
        <w:t xml:space="preserve"> the relevant legislation such as the Equality Act 2010 and Data Protection Act 2018. In addition, it looks at the intricacies of multi-agency relationships and highlights the essential nature of professional partnership as the key ingredient needed to fill the service gaps between pieces and whole, and safe care and suppor</w:t>
      </w:r>
      <w:r w:rsidR="006763CC">
        <w:rPr>
          <w:rFonts w:ascii="Arial" w:hAnsi="Arial" w:cs="Arial"/>
          <w:sz w:val="22"/>
        </w:rPr>
        <w:t>t</w:t>
      </w:r>
      <w:r w:rsidR="008E3943">
        <w:rPr>
          <w:rFonts w:ascii="Arial" w:hAnsi="Arial" w:cs="Arial"/>
          <w:sz w:val="22"/>
        </w:rPr>
        <w:t>.</w:t>
      </w:r>
    </w:p>
    <w:p w14:paraId="68C53673" w14:textId="77777777" w:rsidR="008E3943" w:rsidRPr="00CD33A8" w:rsidRDefault="008E3943" w:rsidP="006763CC">
      <w:pPr>
        <w:tabs>
          <w:tab w:val="left" w:pos="6540"/>
        </w:tabs>
        <w:spacing w:line="360" w:lineRule="auto"/>
        <w:rPr>
          <w:rFonts w:ascii="Arial" w:hAnsi="Arial" w:cs="Arial"/>
          <w:sz w:val="22"/>
        </w:rPr>
      </w:pPr>
    </w:p>
    <w:p w14:paraId="52010A5E" w14:textId="77777777" w:rsidR="0026393A" w:rsidRPr="00CD33A8" w:rsidRDefault="0026393A" w:rsidP="006763CC">
      <w:pPr>
        <w:tabs>
          <w:tab w:val="left" w:pos="6540"/>
        </w:tabs>
        <w:spacing w:line="360" w:lineRule="auto"/>
        <w:rPr>
          <w:rFonts w:ascii="Arial" w:hAnsi="Arial" w:cs="Arial"/>
          <w:sz w:val="22"/>
        </w:rPr>
      </w:pPr>
    </w:p>
    <w:p w14:paraId="73B07562" w14:textId="0E99FAFE" w:rsidR="008E3943" w:rsidRDefault="0026393A" w:rsidP="006763CC">
      <w:pPr>
        <w:pStyle w:val="Heading1"/>
      </w:pPr>
      <w:bookmarkStart w:id="1" w:name="_Toc233832755"/>
      <w:r w:rsidRPr="00CD33A8">
        <w:t xml:space="preserve">2. </w:t>
      </w:r>
      <w:r w:rsidR="008E3943">
        <w:t>I</w:t>
      </w:r>
      <w:r w:rsidR="008E3943" w:rsidRPr="008E3943">
        <w:t>mportance of effective communication</w:t>
      </w:r>
      <w:bookmarkEnd w:id="1"/>
    </w:p>
    <w:p w14:paraId="66A51EB3" w14:textId="77777777" w:rsidR="00B45AB2" w:rsidRPr="00B45AB2" w:rsidRDefault="00B45AB2" w:rsidP="006763CC">
      <w:pPr>
        <w:tabs>
          <w:tab w:val="left" w:pos="6540"/>
        </w:tabs>
        <w:spacing w:line="360" w:lineRule="auto"/>
        <w:rPr>
          <w:rFonts w:asciiTheme="minorBidi" w:hAnsiTheme="minorBidi"/>
          <w:sz w:val="22"/>
        </w:rPr>
      </w:pPr>
      <w:r w:rsidRPr="00B45AB2">
        <w:rPr>
          <w:rFonts w:asciiTheme="minorBidi" w:hAnsiTheme="minorBidi"/>
          <w:sz w:val="22"/>
        </w:rPr>
        <w:t xml:space="preserve">Effective communication is the foundation of trust and safety within the context of Mrs Thompson's care. Mrs Thompson is an </w:t>
      </w:r>
      <w:proofErr w:type="gramStart"/>
      <w:r w:rsidRPr="00B45AB2">
        <w:rPr>
          <w:rFonts w:asciiTheme="minorBidi" w:hAnsiTheme="minorBidi"/>
          <w:sz w:val="22"/>
        </w:rPr>
        <w:t>84 year old</w:t>
      </w:r>
      <w:proofErr w:type="gramEnd"/>
      <w:r w:rsidRPr="00B45AB2">
        <w:rPr>
          <w:rFonts w:asciiTheme="minorBidi" w:hAnsiTheme="minorBidi"/>
          <w:sz w:val="22"/>
        </w:rPr>
        <w:t xml:space="preserve"> woman with mild dementia and may have cognitive variation that requires her care takers to communicate clearly, with empathy and patience. The Equality Act 2010 requires service providers to make "reasonable adjustments" to make sure that people with disabilities, such as cognitive disabilities, are not being put at a disadvantage when accessing a service (Redley et al., 2019). This means practitioners need to adjust the way they communicate with patients, for example, by making medical information more accessible for patients, using pictures as reminders for taking medicines, and maintaining a distraction-free environment, to preserve Mrs. Thompson's dignity and autonomy.</w:t>
      </w:r>
    </w:p>
    <w:p w14:paraId="6797B8DA" w14:textId="4DE11FFA" w:rsidR="00B45AB2" w:rsidRPr="00B45AB2" w:rsidRDefault="00B45AB2" w:rsidP="006763CC">
      <w:pPr>
        <w:tabs>
          <w:tab w:val="left" w:pos="6540"/>
        </w:tabs>
        <w:spacing w:line="360" w:lineRule="auto"/>
        <w:rPr>
          <w:rFonts w:asciiTheme="minorBidi" w:hAnsiTheme="minorBidi"/>
          <w:sz w:val="22"/>
        </w:rPr>
      </w:pPr>
      <w:r w:rsidRPr="00B45AB2">
        <w:rPr>
          <w:rFonts w:asciiTheme="minorBidi" w:hAnsiTheme="minorBidi"/>
          <w:sz w:val="22"/>
        </w:rPr>
        <w:t>The Sender-Message-Receiver model is a fundamental framework that can be util</w:t>
      </w:r>
      <w:r w:rsidR="00494122">
        <w:rPr>
          <w:rFonts w:asciiTheme="minorBidi" w:hAnsiTheme="minorBidi"/>
          <w:sz w:val="22"/>
        </w:rPr>
        <w:t>ise</w:t>
      </w:r>
      <w:r w:rsidRPr="00B45AB2">
        <w:rPr>
          <w:rFonts w:asciiTheme="minorBidi" w:hAnsiTheme="minorBidi"/>
          <w:sz w:val="22"/>
        </w:rPr>
        <w:t xml:space="preserve">d to communicate effectively with Mrs Thompson and her family. This is a model to highlight the importance of the feedback loop in relation to medication management and safety incidents. For example, if Mrs Thompson's domiciliary care worker notices that she has not taken the medications for two days, they </w:t>
      </w:r>
      <w:proofErr w:type="gramStart"/>
      <w:r w:rsidRPr="00B45AB2">
        <w:rPr>
          <w:rFonts w:asciiTheme="minorBidi" w:hAnsiTheme="minorBidi"/>
          <w:sz w:val="22"/>
        </w:rPr>
        <w:t>have to</w:t>
      </w:r>
      <w:proofErr w:type="gramEnd"/>
      <w:r w:rsidRPr="00B45AB2">
        <w:rPr>
          <w:rFonts w:asciiTheme="minorBidi" w:hAnsiTheme="minorBidi"/>
          <w:sz w:val="22"/>
        </w:rPr>
        <w:t xml:space="preserve"> pass this information on clearly to her GP. In this situation, the sender (carer) needs to encode the message with </w:t>
      </w:r>
      <w:proofErr w:type="gramStart"/>
      <w:r w:rsidRPr="00B45AB2">
        <w:rPr>
          <w:rFonts w:asciiTheme="minorBidi" w:hAnsiTheme="minorBidi"/>
          <w:sz w:val="22"/>
        </w:rPr>
        <w:t>particular information</w:t>
      </w:r>
      <w:proofErr w:type="gramEnd"/>
      <w:r w:rsidRPr="00B45AB2">
        <w:rPr>
          <w:rFonts w:asciiTheme="minorBidi" w:hAnsiTheme="minorBidi"/>
          <w:sz w:val="22"/>
        </w:rPr>
        <w:t xml:space="preserve"> about the missed doses and how much confused Mrs Thompson is. This information is then received by the GP who decodes it to conduct a medication review.</w:t>
      </w:r>
    </w:p>
    <w:p w14:paraId="0537CEF5" w14:textId="429B7EC1" w:rsidR="003E4ECF" w:rsidRDefault="00B45AB2" w:rsidP="006763CC">
      <w:pPr>
        <w:tabs>
          <w:tab w:val="left" w:pos="6540"/>
        </w:tabs>
        <w:spacing w:line="360" w:lineRule="auto"/>
        <w:rPr>
          <w:rFonts w:asciiTheme="minorBidi" w:hAnsiTheme="minorBidi"/>
          <w:sz w:val="22"/>
        </w:rPr>
      </w:pPr>
      <w:r w:rsidRPr="00B45AB2">
        <w:rPr>
          <w:rFonts w:asciiTheme="minorBidi" w:hAnsiTheme="minorBidi"/>
          <w:sz w:val="22"/>
        </w:rPr>
        <w:lastRenderedPageBreak/>
        <w:t xml:space="preserve">Interagency communication also needs to be interagency interoperable to guarantee that the message is received and acted on without delay and with accuracy, otherwise it will not be understood (Griffiths, 2022). Communication that is disjoined can create "noise" or miscommunication that may result in serious negative health consequences for the service user. Also important is ensuring that family members are part of the communication process, but again this needs to be done sensitively. They are expected to make sure that any family members are empowered and supported to help with her </w:t>
      </w:r>
      <w:proofErr w:type="gramStart"/>
      <w:r w:rsidRPr="00B45AB2">
        <w:rPr>
          <w:rFonts w:asciiTheme="minorBidi" w:hAnsiTheme="minorBidi"/>
          <w:sz w:val="22"/>
        </w:rPr>
        <w:t>care, but</w:t>
      </w:r>
      <w:proofErr w:type="gramEnd"/>
      <w:r w:rsidRPr="00B45AB2">
        <w:rPr>
          <w:rFonts w:asciiTheme="minorBidi" w:hAnsiTheme="minorBidi"/>
          <w:sz w:val="22"/>
        </w:rPr>
        <w:t xml:space="preserve"> are also expected to acknowledge her right to confidentiality and autonomy in her care plan. Inclusive and clear communication creates an environment where the service user feels they are being listened to, and service providers are better prepared to meet the changing health needs of the service user. These principles help the practitioner to make communication a proactive strategy that supports a person-centred approach and helps minimise risk.</w:t>
      </w:r>
    </w:p>
    <w:p w14:paraId="336F5447" w14:textId="77777777" w:rsidR="008E3943" w:rsidRDefault="008E3943" w:rsidP="006763CC">
      <w:pPr>
        <w:tabs>
          <w:tab w:val="left" w:pos="6540"/>
        </w:tabs>
        <w:spacing w:line="360" w:lineRule="auto"/>
        <w:rPr>
          <w:rFonts w:asciiTheme="minorBidi" w:hAnsiTheme="minorBidi"/>
          <w:sz w:val="22"/>
        </w:rPr>
      </w:pPr>
    </w:p>
    <w:p w14:paraId="3398AF2B" w14:textId="77777777" w:rsidR="008E3943" w:rsidRPr="00CD33A8" w:rsidRDefault="008E3943" w:rsidP="006763CC">
      <w:pPr>
        <w:tabs>
          <w:tab w:val="left" w:pos="6540"/>
        </w:tabs>
        <w:spacing w:line="360" w:lineRule="auto"/>
        <w:rPr>
          <w:rFonts w:asciiTheme="minorBidi" w:hAnsiTheme="minorBidi"/>
          <w:sz w:val="22"/>
        </w:rPr>
      </w:pPr>
    </w:p>
    <w:p w14:paraId="60B2CDC3" w14:textId="12EE5464" w:rsidR="00B87E75" w:rsidRPr="00CD33A8" w:rsidRDefault="0026393A" w:rsidP="006763CC">
      <w:pPr>
        <w:pStyle w:val="Heading1"/>
      </w:pPr>
      <w:bookmarkStart w:id="2" w:name="_Toc233832756"/>
      <w:r w:rsidRPr="00CD33A8">
        <w:t>3</w:t>
      </w:r>
      <w:r w:rsidR="00B87E75" w:rsidRPr="00CD33A8">
        <w:t>.</w:t>
      </w:r>
      <w:r w:rsidR="008E3943">
        <w:t xml:space="preserve"> I</w:t>
      </w:r>
      <w:r w:rsidR="008E3943" w:rsidRPr="008E3943">
        <w:t>mportance of good administrative skills</w:t>
      </w:r>
      <w:bookmarkEnd w:id="2"/>
      <w:r w:rsidR="008E3943" w:rsidRPr="008E3943">
        <w:t xml:space="preserve"> </w:t>
      </w:r>
    </w:p>
    <w:p w14:paraId="7CC25344" w14:textId="77777777" w:rsidR="00B45AB2" w:rsidRPr="00B45AB2" w:rsidRDefault="00B45AB2" w:rsidP="006763CC">
      <w:pPr>
        <w:tabs>
          <w:tab w:val="left" w:pos="6540"/>
        </w:tabs>
        <w:spacing w:line="360" w:lineRule="auto"/>
        <w:rPr>
          <w:rFonts w:asciiTheme="minorBidi" w:hAnsiTheme="minorBidi"/>
          <w:sz w:val="22"/>
        </w:rPr>
      </w:pPr>
      <w:r w:rsidRPr="00B45AB2">
        <w:rPr>
          <w:rFonts w:asciiTheme="minorBidi" w:hAnsiTheme="minorBidi"/>
          <w:sz w:val="22"/>
        </w:rPr>
        <w:t>In the health and social care industry, administrative competence is crucial for clinical safety and legal liability (Driscoll et al. 2020). In the case of Mrs Thompson, record keeping is an ongoing and documented history of her health care experience – this was important for accurately identifying the risk of her being found in the street in inclement circumstances without correct clothing, and for future health care planning. Effective records create a comprehensive "paper trail", so that all professionals who have contact with her from the GP to the community nurse have access to the latest information.</w:t>
      </w:r>
    </w:p>
    <w:p w14:paraId="46014C84" w14:textId="6FE30133" w:rsidR="00B45AB2" w:rsidRPr="00B45AB2" w:rsidRDefault="00B45AB2" w:rsidP="006763CC">
      <w:pPr>
        <w:tabs>
          <w:tab w:val="left" w:pos="6540"/>
        </w:tabs>
        <w:spacing w:line="360" w:lineRule="auto"/>
        <w:rPr>
          <w:rFonts w:asciiTheme="minorBidi" w:hAnsiTheme="minorBidi"/>
          <w:sz w:val="22"/>
        </w:rPr>
      </w:pPr>
      <w:r w:rsidRPr="00B45AB2">
        <w:rPr>
          <w:rFonts w:asciiTheme="minorBidi" w:hAnsiTheme="minorBidi"/>
          <w:sz w:val="22"/>
        </w:rPr>
        <w:t>The Data Protection Act 2018 states that any information that is gathered from Mrs Thompson must be processed in line with the law and in a transparent and secure manner. As the definition of "personal data" is constantly changing in the digital era, practitioners will have to make sure that only author</w:t>
      </w:r>
      <w:r w:rsidR="00494122">
        <w:rPr>
          <w:rFonts w:asciiTheme="minorBidi" w:hAnsiTheme="minorBidi"/>
          <w:sz w:val="22"/>
        </w:rPr>
        <w:t>ise</w:t>
      </w:r>
      <w:r w:rsidRPr="00B45AB2">
        <w:rPr>
          <w:rFonts w:asciiTheme="minorBidi" w:hAnsiTheme="minorBidi"/>
          <w:sz w:val="22"/>
        </w:rPr>
        <w:t>d users can have access to her sensitive medical history (</w:t>
      </w:r>
      <w:proofErr w:type="spellStart"/>
      <w:r w:rsidRPr="00B45AB2">
        <w:rPr>
          <w:rFonts w:asciiTheme="minorBidi" w:hAnsiTheme="minorBidi"/>
          <w:sz w:val="22"/>
        </w:rPr>
        <w:t>Purtova</w:t>
      </w:r>
      <w:proofErr w:type="spellEnd"/>
      <w:r w:rsidRPr="00B45AB2">
        <w:rPr>
          <w:rFonts w:asciiTheme="minorBidi" w:hAnsiTheme="minorBidi"/>
          <w:sz w:val="22"/>
        </w:rPr>
        <w:t>, 2018). In addition, practitioners need to be aware of digital ethics; with data becoming key to the platform, there is a delicate balance that needs to be maintained between the accessibility of data for care coordination and the protection of privacy for the person (Isaak and Hanna, 2018). This requires staff to be aware of the requirements for sharing information as they will only share information with others on a "need to know" basis to ensure the trust of the service user is maintained.</w:t>
      </w:r>
    </w:p>
    <w:p w14:paraId="4FC14C6B" w14:textId="3AE144B0" w:rsidR="00B87E75" w:rsidRDefault="00B45AB2" w:rsidP="006763CC">
      <w:pPr>
        <w:tabs>
          <w:tab w:val="left" w:pos="6540"/>
        </w:tabs>
        <w:spacing w:line="360" w:lineRule="auto"/>
        <w:rPr>
          <w:rFonts w:asciiTheme="minorBidi" w:hAnsiTheme="minorBidi"/>
          <w:sz w:val="22"/>
        </w:rPr>
      </w:pPr>
      <w:r w:rsidRPr="00B45AB2">
        <w:rPr>
          <w:rFonts w:asciiTheme="minorBidi" w:hAnsiTheme="minorBidi"/>
          <w:sz w:val="22"/>
        </w:rPr>
        <w:t xml:space="preserve">Further, the administration systems demand that information be recorded </w:t>
      </w:r>
      <w:proofErr w:type="spellStart"/>
      <w:r w:rsidRPr="00B45AB2">
        <w:rPr>
          <w:rFonts w:asciiTheme="minorBidi" w:hAnsiTheme="minorBidi"/>
          <w:sz w:val="22"/>
        </w:rPr>
        <w:t>contemporously</w:t>
      </w:r>
      <w:proofErr w:type="spellEnd"/>
      <w:r w:rsidRPr="00B45AB2">
        <w:rPr>
          <w:rFonts w:asciiTheme="minorBidi" w:hAnsiTheme="minorBidi"/>
          <w:sz w:val="22"/>
        </w:rPr>
        <w:t xml:space="preserve"> as events take place, to preserve clinical accuracy. If an incident is serious, these records will </w:t>
      </w:r>
      <w:r w:rsidRPr="00B45AB2">
        <w:rPr>
          <w:rFonts w:asciiTheme="minorBidi" w:hAnsiTheme="minorBidi"/>
          <w:sz w:val="22"/>
        </w:rPr>
        <w:lastRenderedPageBreak/>
        <w:t>form the main evidence of the duty of care that has been followed. With digital governance being the key element of the digital era, it is important for practitioners to engage in a "soft ethics" (</w:t>
      </w:r>
      <w:proofErr w:type="spellStart"/>
      <w:r w:rsidRPr="00B45AB2">
        <w:rPr>
          <w:rFonts w:asciiTheme="minorBidi" w:hAnsiTheme="minorBidi"/>
          <w:sz w:val="22"/>
        </w:rPr>
        <w:t>Floridi</w:t>
      </w:r>
      <w:proofErr w:type="spellEnd"/>
      <w:r w:rsidRPr="00B45AB2">
        <w:rPr>
          <w:rFonts w:asciiTheme="minorBidi" w:hAnsiTheme="minorBidi"/>
          <w:sz w:val="22"/>
        </w:rPr>
        <w:t xml:space="preserve">, 2018) approach that focuses on the human elements of care as well as data security. For instance, digital record systems ought to be made to suit the user's unique setting: over time, her improvements and/or deteriorations in health should be tracked (Hildebrandt, 2018). The strictures of her administration would be extremely limited without </w:t>
      </w:r>
      <w:proofErr w:type="gramStart"/>
      <w:r w:rsidRPr="00B45AB2">
        <w:rPr>
          <w:rFonts w:asciiTheme="minorBidi" w:hAnsiTheme="minorBidi"/>
          <w:sz w:val="22"/>
        </w:rPr>
        <w:t>them, and</w:t>
      </w:r>
      <w:proofErr w:type="gramEnd"/>
      <w:r w:rsidRPr="00B45AB2">
        <w:rPr>
          <w:rFonts w:asciiTheme="minorBidi" w:hAnsiTheme="minorBidi"/>
          <w:sz w:val="22"/>
        </w:rPr>
        <w:t xml:space="preserve"> losing track of the success or failure of the medication reviews, or keeping track of what </w:t>
      </w:r>
      <w:proofErr w:type="spellStart"/>
      <w:r w:rsidRPr="00B45AB2">
        <w:rPr>
          <w:rFonts w:asciiTheme="minorBidi" w:hAnsiTheme="minorBidi"/>
          <w:sz w:val="22"/>
        </w:rPr>
        <w:t>effect her</w:t>
      </w:r>
      <w:proofErr w:type="spellEnd"/>
      <w:r w:rsidRPr="00B45AB2">
        <w:rPr>
          <w:rFonts w:asciiTheme="minorBidi" w:hAnsiTheme="minorBidi"/>
          <w:sz w:val="22"/>
        </w:rPr>
        <w:t xml:space="preserve"> dementia is having on her daily safety would lead to preventable harm. In summary, good administration practice ensures that the care given is not only reactive, </w:t>
      </w:r>
      <w:proofErr w:type="gramStart"/>
      <w:r w:rsidRPr="00B45AB2">
        <w:rPr>
          <w:rFonts w:asciiTheme="minorBidi" w:hAnsiTheme="minorBidi"/>
          <w:sz w:val="22"/>
        </w:rPr>
        <w:t>it is</w:t>
      </w:r>
      <w:proofErr w:type="gramEnd"/>
      <w:r w:rsidRPr="00B45AB2">
        <w:rPr>
          <w:rFonts w:asciiTheme="minorBidi" w:hAnsiTheme="minorBidi"/>
          <w:sz w:val="22"/>
        </w:rPr>
        <w:t xml:space="preserve"> informed, evidenced and legal, and is at the heart of professional accountability (Kareem et al. 2022).</w:t>
      </w:r>
    </w:p>
    <w:p w14:paraId="68FFD705" w14:textId="77777777" w:rsidR="008E3943" w:rsidRDefault="008E3943" w:rsidP="006763CC">
      <w:pPr>
        <w:tabs>
          <w:tab w:val="left" w:pos="6540"/>
        </w:tabs>
        <w:spacing w:line="360" w:lineRule="auto"/>
        <w:rPr>
          <w:rFonts w:asciiTheme="minorBidi" w:hAnsiTheme="minorBidi"/>
          <w:sz w:val="22"/>
        </w:rPr>
      </w:pPr>
    </w:p>
    <w:p w14:paraId="2B008FF6" w14:textId="77777777" w:rsidR="008E3943" w:rsidRPr="00CD33A8" w:rsidRDefault="008E3943" w:rsidP="006763CC">
      <w:pPr>
        <w:tabs>
          <w:tab w:val="left" w:pos="6540"/>
        </w:tabs>
        <w:spacing w:line="360" w:lineRule="auto"/>
        <w:rPr>
          <w:rFonts w:asciiTheme="minorBidi" w:hAnsiTheme="minorBidi"/>
          <w:sz w:val="22"/>
        </w:rPr>
      </w:pPr>
    </w:p>
    <w:p w14:paraId="581C99BF" w14:textId="264B49DF" w:rsidR="00B87E75" w:rsidRPr="00CD33A8" w:rsidRDefault="004A736E" w:rsidP="006763CC">
      <w:pPr>
        <w:pStyle w:val="Heading1"/>
      </w:pPr>
      <w:bookmarkStart w:id="3" w:name="_Toc233832757"/>
      <w:r w:rsidRPr="00CD33A8">
        <w:t>4</w:t>
      </w:r>
      <w:r w:rsidR="00B87E75" w:rsidRPr="00CD33A8">
        <w:t xml:space="preserve">. </w:t>
      </w:r>
      <w:r w:rsidR="008E3943">
        <w:t>I</w:t>
      </w:r>
      <w:r w:rsidR="008E3943" w:rsidRPr="008E3943">
        <w:t>mportance of working collaboratively</w:t>
      </w:r>
      <w:bookmarkEnd w:id="3"/>
    </w:p>
    <w:p w14:paraId="21D2CE42" w14:textId="77777777" w:rsidR="007E1462" w:rsidRPr="007E1462" w:rsidRDefault="007E1462" w:rsidP="006763CC">
      <w:pPr>
        <w:tabs>
          <w:tab w:val="left" w:pos="6540"/>
        </w:tabs>
        <w:spacing w:line="360" w:lineRule="auto"/>
        <w:rPr>
          <w:rFonts w:asciiTheme="minorBidi" w:hAnsiTheme="minorBidi"/>
          <w:sz w:val="22"/>
        </w:rPr>
      </w:pPr>
      <w:r w:rsidRPr="007E1462">
        <w:rPr>
          <w:rFonts w:asciiTheme="minorBidi" w:hAnsiTheme="minorBidi"/>
          <w:sz w:val="22"/>
        </w:rPr>
        <w:t>The safety of Mrs Thompson relies on a seamless working pattern between her GP, Community Nurse and the workers with the Domiciliary Care. This is important as no one professional can provide all the support that she requires for her needs which are multifaceted from post-pneumonia recovery to mental decline and environmental safety (Kareem et al., 2022).</w:t>
      </w:r>
    </w:p>
    <w:p w14:paraId="2F3F7013" w14:textId="77777777" w:rsidR="007E1462" w:rsidRPr="007E1462" w:rsidRDefault="007E1462" w:rsidP="006763CC">
      <w:pPr>
        <w:tabs>
          <w:tab w:val="left" w:pos="6540"/>
        </w:tabs>
        <w:spacing w:line="360" w:lineRule="auto"/>
        <w:rPr>
          <w:rFonts w:asciiTheme="minorBidi" w:hAnsiTheme="minorBidi"/>
          <w:sz w:val="22"/>
        </w:rPr>
      </w:pPr>
      <w:r w:rsidRPr="007E1462">
        <w:rPr>
          <w:rFonts w:asciiTheme="minorBidi" w:hAnsiTheme="minorBidi"/>
          <w:sz w:val="22"/>
        </w:rPr>
        <w:t>Agencies need to develop protocols of sharing information and setting common goals to encourage effective collaboration (Resetar et al., 2020). Regular Multi-Disciplinary Team (MDT) meetings are very effective, as they can help all parties make sure they are working towards the same objectives and understand what each party is responsible for. Yet, the usual problems in such an environment are professional silos and diverging organisational agendas (Waardenburg et al., 2020). Practitioners need to have a 'service-user-first' approach to overcome these. The potential to have inter-institutional trust is cited as the main key to success in multi-agency networks (Driscoll et al., 2020; Wilkinson and Richmond, 2023) in complex situations, like the dynamic changes that occur during a public health crisis.</w:t>
      </w:r>
    </w:p>
    <w:p w14:paraId="682D1769" w14:textId="2FBB684A" w:rsidR="003E4ECF" w:rsidRDefault="007E1462" w:rsidP="006763CC">
      <w:pPr>
        <w:tabs>
          <w:tab w:val="left" w:pos="6540"/>
        </w:tabs>
        <w:spacing w:line="360" w:lineRule="auto"/>
        <w:rPr>
          <w:rFonts w:asciiTheme="minorBidi" w:hAnsiTheme="minorBidi"/>
          <w:sz w:val="22"/>
        </w:rPr>
      </w:pPr>
      <w:r w:rsidRPr="007E1462">
        <w:rPr>
          <w:rFonts w:asciiTheme="minorBidi" w:hAnsiTheme="minorBidi"/>
          <w:sz w:val="22"/>
        </w:rPr>
        <w:t xml:space="preserve">The use of secure, shared digital platforms and having a primary point of contact can help to reduce communication gaps that can impede emergency responses (Power, 2018; Solomon, 2019). High levels of trust and transparency within teams transform them into “extreme teams” that can deal with the chaotic and unpredictable nature of care for vulnerable adults (Power, 2018). The bedrock of effective, trustworthy, and highly collaborative public </w:t>
      </w:r>
      <w:r w:rsidRPr="007E1462">
        <w:rPr>
          <w:rFonts w:asciiTheme="minorBidi" w:hAnsiTheme="minorBidi"/>
          <w:sz w:val="22"/>
        </w:rPr>
        <w:lastRenderedPageBreak/>
        <w:t>administration (Onyango, 2020) is ultimately trust between these institutions. Care for Mrs Thompson becomes cohesive, robust and responsive when solutions to each of these silos are well resolved.</w:t>
      </w:r>
    </w:p>
    <w:p w14:paraId="15C25996" w14:textId="77777777" w:rsidR="008E3943" w:rsidRDefault="008E3943" w:rsidP="006763CC">
      <w:pPr>
        <w:tabs>
          <w:tab w:val="left" w:pos="6540"/>
        </w:tabs>
        <w:spacing w:line="360" w:lineRule="auto"/>
        <w:rPr>
          <w:rFonts w:asciiTheme="minorBidi" w:hAnsiTheme="minorBidi"/>
          <w:sz w:val="22"/>
        </w:rPr>
      </w:pPr>
    </w:p>
    <w:p w14:paraId="3A742EE2" w14:textId="77777777" w:rsidR="008E3943" w:rsidRPr="00CD33A8" w:rsidRDefault="008E3943" w:rsidP="006763CC">
      <w:pPr>
        <w:tabs>
          <w:tab w:val="left" w:pos="6540"/>
        </w:tabs>
        <w:spacing w:line="360" w:lineRule="auto"/>
        <w:rPr>
          <w:rFonts w:asciiTheme="minorBidi" w:hAnsiTheme="minorBidi"/>
          <w:sz w:val="22"/>
        </w:rPr>
      </w:pPr>
    </w:p>
    <w:p w14:paraId="16FAF0EA" w14:textId="2F93A55A" w:rsidR="00B87E75" w:rsidRPr="00CD33A8" w:rsidRDefault="008E3943" w:rsidP="006763CC">
      <w:pPr>
        <w:pStyle w:val="Heading1"/>
      </w:pPr>
      <w:bookmarkStart w:id="4" w:name="_Toc233832758"/>
      <w:r>
        <w:t>5</w:t>
      </w:r>
      <w:r w:rsidR="00B87E75" w:rsidRPr="00CD33A8">
        <w:t>. Conclusion</w:t>
      </w:r>
      <w:bookmarkEnd w:id="4"/>
      <w:r w:rsidR="00CD33A8">
        <w:t xml:space="preserve"> </w:t>
      </w:r>
    </w:p>
    <w:p w14:paraId="6DBC958B" w14:textId="31C57702" w:rsidR="00CD33A8" w:rsidRPr="00CD33A8" w:rsidRDefault="007E1462" w:rsidP="006763CC">
      <w:pPr>
        <w:tabs>
          <w:tab w:val="left" w:pos="6540"/>
        </w:tabs>
        <w:spacing w:line="360" w:lineRule="auto"/>
        <w:rPr>
          <w:rFonts w:asciiTheme="minorBidi" w:hAnsiTheme="minorBidi"/>
          <w:sz w:val="22"/>
        </w:rPr>
      </w:pPr>
      <w:r w:rsidRPr="007E1462">
        <w:rPr>
          <w:rFonts w:asciiTheme="minorBidi" w:hAnsiTheme="minorBidi"/>
          <w:sz w:val="22"/>
        </w:rPr>
        <w:t xml:space="preserve">The report has highlighted that successful practice in health and social care does not only involve clinical actions, but communication and administration as well as collaboration. In Mrs Thompson's case, where communication is tailored to individual needs based on the Equality Act 2010 and administrative records are managed securely in line with the Data Protection Act 2018, there are significant mitigating risks to vulnerable individuals. In addition, the importance of multi-agency partnerships is paramount; it's the "cement" that unites these professional skills. Healthcare professionals can help meet Mrs. Thompson's needs through a holistic, safe, and caring approach </w:t>
      </w:r>
      <w:r w:rsidR="00494122">
        <w:rPr>
          <w:rFonts w:asciiTheme="minorBidi" w:hAnsiTheme="minorBidi"/>
          <w:sz w:val="22"/>
        </w:rPr>
        <w:t>whilst</w:t>
      </w:r>
      <w:r w:rsidRPr="007E1462">
        <w:rPr>
          <w:rFonts w:asciiTheme="minorBidi" w:hAnsiTheme="minorBidi"/>
          <w:sz w:val="22"/>
        </w:rPr>
        <w:t xml:space="preserve"> following these standards, and in doing so, enhance her quality of life </w:t>
      </w:r>
      <w:proofErr w:type="gramStart"/>
      <w:r w:rsidRPr="007E1462">
        <w:rPr>
          <w:rFonts w:asciiTheme="minorBidi" w:hAnsiTheme="minorBidi"/>
          <w:sz w:val="22"/>
        </w:rPr>
        <w:t>in the midst of</w:t>
      </w:r>
      <w:proofErr w:type="gramEnd"/>
      <w:r w:rsidRPr="007E1462">
        <w:rPr>
          <w:rFonts w:asciiTheme="minorBidi" w:hAnsiTheme="minorBidi"/>
          <w:sz w:val="22"/>
        </w:rPr>
        <w:t xml:space="preserve"> her struggles with dementia and health issues. By working together professionally and breaking the laws, the health and social care sector will be able to continue to deliver good and effective care to those who need it the most</w:t>
      </w:r>
      <w:r w:rsidR="008E3943">
        <w:rPr>
          <w:rFonts w:asciiTheme="minorBidi" w:hAnsiTheme="minorBidi"/>
          <w:sz w:val="22"/>
        </w:rPr>
        <w:t>.</w:t>
      </w:r>
    </w:p>
    <w:p w14:paraId="6812580D" w14:textId="47452A39" w:rsidR="0090040D" w:rsidRPr="00CD33A8" w:rsidRDefault="0090040D" w:rsidP="006763CC">
      <w:pPr>
        <w:tabs>
          <w:tab w:val="left" w:pos="6540"/>
        </w:tabs>
        <w:spacing w:line="360" w:lineRule="auto"/>
        <w:rPr>
          <w:rFonts w:asciiTheme="minorBidi" w:hAnsiTheme="minorBidi"/>
          <w:sz w:val="22"/>
        </w:rPr>
      </w:pPr>
    </w:p>
    <w:p w14:paraId="444BAD02" w14:textId="77777777" w:rsidR="00814A9E" w:rsidRPr="00CD33A8" w:rsidRDefault="00814A9E" w:rsidP="006763CC">
      <w:pPr>
        <w:tabs>
          <w:tab w:val="left" w:pos="6540"/>
        </w:tabs>
        <w:spacing w:line="360" w:lineRule="auto"/>
        <w:rPr>
          <w:rFonts w:asciiTheme="minorBidi" w:hAnsiTheme="minorBidi"/>
          <w:sz w:val="22"/>
        </w:rPr>
      </w:pPr>
    </w:p>
    <w:p w14:paraId="71022E41" w14:textId="77777777" w:rsidR="00814A9E" w:rsidRPr="00CD33A8" w:rsidRDefault="00814A9E" w:rsidP="006763CC">
      <w:pPr>
        <w:tabs>
          <w:tab w:val="left" w:pos="6540"/>
        </w:tabs>
        <w:spacing w:line="360" w:lineRule="auto"/>
        <w:rPr>
          <w:rFonts w:asciiTheme="minorBidi" w:hAnsiTheme="minorBidi"/>
          <w:sz w:val="22"/>
        </w:rPr>
      </w:pPr>
    </w:p>
    <w:p w14:paraId="3EA3C7DD" w14:textId="2C373198" w:rsidR="00F66E1B" w:rsidRPr="00CD33A8" w:rsidRDefault="00F66E1B" w:rsidP="006763CC">
      <w:pPr>
        <w:tabs>
          <w:tab w:val="left" w:pos="6540"/>
        </w:tabs>
        <w:spacing w:line="360" w:lineRule="auto"/>
        <w:rPr>
          <w:rFonts w:asciiTheme="minorBidi" w:hAnsiTheme="minorBidi"/>
          <w:sz w:val="22"/>
        </w:rPr>
      </w:pPr>
    </w:p>
    <w:p w14:paraId="5C76528F" w14:textId="77777777" w:rsidR="00F66E1B" w:rsidRPr="00CD33A8" w:rsidRDefault="00F66E1B" w:rsidP="006763CC">
      <w:pPr>
        <w:tabs>
          <w:tab w:val="left" w:pos="6540"/>
        </w:tabs>
        <w:spacing w:line="360" w:lineRule="auto"/>
        <w:rPr>
          <w:rFonts w:asciiTheme="minorBidi" w:hAnsiTheme="minorBidi"/>
          <w:sz w:val="22"/>
        </w:rPr>
      </w:pPr>
    </w:p>
    <w:p w14:paraId="18999130" w14:textId="77777777" w:rsidR="00CD33A8" w:rsidRDefault="00CD33A8" w:rsidP="006763CC">
      <w:pPr>
        <w:spacing w:line="360" w:lineRule="auto"/>
        <w:rPr>
          <w:rFonts w:asciiTheme="minorBidi" w:eastAsiaTheme="majorEastAsia" w:hAnsiTheme="minorBidi"/>
          <w:b/>
          <w:sz w:val="28"/>
        </w:rPr>
      </w:pPr>
      <w:r>
        <w:br w:type="page"/>
      </w:r>
    </w:p>
    <w:p w14:paraId="33F8F0BD" w14:textId="597FD84B" w:rsidR="00B87E75" w:rsidRPr="00CD33A8" w:rsidRDefault="00B87E75" w:rsidP="006763CC">
      <w:pPr>
        <w:pStyle w:val="Heading1"/>
      </w:pPr>
      <w:bookmarkStart w:id="5" w:name="_Toc233832759"/>
      <w:r w:rsidRPr="00CD33A8">
        <w:lastRenderedPageBreak/>
        <w:t>References</w:t>
      </w:r>
      <w:bookmarkEnd w:id="5"/>
    </w:p>
    <w:p w14:paraId="1D97323D" w14:textId="77777777" w:rsidR="004977AD" w:rsidRPr="00D4722B" w:rsidRDefault="004977AD" w:rsidP="006763CC">
      <w:pPr>
        <w:spacing w:after="0" w:line="360" w:lineRule="auto"/>
        <w:ind w:left="720" w:hanging="720"/>
        <w:jc w:val="both"/>
        <w:rPr>
          <w:rFonts w:ascii="Arial" w:eastAsia="Times New Roman" w:hAnsi="Arial" w:cs="Arial"/>
          <w:color w:val="1F1F1F"/>
          <w:lang w:eastAsia="en-GB"/>
        </w:rPr>
      </w:pPr>
      <w:r w:rsidRPr="00D4722B">
        <w:rPr>
          <w:rFonts w:ascii="Arial" w:eastAsia="Times New Roman" w:hAnsi="Arial" w:cs="Arial"/>
          <w:color w:val="1F1F1F"/>
          <w:lang w:eastAsia="en-GB"/>
        </w:rPr>
        <w:t xml:space="preserve">Driscoll, J., Lorek, A., Kinnear, E. and Hutchinson, A., 2020. Multi-agency safeguarding arrangements: overcoming the challenges of Covid-19 measures. </w:t>
      </w:r>
      <w:r w:rsidRPr="00D4722B">
        <w:rPr>
          <w:rFonts w:ascii="Arial" w:eastAsia="Times New Roman" w:hAnsi="Arial" w:cs="Arial"/>
          <w:i/>
          <w:iCs/>
          <w:color w:val="1F1F1F"/>
          <w:bdr w:val="none" w:sz="0" w:space="0" w:color="auto" w:frame="1"/>
          <w:lang w:eastAsia="en-GB"/>
        </w:rPr>
        <w:t>Journal of children's services</w:t>
      </w:r>
      <w:r w:rsidRPr="00D4722B">
        <w:rPr>
          <w:rFonts w:ascii="Arial" w:eastAsia="Times New Roman" w:hAnsi="Arial" w:cs="Arial"/>
          <w:color w:val="1F1F1F"/>
          <w:lang w:eastAsia="en-GB"/>
        </w:rPr>
        <w:t>, 15(4), pp.267-274.</w:t>
      </w:r>
    </w:p>
    <w:p w14:paraId="4C6F0BD3" w14:textId="77777777" w:rsidR="004977AD" w:rsidRPr="00D4722B" w:rsidRDefault="004977AD" w:rsidP="006763CC">
      <w:pPr>
        <w:spacing w:after="0" w:line="360" w:lineRule="auto"/>
        <w:ind w:left="720" w:hanging="720"/>
        <w:jc w:val="both"/>
        <w:rPr>
          <w:rFonts w:ascii="Arial" w:eastAsia="Times New Roman" w:hAnsi="Arial" w:cs="Arial"/>
          <w:color w:val="1F1F1F"/>
          <w:lang w:eastAsia="en-GB"/>
        </w:rPr>
      </w:pPr>
      <w:proofErr w:type="spellStart"/>
      <w:r w:rsidRPr="00D4722B">
        <w:rPr>
          <w:rFonts w:ascii="Arial" w:eastAsia="Times New Roman" w:hAnsi="Arial" w:cs="Arial"/>
          <w:color w:val="1F1F1F"/>
          <w:lang w:eastAsia="en-GB"/>
        </w:rPr>
        <w:t>Floridi</w:t>
      </w:r>
      <w:proofErr w:type="spellEnd"/>
      <w:r w:rsidRPr="00D4722B">
        <w:rPr>
          <w:rFonts w:ascii="Arial" w:eastAsia="Times New Roman" w:hAnsi="Arial" w:cs="Arial"/>
          <w:color w:val="1F1F1F"/>
          <w:lang w:eastAsia="en-GB"/>
        </w:rPr>
        <w:t xml:space="preserve">, L., 2018. Soft ethics and the governance of the digital. </w:t>
      </w:r>
      <w:r w:rsidRPr="00D4722B">
        <w:rPr>
          <w:rFonts w:ascii="Arial" w:eastAsia="Times New Roman" w:hAnsi="Arial" w:cs="Arial"/>
          <w:i/>
          <w:iCs/>
          <w:color w:val="1F1F1F"/>
          <w:bdr w:val="none" w:sz="0" w:space="0" w:color="auto" w:frame="1"/>
          <w:lang w:eastAsia="en-GB"/>
        </w:rPr>
        <w:t>Philosophy &amp; technology</w:t>
      </w:r>
      <w:r w:rsidRPr="00D4722B">
        <w:rPr>
          <w:rFonts w:ascii="Arial" w:eastAsia="Times New Roman" w:hAnsi="Arial" w:cs="Arial"/>
          <w:color w:val="1F1F1F"/>
          <w:lang w:eastAsia="en-GB"/>
        </w:rPr>
        <w:t>, 31(1), pp.1-8.</w:t>
      </w:r>
    </w:p>
    <w:p w14:paraId="5B258A4C" w14:textId="77777777" w:rsidR="004977AD" w:rsidRPr="00D4722B" w:rsidRDefault="004977AD" w:rsidP="006763CC">
      <w:pPr>
        <w:spacing w:after="0" w:line="360" w:lineRule="auto"/>
        <w:ind w:left="720" w:hanging="720"/>
        <w:jc w:val="both"/>
        <w:rPr>
          <w:rFonts w:ascii="Arial" w:eastAsia="Times New Roman" w:hAnsi="Arial" w:cs="Arial"/>
          <w:color w:val="1F1F1F"/>
          <w:lang w:eastAsia="en-GB"/>
        </w:rPr>
      </w:pPr>
      <w:r w:rsidRPr="00D4722B">
        <w:rPr>
          <w:rFonts w:ascii="Arial" w:eastAsia="Times New Roman" w:hAnsi="Arial" w:cs="Arial"/>
          <w:color w:val="1F1F1F"/>
          <w:lang w:eastAsia="en-GB"/>
        </w:rPr>
        <w:t>Griffiths, C.T., 2022. Interagency Communication, Collaboration, and interoperability within police services and between police services and other emergency services. School of Criminology, Simon Fraser University.</w:t>
      </w:r>
    </w:p>
    <w:p w14:paraId="4A376DFC" w14:textId="77777777" w:rsidR="004977AD" w:rsidRPr="00D4722B" w:rsidRDefault="004977AD" w:rsidP="006763CC">
      <w:pPr>
        <w:spacing w:after="0" w:line="360" w:lineRule="auto"/>
        <w:ind w:left="720" w:hanging="720"/>
        <w:jc w:val="both"/>
        <w:rPr>
          <w:rFonts w:ascii="Arial" w:eastAsia="Times New Roman" w:hAnsi="Arial" w:cs="Arial"/>
          <w:color w:val="1F1F1F"/>
          <w:lang w:eastAsia="en-GB"/>
        </w:rPr>
      </w:pPr>
      <w:r w:rsidRPr="00D4722B">
        <w:rPr>
          <w:rFonts w:ascii="Arial" w:eastAsia="Times New Roman" w:hAnsi="Arial" w:cs="Arial"/>
          <w:color w:val="1F1F1F"/>
          <w:lang w:eastAsia="en-GB"/>
        </w:rPr>
        <w:t>Hildebrandt, M., 2018. Primitives of legal protection in the era of data-driven platforms. Available at SSRN 3140594.</w:t>
      </w:r>
    </w:p>
    <w:p w14:paraId="4B83375C" w14:textId="77777777" w:rsidR="004977AD" w:rsidRPr="00D4722B" w:rsidRDefault="004977AD" w:rsidP="006763CC">
      <w:pPr>
        <w:spacing w:after="0" w:line="360" w:lineRule="auto"/>
        <w:ind w:left="720" w:hanging="720"/>
        <w:jc w:val="both"/>
        <w:rPr>
          <w:rFonts w:ascii="Arial" w:eastAsia="Times New Roman" w:hAnsi="Arial" w:cs="Arial"/>
          <w:color w:val="1F1F1F"/>
          <w:lang w:eastAsia="en-GB"/>
        </w:rPr>
      </w:pPr>
      <w:r w:rsidRPr="00D4722B">
        <w:rPr>
          <w:rFonts w:ascii="Arial" w:eastAsia="Times New Roman" w:hAnsi="Arial" w:cs="Arial"/>
          <w:color w:val="1F1F1F"/>
          <w:lang w:eastAsia="en-GB"/>
        </w:rPr>
        <w:t xml:space="preserve">Isaak, J. and Hanna, M.J., 2018. User data privacy: Facebook, Cambridge Analytica, and privacy protection. </w:t>
      </w:r>
      <w:r w:rsidRPr="00D4722B">
        <w:rPr>
          <w:rFonts w:ascii="Arial" w:eastAsia="Times New Roman" w:hAnsi="Arial" w:cs="Arial"/>
          <w:i/>
          <w:iCs/>
          <w:color w:val="1F1F1F"/>
          <w:bdr w:val="none" w:sz="0" w:space="0" w:color="auto" w:frame="1"/>
          <w:lang w:eastAsia="en-GB"/>
        </w:rPr>
        <w:t>Computer</w:t>
      </w:r>
      <w:r w:rsidRPr="00D4722B">
        <w:rPr>
          <w:rFonts w:ascii="Arial" w:eastAsia="Times New Roman" w:hAnsi="Arial" w:cs="Arial"/>
          <w:color w:val="1F1F1F"/>
          <w:lang w:eastAsia="en-GB"/>
        </w:rPr>
        <w:t>, 51(8), pp.56-59.</w:t>
      </w:r>
    </w:p>
    <w:p w14:paraId="03EFA3F6" w14:textId="77777777" w:rsidR="004977AD" w:rsidRPr="00D4722B" w:rsidRDefault="004977AD" w:rsidP="006763CC">
      <w:pPr>
        <w:spacing w:after="0" w:line="360" w:lineRule="auto"/>
        <w:ind w:left="720" w:hanging="720"/>
        <w:jc w:val="both"/>
        <w:rPr>
          <w:rFonts w:ascii="Arial" w:eastAsia="Times New Roman" w:hAnsi="Arial" w:cs="Arial"/>
          <w:color w:val="1F1F1F"/>
          <w:lang w:eastAsia="en-GB"/>
        </w:rPr>
      </w:pPr>
      <w:r w:rsidRPr="00D4722B">
        <w:rPr>
          <w:rFonts w:ascii="Arial" w:eastAsia="Times New Roman" w:hAnsi="Arial" w:cs="Arial"/>
          <w:color w:val="1F1F1F"/>
          <w:lang w:val="de-DE" w:eastAsia="en-GB"/>
        </w:rPr>
        <w:t xml:space="preserve">Kalkowska, D.A. et al., 2018. </w:t>
      </w:r>
      <w:r w:rsidRPr="00D4722B">
        <w:rPr>
          <w:rFonts w:ascii="Arial" w:eastAsia="Times New Roman" w:hAnsi="Arial" w:cs="Arial"/>
          <w:color w:val="1F1F1F"/>
          <w:lang w:eastAsia="en-GB"/>
        </w:rPr>
        <w:t xml:space="preserve">Associations between pneumonia and residential distance to livestock farms over a five-year period in a large population-based study. </w:t>
      </w:r>
      <w:proofErr w:type="spellStart"/>
      <w:r w:rsidRPr="00D4722B">
        <w:rPr>
          <w:rFonts w:ascii="Arial" w:eastAsia="Times New Roman" w:hAnsi="Arial" w:cs="Arial"/>
          <w:i/>
          <w:iCs/>
          <w:color w:val="1F1F1F"/>
          <w:bdr w:val="none" w:sz="0" w:space="0" w:color="auto" w:frame="1"/>
          <w:lang w:eastAsia="en-GB"/>
        </w:rPr>
        <w:t>PLoS</w:t>
      </w:r>
      <w:proofErr w:type="spellEnd"/>
      <w:r w:rsidRPr="00D4722B">
        <w:rPr>
          <w:rFonts w:ascii="Arial" w:eastAsia="Times New Roman" w:hAnsi="Arial" w:cs="Arial"/>
          <w:i/>
          <w:iCs/>
          <w:color w:val="1F1F1F"/>
          <w:bdr w:val="none" w:sz="0" w:space="0" w:color="auto" w:frame="1"/>
          <w:lang w:eastAsia="en-GB"/>
        </w:rPr>
        <w:t xml:space="preserve"> One</w:t>
      </w:r>
      <w:r w:rsidRPr="00D4722B">
        <w:rPr>
          <w:rFonts w:ascii="Arial" w:eastAsia="Times New Roman" w:hAnsi="Arial" w:cs="Arial"/>
          <w:color w:val="1F1F1F"/>
          <w:lang w:eastAsia="en-GB"/>
        </w:rPr>
        <w:t>, 13(7), p.e0200813.</w:t>
      </w:r>
    </w:p>
    <w:p w14:paraId="1B71B82F" w14:textId="77777777" w:rsidR="004977AD" w:rsidRPr="00D4722B" w:rsidRDefault="004977AD" w:rsidP="006763CC">
      <w:pPr>
        <w:spacing w:after="0" w:line="360" w:lineRule="auto"/>
        <w:ind w:left="720" w:hanging="720"/>
        <w:jc w:val="both"/>
        <w:rPr>
          <w:rFonts w:ascii="Arial" w:eastAsia="Times New Roman" w:hAnsi="Arial" w:cs="Arial"/>
          <w:color w:val="1F1F1F"/>
          <w:lang w:eastAsia="en-GB"/>
        </w:rPr>
      </w:pPr>
      <w:r w:rsidRPr="00D4722B">
        <w:rPr>
          <w:rFonts w:ascii="Arial" w:eastAsia="Times New Roman" w:hAnsi="Arial" w:cs="Arial"/>
          <w:color w:val="1F1F1F"/>
          <w:lang w:eastAsia="en-GB"/>
        </w:rPr>
        <w:t xml:space="preserve">Kareem, A., Liu, H. and Sant, P., 2022. Review on pneumonia image detection: A machine learning approach. </w:t>
      </w:r>
      <w:r w:rsidRPr="00D4722B">
        <w:rPr>
          <w:rFonts w:ascii="Arial" w:eastAsia="Times New Roman" w:hAnsi="Arial" w:cs="Arial"/>
          <w:i/>
          <w:iCs/>
          <w:color w:val="1F1F1F"/>
          <w:bdr w:val="none" w:sz="0" w:space="0" w:color="auto" w:frame="1"/>
          <w:lang w:eastAsia="en-GB"/>
        </w:rPr>
        <w:t>Human-Centric Intelligent Systems</w:t>
      </w:r>
      <w:r w:rsidRPr="00D4722B">
        <w:rPr>
          <w:rFonts w:ascii="Arial" w:eastAsia="Times New Roman" w:hAnsi="Arial" w:cs="Arial"/>
          <w:color w:val="1F1F1F"/>
          <w:lang w:eastAsia="en-GB"/>
        </w:rPr>
        <w:t>, 2(1), pp.31-43.</w:t>
      </w:r>
    </w:p>
    <w:p w14:paraId="74B3B62B" w14:textId="77777777" w:rsidR="004977AD" w:rsidRPr="00D4722B" w:rsidRDefault="004977AD" w:rsidP="006763CC">
      <w:pPr>
        <w:spacing w:after="0" w:line="360" w:lineRule="auto"/>
        <w:ind w:left="720" w:hanging="720"/>
        <w:jc w:val="both"/>
        <w:rPr>
          <w:rFonts w:ascii="Arial" w:eastAsia="Times New Roman" w:hAnsi="Arial" w:cs="Arial"/>
          <w:color w:val="1F1F1F"/>
          <w:lang w:eastAsia="en-GB"/>
        </w:rPr>
      </w:pPr>
      <w:r w:rsidRPr="00D4722B">
        <w:rPr>
          <w:rFonts w:ascii="Arial" w:eastAsia="Times New Roman" w:hAnsi="Arial" w:cs="Arial"/>
          <w:color w:val="1F1F1F"/>
          <w:lang w:eastAsia="en-GB"/>
        </w:rPr>
        <w:t xml:space="preserve">Onyango, G., 2020. Inter-institutional trust and multi-agency networks in anti-corruption efforts in public Administration in Kenya. </w:t>
      </w:r>
      <w:r w:rsidRPr="00D4722B">
        <w:rPr>
          <w:rFonts w:ascii="Arial" w:eastAsia="Times New Roman" w:hAnsi="Arial" w:cs="Arial"/>
          <w:i/>
          <w:iCs/>
          <w:color w:val="1F1F1F"/>
          <w:bdr w:val="none" w:sz="0" w:space="0" w:color="auto" w:frame="1"/>
          <w:lang w:eastAsia="en-GB"/>
        </w:rPr>
        <w:t>African Studies Quarterly</w:t>
      </w:r>
      <w:r w:rsidRPr="00D4722B">
        <w:rPr>
          <w:rFonts w:ascii="Arial" w:eastAsia="Times New Roman" w:hAnsi="Arial" w:cs="Arial"/>
          <w:color w:val="1F1F1F"/>
          <w:lang w:eastAsia="en-GB"/>
        </w:rPr>
        <w:t>, 19(2), pp.17-36.</w:t>
      </w:r>
    </w:p>
    <w:p w14:paraId="2D607A52" w14:textId="77777777" w:rsidR="004977AD" w:rsidRPr="00D4722B" w:rsidRDefault="004977AD" w:rsidP="006763CC">
      <w:pPr>
        <w:spacing w:after="0" w:line="360" w:lineRule="auto"/>
        <w:ind w:left="720" w:hanging="720"/>
        <w:jc w:val="both"/>
        <w:rPr>
          <w:rFonts w:ascii="Arial" w:eastAsia="Times New Roman" w:hAnsi="Arial" w:cs="Arial"/>
          <w:color w:val="1F1F1F"/>
          <w:lang w:eastAsia="en-GB"/>
        </w:rPr>
      </w:pPr>
      <w:r w:rsidRPr="00D4722B">
        <w:rPr>
          <w:rFonts w:ascii="Arial" w:eastAsia="Times New Roman" w:hAnsi="Arial" w:cs="Arial"/>
          <w:color w:val="1F1F1F"/>
          <w:lang w:eastAsia="en-GB"/>
        </w:rPr>
        <w:t xml:space="preserve">Power, N., 2018. Extreme teams: Toward a greater understanding of multiagency teamwork during major emergencies and disasters. </w:t>
      </w:r>
      <w:r w:rsidRPr="00D4722B">
        <w:rPr>
          <w:rFonts w:ascii="Arial" w:eastAsia="Times New Roman" w:hAnsi="Arial" w:cs="Arial"/>
          <w:i/>
          <w:iCs/>
          <w:color w:val="1F1F1F"/>
          <w:bdr w:val="none" w:sz="0" w:space="0" w:color="auto" w:frame="1"/>
          <w:lang w:eastAsia="en-GB"/>
        </w:rPr>
        <w:t>American Psychologist</w:t>
      </w:r>
      <w:r w:rsidRPr="00D4722B">
        <w:rPr>
          <w:rFonts w:ascii="Arial" w:eastAsia="Times New Roman" w:hAnsi="Arial" w:cs="Arial"/>
          <w:color w:val="1F1F1F"/>
          <w:lang w:eastAsia="en-GB"/>
        </w:rPr>
        <w:t>, 73(4), p.478.</w:t>
      </w:r>
    </w:p>
    <w:p w14:paraId="69416870" w14:textId="77777777" w:rsidR="004977AD" w:rsidRPr="00D4722B" w:rsidRDefault="004977AD" w:rsidP="006763CC">
      <w:pPr>
        <w:spacing w:after="0" w:line="360" w:lineRule="auto"/>
        <w:ind w:left="720" w:hanging="720"/>
        <w:jc w:val="both"/>
        <w:rPr>
          <w:rFonts w:ascii="Arial" w:eastAsia="Times New Roman" w:hAnsi="Arial" w:cs="Arial"/>
          <w:color w:val="1F1F1F"/>
          <w:lang w:eastAsia="en-GB"/>
        </w:rPr>
      </w:pPr>
      <w:proofErr w:type="spellStart"/>
      <w:r w:rsidRPr="00D4722B">
        <w:rPr>
          <w:rFonts w:ascii="Arial" w:eastAsia="Times New Roman" w:hAnsi="Arial" w:cs="Arial"/>
          <w:color w:val="1F1F1F"/>
          <w:lang w:eastAsia="en-GB"/>
        </w:rPr>
        <w:t>Purtova</w:t>
      </w:r>
      <w:proofErr w:type="spellEnd"/>
      <w:r w:rsidRPr="00D4722B">
        <w:rPr>
          <w:rFonts w:ascii="Arial" w:eastAsia="Times New Roman" w:hAnsi="Arial" w:cs="Arial"/>
          <w:color w:val="1F1F1F"/>
          <w:lang w:eastAsia="en-GB"/>
        </w:rPr>
        <w:t xml:space="preserve">, N., 2018. The law of everything. Broad concept of personal data and future of EU data protection law. </w:t>
      </w:r>
      <w:r w:rsidRPr="00D4722B">
        <w:rPr>
          <w:rFonts w:ascii="Arial" w:eastAsia="Times New Roman" w:hAnsi="Arial" w:cs="Arial"/>
          <w:i/>
          <w:iCs/>
          <w:color w:val="1F1F1F"/>
          <w:bdr w:val="none" w:sz="0" w:space="0" w:color="auto" w:frame="1"/>
          <w:lang w:eastAsia="en-GB"/>
        </w:rPr>
        <w:t>Law, Innovation and Technology</w:t>
      </w:r>
      <w:r w:rsidRPr="00D4722B">
        <w:rPr>
          <w:rFonts w:ascii="Arial" w:eastAsia="Times New Roman" w:hAnsi="Arial" w:cs="Arial"/>
          <w:color w:val="1F1F1F"/>
          <w:lang w:eastAsia="en-GB"/>
        </w:rPr>
        <w:t>, 10(1), pp.40-81.</w:t>
      </w:r>
    </w:p>
    <w:p w14:paraId="0D5089ED" w14:textId="77777777" w:rsidR="004977AD" w:rsidRPr="00D4722B" w:rsidRDefault="004977AD" w:rsidP="006763CC">
      <w:pPr>
        <w:spacing w:after="0" w:line="360" w:lineRule="auto"/>
        <w:ind w:left="720" w:hanging="720"/>
        <w:jc w:val="both"/>
        <w:rPr>
          <w:rFonts w:ascii="Arial" w:eastAsia="Times New Roman" w:hAnsi="Arial" w:cs="Arial"/>
          <w:color w:val="1F1F1F"/>
          <w:lang w:eastAsia="en-GB"/>
        </w:rPr>
      </w:pPr>
      <w:r w:rsidRPr="00D4722B">
        <w:rPr>
          <w:rFonts w:ascii="Arial" w:eastAsia="Times New Roman" w:hAnsi="Arial" w:cs="Arial"/>
          <w:color w:val="1F1F1F"/>
          <w:lang w:eastAsia="en-GB"/>
        </w:rPr>
        <w:t xml:space="preserve">Redley, M. et al., 2019. “Reasonable adjustments” under the UK's Equality Act 2010: An enquiry into the care and treatment to patients with intellectual disabilities in acute hospital settings. </w:t>
      </w:r>
      <w:r w:rsidRPr="00D4722B">
        <w:rPr>
          <w:rFonts w:ascii="Arial" w:eastAsia="Times New Roman" w:hAnsi="Arial" w:cs="Arial"/>
          <w:i/>
          <w:iCs/>
          <w:color w:val="1F1F1F"/>
          <w:bdr w:val="none" w:sz="0" w:space="0" w:color="auto" w:frame="1"/>
          <w:lang w:eastAsia="en-GB"/>
        </w:rPr>
        <w:t>Journal of Applied Research in Intellectual Disabilities</w:t>
      </w:r>
      <w:r w:rsidRPr="00D4722B">
        <w:rPr>
          <w:rFonts w:ascii="Arial" w:eastAsia="Times New Roman" w:hAnsi="Arial" w:cs="Arial"/>
          <w:color w:val="1F1F1F"/>
          <w:lang w:eastAsia="en-GB"/>
        </w:rPr>
        <w:t>, 32(6), pp.1412-1420.</w:t>
      </w:r>
    </w:p>
    <w:p w14:paraId="65C7F886" w14:textId="77777777" w:rsidR="004977AD" w:rsidRPr="00D4722B" w:rsidRDefault="004977AD" w:rsidP="006763CC">
      <w:pPr>
        <w:spacing w:after="0" w:line="360" w:lineRule="auto"/>
        <w:ind w:left="720" w:hanging="720"/>
        <w:jc w:val="both"/>
        <w:rPr>
          <w:rFonts w:ascii="Arial" w:eastAsia="Times New Roman" w:hAnsi="Arial" w:cs="Arial"/>
          <w:color w:val="1F1F1F"/>
          <w:lang w:eastAsia="en-GB"/>
        </w:rPr>
      </w:pPr>
      <w:r w:rsidRPr="00D4722B">
        <w:rPr>
          <w:rFonts w:ascii="Arial" w:eastAsia="Times New Roman" w:hAnsi="Arial" w:cs="Arial"/>
          <w:color w:val="1F1F1F"/>
          <w:lang w:eastAsia="en-GB"/>
        </w:rPr>
        <w:t>Resetar, S. et al., 2020. Guidebook for multi-agency collaboration for sustainability and resilience.</w:t>
      </w:r>
    </w:p>
    <w:p w14:paraId="43962C0F" w14:textId="77777777" w:rsidR="004977AD" w:rsidRPr="00D4722B" w:rsidRDefault="004977AD" w:rsidP="006763CC">
      <w:pPr>
        <w:spacing w:after="0" w:line="360" w:lineRule="auto"/>
        <w:ind w:left="720" w:hanging="720"/>
        <w:jc w:val="both"/>
        <w:rPr>
          <w:rFonts w:ascii="Arial" w:eastAsia="Times New Roman" w:hAnsi="Arial" w:cs="Arial"/>
          <w:color w:val="1F1F1F"/>
          <w:lang w:eastAsia="en-GB"/>
        </w:rPr>
      </w:pPr>
      <w:r w:rsidRPr="00D4722B">
        <w:rPr>
          <w:rFonts w:ascii="Arial" w:eastAsia="Times New Roman" w:hAnsi="Arial" w:cs="Arial"/>
          <w:color w:val="1F1F1F"/>
          <w:lang w:eastAsia="en-GB"/>
        </w:rPr>
        <w:lastRenderedPageBreak/>
        <w:t xml:space="preserve">Solomon, M., 2019. Becoming comfortable with chaos: making collaborative multi-agency working work. </w:t>
      </w:r>
      <w:r w:rsidRPr="00D4722B">
        <w:rPr>
          <w:rFonts w:ascii="Arial" w:eastAsia="Times New Roman" w:hAnsi="Arial" w:cs="Arial"/>
          <w:i/>
          <w:iCs/>
          <w:color w:val="1F1F1F"/>
          <w:bdr w:val="none" w:sz="0" w:space="0" w:color="auto" w:frame="1"/>
          <w:lang w:eastAsia="en-GB"/>
        </w:rPr>
        <w:t>Emotional and Behavioural Difficulties</w:t>
      </w:r>
      <w:r w:rsidRPr="00D4722B">
        <w:rPr>
          <w:rFonts w:ascii="Arial" w:eastAsia="Times New Roman" w:hAnsi="Arial" w:cs="Arial"/>
          <w:color w:val="1F1F1F"/>
          <w:lang w:eastAsia="en-GB"/>
        </w:rPr>
        <w:t>, 24(4), pp.391-404.</w:t>
      </w:r>
    </w:p>
    <w:p w14:paraId="73250D31" w14:textId="77777777" w:rsidR="004977AD" w:rsidRPr="00D4722B" w:rsidRDefault="004977AD" w:rsidP="006763CC">
      <w:pPr>
        <w:spacing w:after="0" w:line="360" w:lineRule="auto"/>
        <w:ind w:left="720" w:hanging="720"/>
        <w:jc w:val="both"/>
        <w:rPr>
          <w:rFonts w:ascii="Arial" w:eastAsia="Times New Roman" w:hAnsi="Arial" w:cs="Arial"/>
          <w:color w:val="1F1F1F"/>
          <w:lang w:eastAsia="en-GB"/>
        </w:rPr>
      </w:pPr>
      <w:r w:rsidRPr="00D4722B">
        <w:rPr>
          <w:rFonts w:ascii="Arial" w:eastAsia="Times New Roman" w:hAnsi="Arial" w:cs="Arial"/>
          <w:color w:val="1F1F1F"/>
          <w:lang w:eastAsia="en-GB"/>
        </w:rPr>
        <w:t xml:space="preserve">Waardenburg, M. et al., 2020. Paradoxes of collaborative governance: investigating the real-life dynamics of multi-agency collaborations using a quasi-experimental action-research approach. </w:t>
      </w:r>
      <w:r w:rsidRPr="00D4722B">
        <w:rPr>
          <w:rFonts w:ascii="Arial" w:eastAsia="Times New Roman" w:hAnsi="Arial" w:cs="Arial"/>
          <w:i/>
          <w:iCs/>
          <w:color w:val="1F1F1F"/>
          <w:bdr w:val="none" w:sz="0" w:space="0" w:color="auto" w:frame="1"/>
          <w:lang w:eastAsia="en-GB"/>
        </w:rPr>
        <w:t>Public Management Review</w:t>
      </w:r>
      <w:r w:rsidRPr="00D4722B">
        <w:rPr>
          <w:rFonts w:ascii="Arial" w:eastAsia="Times New Roman" w:hAnsi="Arial" w:cs="Arial"/>
          <w:color w:val="1F1F1F"/>
          <w:lang w:eastAsia="en-GB"/>
        </w:rPr>
        <w:t>, 22(3), pp.386-407.</w:t>
      </w:r>
    </w:p>
    <w:p w14:paraId="6F781785" w14:textId="77777777" w:rsidR="004977AD" w:rsidRPr="00D4722B" w:rsidRDefault="004977AD" w:rsidP="006763CC">
      <w:pPr>
        <w:spacing w:after="0" w:line="360" w:lineRule="auto"/>
        <w:ind w:left="720" w:hanging="720"/>
        <w:jc w:val="both"/>
        <w:rPr>
          <w:rFonts w:ascii="Arial" w:eastAsia="Times New Roman" w:hAnsi="Arial" w:cs="Arial"/>
          <w:color w:val="1F1F1F"/>
          <w:lang w:eastAsia="en-GB"/>
        </w:rPr>
      </w:pPr>
      <w:r w:rsidRPr="00D4722B">
        <w:rPr>
          <w:rFonts w:ascii="Arial" w:eastAsia="Times New Roman" w:hAnsi="Arial" w:cs="Arial"/>
          <w:color w:val="1F1F1F"/>
          <w:lang w:eastAsia="en-GB"/>
        </w:rPr>
        <w:t xml:space="preserve">Wilkinson, R.K. and Richmond, J.G., 2023. Exploring community level multi-agency communication and collaboration during the emergency response to the covid-19 pandemic. </w:t>
      </w:r>
      <w:r w:rsidRPr="00D4722B">
        <w:rPr>
          <w:rFonts w:ascii="Arial" w:eastAsia="Times New Roman" w:hAnsi="Arial" w:cs="Arial"/>
          <w:i/>
          <w:iCs/>
          <w:color w:val="1F1F1F"/>
          <w:bdr w:val="none" w:sz="0" w:space="0" w:color="auto" w:frame="1"/>
          <w:lang w:eastAsia="en-GB"/>
        </w:rPr>
        <w:t>Public Health in Practice</w:t>
      </w:r>
      <w:r w:rsidRPr="00D4722B">
        <w:rPr>
          <w:rFonts w:ascii="Arial" w:eastAsia="Times New Roman" w:hAnsi="Arial" w:cs="Arial"/>
          <w:color w:val="1F1F1F"/>
          <w:lang w:eastAsia="en-GB"/>
        </w:rPr>
        <w:t>, 6, p.100443.</w:t>
      </w:r>
    </w:p>
    <w:p w14:paraId="6D2B39EE" w14:textId="77777777" w:rsidR="004977AD" w:rsidRPr="00D4722B" w:rsidRDefault="004977AD" w:rsidP="006763CC">
      <w:pPr>
        <w:spacing w:line="360" w:lineRule="auto"/>
        <w:jc w:val="both"/>
      </w:pPr>
    </w:p>
    <w:p w14:paraId="1425F4AC" w14:textId="6695D929" w:rsidR="001D7C03" w:rsidRPr="00CD33A8" w:rsidRDefault="001D7C03" w:rsidP="006763CC">
      <w:pPr>
        <w:tabs>
          <w:tab w:val="left" w:pos="6540"/>
        </w:tabs>
        <w:spacing w:line="360" w:lineRule="auto"/>
        <w:rPr>
          <w:rFonts w:asciiTheme="minorBidi" w:hAnsiTheme="minorBidi"/>
          <w:sz w:val="22"/>
        </w:rPr>
      </w:pPr>
    </w:p>
    <w:sectPr w:rsidR="001D7C03" w:rsidRPr="00CD33A8" w:rsidSect="00E620E7">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D829ED" w14:textId="77777777" w:rsidR="00343708" w:rsidRDefault="00343708" w:rsidP="003E4ECF">
      <w:pPr>
        <w:spacing w:after="0" w:line="240" w:lineRule="auto"/>
      </w:pPr>
      <w:r>
        <w:separator/>
      </w:r>
    </w:p>
  </w:endnote>
  <w:endnote w:type="continuationSeparator" w:id="0">
    <w:p w14:paraId="78031B06" w14:textId="77777777" w:rsidR="00343708" w:rsidRDefault="00343708"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178F2F" w14:textId="77777777" w:rsidR="00343708" w:rsidRDefault="00343708" w:rsidP="003E4ECF">
      <w:pPr>
        <w:spacing w:after="0" w:line="240" w:lineRule="auto"/>
      </w:pPr>
      <w:r>
        <w:separator/>
      </w:r>
    </w:p>
  </w:footnote>
  <w:footnote w:type="continuationSeparator" w:id="0">
    <w:p w14:paraId="6F788285" w14:textId="77777777" w:rsidR="00343708" w:rsidRDefault="00343708"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5BF661A"/>
    <w:multiLevelType w:val="multilevel"/>
    <w:tmpl w:val="A5E6D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379265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572BF"/>
    <w:rsid w:val="00074402"/>
    <w:rsid w:val="001D7C03"/>
    <w:rsid w:val="00216C85"/>
    <w:rsid w:val="002340BB"/>
    <w:rsid w:val="0026393A"/>
    <w:rsid w:val="00273EDD"/>
    <w:rsid w:val="002C3965"/>
    <w:rsid w:val="00321C4C"/>
    <w:rsid w:val="00343708"/>
    <w:rsid w:val="00392BBC"/>
    <w:rsid w:val="003E4ECF"/>
    <w:rsid w:val="00494122"/>
    <w:rsid w:val="004977AD"/>
    <w:rsid w:val="004A736E"/>
    <w:rsid w:val="00515B61"/>
    <w:rsid w:val="006763CC"/>
    <w:rsid w:val="006925AA"/>
    <w:rsid w:val="00725177"/>
    <w:rsid w:val="007A1B8D"/>
    <w:rsid w:val="007E1462"/>
    <w:rsid w:val="00814A9E"/>
    <w:rsid w:val="008E3943"/>
    <w:rsid w:val="0090040D"/>
    <w:rsid w:val="009D052C"/>
    <w:rsid w:val="009D1D1E"/>
    <w:rsid w:val="00A035FD"/>
    <w:rsid w:val="00A402A0"/>
    <w:rsid w:val="00AD23A0"/>
    <w:rsid w:val="00B166BC"/>
    <w:rsid w:val="00B45AB2"/>
    <w:rsid w:val="00B87E75"/>
    <w:rsid w:val="00CD33A8"/>
    <w:rsid w:val="00D74D89"/>
    <w:rsid w:val="00E569FD"/>
    <w:rsid w:val="00E620E7"/>
    <w:rsid w:val="00F66E1B"/>
    <w:rsid w:val="00FA72D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620E7"/>
    <w:pPr>
      <w:keepNext/>
      <w:keepLines/>
      <w:spacing w:before="240" w:after="0" w:line="360" w:lineRule="auto"/>
      <w:outlineLvl w:val="0"/>
    </w:pPr>
    <w:rPr>
      <w:rFonts w:ascii="Arial" w:eastAsiaTheme="majorEastAsia" w:hAnsi="Arial"/>
      <w:b/>
      <w:sz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0E7"/>
    <w:rPr>
      <w:rFonts w:ascii="Arial" w:eastAsiaTheme="majorEastAsia" w:hAnsi="Arial"/>
      <w:b/>
      <w:sz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TOCHeading">
    <w:name w:val="TOC Heading"/>
    <w:basedOn w:val="Heading1"/>
    <w:next w:val="Normal"/>
    <w:uiPriority w:val="39"/>
    <w:unhideWhenUsed/>
    <w:qFormat/>
    <w:rsid w:val="00494122"/>
    <w:pPr>
      <w:spacing w:line="259" w:lineRule="auto"/>
      <w:outlineLvl w:val="9"/>
    </w:pPr>
    <w:rPr>
      <w:rFonts w:asciiTheme="majorHAnsi" w:hAnsiTheme="majorHAnsi" w:cstheme="majorBidi"/>
      <w:b w:val="0"/>
      <w:color w:val="2F5496" w:themeColor="accent1" w:themeShade="BF"/>
      <w:szCs w:val="32"/>
      <w:lang w:val="en-US"/>
    </w:rPr>
  </w:style>
  <w:style w:type="paragraph" w:styleId="TOC1">
    <w:name w:val="toc 1"/>
    <w:basedOn w:val="Normal"/>
    <w:next w:val="Normal"/>
    <w:autoRedefine/>
    <w:uiPriority w:val="39"/>
    <w:unhideWhenUsed/>
    <w:rsid w:val="00494122"/>
    <w:pPr>
      <w:spacing w:after="100"/>
    </w:pPr>
  </w:style>
  <w:style w:type="character" w:styleId="Hyperlink">
    <w:name w:val="Hyperlink"/>
    <w:basedOn w:val="DefaultParagraphFont"/>
    <w:uiPriority w:val="99"/>
    <w:unhideWhenUsed/>
    <w:rsid w:val="0049412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ABAB89-1C87-42C5-BB09-24BFAD775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1885</Words>
  <Characters>10746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Adebowale Daramola (2528127)</dc:creator>
  <cp:keywords/>
  <dc:description/>
  <cp:lastModifiedBy>Nicholas Adebowale Daramola (2528127)</cp:lastModifiedBy>
  <cp:revision>2</cp:revision>
  <dcterms:created xsi:type="dcterms:W3CDTF">2026-07-16T16:04:00Z</dcterms:created>
  <dcterms:modified xsi:type="dcterms:W3CDTF">2026-07-16T16:04:00Z</dcterms:modified>
</cp:coreProperties>
</file>