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085C" w:rsidRDefault="003969E0" w:rsidP="005777DD">
      <w:pPr>
        <w:spacing w:line="480" w:lineRule="auto"/>
        <w:jc w:val="both"/>
      </w:pPr>
      <w:r>
        <w:t>Cohen describes a monster’s body as a cultural body, and the understanding of ‘monster’ as emerging from fragments collected and formed into an ‘unassimilated hybrid’</w:t>
      </w:r>
      <w:r w:rsidR="007768C1">
        <w:t>,</w:t>
      </w:r>
      <w:r>
        <w:rPr>
          <w:rStyle w:val="FootnoteReference"/>
        </w:rPr>
        <w:footnoteReference w:id="1"/>
      </w:r>
      <w:r w:rsidR="007768C1">
        <w:t xml:space="preserve"> and claims that monsters are born ‘as an embodiment of a certain cultural moment – of a time, a feeling, a place’,</w:t>
      </w:r>
      <w:r w:rsidR="007768C1">
        <w:rPr>
          <w:rStyle w:val="FootnoteReference"/>
        </w:rPr>
        <w:footnoteReference w:id="2"/>
      </w:r>
      <w:r w:rsidR="007768C1">
        <w:t xml:space="preserve"> </w:t>
      </w:r>
      <w:r>
        <w:t xml:space="preserve"> From this, one may understand the concept of monsters</w:t>
      </w:r>
      <w:r w:rsidR="00A75698">
        <w:t>,</w:t>
      </w:r>
      <w:r>
        <w:t xml:space="preserve"> monstrous beings</w:t>
      </w:r>
      <w:r w:rsidR="00A75698">
        <w:t>,</w:t>
      </w:r>
      <w:r>
        <w:t xml:space="preserve"> and actions as being a direct re</w:t>
      </w:r>
      <w:r w:rsidR="0055672C">
        <w:t>flection</w:t>
      </w:r>
      <w:r>
        <w:t xml:space="preserve"> of the society they are presented to. </w:t>
      </w:r>
      <w:proofErr w:type="gramStart"/>
      <w:r>
        <w:t>That is to say that</w:t>
      </w:r>
      <w:proofErr w:type="gramEnd"/>
      <w:r>
        <w:t xml:space="preserve"> a monster is created and interpreted by the eyes of its audience, and so the twenty-first century audience is able to define monstrous concepts less by </w:t>
      </w:r>
      <w:r w:rsidR="00DA0D9B">
        <w:t>the famous</w:t>
      </w:r>
      <w:r>
        <w:t xml:space="preserve"> Frankenstein’s monster, and perhaps more by </w:t>
      </w:r>
      <w:r w:rsidR="00DA0D9B">
        <w:t xml:space="preserve">the behaviours of </w:t>
      </w:r>
      <w:r>
        <w:t xml:space="preserve">contemporary people such as President Donald Trump and Hollywood producer Harvey Weinstein. </w:t>
      </w:r>
      <w:r w:rsidR="007768C1">
        <w:t xml:space="preserve">If the purpose of the monster is to frighten or threaten, an audience will not be frightened or threatened by the same thing forever. </w:t>
      </w:r>
      <w:r>
        <w:t>This essay seeks to redefine and reconceptualise the term ‘monster</w:t>
      </w:r>
      <w:r w:rsidR="007768C1">
        <w:t xml:space="preserve">’, </w:t>
      </w:r>
      <w:r>
        <w:t xml:space="preserve">and discuss the deities in Ovid’s </w:t>
      </w:r>
      <w:r>
        <w:rPr>
          <w:i/>
        </w:rPr>
        <w:t xml:space="preserve">Metamorphoses </w:t>
      </w:r>
      <w:r>
        <w:t>within the framework of this new definition of monstrous behaviours. These behaviours include but are not limited to rape</w:t>
      </w:r>
      <w:r w:rsidR="003F0698">
        <w:t>, abuse of power, and the transgression of boundaries</w:t>
      </w:r>
      <w:r>
        <w:t xml:space="preserve"> – and the idea that what we understand by ‘monster’ never stagnates; rather, </w:t>
      </w:r>
      <w:r w:rsidR="00DA0D9B">
        <w:t>that it evolves with societies and cultures, will be explored in more depth.</w:t>
      </w:r>
      <w:r w:rsidR="00460C64">
        <w:t xml:space="preserve"> Examples of study will include Apollo’s attempted rape of Daphne, Jove’s rape of Io, Jove’s rape of </w:t>
      </w:r>
      <w:proofErr w:type="spellStart"/>
      <w:r w:rsidR="00460C64">
        <w:t>Callisto</w:t>
      </w:r>
      <w:proofErr w:type="spellEnd"/>
      <w:r w:rsidR="00460C64">
        <w:t>, and the betrayal of Medusa by Minerva.</w:t>
      </w:r>
    </w:p>
    <w:p w:rsidR="00EC33A2" w:rsidRDefault="004A5A6E" w:rsidP="005777DD">
      <w:pPr>
        <w:spacing w:line="480" w:lineRule="auto"/>
        <w:jc w:val="both"/>
      </w:pPr>
      <w:r>
        <w:t xml:space="preserve">Ovid’s </w:t>
      </w:r>
      <w:r>
        <w:rPr>
          <w:i/>
        </w:rPr>
        <w:t xml:space="preserve">Metamorphoses </w:t>
      </w:r>
      <w:r>
        <w:t xml:space="preserve">is a Roman representation of the cosmos, an epic which explores tragedy, elegy, and comedy, but at its core can be defined by its representation of the power and play of the gods. </w:t>
      </w:r>
      <w:r w:rsidR="00F034F4">
        <w:t>Heath calls attention to its</w:t>
      </w:r>
      <w:r w:rsidR="00AD03FE">
        <w:t xml:space="preserve"> ‘disturbing’</w:t>
      </w:r>
      <w:r w:rsidR="00F034F4">
        <w:t xml:space="preserve"> pattern </w:t>
      </w:r>
      <w:r w:rsidR="0032602D">
        <w:t>throughout</w:t>
      </w:r>
      <w:r w:rsidR="00AD03FE">
        <w:t xml:space="preserve">: a ‘virgin huntress, devoted to Diana, wanders through the woods looking for forest animals to </w:t>
      </w:r>
      <w:r w:rsidR="007D6A0A">
        <w:t>f</w:t>
      </w:r>
      <w:r w:rsidR="00AD03FE">
        <w:t xml:space="preserve">ell … rests in a sacred spot … </w:t>
      </w:r>
      <w:r w:rsidR="007D6A0A">
        <w:t>is immediately assaulted’</w:t>
      </w:r>
      <w:r w:rsidR="006D616F">
        <w:t>.</w:t>
      </w:r>
      <w:r w:rsidR="007D6A0A">
        <w:rPr>
          <w:rStyle w:val="FootnoteReference"/>
        </w:rPr>
        <w:footnoteReference w:id="3"/>
      </w:r>
      <w:r w:rsidR="007D6A0A">
        <w:t xml:space="preserve"> Heath goes on to discuss how the woman in question is sometimes assaulted and then transformed, and ‘sometimes she escapes the attacker only by metamorphosing into some form of impenetrable vegetation’</w:t>
      </w:r>
      <w:r w:rsidR="006D616F">
        <w:t>.</w:t>
      </w:r>
      <w:r w:rsidR="007D6A0A">
        <w:rPr>
          <w:rStyle w:val="FootnoteReference"/>
        </w:rPr>
        <w:footnoteReference w:id="4"/>
      </w:r>
      <w:r w:rsidR="004236D7">
        <w:t xml:space="preserve"> A chapter that comes immediately to mind is</w:t>
      </w:r>
      <w:r w:rsidR="006D616F">
        <w:t xml:space="preserve"> the tale of Apollo and </w:t>
      </w:r>
      <w:r w:rsidR="006D616F">
        <w:lastRenderedPageBreak/>
        <w:t>Daphne, in which Apollo relentlessly pursues Daphne,</w:t>
      </w:r>
      <w:r w:rsidR="006D616F">
        <w:rPr>
          <w:rStyle w:val="FootnoteReference"/>
        </w:rPr>
        <w:footnoteReference w:id="5"/>
      </w:r>
      <w:r w:rsidR="006D616F">
        <w:t xml:space="preserve"> </w:t>
      </w:r>
      <w:r w:rsidR="00981F26">
        <w:t xml:space="preserve">who </w:t>
      </w:r>
      <w:r w:rsidR="00EC33A2">
        <w:t>must reject love. She is described to be ‘not just a virgin goddess, but a goddess of virginity’</w:t>
      </w:r>
      <w:r w:rsidR="004C743E">
        <w:t>,</w:t>
      </w:r>
      <w:r w:rsidR="00EC33A2">
        <w:rPr>
          <w:rStyle w:val="FootnoteReference"/>
        </w:rPr>
        <w:footnoteReference w:id="6"/>
      </w:r>
      <w:r w:rsidR="00EC33A2">
        <w:t xml:space="preserve"> and so Apollo’s lust toward her and his unabated </w:t>
      </w:r>
      <w:proofErr w:type="spellStart"/>
      <w:r w:rsidR="00EC33A2">
        <w:t>pursual</w:t>
      </w:r>
      <w:proofErr w:type="spellEnd"/>
      <w:r w:rsidR="00EC33A2">
        <w:t xml:space="preserve"> of her becomes more predatory and disturbing than it would perhaps if the object of his desire had been an average mortal woman instead of one who had made a conscious decision to remain a virgin: ‘Darling Father, I want to remain a virgin for ever. Please let me. Diana’s father allowed her that.’</w:t>
      </w:r>
      <w:r w:rsidR="00EC33A2">
        <w:rPr>
          <w:rStyle w:val="FootnoteReference"/>
        </w:rPr>
        <w:footnoteReference w:id="7"/>
      </w:r>
      <w:r w:rsidR="00EC33A2">
        <w:t xml:space="preserve"> Fortunately, she </w:t>
      </w:r>
      <w:r w:rsidR="007F1AFB">
        <w:t xml:space="preserve">manages to successfully evade </w:t>
      </w:r>
      <w:r w:rsidR="004C743E">
        <w:t>Apollo</w:t>
      </w:r>
      <w:r w:rsidR="007F1AFB">
        <w:t xml:space="preserve"> and his advances, but only </w:t>
      </w:r>
      <w:r w:rsidR="00E21659">
        <w:t>by transforming into a laurel tree after having run from him.</w:t>
      </w:r>
      <w:r w:rsidR="004C743E">
        <w:rPr>
          <w:rStyle w:val="FootnoteReference"/>
        </w:rPr>
        <w:footnoteReference w:id="8"/>
      </w:r>
    </w:p>
    <w:p w:rsidR="004C743E" w:rsidRDefault="00E21659" w:rsidP="005777DD">
      <w:pPr>
        <w:spacing w:line="480" w:lineRule="auto"/>
        <w:jc w:val="both"/>
      </w:pPr>
      <w:r>
        <w:t>Although this narrative of pursuit and abuse is</w:t>
      </w:r>
      <w:r w:rsidR="00AD7E69">
        <w:t xml:space="preserve"> featured heavily</w:t>
      </w:r>
      <w:r>
        <w:t xml:space="preserve"> throughout the </w:t>
      </w:r>
      <w:r>
        <w:rPr>
          <w:i/>
        </w:rPr>
        <w:t xml:space="preserve">Metamorphoses, </w:t>
      </w:r>
      <w:r>
        <w:t>the language used in Daphne’s passage is interesting. Ovid beseeches the audience to ‘imagine a greyhound, imagine a hare it has sighted … one running to capture his prey, the other for safety. The hound is about to close in with his jaws … the hare isn’t sure if her hunter has caught her, but leaps into freedom, clear of the menacing jaws and mouth which keeps brushing against her’</w:t>
      </w:r>
      <w:r w:rsidR="004C743E">
        <w:t>.</w:t>
      </w:r>
      <w:r>
        <w:rPr>
          <w:rStyle w:val="FootnoteReference"/>
        </w:rPr>
        <w:footnoteReference w:id="9"/>
      </w:r>
      <w:r w:rsidR="00C80D1E">
        <w:t xml:space="preserve"> The clear imagery of a predator chasing prey presents Apollo as the lovelorn </w:t>
      </w:r>
      <w:r w:rsidR="00C25A0B">
        <w:t xml:space="preserve">monster, the ‘menacing’ hunter who is acting on his desires with no regard for the subject of those desires. This sense of entitlement is something that has not </w:t>
      </w:r>
      <w:r w:rsidR="00AD7E69">
        <w:t xml:space="preserve">gone away; predatory behaviour is exhibited </w:t>
      </w:r>
      <w:r w:rsidR="00C047FF">
        <w:t xml:space="preserve">today </w:t>
      </w:r>
      <w:r w:rsidR="007C2D81">
        <w:t>perhaps not by gods, but by people such as the President of the United States, and prolific Hollywood producer</w:t>
      </w:r>
      <w:r w:rsidR="004C743E">
        <w:t xml:space="preserve"> Harvey Weinstein</w:t>
      </w:r>
      <w:r w:rsidR="007C2D81">
        <w:t xml:space="preserve">. The </w:t>
      </w:r>
      <w:r w:rsidR="004C743E">
        <w:t xml:space="preserve">emergence of the </w:t>
      </w:r>
      <w:r w:rsidR="007C2D81">
        <w:t xml:space="preserve">abusive and predatory actions of the likes of Donald Trump, </w:t>
      </w:r>
      <w:r w:rsidR="004C743E">
        <w:t xml:space="preserve">Harvey </w:t>
      </w:r>
      <w:r w:rsidR="007C2D81">
        <w:t xml:space="preserve">Weinstein, and Hugh Hefner have caused uproar, and these men and others who are less well known for their </w:t>
      </w:r>
      <w:r w:rsidR="004C743E">
        <w:t>tendencies</w:t>
      </w:r>
      <w:r w:rsidR="007C2D81">
        <w:t xml:space="preserve"> are certainly considered monstrous by many. As Apollo did to Daphne, the stripping away of a person’s agency for </w:t>
      </w:r>
      <w:r w:rsidR="004C743E">
        <w:t>whatever reason is</w:t>
      </w:r>
      <w:r w:rsidR="008723CA">
        <w:t xml:space="preserve"> </w:t>
      </w:r>
      <w:r w:rsidR="004C743E">
        <w:t>seen by most</w:t>
      </w:r>
      <w:r w:rsidR="008723CA">
        <w:t xml:space="preserve"> today</w:t>
      </w:r>
      <w:r w:rsidR="004C743E">
        <w:t xml:space="preserve"> in Western societies to be unforgiveable</w:t>
      </w:r>
      <w:r w:rsidR="008723CA">
        <w:t>, and so a twenty-first century audience may be inclined to perceive Apollo’s actions as monstrous also.</w:t>
      </w:r>
      <w:r w:rsidR="0040565F">
        <w:t xml:space="preserve"> Although, </w:t>
      </w:r>
      <w:r w:rsidR="0080238D">
        <w:t xml:space="preserve">Segal argues that although Apollo is ‘lovesick’ and ‘menacing’, </w:t>
      </w:r>
      <w:r w:rsidR="0080238D">
        <w:lastRenderedPageBreak/>
        <w:t>he favours ‘persuasion to force and does not actually overpower or rape Daphne’.</w:t>
      </w:r>
      <w:r w:rsidR="0080238D">
        <w:rPr>
          <w:rStyle w:val="FootnoteReference"/>
        </w:rPr>
        <w:footnoteReference w:id="10"/>
      </w:r>
      <w:r w:rsidR="0080238D">
        <w:t xml:space="preserve"> While this is true, one must consider Apollo’s intent – and that was quite clearly to have sex with Daphne, whether she wanted to or not. One can imagine that had he caught up with Daphne and had she not transformed when she did, the outcome of the tale would have been quite different. </w:t>
      </w:r>
      <w:proofErr w:type="gramStart"/>
      <w:r w:rsidR="0080238D">
        <w:t>So</w:t>
      </w:r>
      <w:proofErr w:type="gramEnd"/>
      <w:r w:rsidR="0080238D">
        <w:t xml:space="preserve"> we must consider whether it is the intent, the action, both, or neither, which alters the perception from a god to a monster, and whether or not those two terms are mutually exclusive.</w:t>
      </w:r>
    </w:p>
    <w:p w:rsidR="008723CA" w:rsidRDefault="00C15D70" w:rsidP="005777DD">
      <w:pPr>
        <w:spacing w:line="480" w:lineRule="auto"/>
        <w:jc w:val="both"/>
      </w:pPr>
      <w:r>
        <w:t>Segal writes that unlike ‘lovesick’ and persuasive Apollo, Jove ‘satisfies his lust quickly and brutally’.</w:t>
      </w:r>
      <w:r>
        <w:rPr>
          <w:rStyle w:val="FootnoteReference"/>
        </w:rPr>
        <w:footnoteReference w:id="11"/>
      </w:r>
      <w:r>
        <w:t xml:space="preserve"> </w:t>
      </w:r>
      <w:r w:rsidR="00C52350">
        <w:t xml:space="preserve">Io’s passage </w:t>
      </w:r>
      <w:r>
        <w:t xml:space="preserve">attests to this claim, and </w:t>
      </w:r>
      <w:r w:rsidR="00C52350">
        <w:t xml:space="preserve">is </w:t>
      </w:r>
      <w:proofErr w:type="gramStart"/>
      <w:r w:rsidR="00C52350">
        <w:t>similar to</w:t>
      </w:r>
      <w:proofErr w:type="gramEnd"/>
      <w:r w:rsidR="00C52350">
        <w:t xml:space="preserve"> that of Daphne’s. J</w:t>
      </w:r>
      <w:r w:rsidR="00460C64">
        <w:t>ove</w:t>
      </w:r>
      <w:r w:rsidR="00AF460B">
        <w:t xml:space="preserve">, who is characterised in the </w:t>
      </w:r>
      <w:r w:rsidR="00AF460B">
        <w:rPr>
          <w:i/>
        </w:rPr>
        <w:t xml:space="preserve">Metamorphoses </w:t>
      </w:r>
      <w:r w:rsidR="00AF460B">
        <w:t>as ‘the adulterous husband always afraid of getting caught by his suspicious wife’,</w:t>
      </w:r>
      <w:r w:rsidR="00AF460B">
        <w:rPr>
          <w:rStyle w:val="FootnoteReference"/>
        </w:rPr>
        <w:footnoteReference w:id="12"/>
      </w:r>
      <w:r w:rsidR="00C52350">
        <w:t xml:space="preserve"> suggest</w:t>
      </w:r>
      <w:r>
        <w:t>s</w:t>
      </w:r>
      <w:r w:rsidR="00C52350">
        <w:t xml:space="preserve"> that Io ‘should rest in the depths of these shady woods’, and promis</w:t>
      </w:r>
      <w:r>
        <w:t>es</w:t>
      </w:r>
      <w:r w:rsidR="00C52350">
        <w:t xml:space="preserve"> that she will be safe ‘with a god to guide [her]’</w:t>
      </w:r>
      <w:r w:rsidR="00B207BD">
        <w:t>,</w:t>
      </w:r>
      <w:r w:rsidR="00C52350">
        <w:rPr>
          <w:rStyle w:val="FootnoteReference"/>
        </w:rPr>
        <w:footnoteReference w:id="13"/>
      </w:r>
      <w:r w:rsidR="00B207BD">
        <w:t xml:space="preserve"> but she, like Daphne </w:t>
      </w:r>
      <w:r>
        <w:t xml:space="preserve">does </w:t>
      </w:r>
      <w:r w:rsidR="00B207BD">
        <w:t>from Apollo, runs from him. J</w:t>
      </w:r>
      <w:r w:rsidR="00460C64">
        <w:t>ove</w:t>
      </w:r>
      <w:r w:rsidR="00B207BD">
        <w:t xml:space="preserve"> demands ‘don’t run from me now!’, and then he ‘[throws] a mantle of darkness over the wide earth, [halts] the flight of the runaway nymph and stealthily </w:t>
      </w:r>
      <w:r w:rsidR="001B417F">
        <w:t>[</w:t>
      </w:r>
      <w:r w:rsidR="00B207BD">
        <w:t>rape</w:t>
      </w:r>
      <w:r w:rsidR="001B417F">
        <w:t>s]</w:t>
      </w:r>
      <w:r w:rsidR="00B207BD">
        <w:t xml:space="preserve"> her’</w:t>
      </w:r>
      <w:r w:rsidR="001B417F">
        <w:t>.</w:t>
      </w:r>
      <w:r w:rsidR="00B207BD">
        <w:rPr>
          <w:rStyle w:val="FootnoteReference"/>
        </w:rPr>
        <w:footnoteReference w:id="14"/>
      </w:r>
      <w:r w:rsidR="00B8591A">
        <w:t xml:space="preserve"> Heath suggests that Io runs immediately because she ‘is familiar with the associations presented to her by her narrative circumstances’,</w:t>
      </w:r>
      <w:r w:rsidR="00B8591A">
        <w:rPr>
          <w:rStyle w:val="FootnoteReference"/>
        </w:rPr>
        <w:footnoteReference w:id="15"/>
      </w:r>
      <w:r w:rsidR="00B8591A">
        <w:t xml:space="preserve"> which suggests that women in ancien</w:t>
      </w:r>
      <w:r w:rsidR="00977BFA">
        <w:t xml:space="preserve">t narratives were taught to expect malicious intent from men – and particularly, gods. Further, this suggests to us that an ancient audience might not have been shocked by this kind of story, which </w:t>
      </w:r>
      <w:proofErr w:type="gramStart"/>
      <w:r w:rsidR="00977BFA">
        <w:t>opens up</w:t>
      </w:r>
      <w:proofErr w:type="gramEnd"/>
      <w:r w:rsidR="00977BFA">
        <w:t xml:space="preserve"> a discussion concerning whether or not it was as commonplace in real life as it seems to have been in fiction. This is another element that reflects on today’s society: the idea that women are taught to be wary of being around strangers, that women are taught to be on their guard, and yet ultimately, that there is not much they can do to prevent attacks. The portrayal of J</w:t>
      </w:r>
      <w:r w:rsidR="00460C64">
        <w:t>ove</w:t>
      </w:r>
      <w:r w:rsidR="00977BFA">
        <w:t xml:space="preserve"> as the kind who would rape a woman in such a pre-meditated way</w:t>
      </w:r>
      <w:r w:rsidR="008B03A7">
        <w:t xml:space="preserve"> suggests that people were also not unused to seeing these kinds of monstrous behaviours from their gods, and one could assume </w:t>
      </w:r>
      <w:r w:rsidR="008B03A7">
        <w:lastRenderedPageBreak/>
        <w:t>that the darkness J</w:t>
      </w:r>
      <w:r w:rsidR="00460C64">
        <w:t>ove</w:t>
      </w:r>
      <w:r w:rsidR="008B03A7">
        <w:t xml:space="preserve"> causes is to do more than halt Io; and that it could be showing the audience that he knew there would be ramifications if he were to be caught</w:t>
      </w:r>
      <w:r w:rsidR="00AF460B">
        <w:t>.</w:t>
      </w:r>
      <w:r w:rsidR="008B03A7">
        <w:rPr>
          <w:rStyle w:val="FootnoteReference"/>
        </w:rPr>
        <w:footnoteReference w:id="16"/>
      </w:r>
      <w:r w:rsidR="008B03A7">
        <w:t xml:space="preserve"> This </w:t>
      </w:r>
      <w:r>
        <w:t>could be tentatively suggesting</w:t>
      </w:r>
      <w:r w:rsidR="008B03A7">
        <w:t xml:space="preserve"> a certain self-awareness, which makes the rape of Io just that little more abhorrent.</w:t>
      </w:r>
    </w:p>
    <w:p w:rsidR="00044F6C" w:rsidRDefault="00460C64" w:rsidP="005777DD">
      <w:pPr>
        <w:spacing w:line="480" w:lineRule="auto"/>
        <w:jc w:val="both"/>
      </w:pPr>
      <w:r>
        <w:t xml:space="preserve">Returning to Diana’s nymphs and their sacred virginity; the tale of </w:t>
      </w:r>
      <w:proofErr w:type="spellStart"/>
      <w:r>
        <w:t>Callisto</w:t>
      </w:r>
      <w:proofErr w:type="spellEnd"/>
      <w:r>
        <w:t xml:space="preserve"> is another portrayal of godly monstrosities. </w:t>
      </w:r>
      <w:proofErr w:type="spellStart"/>
      <w:r>
        <w:t>Callisto</w:t>
      </w:r>
      <w:proofErr w:type="spellEnd"/>
      <w:r>
        <w:t xml:space="preserve"> is</w:t>
      </w:r>
      <w:r w:rsidR="00DF40F5">
        <w:t xml:space="preserve"> firstly</w:t>
      </w:r>
      <w:r>
        <w:t xml:space="preserve"> introduced as ‘an Arcadian virgin’</w:t>
      </w:r>
      <w:r w:rsidR="00DF40F5">
        <w:t>,</w:t>
      </w:r>
      <w:r w:rsidR="00DF40F5">
        <w:rPr>
          <w:rStyle w:val="FootnoteReference"/>
        </w:rPr>
        <w:footnoteReference w:id="17"/>
      </w:r>
      <w:r w:rsidR="00DF40F5">
        <w:t xml:space="preserve"> and as the newest object of Jove’s desires. Ovid describes how she is ‘armed with her smooth-polished javelin or bow, she served as a soldier’,</w:t>
      </w:r>
      <w:r w:rsidR="00DF40F5">
        <w:rPr>
          <w:rStyle w:val="FootnoteReference"/>
        </w:rPr>
        <w:footnoteReference w:id="18"/>
      </w:r>
      <w:r w:rsidR="00DF40F5">
        <w:t xml:space="preserve"> and writes that ‘Diana cherished her best – but no one’s favour is lasting’.</w:t>
      </w:r>
      <w:r w:rsidR="00DF40F5">
        <w:rPr>
          <w:rStyle w:val="FootnoteReference"/>
        </w:rPr>
        <w:footnoteReference w:id="19"/>
      </w:r>
      <w:r w:rsidR="00DF40F5">
        <w:t xml:space="preserve"> This alone is enough to let the audience know where this </w:t>
      </w:r>
      <w:proofErr w:type="gramStart"/>
      <w:r w:rsidR="00DF40F5">
        <w:t>particular tale</w:t>
      </w:r>
      <w:proofErr w:type="gramEnd"/>
      <w:r w:rsidR="00DF40F5">
        <w:t xml:space="preserve"> is headed, and the description of </w:t>
      </w:r>
      <w:proofErr w:type="spellStart"/>
      <w:r w:rsidR="00DF40F5">
        <w:t>Callisto</w:t>
      </w:r>
      <w:proofErr w:type="spellEnd"/>
      <w:r w:rsidR="00DF40F5">
        <w:t xml:space="preserve"> entering a ‘forest whose trees no axe had deflowered’</w:t>
      </w:r>
      <w:r w:rsidR="00DF40F5">
        <w:rPr>
          <w:rStyle w:val="FootnoteReference"/>
        </w:rPr>
        <w:footnoteReference w:id="20"/>
      </w:r>
      <w:r w:rsidR="00DF40F5">
        <w:t xml:space="preserve"> is particularly striking. The use of ‘deflowered’ here is extremely symbolic as that word can also be used to imply the loss of virginity</w:t>
      </w:r>
      <w:r w:rsidR="00AF460B">
        <w:t xml:space="preserve">, and thus the foreshadowing in this </w:t>
      </w:r>
      <w:proofErr w:type="gramStart"/>
      <w:r w:rsidR="00AF460B">
        <w:t>particular tale</w:t>
      </w:r>
      <w:proofErr w:type="gramEnd"/>
      <w:r w:rsidR="00AF460B">
        <w:t xml:space="preserve"> is quite distinctive</w:t>
      </w:r>
      <w:r w:rsidR="001E76BC">
        <w:t xml:space="preserve"> – she is to be raped and lose Diana’s favour because she has been ‘deflowered’. </w:t>
      </w:r>
      <w:r w:rsidR="00E84F88">
        <w:t xml:space="preserve">The depiction of </w:t>
      </w:r>
      <w:r w:rsidR="004857DA">
        <w:t xml:space="preserve">the actual attack is perhaps the most monstrous of the extracts examined in this essay: it is rife with deception, violence, and there seems to be more focus on the external shame and judgement </w:t>
      </w:r>
      <w:proofErr w:type="gramStart"/>
      <w:r w:rsidR="004857DA">
        <w:t>as a result of</w:t>
      </w:r>
      <w:proofErr w:type="gramEnd"/>
      <w:r w:rsidR="004857DA">
        <w:t xml:space="preserve"> it. </w:t>
      </w:r>
      <w:r w:rsidR="00DE56DF">
        <w:t xml:space="preserve">Certainly, Jove waits until she is alone in the forest and disguises himself as Diana himself, greeting </w:t>
      </w:r>
      <w:proofErr w:type="spellStart"/>
      <w:r w:rsidR="00DE56DF">
        <w:t>Callisto</w:t>
      </w:r>
      <w:proofErr w:type="spellEnd"/>
      <w:r w:rsidR="00DE56DF">
        <w:t xml:space="preserve"> with ‘a passionate kiss on the lips, not the kiss that a virgin goddess would give’</w:t>
      </w:r>
      <w:r w:rsidR="002050A1">
        <w:t>,</w:t>
      </w:r>
      <w:r w:rsidR="00DE56DF">
        <w:rPr>
          <w:rStyle w:val="FootnoteReference"/>
        </w:rPr>
        <w:footnoteReference w:id="21"/>
      </w:r>
      <w:r w:rsidR="002050A1">
        <w:t xml:space="preserve"> </w:t>
      </w:r>
      <w:r w:rsidR="00D00584">
        <w:t>and once he gripped her she fought back, ‘but indeed what man could a girl be a match for, let alone Jupiter?’</w:t>
      </w:r>
      <w:r w:rsidR="00D00584">
        <w:rPr>
          <w:rStyle w:val="FootnoteReference"/>
        </w:rPr>
        <w:footnoteReference w:id="22"/>
      </w:r>
      <w:r w:rsidR="00D00584">
        <w:t xml:space="preserve"> </w:t>
      </w:r>
      <w:proofErr w:type="spellStart"/>
      <w:r w:rsidR="00D00584">
        <w:t>O’Bryhim</w:t>
      </w:r>
      <w:proofErr w:type="spellEnd"/>
      <w:r w:rsidR="00D00584">
        <w:t xml:space="preserve"> discusses </w:t>
      </w:r>
      <w:proofErr w:type="spellStart"/>
      <w:r w:rsidR="00D00584">
        <w:t>Callisto’s</w:t>
      </w:r>
      <w:proofErr w:type="spellEnd"/>
      <w:r w:rsidR="00D00584">
        <w:t xml:space="preserve"> </w:t>
      </w:r>
      <w:proofErr w:type="spellStart"/>
      <w:r w:rsidR="00D00584">
        <w:t>rejoining</w:t>
      </w:r>
      <w:proofErr w:type="spellEnd"/>
      <w:r w:rsidR="00D00584">
        <w:t xml:space="preserve"> of Diana’s band, and nine months later when the nymphs arrive at a stream</w:t>
      </w:r>
      <w:r w:rsidR="00D00584">
        <w:rPr>
          <w:rStyle w:val="FootnoteReference"/>
        </w:rPr>
        <w:footnoteReference w:id="23"/>
      </w:r>
      <w:r w:rsidR="00D00584">
        <w:t xml:space="preserve">. Diana suggests that they cool off in the water, and when </w:t>
      </w:r>
      <w:proofErr w:type="spellStart"/>
      <w:r w:rsidR="00D00584">
        <w:t>Callisto</w:t>
      </w:r>
      <w:proofErr w:type="spellEnd"/>
      <w:r w:rsidR="00D00584">
        <w:t xml:space="preserve"> strips off the consequence of Jove’s actions reveals itself in the form of a pregnancy. Ovid writes that it is thought that the nymphs knew that </w:t>
      </w:r>
      <w:proofErr w:type="spellStart"/>
      <w:r w:rsidR="00D00584">
        <w:t>Callisto</w:t>
      </w:r>
      <w:proofErr w:type="spellEnd"/>
      <w:r w:rsidR="00D00584">
        <w:t xml:space="preserve"> was no longer a virgin, for they saw and recognised the signs, but that Diana had had no idea up until the </w:t>
      </w:r>
      <w:r w:rsidR="00D00584">
        <w:lastRenderedPageBreak/>
        <w:t>ninth month,</w:t>
      </w:r>
      <w:r w:rsidR="00D00584">
        <w:rPr>
          <w:rStyle w:val="FootnoteReference"/>
        </w:rPr>
        <w:footnoteReference w:id="24"/>
      </w:r>
      <w:r w:rsidR="00D00584">
        <w:t xml:space="preserve"> and </w:t>
      </w:r>
      <w:proofErr w:type="spellStart"/>
      <w:r w:rsidR="00D00584">
        <w:t>O’Bryhim</w:t>
      </w:r>
      <w:proofErr w:type="spellEnd"/>
      <w:r w:rsidR="00D00584">
        <w:t xml:space="preserve"> suggests that this may indicate that the nymphs could not have been virgins as they knew the signs, and so the fact that </w:t>
      </w:r>
      <w:proofErr w:type="spellStart"/>
      <w:r w:rsidR="00D00584">
        <w:t>Callisto</w:t>
      </w:r>
      <w:proofErr w:type="spellEnd"/>
      <w:r w:rsidR="00D00584">
        <w:t xml:space="preserve"> was no longer a virgin (an inconsequential </w:t>
      </w:r>
      <w:r w:rsidR="0023183F">
        <w:t xml:space="preserve">fact, he claims, because </w:t>
      </w:r>
      <w:proofErr w:type="spellStart"/>
      <w:r w:rsidR="0023183F">
        <w:t>Callisto</w:t>
      </w:r>
      <w:proofErr w:type="spellEnd"/>
      <w:r w:rsidR="0023183F">
        <w:t xml:space="preserve"> had not sworn an oath of chastity)</w:t>
      </w:r>
      <w:r w:rsidR="00D00584">
        <w:t xml:space="preserve"> could not be the reason she was exiled from the group.</w:t>
      </w:r>
      <w:r w:rsidR="00D00584">
        <w:rPr>
          <w:rStyle w:val="FootnoteReference"/>
        </w:rPr>
        <w:footnoteReference w:id="25"/>
      </w:r>
      <w:r w:rsidR="00D00584">
        <w:t xml:space="preserve"> He goes on to suggest that maybe it is because </w:t>
      </w:r>
      <w:r w:rsidR="0023183F">
        <w:t>she had been so heavily pregnant, and that ‘women who were about to be married, who had recently had sex, who had recently become pregnant, who were about to give birth … were considered to be ritually unclean … sacred places, too, could be polluted by a woman giving birth’.</w:t>
      </w:r>
      <w:r w:rsidR="0023183F">
        <w:rPr>
          <w:rStyle w:val="FootnoteReference"/>
        </w:rPr>
        <w:footnoteReference w:id="26"/>
      </w:r>
      <w:r w:rsidR="0023183F">
        <w:t xml:space="preserve"> If this is considered to be the cause of the exile, then it could be claimed that Jove’s actions were even more monstrous than those inflicted on Io. Certainly, </w:t>
      </w:r>
      <w:proofErr w:type="spellStart"/>
      <w:r w:rsidR="0023183F">
        <w:t>Callisto’s</w:t>
      </w:r>
      <w:proofErr w:type="spellEnd"/>
      <w:r w:rsidR="0023183F">
        <w:t xml:space="preserve"> victimisation had much larger ramifications in that she was forced to give up her troop, her life, and her dignity, and when she gave birth to Jove’s child she had to deal with the wrath of spurned Juno.</w:t>
      </w:r>
      <w:r w:rsidR="0023183F">
        <w:rPr>
          <w:rStyle w:val="FootnoteReference"/>
        </w:rPr>
        <w:footnoteReference w:id="27"/>
      </w:r>
    </w:p>
    <w:p w:rsidR="0023183F" w:rsidRDefault="0023183F" w:rsidP="005777DD">
      <w:pPr>
        <w:spacing w:line="480" w:lineRule="auto"/>
        <w:jc w:val="both"/>
      </w:pPr>
      <w:proofErr w:type="spellStart"/>
      <w:r>
        <w:t>Callisto’s</w:t>
      </w:r>
      <w:proofErr w:type="spellEnd"/>
      <w:r>
        <w:t xml:space="preserve"> punishment from Juno adds another layer to monstrous gods, especially in the culture that we live in now when victim blaming, and slut-shaming are both discussed and condemned at length. Ovid writes Juno ‘swooping’ down, and calling </w:t>
      </w:r>
      <w:proofErr w:type="spellStart"/>
      <w:r>
        <w:t>Callisto</w:t>
      </w:r>
      <w:proofErr w:type="spellEnd"/>
      <w:r>
        <w:t xml:space="preserve"> an ‘adulterous whore’, and a ‘shameless hussy’ before she proceeds to ruin </w:t>
      </w:r>
      <w:proofErr w:type="spellStart"/>
      <w:r>
        <w:t>Callisto’s</w:t>
      </w:r>
      <w:proofErr w:type="spellEnd"/>
      <w:r>
        <w:t xml:space="preserve"> beauty – that which she blames for Jove’s unfaithfulness</w:t>
      </w:r>
      <w:r>
        <w:rPr>
          <w:rStyle w:val="FootnoteReference"/>
        </w:rPr>
        <w:footnoteReference w:id="28"/>
      </w:r>
      <w:r>
        <w:t xml:space="preserve"> - by turning her into a bear. To a modern audience, this is an unimaginable cruelty</w:t>
      </w:r>
      <w:r w:rsidR="00857828">
        <w:t xml:space="preserve">: victim blaming to pile on top of the shame that </w:t>
      </w:r>
      <w:proofErr w:type="spellStart"/>
      <w:r w:rsidR="00857828">
        <w:t>Callisto</w:t>
      </w:r>
      <w:proofErr w:type="spellEnd"/>
      <w:r w:rsidR="00857828">
        <w:t xml:space="preserve"> felt, on top of her being forced to leave Diana’s band</w:t>
      </w:r>
      <w:r w:rsidR="002A79A8">
        <w:t xml:space="preserve"> and being ‘cut off from society until she is purified’</w:t>
      </w:r>
      <w:r w:rsidR="00857828">
        <w:t>,</w:t>
      </w:r>
      <w:r w:rsidR="002A79A8">
        <w:rPr>
          <w:rStyle w:val="FootnoteReference"/>
        </w:rPr>
        <w:footnoteReference w:id="29"/>
      </w:r>
      <w:r w:rsidR="00857828">
        <w:t xml:space="preserve"> and then physical punishment of a horrific form for something she had tried to resist. It could be argued that Juno’s reaction to her husband’s adultery and violence is perhaps more monstrous than the actions of Jove himself – certainly they are more shocking, in this twenty-first century culture that expects and encourages women to have each other’s backs.</w:t>
      </w:r>
    </w:p>
    <w:p w:rsidR="00FF34B2" w:rsidRDefault="002A79A8" w:rsidP="004A0C4C">
      <w:pPr>
        <w:spacing w:line="480" w:lineRule="auto"/>
        <w:jc w:val="both"/>
      </w:pPr>
      <w:r>
        <w:lastRenderedPageBreak/>
        <w:t xml:space="preserve">The tale of </w:t>
      </w:r>
      <w:proofErr w:type="spellStart"/>
      <w:r>
        <w:t>Callisto’s</w:t>
      </w:r>
      <w:proofErr w:type="spellEnd"/>
      <w:r>
        <w:t xml:space="preserve"> punishment is similar to Minerva’s punishment of Medusa: ‘Medusa was once an exceedingly beautiful maiden … according to someone who told me he’d seen </w:t>
      </w:r>
      <w:proofErr w:type="gramStart"/>
      <w:r>
        <w:t>it,</w:t>
      </w:r>
      <w:proofErr w:type="gramEnd"/>
      <w:r>
        <w:t xml:space="preserve"> her marvellous hair was her crowning glory. The story goes that Neptune the sea god raped [Medusa] inside the shrine of Minerva. Jove’s daughter screened her virginal eyes with her aegis in horror, and punished the sin, by transforming the Gorgon’s beautiful hair into horrible snakes’.</w:t>
      </w:r>
      <w:r>
        <w:rPr>
          <w:rStyle w:val="FootnoteReference"/>
        </w:rPr>
        <w:footnoteReference w:id="30"/>
      </w:r>
      <w:r w:rsidR="00FF34B2">
        <w:t xml:space="preserve"> She is now known, ‘according to the standard tradition [as] one of the most terrible creatures of Classical myth’,</w:t>
      </w:r>
      <w:r w:rsidR="00FF34B2">
        <w:rPr>
          <w:rStyle w:val="FootnoteReference"/>
        </w:rPr>
        <w:footnoteReference w:id="31"/>
      </w:r>
      <w:r w:rsidR="00FF34B2">
        <w:t xml:space="preserve"> perhaps unfairly. </w:t>
      </w:r>
      <w:r w:rsidR="00314B0E">
        <w:t>It might have been more prudent to punish the sinner, rather than the victim.</w:t>
      </w:r>
      <w:r w:rsidR="0026501B">
        <w:t xml:space="preserve"> </w:t>
      </w:r>
      <w:proofErr w:type="spellStart"/>
      <w:r w:rsidR="0026501B">
        <w:t>Murgatroyd</w:t>
      </w:r>
      <w:proofErr w:type="spellEnd"/>
      <w:r w:rsidR="0026501B">
        <w:t xml:space="preserve"> is also sympathetic to Ovid’s Medusa, and writes that she was presumably in Minerva’s temple to worship, ‘but that reverence is ignored by Neptune, and by Minerva (and to be raped in such circumstances and by a god must have been particularly traumatic for Medusa).’</w:t>
      </w:r>
      <w:r w:rsidR="0026501B">
        <w:rPr>
          <w:rStyle w:val="FootnoteReference"/>
        </w:rPr>
        <w:footnoteReference w:id="32"/>
      </w:r>
      <w:r w:rsidR="0026501B">
        <w:t xml:space="preserve"> He too talks about the lack of support from another woman: ‘[Minerva’s punishment] is cruelly aimed at [Medusa’s] most attractive feature. And this was done by a female to a female, by a virgin to one who had been forced to lose her virginity’.</w:t>
      </w:r>
      <w:r w:rsidR="0026501B">
        <w:rPr>
          <w:rStyle w:val="FootnoteReference"/>
        </w:rPr>
        <w:footnoteReference w:id="33"/>
      </w:r>
      <w:r w:rsidR="0026501B">
        <w:t xml:space="preserve"> Combined with the actual rape of Medusa, and the way she was punished for something that was invariably not her fault, it would not be unfair to state that Medusa is the one who is wrongly seen as the monster </w:t>
      </w:r>
      <w:r w:rsidR="004A0C4C">
        <w:t xml:space="preserve">because of a physical deformity </w:t>
      </w:r>
      <w:r w:rsidR="0026501B">
        <w:t xml:space="preserve">– these gods are far more monstrous than she ever </w:t>
      </w:r>
      <w:r w:rsidR="004A0C4C">
        <w:t xml:space="preserve">will </w:t>
      </w:r>
      <w:r w:rsidR="0026501B">
        <w:t>be.</w:t>
      </w:r>
    </w:p>
    <w:p w:rsidR="00FF34B2" w:rsidRDefault="0026501B" w:rsidP="004A0C4C">
      <w:pPr>
        <w:spacing w:line="480" w:lineRule="auto"/>
        <w:jc w:val="both"/>
      </w:pPr>
      <w:r>
        <w:t xml:space="preserve">Daphne, Io, </w:t>
      </w:r>
      <w:proofErr w:type="spellStart"/>
      <w:r>
        <w:t>Callisto</w:t>
      </w:r>
      <w:proofErr w:type="spellEnd"/>
      <w:r>
        <w:t xml:space="preserve">, and Medusa are all victims of the gods – whether the gods are the ones who were raping and abusing, or the ones who were handing out unjust punishments. All four women in the </w:t>
      </w:r>
      <w:r>
        <w:rPr>
          <w:i/>
        </w:rPr>
        <w:t xml:space="preserve">Metamorphoses </w:t>
      </w:r>
      <w:r w:rsidR="004A0C4C">
        <w:t xml:space="preserve">were attacked while minding their own business, and forced to deal with horrific torturous consequences on top of them. Based on this discussion and analysis of the extracts chosen, it can be concluded that everybody wears a cloak of monstrousness, everybody can be a monster when the definition itself is subjective to cultural and social change, and personal interpretations. But particularly: gods can be monsters, and do monstrous things, even if they did not have snakes in their </w:t>
      </w:r>
      <w:r w:rsidR="004A0C4C">
        <w:lastRenderedPageBreak/>
        <w:t>hair or three heads, and even if Ovid’s contemporary audience did not see them that way. They have shifted and evolved with their audience, and they have become cruel and abominable.</w:t>
      </w:r>
      <w:r w:rsidR="00FF34B2">
        <w:br w:type="page"/>
      </w:r>
    </w:p>
    <w:p w:rsidR="00857828" w:rsidRPr="00FF34B2" w:rsidRDefault="00FF34B2" w:rsidP="005777DD">
      <w:pPr>
        <w:spacing w:line="480" w:lineRule="auto"/>
        <w:jc w:val="both"/>
        <w:rPr>
          <w:b/>
        </w:rPr>
      </w:pPr>
      <w:r w:rsidRPr="00FF34B2">
        <w:rPr>
          <w:b/>
          <w:u w:val="single"/>
        </w:rPr>
        <w:lastRenderedPageBreak/>
        <w:t>Bibliography</w:t>
      </w:r>
      <w:r w:rsidRPr="00FF34B2">
        <w:rPr>
          <w:b/>
        </w:rPr>
        <w:t>:</w:t>
      </w:r>
    </w:p>
    <w:p w:rsidR="00FF34B2" w:rsidRDefault="00FF34B2" w:rsidP="005777DD">
      <w:pPr>
        <w:spacing w:line="480" w:lineRule="auto"/>
        <w:jc w:val="both"/>
      </w:pPr>
      <w:r>
        <w:t xml:space="preserve">Ovid, </w:t>
      </w:r>
      <w:r>
        <w:rPr>
          <w:i/>
        </w:rPr>
        <w:t xml:space="preserve">Metamorphoses. </w:t>
      </w:r>
      <w:r>
        <w:t>D. Raeburn (trans.). 2004. England: Clay’s Ltd, St Ives plc</w:t>
      </w:r>
      <w:r w:rsidR="000F508F">
        <w:t>.</w:t>
      </w:r>
    </w:p>
    <w:p w:rsidR="00FF34B2" w:rsidRDefault="00FF34B2" w:rsidP="005777DD">
      <w:pPr>
        <w:spacing w:line="480" w:lineRule="auto"/>
        <w:jc w:val="both"/>
      </w:pPr>
      <w:r>
        <w:t>Cohen</w:t>
      </w:r>
      <w:r w:rsidR="000F508F">
        <w:t>, J. J.</w:t>
      </w:r>
      <w:r>
        <w:t xml:space="preserve"> </w:t>
      </w:r>
      <w:r w:rsidR="000F508F">
        <w:t>(</w:t>
      </w:r>
      <w:r>
        <w:t>1996</w:t>
      </w:r>
      <w:r w:rsidR="000F508F">
        <w:t>). Monster Theory: Reading Culture. University of Minnesota Press.</w:t>
      </w:r>
    </w:p>
    <w:p w:rsidR="009D05C0" w:rsidRPr="009D05C0" w:rsidRDefault="009D05C0" w:rsidP="005777DD">
      <w:pPr>
        <w:spacing w:line="480" w:lineRule="auto"/>
        <w:jc w:val="both"/>
      </w:pPr>
      <w:r>
        <w:t>Ginsberg, W. (1989).</w:t>
      </w:r>
      <w:r w:rsidR="00FE775E">
        <w:t xml:space="preserve"> Ovid’s “Metamorphoses” and the Politics of Interpretation.</w:t>
      </w:r>
      <w:r>
        <w:t xml:space="preserve"> </w:t>
      </w:r>
      <w:r>
        <w:rPr>
          <w:i/>
        </w:rPr>
        <w:t xml:space="preserve">The Classical Journal, </w:t>
      </w:r>
      <w:r>
        <w:t>Vol. 84, No. 3</w:t>
      </w:r>
      <w:r w:rsidR="00FE775E">
        <w:t xml:space="preserve">, pages 222-231. The Classical Association of the Middle West and South, Inc. </w:t>
      </w:r>
    </w:p>
    <w:p w:rsidR="00FF34B2" w:rsidRPr="00FE775E" w:rsidRDefault="00FF34B2" w:rsidP="005777DD">
      <w:pPr>
        <w:spacing w:line="480" w:lineRule="auto"/>
        <w:jc w:val="both"/>
      </w:pPr>
      <w:r>
        <w:t>Heath</w:t>
      </w:r>
      <w:r w:rsidR="00FE775E">
        <w:t>, J.</w:t>
      </w:r>
      <w:r>
        <w:t xml:space="preserve"> </w:t>
      </w:r>
      <w:r w:rsidR="00FE775E">
        <w:t>(</w:t>
      </w:r>
      <w:r>
        <w:t>1991</w:t>
      </w:r>
      <w:r w:rsidR="00FE775E">
        <w:t xml:space="preserve">). Diana’s Understanding of Ovid’s “Metamorphoses”. </w:t>
      </w:r>
      <w:r w:rsidR="00FE775E">
        <w:rPr>
          <w:i/>
        </w:rPr>
        <w:t>The Classical Journal,</w:t>
      </w:r>
      <w:r w:rsidR="00FE775E">
        <w:t xml:space="preserve"> Vol, 86, No. 3. Pages 233-243. </w:t>
      </w:r>
      <w:r w:rsidR="00FE775E">
        <w:t>The Classical Association of the Middle West and South, Inc.</w:t>
      </w:r>
    </w:p>
    <w:p w:rsidR="00314B0E" w:rsidRDefault="00314B0E" w:rsidP="005777DD">
      <w:pPr>
        <w:spacing w:line="480" w:lineRule="auto"/>
        <w:jc w:val="both"/>
      </w:pPr>
      <w:proofErr w:type="spellStart"/>
      <w:r>
        <w:t>Murgatroyd</w:t>
      </w:r>
      <w:proofErr w:type="spellEnd"/>
      <w:r w:rsidR="00FE775E">
        <w:t xml:space="preserve">, P. (2007). Mythical Monsters in Classical Literature. </w:t>
      </w:r>
      <w:r w:rsidR="000F508F">
        <w:t>Gerald Duckworth &amp; Co. Ltd.</w:t>
      </w:r>
    </w:p>
    <w:p w:rsidR="00314B0E" w:rsidRPr="00FE775E" w:rsidRDefault="00314B0E" w:rsidP="005777DD">
      <w:pPr>
        <w:spacing w:line="480" w:lineRule="auto"/>
        <w:jc w:val="both"/>
      </w:pPr>
      <w:proofErr w:type="spellStart"/>
      <w:r>
        <w:t>O’Bryhim</w:t>
      </w:r>
      <w:proofErr w:type="spellEnd"/>
      <w:r w:rsidR="00FE775E">
        <w:t>, S.</w:t>
      </w:r>
      <w:r>
        <w:t xml:space="preserve"> </w:t>
      </w:r>
      <w:r w:rsidR="00FE775E">
        <w:t>(</w:t>
      </w:r>
      <w:r>
        <w:t>1990</w:t>
      </w:r>
      <w:r w:rsidR="00FE775E">
        <w:t xml:space="preserve">). Ovid’s Version of Castillo’s Punishment. </w:t>
      </w:r>
      <w:r w:rsidR="00FE775E">
        <w:rPr>
          <w:i/>
        </w:rPr>
        <w:t xml:space="preserve">Hermes, </w:t>
      </w:r>
      <w:r w:rsidR="00FE775E">
        <w:t>118. Bd., H. 1. Pages 75-80. Franz Steiner Verlag.</w:t>
      </w:r>
    </w:p>
    <w:p w:rsidR="00314B0E" w:rsidRPr="00FE775E" w:rsidRDefault="00314B0E" w:rsidP="005777DD">
      <w:pPr>
        <w:spacing w:line="480" w:lineRule="auto"/>
        <w:jc w:val="both"/>
      </w:pPr>
      <w:r>
        <w:t>Segal</w:t>
      </w:r>
      <w:r w:rsidR="00FE775E">
        <w:t>, C. (</w:t>
      </w:r>
      <w:r>
        <w:t>2001</w:t>
      </w:r>
      <w:r w:rsidR="00FE775E">
        <w:t xml:space="preserve">). Jupiter in Ovid’s “Metamorphoses”. </w:t>
      </w:r>
      <w:r w:rsidR="00FE775E">
        <w:rPr>
          <w:i/>
        </w:rPr>
        <w:t xml:space="preserve">Arion: A Journal of Humanities and the Classics, </w:t>
      </w:r>
      <w:r w:rsidR="00FE775E">
        <w:t>Third Series, Vol. 9, No. 1. Pages 78-99. Trustees of Boston University</w:t>
      </w:r>
      <w:r w:rsidR="000F508F">
        <w:t>.</w:t>
      </w:r>
      <w:bookmarkStart w:id="0" w:name="_GoBack"/>
      <w:bookmarkEnd w:id="0"/>
    </w:p>
    <w:sectPr w:rsidR="00314B0E" w:rsidRPr="00FE775E">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04F4" w:rsidRDefault="000304F4" w:rsidP="00311CB7">
      <w:pPr>
        <w:spacing w:after="0" w:line="240" w:lineRule="auto"/>
      </w:pPr>
      <w:r>
        <w:separator/>
      </w:r>
    </w:p>
  </w:endnote>
  <w:endnote w:type="continuationSeparator" w:id="0">
    <w:p w:rsidR="000304F4" w:rsidRDefault="000304F4" w:rsidP="00311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04F4" w:rsidRDefault="000304F4" w:rsidP="00311CB7">
      <w:pPr>
        <w:spacing w:after="0" w:line="240" w:lineRule="auto"/>
      </w:pPr>
      <w:r>
        <w:separator/>
      </w:r>
    </w:p>
  </w:footnote>
  <w:footnote w:type="continuationSeparator" w:id="0">
    <w:p w:rsidR="000304F4" w:rsidRDefault="000304F4" w:rsidP="00311CB7">
      <w:pPr>
        <w:spacing w:after="0" w:line="240" w:lineRule="auto"/>
      </w:pPr>
      <w:r>
        <w:continuationSeparator/>
      </w:r>
    </w:p>
  </w:footnote>
  <w:footnote w:id="1">
    <w:p w:rsidR="00314B0E" w:rsidRDefault="00314B0E">
      <w:pPr>
        <w:pStyle w:val="FootnoteText"/>
      </w:pPr>
      <w:r>
        <w:rPr>
          <w:rStyle w:val="FootnoteReference"/>
        </w:rPr>
        <w:footnoteRef/>
      </w:r>
      <w:r>
        <w:t xml:space="preserve"> Cohen, 1996: p. 4</w:t>
      </w:r>
    </w:p>
  </w:footnote>
  <w:footnote w:id="2">
    <w:p w:rsidR="00314B0E" w:rsidRDefault="00314B0E" w:rsidP="007768C1">
      <w:pPr>
        <w:pStyle w:val="FootnoteText"/>
      </w:pPr>
      <w:r>
        <w:rPr>
          <w:rStyle w:val="FootnoteReference"/>
        </w:rPr>
        <w:footnoteRef/>
      </w:r>
      <w:r>
        <w:t xml:space="preserve"> Cohen, 1996: p. 4</w:t>
      </w:r>
    </w:p>
  </w:footnote>
  <w:footnote w:id="3">
    <w:p w:rsidR="00314B0E" w:rsidRDefault="00314B0E">
      <w:pPr>
        <w:pStyle w:val="FootnoteText"/>
      </w:pPr>
      <w:r>
        <w:rPr>
          <w:rStyle w:val="FootnoteReference"/>
        </w:rPr>
        <w:footnoteRef/>
      </w:r>
      <w:r>
        <w:t xml:space="preserve"> Heath, 1991: p. 233</w:t>
      </w:r>
    </w:p>
  </w:footnote>
  <w:footnote w:id="4">
    <w:p w:rsidR="00314B0E" w:rsidRDefault="00314B0E">
      <w:pPr>
        <w:pStyle w:val="FootnoteText"/>
      </w:pPr>
      <w:r>
        <w:rPr>
          <w:rStyle w:val="FootnoteReference"/>
        </w:rPr>
        <w:footnoteRef/>
      </w:r>
      <w:r>
        <w:t xml:space="preserve"> Heath, 1991: p. 233</w:t>
      </w:r>
    </w:p>
  </w:footnote>
  <w:footnote w:id="5">
    <w:p w:rsidR="00314B0E" w:rsidRPr="006D616F" w:rsidRDefault="00314B0E">
      <w:pPr>
        <w:pStyle w:val="FootnoteText"/>
      </w:pPr>
      <w:r>
        <w:rPr>
          <w:rStyle w:val="FootnoteReference"/>
        </w:rPr>
        <w:footnoteRef/>
      </w:r>
      <w:r>
        <w:t xml:space="preserve"> Ovid, </w:t>
      </w:r>
      <w:r>
        <w:rPr>
          <w:i/>
        </w:rPr>
        <w:t xml:space="preserve">Met. </w:t>
      </w:r>
      <w:r>
        <w:t>1.451-567</w:t>
      </w:r>
    </w:p>
  </w:footnote>
  <w:footnote w:id="6">
    <w:p w:rsidR="00314B0E" w:rsidRDefault="00314B0E">
      <w:pPr>
        <w:pStyle w:val="FootnoteText"/>
      </w:pPr>
      <w:r>
        <w:rPr>
          <w:rStyle w:val="FootnoteReference"/>
        </w:rPr>
        <w:footnoteRef/>
      </w:r>
      <w:r>
        <w:t xml:space="preserve"> Heath, 1991: p. 234</w:t>
      </w:r>
    </w:p>
  </w:footnote>
  <w:footnote w:id="7">
    <w:p w:rsidR="00314B0E" w:rsidRPr="00EC33A2" w:rsidRDefault="00314B0E">
      <w:pPr>
        <w:pStyle w:val="FootnoteText"/>
      </w:pPr>
      <w:r>
        <w:rPr>
          <w:rStyle w:val="FootnoteReference"/>
        </w:rPr>
        <w:footnoteRef/>
      </w:r>
      <w:r>
        <w:t xml:space="preserve"> Ovid, </w:t>
      </w:r>
      <w:r>
        <w:rPr>
          <w:i/>
        </w:rPr>
        <w:t xml:space="preserve">Met. </w:t>
      </w:r>
      <w:r>
        <w:t>1.485</w:t>
      </w:r>
    </w:p>
  </w:footnote>
  <w:footnote w:id="8">
    <w:p w:rsidR="00314B0E" w:rsidRPr="004C743E" w:rsidRDefault="00314B0E">
      <w:pPr>
        <w:pStyle w:val="FootnoteText"/>
      </w:pPr>
      <w:r>
        <w:rPr>
          <w:rStyle w:val="FootnoteReference"/>
        </w:rPr>
        <w:footnoteRef/>
      </w:r>
      <w:r>
        <w:t xml:space="preserve"> Ovid, </w:t>
      </w:r>
      <w:r>
        <w:rPr>
          <w:i/>
        </w:rPr>
        <w:t xml:space="preserve">Met. </w:t>
      </w:r>
      <w:r>
        <w:t>1.545-555</w:t>
      </w:r>
    </w:p>
  </w:footnote>
  <w:footnote w:id="9">
    <w:p w:rsidR="00314B0E" w:rsidRPr="00E21659" w:rsidRDefault="00314B0E">
      <w:pPr>
        <w:pStyle w:val="FootnoteText"/>
      </w:pPr>
      <w:r>
        <w:rPr>
          <w:rStyle w:val="FootnoteReference"/>
        </w:rPr>
        <w:footnoteRef/>
      </w:r>
      <w:r>
        <w:t xml:space="preserve"> Ovid, </w:t>
      </w:r>
      <w:r>
        <w:rPr>
          <w:i/>
        </w:rPr>
        <w:t xml:space="preserve">Met. </w:t>
      </w:r>
      <w:r>
        <w:t>1.535</w:t>
      </w:r>
    </w:p>
  </w:footnote>
  <w:footnote w:id="10">
    <w:p w:rsidR="00314B0E" w:rsidRDefault="00314B0E">
      <w:pPr>
        <w:pStyle w:val="FootnoteText"/>
      </w:pPr>
      <w:r>
        <w:rPr>
          <w:rStyle w:val="FootnoteReference"/>
        </w:rPr>
        <w:footnoteRef/>
      </w:r>
      <w:r>
        <w:t xml:space="preserve"> Segal, 2001: p. 81</w:t>
      </w:r>
    </w:p>
  </w:footnote>
  <w:footnote w:id="11">
    <w:p w:rsidR="00314B0E" w:rsidRDefault="00314B0E">
      <w:pPr>
        <w:pStyle w:val="FootnoteText"/>
      </w:pPr>
      <w:r>
        <w:rPr>
          <w:rStyle w:val="FootnoteReference"/>
        </w:rPr>
        <w:footnoteRef/>
      </w:r>
      <w:r>
        <w:t xml:space="preserve"> Segal, 2001: p.81</w:t>
      </w:r>
    </w:p>
  </w:footnote>
  <w:footnote w:id="12">
    <w:p w:rsidR="00314B0E" w:rsidRDefault="00314B0E">
      <w:pPr>
        <w:pStyle w:val="FootnoteText"/>
      </w:pPr>
      <w:r>
        <w:rPr>
          <w:rStyle w:val="FootnoteReference"/>
        </w:rPr>
        <w:footnoteRef/>
      </w:r>
      <w:r>
        <w:t xml:space="preserve"> Segal, 2001: p. 80</w:t>
      </w:r>
    </w:p>
  </w:footnote>
  <w:footnote w:id="13">
    <w:p w:rsidR="00314B0E" w:rsidRPr="00C52350" w:rsidRDefault="00314B0E">
      <w:pPr>
        <w:pStyle w:val="FootnoteText"/>
      </w:pPr>
      <w:r>
        <w:rPr>
          <w:rStyle w:val="FootnoteReference"/>
        </w:rPr>
        <w:footnoteRef/>
      </w:r>
      <w:r>
        <w:t xml:space="preserve"> Ovid, </w:t>
      </w:r>
      <w:r>
        <w:rPr>
          <w:i/>
        </w:rPr>
        <w:t xml:space="preserve">Met. </w:t>
      </w:r>
      <w:r>
        <w:t>1.590-595</w:t>
      </w:r>
    </w:p>
  </w:footnote>
  <w:footnote w:id="14">
    <w:p w:rsidR="00314B0E" w:rsidRPr="00B207BD" w:rsidRDefault="00314B0E">
      <w:pPr>
        <w:pStyle w:val="FootnoteText"/>
      </w:pPr>
      <w:r>
        <w:rPr>
          <w:rStyle w:val="FootnoteReference"/>
        </w:rPr>
        <w:footnoteRef/>
      </w:r>
      <w:r>
        <w:t xml:space="preserve"> Ovid, </w:t>
      </w:r>
      <w:r>
        <w:rPr>
          <w:i/>
        </w:rPr>
        <w:t xml:space="preserve">Met. </w:t>
      </w:r>
      <w:r>
        <w:t>1.595-600</w:t>
      </w:r>
    </w:p>
  </w:footnote>
  <w:footnote w:id="15">
    <w:p w:rsidR="00314B0E" w:rsidRDefault="00314B0E">
      <w:pPr>
        <w:pStyle w:val="FootnoteText"/>
      </w:pPr>
      <w:r>
        <w:rPr>
          <w:rStyle w:val="FootnoteReference"/>
        </w:rPr>
        <w:footnoteRef/>
      </w:r>
      <w:r>
        <w:t xml:space="preserve"> Heath, 1991: p. 235</w:t>
      </w:r>
    </w:p>
  </w:footnote>
  <w:footnote w:id="16">
    <w:p w:rsidR="00314B0E" w:rsidRDefault="00314B0E">
      <w:pPr>
        <w:pStyle w:val="FootnoteText"/>
      </w:pPr>
      <w:r>
        <w:rPr>
          <w:rStyle w:val="FootnoteReference"/>
        </w:rPr>
        <w:footnoteRef/>
      </w:r>
      <w:r>
        <w:t xml:space="preserve"> Heath, 1991: p. 235</w:t>
      </w:r>
    </w:p>
  </w:footnote>
  <w:footnote w:id="17">
    <w:p w:rsidR="00314B0E" w:rsidRPr="00DF40F5" w:rsidRDefault="00314B0E">
      <w:pPr>
        <w:pStyle w:val="FootnoteText"/>
      </w:pPr>
      <w:r>
        <w:rPr>
          <w:rStyle w:val="FootnoteReference"/>
        </w:rPr>
        <w:footnoteRef/>
      </w:r>
      <w:r>
        <w:t xml:space="preserve"> Ovid, </w:t>
      </w:r>
      <w:r>
        <w:rPr>
          <w:i/>
        </w:rPr>
        <w:t xml:space="preserve">Met. </w:t>
      </w:r>
      <w:r>
        <w:t>2.409</w:t>
      </w:r>
    </w:p>
  </w:footnote>
  <w:footnote w:id="18">
    <w:p w:rsidR="00314B0E" w:rsidRPr="00DF40F5" w:rsidRDefault="00314B0E">
      <w:pPr>
        <w:pStyle w:val="FootnoteText"/>
      </w:pPr>
      <w:r>
        <w:rPr>
          <w:rStyle w:val="FootnoteReference"/>
        </w:rPr>
        <w:footnoteRef/>
      </w:r>
      <w:r>
        <w:t xml:space="preserve"> Ovid, </w:t>
      </w:r>
      <w:r>
        <w:rPr>
          <w:i/>
        </w:rPr>
        <w:t xml:space="preserve">Met. </w:t>
      </w:r>
      <w:r>
        <w:t>2.414</w:t>
      </w:r>
    </w:p>
  </w:footnote>
  <w:footnote w:id="19">
    <w:p w:rsidR="00314B0E" w:rsidRPr="00DF40F5" w:rsidRDefault="00314B0E">
      <w:pPr>
        <w:pStyle w:val="FootnoteText"/>
      </w:pPr>
      <w:r>
        <w:rPr>
          <w:rStyle w:val="FootnoteReference"/>
        </w:rPr>
        <w:footnoteRef/>
      </w:r>
      <w:r>
        <w:t xml:space="preserve"> Ovid, </w:t>
      </w:r>
      <w:r>
        <w:rPr>
          <w:i/>
        </w:rPr>
        <w:t xml:space="preserve">Met. </w:t>
      </w:r>
      <w:r>
        <w:t>2.416</w:t>
      </w:r>
    </w:p>
  </w:footnote>
  <w:footnote w:id="20">
    <w:p w:rsidR="00314B0E" w:rsidRPr="00DF40F5" w:rsidRDefault="00314B0E">
      <w:pPr>
        <w:pStyle w:val="FootnoteText"/>
      </w:pPr>
      <w:r>
        <w:rPr>
          <w:rStyle w:val="FootnoteReference"/>
        </w:rPr>
        <w:footnoteRef/>
      </w:r>
      <w:r>
        <w:t xml:space="preserve"> Ovid, </w:t>
      </w:r>
      <w:r>
        <w:rPr>
          <w:i/>
        </w:rPr>
        <w:t xml:space="preserve">Met. </w:t>
      </w:r>
      <w:r>
        <w:t>2.419</w:t>
      </w:r>
    </w:p>
  </w:footnote>
  <w:footnote w:id="21">
    <w:p w:rsidR="00314B0E" w:rsidRPr="00DE56DF" w:rsidRDefault="00314B0E">
      <w:pPr>
        <w:pStyle w:val="FootnoteText"/>
      </w:pPr>
      <w:r>
        <w:rPr>
          <w:rStyle w:val="FootnoteReference"/>
        </w:rPr>
        <w:footnoteRef/>
      </w:r>
      <w:r>
        <w:t xml:space="preserve"> Ovid, </w:t>
      </w:r>
      <w:r>
        <w:rPr>
          <w:i/>
        </w:rPr>
        <w:t xml:space="preserve">Met. </w:t>
      </w:r>
      <w:r>
        <w:t>2.430</w:t>
      </w:r>
    </w:p>
  </w:footnote>
  <w:footnote w:id="22">
    <w:p w:rsidR="00314B0E" w:rsidRPr="00D00584" w:rsidRDefault="00314B0E">
      <w:pPr>
        <w:pStyle w:val="FootnoteText"/>
      </w:pPr>
      <w:r>
        <w:rPr>
          <w:rStyle w:val="FootnoteReference"/>
        </w:rPr>
        <w:footnoteRef/>
      </w:r>
      <w:r>
        <w:t xml:space="preserve"> Ovid, </w:t>
      </w:r>
      <w:r>
        <w:rPr>
          <w:i/>
        </w:rPr>
        <w:t xml:space="preserve">Met. </w:t>
      </w:r>
      <w:r>
        <w:t>2.435</w:t>
      </w:r>
    </w:p>
  </w:footnote>
  <w:footnote w:id="23">
    <w:p w:rsidR="00314B0E" w:rsidRDefault="00314B0E">
      <w:pPr>
        <w:pStyle w:val="FootnoteText"/>
      </w:pPr>
      <w:r>
        <w:rPr>
          <w:rStyle w:val="FootnoteReference"/>
        </w:rPr>
        <w:footnoteRef/>
      </w:r>
      <w:r>
        <w:t xml:space="preserve"> </w:t>
      </w:r>
      <w:proofErr w:type="spellStart"/>
      <w:r>
        <w:t>O’Bryhim</w:t>
      </w:r>
      <w:proofErr w:type="spellEnd"/>
      <w:r>
        <w:t>, 1990: p. 76</w:t>
      </w:r>
    </w:p>
  </w:footnote>
  <w:footnote w:id="24">
    <w:p w:rsidR="00314B0E" w:rsidRPr="00D00584" w:rsidRDefault="00314B0E">
      <w:pPr>
        <w:pStyle w:val="FootnoteText"/>
      </w:pPr>
      <w:r>
        <w:rPr>
          <w:rStyle w:val="FootnoteReference"/>
        </w:rPr>
        <w:footnoteRef/>
      </w:r>
      <w:r>
        <w:t xml:space="preserve"> Ovid, </w:t>
      </w:r>
      <w:r>
        <w:rPr>
          <w:i/>
        </w:rPr>
        <w:t>Met</w:t>
      </w:r>
      <w:r>
        <w:t>. 2.450</w:t>
      </w:r>
    </w:p>
  </w:footnote>
  <w:footnote w:id="25">
    <w:p w:rsidR="00314B0E" w:rsidRPr="00D00584" w:rsidRDefault="00314B0E">
      <w:pPr>
        <w:pStyle w:val="FootnoteText"/>
        <w:rPr>
          <w:i/>
        </w:rPr>
      </w:pPr>
      <w:r>
        <w:rPr>
          <w:rStyle w:val="FootnoteReference"/>
        </w:rPr>
        <w:footnoteRef/>
      </w:r>
      <w:r>
        <w:t xml:space="preserve"> </w:t>
      </w:r>
      <w:proofErr w:type="spellStart"/>
      <w:r>
        <w:t>O’Bryhim</w:t>
      </w:r>
      <w:proofErr w:type="spellEnd"/>
      <w:r>
        <w:t>, 1990: p. 77</w:t>
      </w:r>
    </w:p>
  </w:footnote>
  <w:footnote w:id="26">
    <w:p w:rsidR="00314B0E" w:rsidRDefault="00314B0E">
      <w:pPr>
        <w:pStyle w:val="FootnoteText"/>
      </w:pPr>
      <w:r>
        <w:rPr>
          <w:rStyle w:val="FootnoteReference"/>
        </w:rPr>
        <w:footnoteRef/>
      </w:r>
      <w:r>
        <w:t xml:space="preserve"> </w:t>
      </w:r>
      <w:proofErr w:type="spellStart"/>
      <w:r>
        <w:t>O’Bryhim</w:t>
      </w:r>
      <w:proofErr w:type="spellEnd"/>
      <w:r>
        <w:t>, 1990: p. 77</w:t>
      </w:r>
    </w:p>
  </w:footnote>
  <w:footnote w:id="27">
    <w:p w:rsidR="00314B0E" w:rsidRPr="0023183F" w:rsidRDefault="00314B0E">
      <w:pPr>
        <w:pStyle w:val="FootnoteText"/>
      </w:pPr>
      <w:r>
        <w:rPr>
          <w:rStyle w:val="FootnoteReference"/>
        </w:rPr>
        <w:footnoteRef/>
      </w:r>
      <w:r>
        <w:t xml:space="preserve"> Ovid, </w:t>
      </w:r>
      <w:r>
        <w:rPr>
          <w:i/>
        </w:rPr>
        <w:t xml:space="preserve">Met. </w:t>
      </w:r>
      <w:r>
        <w:t>2.465-495</w:t>
      </w:r>
    </w:p>
  </w:footnote>
  <w:footnote w:id="28">
    <w:p w:rsidR="00314B0E" w:rsidRPr="0023183F" w:rsidRDefault="00314B0E">
      <w:pPr>
        <w:pStyle w:val="FootnoteText"/>
      </w:pPr>
      <w:r>
        <w:rPr>
          <w:rStyle w:val="FootnoteReference"/>
        </w:rPr>
        <w:footnoteRef/>
      </w:r>
      <w:r>
        <w:t xml:space="preserve"> Ovid, </w:t>
      </w:r>
      <w:r>
        <w:rPr>
          <w:i/>
        </w:rPr>
        <w:t xml:space="preserve">Met. </w:t>
      </w:r>
      <w:r>
        <w:t>2.473</w:t>
      </w:r>
    </w:p>
  </w:footnote>
  <w:footnote w:id="29">
    <w:p w:rsidR="00314B0E" w:rsidRDefault="00314B0E">
      <w:pPr>
        <w:pStyle w:val="FootnoteText"/>
      </w:pPr>
      <w:r>
        <w:rPr>
          <w:rStyle w:val="FootnoteReference"/>
        </w:rPr>
        <w:footnoteRef/>
      </w:r>
      <w:r>
        <w:t xml:space="preserve"> </w:t>
      </w:r>
      <w:proofErr w:type="spellStart"/>
      <w:r>
        <w:t>O’Bryhim</w:t>
      </w:r>
      <w:proofErr w:type="spellEnd"/>
      <w:r>
        <w:t>, 1990: p.79</w:t>
      </w:r>
    </w:p>
  </w:footnote>
  <w:footnote w:id="30">
    <w:p w:rsidR="00314B0E" w:rsidRPr="002A79A8" w:rsidRDefault="00314B0E">
      <w:pPr>
        <w:pStyle w:val="FootnoteText"/>
      </w:pPr>
      <w:r>
        <w:rPr>
          <w:rStyle w:val="FootnoteReference"/>
        </w:rPr>
        <w:footnoteRef/>
      </w:r>
      <w:r>
        <w:t xml:space="preserve"> Ovid, </w:t>
      </w:r>
      <w:r>
        <w:rPr>
          <w:i/>
        </w:rPr>
        <w:t xml:space="preserve">Met. </w:t>
      </w:r>
      <w:r>
        <w:t>4.793-802</w:t>
      </w:r>
    </w:p>
  </w:footnote>
  <w:footnote w:id="31">
    <w:p w:rsidR="00314B0E" w:rsidRDefault="00314B0E">
      <w:pPr>
        <w:pStyle w:val="FootnoteText"/>
      </w:pPr>
      <w:r>
        <w:rPr>
          <w:rStyle w:val="FootnoteReference"/>
        </w:rPr>
        <w:footnoteRef/>
      </w:r>
      <w:r>
        <w:t xml:space="preserve"> </w:t>
      </w:r>
      <w:proofErr w:type="spellStart"/>
      <w:r>
        <w:t>Murgatroyd</w:t>
      </w:r>
      <w:proofErr w:type="spellEnd"/>
      <w:r>
        <w:t>, 2007: p. 105</w:t>
      </w:r>
    </w:p>
  </w:footnote>
  <w:footnote w:id="32">
    <w:p w:rsidR="0026501B" w:rsidRDefault="0026501B">
      <w:pPr>
        <w:pStyle w:val="FootnoteText"/>
      </w:pPr>
      <w:r>
        <w:rPr>
          <w:rStyle w:val="FootnoteReference"/>
        </w:rPr>
        <w:footnoteRef/>
      </w:r>
      <w:r>
        <w:t xml:space="preserve"> </w:t>
      </w:r>
      <w:proofErr w:type="spellStart"/>
      <w:r>
        <w:t>Murgatroyd</w:t>
      </w:r>
      <w:proofErr w:type="spellEnd"/>
      <w:r>
        <w:t>, 2007: p. 106</w:t>
      </w:r>
    </w:p>
  </w:footnote>
  <w:footnote w:id="33">
    <w:p w:rsidR="0026501B" w:rsidRDefault="0026501B">
      <w:pPr>
        <w:pStyle w:val="FootnoteText"/>
      </w:pPr>
      <w:r>
        <w:rPr>
          <w:rStyle w:val="FootnoteReference"/>
        </w:rPr>
        <w:footnoteRef/>
      </w:r>
      <w:r>
        <w:t xml:space="preserve"> </w:t>
      </w:r>
      <w:proofErr w:type="spellStart"/>
      <w:r>
        <w:t>Murgatroyd</w:t>
      </w:r>
      <w:proofErr w:type="spellEnd"/>
      <w:r>
        <w:t>, 2007: p. 106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4B0E" w:rsidRDefault="00314B0E" w:rsidP="00311CB7">
    <w:pPr>
      <w:pStyle w:val="Header"/>
      <w:tabs>
        <w:tab w:val="clear" w:pos="4513"/>
        <w:tab w:val="clear" w:pos="9026"/>
        <w:tab w:val="left" w:pos="194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CB7"/>
    <w:rsid w:val="00000E97"/>
    <w:rsid w:val="000304F4"/>
    <w:rsid w:val="00044F6C"/>
    <w:rsid w:val="00082764"/>
    <w:rsid w:val="000F508F"/>
    <w:rsid w:val="00144D0C"/>
    <w:rsid w:val="001B417F"/>
    <w:rsid w:val="001D6309"/>
    <w:rsid w:val="001E76BC"/>
    <w:rsid w:val="002050A1"/>
    <w:rsid w:val="0023183F"/>
    <w:rsid w:val="0026501B"/>
    <w:rsid w:val="00294639"/>
    <w:rsid w:val="00297C37"/>
    <w:rsid w:val="002A28EB"/>
    <w:rsid w:val="002A79A8"/>
    <w:rsid w:val="002D0AA8"/>
    <w:rsid w:val="00311CB7"/>
    <w:rsid w:val="00314B0E"/>
    <w:rsid w:val="0032602D"/>
    <w:rsid w:val="0033745B"/>
    <w:rsid w:val="0035679C"/>
    <w:rsid w:val="003969E0"/>
    <w:rsid w:val="003C3C1D"/>
    <w:rsid w:val="003F0698"/>
    <w:rsid w:val="0040565F"/>
    <w:rsid w:val="00406FAF"/>
    <w:rsid w:val="004236D7"/>
    <w:rsid w:val="00446591"/>
    <w:rsid w:val="00460C64"/>
    <w:rsid w:val="004857DA"/>
    <w:rsid w:val="004A0C4C"/>
    <w:rsid w:val="004A5A6E"/>
    <w:rsid w:val="004C743E"/>
    <w:rsid w:val="0053355B"/>
    <w:rsid w:val="0055672C"/>
    <w:rsid w:val="005777DD"/>
    <w:rsid w:val="005E2E2C"/>
    <w:rsid w:val="00651151"/>
    <w:rsid w:val="006D616F"/>
    <w:rsid w:val="007768C1"/>
    <w:rsid w:val="007B5555"/>
    <w:rsid w:val="007C2D81"/>
    <w:rsid w:val="007D6A0A"/>
    <w:rsid w:val="007F1AFB"/>
    <w:rsid w:val="0080238D"/>
    <w:rsid w:val="00857828"/>
    <w:rsid w:val="008723CA"/>
    <w:rsid w:val="008B03A7"/>
    <w:rsid w:val="008F45E7"/>
    <w:rsid w:val="00977BFA"/>
    <w:rsid w:val="00981F26"/>
    <w:rsid w:val="009B796B"/>
    <w:rsid w:val="009D05C0"/>
    <w:rsid w:val="009D1EDA"/>
    <w:rsid w:val="009F7BEB"/>
    <w:rsid w:val="00A55AEE"/>
    <w:rsid w:val="00A64F3F"/>
    <w:rsid w:val="00A75698"/>
    <w:rsid w:val="00AA6661"/>
    <w:rsid w:val="00AD03FE"/>
    <w:rsid w:val="00AD7E69"/>
    <w:rsid w:val="00AF460B"/>
    <w:rsid w:val="00B207BD"/>
    <w:rsid w:val="00B8591A"/>
    <w:rsid w:val="00BC085C"/>
    <w:rsid w:val="00C047FF"/>
    <w:rsid w:val="00C15D70"/>
    <w:rsid w:val="00C25A0B"/>
    <w:rsid w:val="00C47932"/>
    <w:rsid w:val="00C52350"/>
    <w:rsid w:val="00C80D1E"/>
    <w:rsid w:val="00D00584"/>
    <w:rsid w:val="00DA0D9B"/>
    <w:rsid w:val="00DC6244"/>
    <w:rsid w:val="00DE56DF"/>
    <w:rsid w:val="00DF40F5"/>
    <w:rsid w:val="00E21659"/>
    <w:rsid w:val="00E44123"/>
    <w:rsid w:val="00E84F88"/>
    <w:rsid w:val="00EC33A2"/>
    <w:rsid w:val="00F034F4"/>
    <w:rsid w:val="00F44AA8"/>
    <w:rsid w:val="00FE775E"/>
    <w:rsid w:val="00FF34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672B5"/>
  <w15:chartTrackingRefBased/>
  <w15:docId w15:val="{1D2C9F9C-52AF-4F77-81DF-00B0C26A8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1C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CB7"/>
  </w:style>
  <w:style w:type="paragraph" w:styleId="Footer">
    <w:name w:val="footer"/>
    <w:basedOn w:val="Normal"/>
    <w:link w:val="FooterChar"/>
    <w:uiPriority w:val="99"/>
    <w:unhideWhenUsed/>
    <w:rsid w:val="00311C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CB7"/>
  </w:style>
  <w:style w:type="paragraph" w:styleId="FootnoteText">
    <w:name w:val="footnote text"/>
    <w:basedOn w:val="Normal"/>
    <w:link w:val="FootnoteTextChar"/>
    <w:uiPriority w:val="99"/>
    <w:semiHidden/>
    <w:unhideWhenUsed/>
    <w:rsid w:val="003969E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969E0"/>
    <w:rPr>
      <w:sz w:val="20"/>
      <w:szCs w:val="20"/>
    </w:rPr>
  </w:style>
  <w:style w:type="character" w:styleId="FootnoteReference">
    <w:name w:val="footnote reference"/>
    <w:basedOn w:val="DefaultParagraphFont"/>
    <w:uiPriority w:val="99"/>
    <w:semiHidden/>
    <w:unhideWhenUsed/>
    <w:rsid w:val="003969E0"/>
    <w:rPr>
      <w:vertAlign w:val="superscript"/>
    </w:rPr>
  </w:style>
  <w:style w:type="paragraph" w:styleId="ListParagraph">
    <w:name w:val="List Paragraph"/>
    <w:basedOn w:val="Normal"/>
    <w:uiPriority w:val="34"/>
    <w:qFormat/>
    <w:rsid w:val="00DE56D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40A97-DC34-4E6E-8A84-9FBC6B3AB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1547</TotalTime>
  <Pages>8</Pages>
  <Words>2091</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Betsy Woodhouse</dc:creator>
  <cp:keywords/>
  <dc:description/>
  <cp:lastModifiedBy>Betsy Woodhouse</cp:lastModifiedBy>
  <cp:revision>33</cp:revision>
  <dcterms:created xsi:type="dcterms:W3CDTF">2017-11-27T17:38:00Z</dcterms:created>
  <dcterms:modified xsi:type="dcterms:W3CDTF">2017-11-28T19:28:00Z</dcterms:modified>
</cp:coreProperties>
</file>