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8B861" w14:textId="0A4406D7" w:rsidR="00615792" w:rsidRDefault="00615792" w:rsidP="00615792">
      <w:pPr>
        <w:pStyle w:val="Title"/>
        <w:rPr>
          <w:b/>
          <w:color w:val="000000" w:themeColor="text1"/>
          <w:sz w:val="48"/>
          <w:szCs w:val="48"/>
        </w:rPr>
      </w:pPr>
      <w:r>
        <w:rPr>
          <w:b/>
          <w:color w:val="000000" w:themeColor="text1"/>
          <w:sz w:val="48"/>
          <w:szCs w:val="48"/>
        </w:rPr>
        <w:t>LCMB7013 MANAGING PERFORMANCE Assignment 1 – Individual assignment</w:t>
      </w:r>
    </w:p>
    <w:p w14:paraId="4D964318" w14:textId="7696E4D3" w:rsidR="00615792" w:rsidRDefault="00615792" w:rsidP="00615792">
      <w:pPr>
        <w:jc w:val="center"/>
        <w:rPr>
          <w:b/>
          <w:bCs/>
        </w:rPr>
      </w:pPr>
      <w:r>
        <w:rPr>
          <w:b/>
          <w:bCs/>
        </w:rPr>
        <w:t>Student Name: Gurbinder Kaur</w:t>
      </w:r>
    </w:p>
    <w:p w14:paraId="1898D21A" w14:textId="5C6C17B4" w:rsidR="00615792" w:rsidRDefault="00615792" w:rsidP="00615792">
      <w:pPr>
        <w:jc w:val="center"/>
        <w:rPr>
          <w:b/>
          <w:bCs/>
        </w:rPr>
      </w:pPr>
      <w:r>
        <w:rPr>
          <w:b/>
          <w:bCs/>
        </w:rPr>
        <w:t xml:space="preserve">Student </w:t>
      </w:r>
      <w:r w:rsidR="00782C57">
        <w:rPr>
          <w:b/>
          <w:bCs/>
        </w:rPr>
        <w:t>ID</w:t>
      </w:r>
      <w:r>
        <w:rPr>
          <w:b/>
          <w:bCs/>
        </w:rPr>
        <w:t>: 22291</w:t>
      </w:r>
      <w:r w:rsidR="00824200">
        <w:rPr>
          <w:b/>
          <w:bCs/>
        </w:rPr>
        <w:t>8</w:t>
      </w:r>
      <w:r>
        <w:rPr>
          <w:b/>
          <w:bCs/>
        </w:rPr>
        <w:t>5</w:t>
      </w:r>
    </w:p>
    <w:p w14:paraId="39C0F5E1" w14:textId="77777777" w:rsidR="00615792" w:rsidRDefault="00615792" w:rsidP="00615792">
      <w:pPr>
        <w:jc w:val="center"/>
        <w:rPr>
          <w:b/>
          <w:bCs/>
        </w:rPr>
      </w:pPr>
      <w:r>
        <w:rPr>
          <w:b/>
          <w:bCs/>
        </w:rPr>
        <w:t>Subject: Managing Performance</w:t>
      </w:r>
    </w:p>
    <w:p w14:paraId="3AA588B0" w14:textId="77777777" w:rsidR="00615792" w:rsidRDefault="00615792" w:rsidP="00615792">
      <w:pPr>
        <w:jc w:val="center"/>
        <w:rPr>
          <w:b/>
          <w:bCs/>
        </w:rPr>
      </w:pPr>
      <w:r>
        <w:rPr>
          <w:b/>
          <w:bCs/>
        </w:rPr>
        <w:t>University Name: University of Wales Trinity Saint David</w:t>
      </w:r>
    </w:p>
    <w:p w14:paraId="7EE678E1" w14:textId="77777777" w:rsidR="00014632" w:rsidRDefault="008510F4">
      <w:pPr>
        <w:rPr>
          <w:color w:val="000000"/>
        </w:rPr>
      </w:pPr>
      <w:r>
        <w:br w:type="page"/>
      </w:r>
    </w:p>
    <w:p w14:paraId="6AB84167" w14:textId="77777777" w:rsidR="00014632" w:rsidRDefault="008510F4">
      <w:pPr>
        <w:keepNext/>
        <w:keepLines/>
        <w:pBdr>
          <w:top w:val="nil"/>
          <w:left w:val="nil"/>
          <w:bottom w:val="nil"/>
          <w:right w:val="nil"/>
          <w:between w:val="nil"/>
        </w:pBdr>
        <w:spacing w:before="240" w:line="240" w:lineRule="auto"/>
        <w:rPr>
          <w:color w:val="6E6E6E"/>
          <w:sz w:val="32"/>
          <w:szCs w:val="32"/>
        </w:rPr>
      </w:pPr>
      <w:r>
        <w:rPr>
          <w:color w:val="6E6E6E"/>
          <w:sz w:val="32"/>
          <w:szCs w:val="32"/>
        </w:rPr>
        <w:lastRenderedPageBreak/>
        <w:t>Table of Contents</w:t>
      </w:r>
    </w:p>
    <w:sdt>
      <w:sdtPr>
        <w:id w:val="-152072680"/>
        <w:docPartObj>
          <w:docPartGallery w:val="Table of Contents"/>
          <w:docPartUnique/>
        </w:docPartObj>
      </w:sdtPr>
      <w:sdtContent>
        <w:p w14:paraId="39B1FB63" w14:textId="77777777" w:rsidR="00014632" w:rsidRDefault="008510F4">
          <w:pPr>
            <w:pBdr>
              <w:top w:val="nil"/>
              <w:left w:val="nil"/>
              <w:bottom w:val="nil"/>
              <w:right w:val="nil"/>
              <w:between w:val="nil"/>
            </w:pBdr>
            <w:tabs>
              <w:tab w:val="right" w:leader="dot" w:pos="9350"/>
            </w:tabs>
            <w:spacing w:after="100" w:line="240" w:lineRule="auto"/>
            <w:rPr>
              <w:color w:val="000000"/>
            </w:rPr>
          </w:pPr>
          <w:r>
            <w:fldChar w:fldCharType="begin"/>
          </w:r>
          <w:r>
            <w:instrText xml:space="preserve"> TOC \h \u \z \t "Heading 1,1,Heading 2,2,Heading 3,3,"</w:instrText>
          </w:r>
          <w:r>
            <w:fldChar w:fldCharType="separate"/>
          </w:r>
          <w:hyperlink w:anchor="_gjdgxs">
            <w:r>
              <w:rPr>
                <w:color w:val="000000"/>
              </w:rPr>
              <w:t>Introduction</w:t>
            </w:r>
            <w:r>
              <w:rPr>
                <w:color w:val="000000"/>
              </w:rPr>
              <w:tab/>
              <w:t>3</w:t>
            </w:r>
          </w:hyperlink>
        </w:p>
        <w:p w14:paraId="7C05DF2D"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30j0zll">
            <w:r w:rsidR="008510F4">
              <w:rPr>
                <w:color w:val="000000"/>
              </w:rPr>
              <w:t>Brief Overview</w:t>
            </w:r>
            <w:r w:rsidR="008510F4">
              <w:rPr>
                <w:color w:val="000000"/>
              </w:rPr>
              <w:tab/>
              <w:t>3</w:t>
            </w:r>
          </w:hyperlink>
        </w:p>
        <w:p w14:paraId="084FB5DD"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1fob9te">
            <w:r w:rsidR="008510F4">
              <w:rPr>
                <w:color w:val="000000"/>
              </w:rPr>
              <w:t>Purpose and Scope</w:t>
            </w:r>
            <w:r w:rsidR="008510F4">
              <w:rPr>
                <w:color w:val="000000"/>
              </w:rPr>
              <w:tab/>
              <w:t>3</w:t>
            </w:r>
          </w:hyperlink>
        </w:p>
        <w:p w14:paraId="7500A424"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3znysh7">
            <w:r w:rsidR="008510F4">
              <w:rPr>
                <w:color w:val="000000"/>
              </w:rPr>
              <w:t>Literature Pointers</w:t>
            </w:r>
            <w:r w:rsidR="008510F4">
              <w:rPr>
                <w:color w:val="000000"/>
              </w:rPr>
              <w:tab/>
              <w:t>3</w:t>
            </w:r>
          </w:hyperlink>
        </w:p>
        <w:p w14:paraId="34A5F682"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2et92p0">
            <w:r w:rsidR="008510F4">
              <w:rPr>
                <w:color w:val="000000"/>
              </w:rPr>
              <w:t>Structure</w:t>
            </w:r>
            <w:r w:rsidR="008510F4">
              <w:rPr>
                <w:color w:val="000000"/>
              </w:rPr>
              <w:tab/>
              <w:t>4</w:t>
            </w:r>
          </w:hyperlink>
        </w:p>
        <w:p w14:paraId="5DEEB5C3" w14:textId="77777777" w:rsidR="00014632" w:rsidRDefault="00000000">
          <w:pPr>
            <w:pBdr>
              <w:top w:val="nil"/>
              <w:left w:val="nil"/>
              <w:bottom w:val="nil"/>
              <w:right w:val="nil"/>
              <w:between w:val="nil"/>
            </w:pBdr>
            <w:tabs>
              <w:tab w:val="right" w:leader="dot" w:pos="9350"/>
            </w:tabs>
            <w:spacing w:after="100" w:line="240" w:lineRule="auto"/>
            <w:rPr>
              <w:color w:val="000000"/>
            </w:rPr>
          </w:pPr>
          <w:hyperlink w:anchor="_tyjcwt">
            <w:r w:rsidR="008510F4">
              <w:rPr>
                <w:color w:val="000000"/>
              </w:rPr>
              <w:t>Critically Discuss the Implementation of the Contingency Approach Model</w:t>
            </w:r>
            <w:r w:rsidR="008510F4">
              <w:rPr>
                <w:color w:val="000000"/>
              </w:rPr>
              <w:tab/>
              <w:t>4</w:t>
            </w:r>
          </w:hyperlink>
        </w:p>
        <w:p w14:paraId="41089649" w14:textId="3D34AF5E" w:rsidR="00014632" w:rsidRPr="00615792" w:rsidRDefault="00000000" w:rsidP="00615792">
          <w:pPr>
            <w:pBdr>
              <w:top w:val="nil"/>
              <w:left w:val="nil"/>
              <w:bottom w:val="nil"/>
              <w:right w:val="nil"/>
              <w:between w:val="nil"/>
            </w:pBdr>
            <w:tabs>
              <w:tab w:val="right" w:leader="dot" w:pos="9350"/>
            </w:tabs>
            <w:spacing w:after="100" w:line="240" w:lineRule="auto"/>
            <w:ind w:left="240" w:firstLine="480"/>
            <w:rPr>
              <w:color w:val="000000"/>
            </w:rPr>
          </w:pPr>
          <w:hyperlink w:anchor="_3dy6vkm">
            <w:r w:rsidR="008510F4">
              <w:rPr>
                <w:color w:val="000000"/>
              </w:rPr>
              <w:t>Startup Stage</w:t>
            </w:r>
            <w:r w:rsidR="008510F4">
              <w:rPr>
                <w:color w:val="000000"/>
              </w:rPr>
              <w:tab/>
              <w:t>5</w:t>
            </w:r>
          </w:hyperlink>
        </w:p>
        <w:p w14:paraId="4B7E9FDC" w14:textId="63B5037F" w:rsidR="00014632" w:rsidRPr="00615792" w:rsidRDefault="00000000" w:rsidP="00615792">
          <w:pPr>
            <w:pBdr>
              <w:top w:val="nil"/>
              <w:left w:val="nil"/>
              <w:bottom w:val="nil"/>
              <w:right w:val="nil"/>
              <w:between w:val="nil"/>
            </w:pBdr>
            <w:tabs>
              <w:tab w:val="right" w:leader="dot" w:pos="9350"/>
            </w:tabs>
            <w:spacing w:after="100" w:line="240" w:lineRule="auto"/>
            <w:ind w:left="240" w:firstLine="480"/>
            <w:rPr>
              <w:color w:val="000000"/>
            </w:rPr>
          </w:pPr>
          <w:hyperlink w:anchor="_1t3h5sf">
            <w:r w:rsidR="008510F4">
              <w:rPr>
                <w:color w:val="000000"/>
              </w:rPr>
              <w:t>Growth Stage</w:t>
            </w:r>
            <w:r w:rsidR="008510F4">
              <w:rPr>
                <w:color w:val="000000"/>
              </w:rPr>
              <w:tab/>
              <w:t>6</w:t>
            </w:r>
          </w:hyperlink>
        </w:p>
        <w:p w14:paraId="2C6065EF" w14:textId="7A615D9B" w:rsidR="00014632" w:rsidRPr="00615792" w:rsidRDefault="00000000" w:rsidP="00615792">
          <w:pPr>
            <w:pBdr>
              <w:top w:val="nil"/>
              <w:left w:val="nil"/>
              <w:bottom w:val="nil"/>
              <w:right w:val="nil"/>
              <w:between w:val="nil"/>
            </w:pBdr>
            <w:tabs>
              <w:tab w:val="right" w:leader="dot" w:pos="9350"/>
            </w:tabs>
            <w:spacing w:after="100" w:line="240" w:lineRule="auto"/>
            <w:ind w:left="240" w:firstLine="480"/>
            <w:rPr>
              <w:color w:val="000000"/>
            </w:rPr>
          </w:pPr>
          <w:hyperlink w:anchor="_4d34og8">
            <w:r w:rsidR="008510F4">
              <w:rPr>
                <w:color w:val="000000"/>
              </w:rPr>
              <w:t>Maturity Stage</w:t>
            </w:r>
            <w:r w:rsidR="008510F4">
              <w:rPr>
                <w:color w:val="000000"/>
              </w:rPr>
              <w:tab/>
              <w:t>7</w:t>
            </w:r>
          </w:hyperlink>
        </w:p>
        <w:p w14:paraId="09333A40"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2s8eyo1">
            <w:r w:rsidR="008510F4">
              <w:rPr>
                <w:color w:val="000000"/>
              </w:rPr>
              <w:t>Post-Maturity Stage</w:t>
            </w:r>
            <w:r w:rsidR="008510F4">
              <w:rPr>
                <w:color w:val="000000"/>
              </w:rPr>
              <w:tab/>
              <w:t>8</w:t>
            </w:r>
          </w:hyperlink>
        </w:p>
        <w:p w14:paraId="10FD8C1E" w14:textId="77777777" w:rsidR="00014632" w:rsidRDefault="00000000">
          <w:pPr>
            <w:pBdr>
              <w:top w:val="nil"/>
              <w:left w:val="nil"/>
              <w:bottom w:val="nil"/>
              <w:right w:val="nil"/>
              <w:between w:val="nil"/>
            </w:pBdr>
            <w:tabs>
              <w:tab w:val="right" w:leader="dot" w:pos="9350"/>
            </w:tabs>
            <w:spacing w:after="100" w:line="240" w:lineRule="auto"/>
            <w:rPr>
              <w:color w:val="000000"/>
            </w:rPr>
          </w:pPr>
          <w:hyperlink w:anchor="_17dp8vu">
            <w:r w:rsidR="008510F4">
              <w:rPr>
                <w:color w:val="000000"/>
              </w:rPr>
              <w:t>Provide Organization Examples for Each Stage</w:t>
            </w:r>
            <w:r w:rsidR="008510F4">
              <w:rPr>
                <w:color w:val="000000"/>
              </w:rPr>
              <w:tab/>
              <w:t>10</w:t>
            </w:r>
          </w:hyperlink>
        </w:p>
        <w:p w14:paraId="69F51B7C"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3rdcrjn">
            <w:r w:rsidR="008510F4">
              <w:rPr>
                <w:color w:val="000000"/>
              </w:rPr>
              <w:t>Overview of Tesco PLC</w:t>
            </w:r>
            <w:r w:rsidR="008510F4">
              <w:rPr>
                <w:color w:val="000000"/>
              </w:rPr>
              <w:tab/>
              <w:t>10</w:t>
            </w:r>
          </w:hyperlink>
        </w:p>
        <w:p w14:paraId="7B2C53E9"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26in1rg">
            <w:r w:rsidR="008510F4">
              <w:rPr>
                <w:color w:val="000000"/>
              </w:rPr>
              <w:t>Growth Stage: Expansion and Diversification (1970s-1990s)</w:t>
            </w:r>
            <w:r w:rsidR="008510F4">
              <w:rPr>
                <w:color w:val="000000"/>
              </w:rPr>
              <w:tab/>
              <w:t>12</w:t>
            </w:r>
          </w:hyperlink>
        </w:p>
        <w:p w14:paraId="6E9C191D"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lnxbz9">
            <w:r w:rsidR="008510F4">
              <w:rPr>
                <w:color w:val="000000"/>
              </w:rPr>
              <w:t>Maturity Stage: Market Leadership (2000s-2010s)</w:t>
            </w:r>
            <w:r w:rsidR="008510F4">
              <w:rPr>
                <w:color w:val="000000"/>
              </w:rPr>
              <w:tab/>
              <w:t>13</w:t>
            </w:r>
          </w:hyperlink>
        </w:p>
        <w:p w14:paraId="757C56F5"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35nkun2">
            <w:r w:rsidR="008510F4">
              <w:rPr>
                <w:color w:val="000000"/>
              </w:rPr>
              <w:t>Post-Maturity Stage: Challenges and Transformation (2010s-Present)</w:t>
            </w:r>
            <w:r w:rsidR="008510F4">
              <w:rPr>
                <w:color w:val="000000"/>
              </w:rPr>
              <w:tab/>
              <w:t>14</w:t>
            </w:r>
          </w:hyperlink>
        </w:p>
        <w:p w14:paraId="0EF36075" w14:textId="77445E25" w:rsidR="00014632" w:rsidRPr="00615792" w:rsidRDefault="00000000" w:rsidP="00615792">
          <w:pPr>
            <w:pBdr>
              <w:top w:val="nil"/>
              <w:left w:val="nil"/>
              <w:bottom w:val="nil"/>
              <w:right w:val="nil"/>
              <w:between w:val="nil"/>
            </w:pBdr>
            <w:tabs>
              <w:tab w:val="right" w:leader="dot" w:pos="9350"/>
            </w:tabs>
            <w:spacing w:after="100" w:line="240" w:lineRule="auto"/>
            <w:ind w:left="240" w:firstLine="480"/>
            <w:rPr>
              <w:color w:val="000000"/>
            </w:rPr>
          </w:pPr>
          <w:hyperlink w:anchor="_1ksv4uv">
            <w:r w:rsidR="008510F4">
              <w:rPr>
                <w:color w:val="000000"/>
              </w:rPr>
              <w:t>Critical Analysis</w:t>
            </w:r>
            <w:r w:rsidR="008510F4">
              <w:rPr>
                <w:color w:val="000000"/>
              </w:rPr>
              <w:tab/>
              <w:t>15</w:t>
            </w:r>
          </w:hyperlink>
        </w:p>
        <w:p w14:paraId="29C8146A" w14:textId="77777777" w:rsidR="00014632" w:rsidRDefault="00000000">
          <w:pPr>
            <w:pBdr>
              <w:top w:val="nil"/>
              <w:left w:val="nil"/>
              <w:bottom w:val="nil"/>
              <w:right w:val="nil"/>
              <w:between w:val="nil"/>
            </w:pBdr>
            <w:tabs>
              <w:tab w:val="right" w:leader="dot" w:pos="9350"/>
            </w:tabs>
            <w:spacing w:after="100" w:line="240" w:lineRule="auto"/>
            <w:rPr>
              <w:color w:val="000000"/>
            </w:rPr>
          </w:pPr>
          <w:hyperlink w:anchor="_44sinio">
            <w:r w:rsidR="008510F4">
              <w:rPr>
                <w:color w:val="000000"/>
              </w:rPr>
              <w:t>Discuss Performance Management Activities for Post-Maturity Stage</w:t>
            </w:r>
            <w:r w:rsidR="008510F4">
              <w:rPr>
                <w:color w:val="000000"/>
              </w:rPr>
              <w:tab/>
              <w:t>17</w:t>
            </w:r>
          </w:hyperlink>
        </w:p>
        <w:p w14:paraId="7BC3EAEA" w14:textId="77777777" w:rsidR="00014632" w:rsidRDefault="00000000">
          <w:pPr>
            <w:pBdr>
              <w:top w:val="nil"/>
              <w:left w:val="nil"/>
              <w:bottom w:val="nil"/>
              <w:right w:val="nil"/>
              <w:between w:val="nil"/>
            </w:pBdr>
            <w:tabs>
              <w:tab w:val="right" w:leader="dot" w:pos="9350"/>
            </w:tabs>
            <w:spacing w:after="100" w:line="240" w:lineRule="auto"/>
            <w:ind w:left="240" w:firstLine="480"/>
            <w:rPr>
              <w:color w:val="000000"/>
            </w:rPr>
          </w:pPr>
          <w:hyperlink w:anchor="_2jxsxqh">
            <w:r w:rsidR="008510F4">
              <w:rPr>
                <w:color w:val="000000"/>
              </w:rPr>
              <w:t>Tesco's Performance Management in the Post-Maturity Stage</w:t>
            </w:r>
            <w:r w:rsidR="008510F4">
              <w:rPr>
                <w:color w:val="000000"/>
              </w:rPr>
              <w:tab/>
              <w:t>17</w:t>
            </w:r>
          </w:hyperlink>
        </w:p>
        <w:p w14:paraId="26180CFE" w14:textId="77777777" w:rsidR="00014632" w:rsidRDefault="00000000">
          <w:pPr>
            <w:pBdr>
              <w:top w:val="nil"/>
              <w:left w:val="nil"/>
              <w:bottom w:val="nil"/>
              <w:right w:val="nil"/>
              <w:between w:val="nil"/>
            </w:pBdr>
            <w:tabs>
              <w:tab w:val="right" w:leader="dot" w:pos="9350"/>
            </w:tabs>
            <w:spacing w:after="100" w:line="240" w:lineRule="auto"/>
            <w:ind w:left="480" w:firstLine="240"/>
            <w:rPr>
              <w:color w:val="000000"/>
            </w:rPr>
          </w:pPr>
          <w:hyperlink w:anchor="_z337ya">
            <w:r w:rsidR="008510F4">
              <w:rPr>
                <w:color w:val="000000"/>
              </w:rPr>
              <w:t>Steady State Performance Management:</w:t>
            </w:r>
            <w:r w:rsidR="008510F4">
              <w:rPr>
                <w:color w:val="000000"/>
              </w:rPr>
              <w:tab/>
              <w:t>17</w:t>
            </w:r>
          </w:hyperlink>
        </w:p>
        <w:p w14:paraId="03B73B07" w14:textId="77777777" w:rsidR="00014632" w:rsidRDefault="00000000">
          <w:pPr>
            <w:pBdr>
              <w:top w:val="nil"/>
              <w:left w:val="nil"/>
              <w:bottom w:val="nil"/>
              <w:right w:val="nil"/>
              <w:between w:val="nil"/>
            </w:pBdr>
            <w:tabs>
              <w:tab w:val="right" w:leader="dot" w:pos="9350"/>
            </w:tabs>
            <w:spacing w:after="100" w:line="240" w:lineRule="auto"/>
            <w:ind w:left="480" w:firstLine="240"/>
            <w:rPr>
              <w:color w:val="000000"/>
            </w:rPr>
          </w:pPr>
          <w:hyperlink w:anchor="_3j2qqm3">
            <w:r w:rsidR="008510F4">
              <w:rPr>
                <w:color w:val="000000"/>
              </w:rPr>
              <w:t>Performance Management in Decline</w:t>
            </w:r>
            <w:r w:rsidR="008510F4">
              <w:rPr>
                <w:color w:val="000000"/>
              </w:rPr>
              <w:tab/>
              <w:t>18</w:t>
            </w:r>
          </w:hyperlink>
        </w:p>
        <w:p w14:paraId="2F6BCAD4" w14:textId="12B03B88" w:rsidR="00014632" w:rsidRPr="00615792" w:rsidRDefault="00000000" w:rsidP="00615792">
          <w:pPr>
            <w:pBdr>
              <w:top w:val="nil"/>
              <w:left w:val="nil"/>
              <w:bottom w:val="nil"/>
              <w:right w:val="nil"/>
              <w:between w:val="nil"/>
            </w:pBdr>
            <w:tabs>
              <w:tab w:val="right" w:leader="dot" w:pos="9350"/>
            </w:tabs>
            <w:spacing w:after="100" w:line="240" w:lineRule="auto"/>
            <w:ind w:left="480" w:firstLine="240"/>
            <w:rPr>
              <w:color w:val="000000"/>
            </w:rPr>
          </w:pPr>
          <w:hyperlink w:anchor="_1y810tw">
            <w:r w:rsidR="008510F4">
              <w:rPr>
                <w:color w:val="000000"/>
              </w:rPr>
              <w:t>Performance Management in Renewal</w:t>
            </w:r>
            <w:r w:rsidR="008510F4">
              <w:rPr>
                <w:color w:val="000000"/>
              </w:rPr>
              <w:tab/>
              <w:t>18</w:t>
            </w:r>
          </w:hyperlink>
        </w:p>
        <w:p w14:paraId="5550E428" w14:textId="77777777" w:rsidR="00014632" w:rsidRDefault="00000000">
          <w:pPr>
            <w:pBdr>
              <w:top w:val="nil"/>
              <w:left w:val="nil"/>
              <w:bottom w:val="nil"/>
              <w:right w:val="nil"/>
              <w:between w:val="nil"/>
            </w:pBdr>
            <w:tabs>
              <w:tab w:val="right" w:leader="dot" w:pos="9350"/>
            </w:tabs>
            <w:spacing w:after="100" w:line="240" w:lineRule="auto"/>
            <w:rPr>
              <w:color w:val="000000"/>
            </w:rPr>
          </w:pPr>
          <w:hyperlink w:anchor="_4i7ojhp">
            <w:r w:rsidR="008510F4">
              <w:rPr>
                <w:color w:val="000000"/>
              </w:rPr>
              <w:t>Reflection on Learning and Improvement in Practice</w:t>
            </w:r>
            <w:r w:rsidR="008510F4">
              <w:rPr>
                <w:color w:val="000000"/>
              </w:rPr>
              <w:tab/>
              <w:t>19</w:t>
            </w:r>
          </w:hyperlink>
        </w:p>
        <w:p w14:paraId="1B4DB4C4" w14:textId="77777777" w:rsidR="00014632" w:rsidRDefault="00000000">
          <w:pPr>
            <w:pBdr>
              <w:top w:val="nil"/>
              <w:left w:val="nil"/>
              <w:bottom w:val="nil"/>
              <w:right w:val="nil"/>
              <w:between w:val="nil"/>
            </w:pBdr>
            <w:tabs>
              <w:tab w:val="right" w:leader="dot" w:pos="9350"/>
            </w:tabs>
            <w:spacing w:after="100" w:line="240" w:lineRule="auto"/>
            <w:rPr>
              <w:color w:val="000000"/>
            </w:rPr>
          </w:pPr>
          <w:hyperlink w:anchor="_2xcytpi">
            <w:r w:rsidR="008510F4">
              <w:rPr>
                <w:color w:val="000000"/>
              </w:rPr>
              <w:t>Conclusion and Recommendation</w:t>
            </w:r>
            <w:r w:rsidR="008510F4">
              <w:rPr>
                <w:color w:val="000000"/>
              </w:rPr>
              <w:tab/>
              <w:t>21</w:t>
            </w:r>
          </w:hyperlink>
        </w:p>
        <w:p w14:paraId="0F1C7BB4" w14:textId="77777777" w:rsidR="00014632" w:rsidRDefault="00000000">
          <w:pPr>
            <w:pBdr>
              <w:top w:val="nil"/>
              <w:left w:val="nil"/>
              <w:bottom w:val="nil"/>
              <w:right w:val="nil"/>
              <w:between w:val="nil"/>
            </w:pBdr>
            <w:tabs>
              <w:tab w:val="right" w:leader="dot" w:pos="9350"/>
            </w:tabs>
            <w:spacing w:after="100" w:line="240" w:lineRule="auto"/>
            <w:rPr>
              <w:color w:val="000000"/>
            </w:rPr>
          </w:pPr>
          <w:hyperlink w:anchor="_1ci93xb">
            <w:r w:rsidR="008510F4">
              <w:rPr>
                <w:color w:val="000000"/>
              </w:rPr>
              <w:t>References</w:t>
            </w:r>
            <w:r w:rsidR="008510F4">
              <w:rPr>
                <w:color w:val="000000"/>
              </w:rPr>
              <w:tab/>
              <w:t>23</w:t>
            </w:r>
          </w:hyperlink>
          <w:r w:rsidR="008510F4">
            <w:fldChar w:fldCharType="end"/>
          </w:r>
        </w:p>
      </w:sdtContent>
    </w:sdt>
    <w:p w14:paraId="52C25A38" w14:textId="77777777" w:rsidR="00014632" w:rsidRDefault="00014632">
      <w:pPr>
        <w:spacing w:line="240" w:lineRule="auto"/>
      </w:pPr>
    </w:p>
    <w:p w14:paraId="050BE82B" w14:textId="77777777" w:rsidR="00014632" w:rsidRDefault="008510F4">
      <w:pPr>
        <w:rPr>
          <w:b/>
          <w:color w:val="000000"/>
        </w:rPr>
      </w:pPr>
      <w:bookmarkStart w:id="0" w:name="_gjdgxs" w:colFirst="0" w:colLast="0"/>
      <w:bookmarkEnd w:id="0"/>
      <w:r>
        <w:br w:type="page"/>
      </w:r>
    </w:p>
    <w:p w14:paraId="34D67A96" w14:textId="77777777" w:rsidR="00014632" w:rsidRDefault="008510F4">
      <w:pPr>
        <w:pStyle w:val="Heading1"/>
        <w:jc w:val="left"/>
        <w:rPr>
          <w:color w:val="000000"/>
        </w:rPr>
      </w:pPr>
      <w:r>
        <w:rPr>
          <w:color w:val="000000"/>
        </w:rPr>
        <w:lastRenderedPageBreak/>
        <w:t xml:space="preserve">Introduction </w:t>
      </w:r>
    </w:p>
    <w:p w14:paraId="2329927A" w14:textId="77777777" w:rsidR="00014632" w:rsidRDefault="008510F4">
      <w:pPr>
        <w:ind w:firstLine="0"/>
      </w:pPr>
      <w:r>
        <w:t>In the ever-evolving landscape of organizational management, understanding how to adapt and optimize strategies is crucial. One such strategic framework, the contingency approach model in performance management, offers a unique perspective, challenging conventional paradigms. Rather than advocating for a one-size-fits-all methodology, it posits that organizational effectiveness is not merely the result of applying a universal set of principles. Instead, success is achieved when there's a harmonious alignment between an organization's internal processes and the nuances of the external environment.</w:t>
      </w:r>
    </w:p>
    <w:p w14:paraId="0CE51ED3" w14:textId="77777777" w:rsidR="00014632" w:rsidRDefault="008510F4">
      <w:pPr>
        <w:ind w:firstLine="0"/>
      </w:pPr>
      <w:r>
        <w:t>This alignment-centric perspective necessitates that performance management strategies be fluid, adapting and morphing based on the organization's particular stage in the business life cycle. Such adaptability ensures that strategies remain in sync with evolving organizational goals, the challenges of the times, and emerging opportunities, as highlighted by recent research (Oh et al., 2020).</w:t>
      </w:r>
    </w:p>
    <w:p w14:paraId="4CDC4996" w14:textId="77777777" w:rsidR="00014632" w:rsidRDefault="008510F4">
      <w:pPr>
        <w:ind w:firstLine="0"/>
      </w:pPr>
      <w:r>
        <w:t>The objective of this assignment is multi-fold. First, it seeks to provide a comprehensive exploration of the contingency approach model, especially its practical implementation across the diverse stages of the business life cycle. This exploration is not limited to theoretical discussions. Drawing from real-world examples, especially from the dynamic UK market, the assignment offers illustrative case studies that showcase the model in action. Furthermore, special attention is given to performance management activities tailored for organizations in the post-maturity stage, a critical yet often overlooked phase in an entity's evolution.</w:t>
      </w:r>
    </w:p>
    <w:p w14:paraId="39FFDD87" w14:textId="77777777" w:rsidR="00014632" w:rsidRDefault="008510F4">
      <w:pPr>
        <w:ind w:firstLine="0"/>
      </w:pPr>
      <w:r>
        <w:t xml:space="preserve">Beyond the application of the model, this assignment also emphasizes the critical role of literature in shaping and informing our understanding. The contingency approach model, in its essence, underscores the imperative to align organizational objectives across different hierarchies </w:t>
      </w:r>
      <w:r>
        <w:lastRenderedPageBreak/>
        <w:t>from individual contributors to cohesive teams, and the organization at large. Achieving this alignment, as emphasized in scholarly works (Prabhu et al., 2021), is pivotal for the seamless progression of the business life cycle. It not only ensures the effective implementation of the contingency approach but also creates a conducive environment where both individual and team performances thrive.</w:t>
      </w:r>
    </w:p>
    <w:p w14:paraId="27E25C4F" w14:textId="77777777" w:rsidR="00014632" w:rsidRDefault="008510F4">
      <w:pPr>
        <w:ind w:firstLine="0"/>
      </w:pPr>
      <w:r>
        <w:t>In the subsequent sections, readers will be taken on a journey that delves deep into the intricacies of the contingency approach model, enriched with critical discussions, practical insights, and reflective learnings accrued throughout this academic journey.</w:t>
      </w:r>
    </w:p>
    <w:p w14:paraId="31FC1B7E" w14:textId="77777777" w:rsidR="00014632" w:rsidRDefault="008510F4">
      <w:pPr>
        <w:pStyle w:val="Heading1"/>
        <w:jc w:val="left"/>
      </w:pPr>
      <w:bookmarkStart w:id="1" w:name="_tyjcwt" w:colFirst="0" w:colLast="0"/>
      <w:bookmarkEnd w:id="1"/>
      <w:r>
        <w:t>Critically Discuss the Implementation of the Contingency Approach Model</w:t>
      </w:r>
    </w:p>
    <w:p w14:paraId="2FB76D9E" w14:textId="77777777" w:rsidR="00014632" w:rsidRDefault="008510F4">
      <w:pPr>
        <w:ind w:firstLine="0"/>
        <w:rPr>
          <w:b/>
        </w:rPr>
      </w:pPr>
      <w:r>
        <w:rPr>
          <w:b/>
        </w:rPr>
        <w:t>Part 1: Explanation of the Contingency Approach Model</w:t>
      </w:r>
    </w:p>
    <w:p w14:paraId="2AF50CC2" w14:textId="77777777" w:rsidR="00014632" w:rsidRDefault="008510F4">
      <w:pPr>
        <w:ind w:firstLine="0"/>
        <w:rPr>
          <w:color w:val="000000"/>
        </w:rPr>
      </w:pPr>
      <w:r>
        <w:rPr>
          <w:color w:val="000000"/>
        </w:rPr>
        <w:t>The contingency approach model emphasizes the need to align organizational objectives at different levels. It is imperative to critically evaluate the links between individual, team, and organizational objectives to ensure the harmonious progression of the business life cycle. This alignment facilitates the effective implementation of the contingency approach model, fostering a conducive environment for individual and team performance improvement (Hoehn et al., 2020).</w:t>
      </w:r>
    </w:p>
    <w:p w14:paraId="15F73776" w14:textId="77777777" w:rsidR="00014632" w:rsidRDefault="008510F4">
      <w:pPr>
        <w:spacing w:after="160"/>
        <w:ind w:firstLine="0"/>
        <w:rPr>
          <w:color w:val="000000"/>
        </w:rPr>
      </w:pPr>
      <w:r>
        <w:rPr>
          <w:color w:val="000000"/>
        </w:rPr>
        <w:t>The contingency approach model in management underscores the significance of adapting organizational practices to specific circumstances. It stresses that management strategies should be contingent on an organization's unique context, including its internal dynamics and external environment. As a result, implementing this model effectively requires a thoughtful integration of performance cycles tailored to each stage of the business life cycle. In this comprehensive discussion, we will explore how to apply the contingency approach model while incorporating performance cycles at each stage: startup, growth, maturity, and post-maturity.</w:t>
      </w:r>
    </w:p>
    <w:p w14:paraId="48175A32" w14:textId="77777777" w:rsidR="00014632" w:rsidRDefault="008510F4">
      <w:pPr>
        <w:keepNext/>
        <w:spacing w:after="160"/>
        <w:jc w:val="center"/>
      </w:pPr>
      <w:r>
        <w:rPr>
          <w:noProof/>
          <w:color w:val="000000"/>
        </w:rPr>
        <w:lastRenderedPageBreak/>
        <w:drawing>
          <wp:inline distT="0" distB="0" distL="0" distR="0" wp14:anchorId="24C38153" wp14:editId="7B4520B2">
            <wp:extent cx="4208964" cy="28008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208964" cy="2800874"/>
                    </a:xfrm>
                    <a:prstGeom prst="rect">
                      <a:avLst/>
                    </a:prstGeom>
                    <a:ln/>
                  </pic:spPr>
                </pic:pic>
              </a:graphicData>
            </a:graphic>
          </wp:inline>
        </w:drawing>
      </w:r>
    </w:p>
    <w:p w14:paraId="42EC1013" w14:textId="77777777" w:rsidR="00014632" w:rsidRDefault="008510F4">
      <w:pPr>
        <w:pBdr>
          <w:top w:val="nil"/>
          <w:left w:val="nil"/>
          <w:bottom w:val="nil"/>
          <w:right w:val="nil"/>
          <w:between w:val="nil"/>
        </w:pBdr>
        <w:spacing w:after="200" w:line="240" w:lineRule="auto"/>
        <w:ind w:firstLine="0"/>
        <w:jc w:val="center"/>
        <w:rPr>
          <w:i/>
          <w:color w:val="000000"/>
          <w:sz w:val="22"/>
          <w:szCs w:val="22"/>
        </w:rPr>
      </w:pPr>
      <w:r>
        <w:rPr>
          <w:i/>
          <w:color w:val="000000"/>
          <w:sz w:val="22"/>
          <w:szCs w:val="22"/>
        </w:rPr>
        <w:t>Figure 1 Performance Management Cycle</w:t>
      </w:r>
    </w:p>
    <w:p w14:paraId="75316F8F" w14:textId="77777777" w:rsidR="00014632" w:rsidRDefault="008510F4">
      <w:pPr>
        <w:pStyle w:val="Heading2"/>
      </w:pPr>
      <w:bookmarkStart w:id="2" w:name="_3dy6vkm" w:colFirst="0" w:colLast="0"/>
      <w:bookmarkEnd w:id="2"/>
      <w:r>
        <w:t>Startup Stage</w:t>
      </w:r>
    </w:p>
    <w:p w14:paraId="0491A5CF" w14:textId="77777777" w:rsidR="00014632" w:rsidRDefault="008510F4">
      <w:pPr>
        <w:spacing w:after="160"/>
        <w:ind w:firstLine="0"/>
        <w:rPr>
          <w:color w:val="000000"/>
        </w:rPr>
      </w:pPr>
      <w:r>
        <w:rPr>
          <w:color w:val="000000"/>
        </w:rPr>
        <w:t>Planning and Actioning</w:t>
      </w:r>
    </w:p>
    <w:p w14:paraId="62929631" w14:textId="77777777" w:rsidR="00014632" w:rsidRDefault="008510F4">
      <w:pPr>
        <w:spacing w:after="160"/>
        <w:ind w:firstLine="0"/>
        <w:rPr>
          <w:color w:val="000000"/>
        </w:rPr>
      </w:pPr>
      <w:r>
        <w:rPr>
          <w:color w:val="000000"/>
        </w:rPr>
        <w:t>In the startup stage, organizations are characterized by their entrepreneurial spirit and a high degree of uncertainty. Planning in this phase should be flexible and adaptive, reflecting the need to navigate rapidly changing market conditions. As highlighted in recent literature (Ibarra et al., 2020), a long-term managerial orientation is crucial for the development of Business Model Innovation (BMI) capabilities. This orientation involves sensing customer needs, experimenting, and collaborating to support BMI. This aligns with the Contingency Approach Model's principle of adapting management strategies to the organization's specific context.</w:t>
      </w:r>
    </w:p>
    <w:p w14:paraId="2C98C525" w14:textId="77777777" w:rsidR="00014632" w:rsidRDefault="008510F4">
      <w:pPr>
        <w:spacing w:after="160"/>
        <w:ind w:firstLine="0"/>
        <w:rPr>
          <w:color w:val="000000"/>
        </w:rPr>
      </w:pPr>
      <w:r>
        <w:rPr>
          <w:color w:val="000000"/>
        </w:rPr>
        <w:t>Actioning in the startup stage should prioritize innovation, market exploration, and rapid decision-making. Agile methodologies and cross-functional teams can be effective, as they allow the organization to respond swiftly to emerging opportunities or challenges (Ibarra et al., 2020).</w:t>
      </w:r>
    </w:p>
    <w:p w14:paraId="7BCFF321" w14:textId="77777777" w:rsidR="00014632" w:rsidRDefault="008510F4">
      <w:pPr>
        <w:spacing w:after="160"/>
        <w:ind w:firstLine="0"/>
        <w:rPr>
          <w:color w:val="000000"/>
        </w:rPr>
      </w:pPr>
      <w:r>
        <w:rPr>
          <w:color w:val="000000"/>
        </w:rPr>
        <w:lastRenderedPageBreak/>
        <w:t>In the startup stage, where uncertainty prevails, the performance cycle must be agile and adaptable to rapidly changing market conditions. The Contingency Approach Model suggests the following performance cycle:</w:t>
      </w:r>
    </w:p>
    <w:p w14:paraId="73AF3F42" w14:textId="77777777" w:rsidR="00014632" w:rsidRDefault="008510F4">
      <w:pPr>
        <w:numPr>
          <w:ilvl w:val="0"/>
          <w:numId w:val="1"/>
        </w:numPr>
        <w:spacing w:after="160"/>
        <w:rPr>
          <w:color w:val="000000"/>
        </w:rPr>
      </w:pPr>
      <w:r>
        <w:rPr>
          <w:b/>
          <w:color w:val="000000"/>
        </w:rPr>
        <w:t>Set Objectives</w:t>
      </w:r>
      <w:r>
        <w:rPr>
          <w:color w:val="000000"/>
        </w:rPr>
        <w:t>: Define clear and flexible performance objectives aligned with organizational goals and adaptable to market dynamics.</w:t>
      </w:r>
    </w:p>
    <w:p w14:paraId="251AB400" w14:textId="77777777" w:rsidR="00014632" w:rsidRDefault="008510F4">
      <w:pPr>
        <w:numPr>
          <w:ilvl w:val="0"/>
          <w:numId w:val="1"/>
        </w:numPr>
        <w:spacing w:after="160"/>
        <w:rPr>
          <w:color w:val="000000"/>
        </w:rPr>
      </w:pPr>
      <w:r>
        <w:rPr>
          <w:b/>
          <w:color w:val="000000"/>
        </w:rPr>
        <w:t>Measure</w:t>
      </w:r>
      <w:r>
        <w:rPr>
          <w:color w:val="000000"/>
        </w:rPr>
        <w:t>: Continuously collect data on market trends, customer feedback, and innovation effectiveness.</w:t>
      </w:r>
    </w:p>
    <w:p w14:paraId="0C782292" w14:textId="77777777" w:rsidR="00014632" w:rsidRDefault="008510F4">
      <w:pPr>
        <w:numPr>
          <w:ilvl w:val="0"/>
          <w:numId w:val="1"/>
        </w:numPr>
        <w:spacing w:after="160"/>
        <w:rPr>
          <w:color w:val="000000"/>
        </w:rPr>
      </w:pPr>
      <w:r>
        <w:rPr>
          <w:b/>
          <w:color w:val="000000"/>
        </w:rPr>
        <w:t>Analyze</w:t>
      </w:r>
      <w:r>
        <w:rPr>
          <w:color w:val="000000"/>
        </w:rPr>
        <w:t>: Assess data to identify emerging opportunities, threats, and areas for innovation improvement.</w:t>
      </w:r>
    </w:p>
    <w:p w14:paraId="77D2E1D9" w14:textId="77777777" w:rsidR="00014632" w:rsidRDefault="008510F4">
      <w:pPr>
        <w:numPr>
          <w:ilvl w:val="0"/>
          <w:numId w:val="1"/>
        </w:numPr>
        <w:spacing w:after="160"/>
        <w:rPr>
          <w:color w:val="000000"/>
        </w:rPr>
      </w:pPr>
      <w:r>
        <w:rPr>
          <w:b/>
          <w:color w:val="000000"/>
        </w:rPr>
        <w:t>Adjust Strategies</w:t>
      </w:r>
      <w:r>
        <w:rPr>
          <w:color w:val="000000"/>
        </w:rPr>
        <w:t>: Make swift adjustments to strategies, such as product development or marketing, to respond to changing circumstances.</w:t>
      </w:r>
    </w:p>
    <w:p w14:paraId="702F457A" w14:textId="77777777" w:rsidR="00014632" w:rsidRDefault="008510F4">
      <w:pPr>
        <w:numPr>
          <w:ilvl w:val="0"/>
          <w:numId w:val="1"/>
        </w:numPr>
        <w:spacing w:after="160"/>
        <w:rPr>
          <w:color w:val="000000"/>
        </w:rPr>
      </w:pPr>
      <w:r>
        <w:rPr>
          <w:b/>
          <w:color w:val="000000"/>
        </w:rPr>
        <w:t>Execute</w:t>
      </w:r>
      <w:r>
        <w:rPr>
          <w:color w:val="000000"/>
        </w:rPr>
        <w:t>: Implement revised strategies and closely monitor their impact.</w:t>
      </w:r>
    </w:p>
    <w:p w14:paraId="60895F11" w14:textId="77777777" w:rsidR="00014632" w:rsidRDefault="008510F4">
      <w:pPr>
        <w:spacing w:after="160"/>
        <w:ind w:firstLine="0"/>
        <w:rPr>
          <w:color w:val="000000"/>
        </w:rPr>
      </w:pPr>
      <w:r>
        <w:rPr>
          <w:color w:val="000000"/>
        </w:rPr>
        <w:t>The role of Human resource management is quite critical in start-up stage. It is helpful in the activities such as hiring and training. Similarly, the human resource management plays a vital role to create an ideal working environment.</w:t>
      </w:r>
    </w:p>
    <w:p w14:paraId="1110F1DC" w14:textId="77777777" w:rsidR="00014632" w:rsidRDefault="008510F4">
      <w:pPr>
        <w:pStyle w:val="Heading2"/>
      </w:pPr>
      <w:bookmarkStart w:id="3" w:name="_1t3h5sf" w:colFirst="0" w:colLast="0"/>
      <w:bookmarkEnd w:id="3"/>
      <w:r>
        <w:t>Growth Stage</w:t>
      </w:r>
    </w:p>
    <w:p w14:paraId="521B40DD" w14:textId="77777777" w:rsidR="00014632" w:rsidRDefault="008510F4">
      <w:pPr>
        <w:spacing w:after="160"/>
        <w:ind w:firstLine="0"/>
        <w:rPr>
          <w:color w:val="000000"/>
        </w:rPr>
      </w:pPr>
      <w:r>
        <w:rPr>
          <w:color w:val="000000"/>
        </w:rPr>
        <w:t>Planning and Actioning</w:t>
      </w:r>
    </w:p>
    <w:p w14:paraId="7A94441C" w14:textId="77777777" w:rsidR="00014632" w:rsidRDefault="008510F4">
      <w:pPr>
        <w:spacing w:after="160"/>
        <w:ind w:firstLine="0"/>
        <w:rPr>
          <w:color w:val="000000"/>
        </w:rPr>
      </w:pPr>
      <w:r>
        <w:rPr>
          <w:color w:val="000000"/>
        </w:rPr>
        <w:t xml:space="preserve">During the growth stage, organizations aim to expand their market presence and customer base. Planning should focus on scaling operations, entering new markets, and building strong customer relationships. Recent research (Mole et al., 2017) highlights that the demand for external support in SMEs is often driven by growth objectives. This emphasizes the Contingency Approach </w:t>
      </w:r>
      <w:r>
        <w:rPr>
          <w:color w:val="000000"/>
        </w:rPr>
        <w:lastRenderedPageBreak/>
        <w:t>Model's principle that different organizations, based on their growth objectives, will have different needs.</w:t>
      </w:r>
    </w:p>
    <w:p w14:paraId="2505E09B" w14:textId="77777777" w:rsidR="00014632" w:rsidRDefault="008510F4">
      <w:pPr>
        <w:spacing w:after="160"/>
        <w:ind w:firstLine="0"/>
        <w:rPr>
          <w:color w:val="000000"/>
        </w:rPr>
      </w:pPr>
      <w:r>
        <w:rPr>
          <w:color w:val="000000"/>
        </w:rPr>
        <w:t>Actioning in the growth stage involves resource allocation, talent acquisition, and market penetration strategies. Performance metrics should reflect growth milestones, such as revenue targets and market share.</w:t>
      </w:r>
    </w:p>
    <w:p w14:paraId="6D866CA7" w14:textId="77777777" w:rsidR="00014632" w:rsidRDefault="008510F4">
      <w:pPr>
        <w:spacing w:after="160"/>
        <w:ind w:firstLine="0"/>
        <w:rPr>
          <w:color w:val="000000"/>
        </w:rPr>
      </w:pPr>
      <w:r>
        <w:rPr>
          <w:color w:val="000000"/>
        </w:rPr>
        <w:t>In the growth stage, organizations aim to expand their market presence, and the performance cycle should support scaling efforts. The performance cycle can be visualized as follows:</w:t>
      </w:r>
    </w:p>
    <w:p w14:paraId="59033468" w14:textId="77777777" w:rsidR="00014632" w:rsidRDefault="008510F4">
      <w:pPr>
        <w:numPr>
          <w:ilvl w:val="0"/>
          <w:numId w:val="2"/>
        </w:numPr>
        <w:spacing w:after="160"/>
        <w:rPr>
          <w:color w:val="000000"/>
        </w:rPr>
      </w:pPr>
      <w:r>
        <w:rPr>
          <w:b/>
          <w:color w:val="000000"/>
        </w:rPr>
        <w:t>Set Growth Objectives</w:t>
      </w:r>
      <w:r>
        <w:rPr>
          <w:color w:val="000000"/>
        </w:rPr>
        <w:t>: Define specific growth targets consistent with organizational strategic goals.</w:t>
      </w:r>
    </w:p>
    <w:p w14:paraId="6AFE6FCA" w14:textId="77777777" w:rsidR="00014632" w:rsidRDefault="008510F4">
      <w:pPr>
        <w:numPr>
          <w:ilvl w:val="0"/>
          <w:numId w:val="2"/>
        </w:numPr>
        <w:spacing w:after="160"/>
        <w:rPr>
          <w:color w:val="000000"/>
        </w:rPr>
      </w:pPr>
      <w:r>
        <w:rPr>
          <w:b/>
          <w:color w:val="000000"/>
        </w:rPr>
        <w:t>Measure</w:t>
      </w:r>
      <w:r>
        <w:rPr>
          <w:color w:val="000000"/>
        </w:rPr>
        <w:t>: Continuously track key performance indicators (KPIs) related to growth.</w:t>
      </w:r>
    </w:p>
    <w:p w14:paraId="3E139BCF" w14:textId="77777777" w:rsidR="00014632" w:rsidRDefault="008510F4">
      <w:pPr>
        <w:numPr>
          <w:ilvl w:val="0"/>
          <w:numId w:val="2"/>
        </w:numPr>
        <w:spacing w:after="160"/>
        <w:rPr>
          <w:color w:val="000000"/>
        </w:rPr>
      </w:pPr>
      <w:r>
        <w:rPr>
          <w:b/>
          <w:color w:val="000000"/>
        </w:rPr>
        <w:t>Analyze</w:t>
      </w:r>
      <w:r>
        <w:rPr>
          <w:color w:val="000000"/>
        </w:rPr>
        <w:t>: Analyze data to identify bottlenecks, growth barriers, and resource requirements.</w:t>
      </w:r>
    </w:p>
    <w:p w14:paraId="114D1EC2" w14:textId="77777777" w:rsidR="00014632" w:rsidRDefault="008510F4">
      <w:pPr>
        <w:numPr>
          <w:ilvl w:val="0"/>
          <w:numId w:val="2"/>
        </w:numPr>
        <w:spacing w:after="160"/>
        <w:rPr>
          <w:color w:val="000000"/>
        </w:rPr>
      </w:pPr>
      <w:r>
        <w:rPr>
          <w:b/>
          <w:color w:val="000000"/>
        </w:rPr>
        <w:t>Adjust Strategies</w:t>
      </w:r>
      <w:r>
        <w:rPr>
          <w:color w:val="000000"/>
        </w:rPr>
        <w:t>: Modify strategies to overcome growth challenges and capitalize on opportunities.</w:t>
      </w:r>
    </w:p>
    <w:p w14:paraId="56A1A1B0" w14:textId="77777777" w:rsidR="00014632" w:rsidRDefault="008510F4">
      <w:pPr>
        <w:numPr>
          <w:ilvl w:val="0"/>
          <w:numId w:val="2"/>
        </w:numPr>
        <w:spacing w:after="160"/>
        <w:rPr>
          <w:color w:val="000000"/>
        </w:rPr>
      </w:pPr>
      <w:r>
        <w:rPr>
          <w:b/>
          <w:color w:val="000000"/>
        </w:rPr>
        <w:t>Execute</w:t>
      </w:r>
      <w:r>
        <w:rPr>
          <w:color w:val="000000"/>
        </w:rPr>
        <w:t>: Implement adjusted strategies and closely monitor their impact on achieving growth objectives.</w:t>
      </w:r>
    </w:p>
    <w:p w14:paraId="11C4B309" w14:textId="77777777" w:rsidR="00014632" w:rsidRDefault="008510F4">
      <w:pPr>
        <w:spacing w:after="160"/>
        <w:ind w:firstLine="0"/>
        <w:rPr>
          <w:color w:val="000000"/>
        </w:rPr>
      </w:pPr>
      <w:bookmarkStart w:id="4" w:name="_3whwml4" w:colFirst="0" w:colLast="0"/>
      <w:bookmarkEnd w:id="4"/>
      <w:r>
        <w:rPr>
          <w:color w:val="000000"/>
        </w:rPr>
        <w:t>An effective human resource management is very significant at this stage. It is the stage when a company is in the process of creating its image at the national and international levels. At the growth stage, the human resource management helps to identify the challenges and growth opportunities for the company.</w:t>
      </w:r>
    </w:p>
    <w:p w14:paraId="4215086E" w14:textId="77777777" w:rsidR="00014632" w:rsidRDefault="008510F4">
      <w:pPr>
        <w:pStyle w:val="Heading2"/>
      </w:pPr>
      <w:bookmarkStart w:id="5" w:name="_4d34og8" w:colFirst="0" w:colLast="0"/>
      <w:bookmarkEnd w:id="5"/>
      <w:r>
        <w:lastRenderedPageBreak/>
        <w:t>Maturity Stage</w:t>
      </w:r>
    </w:p>
    <w:p w14:paraId="3BF14B96" w14:textId="77777777" w:rsidR="00014632" w:rsidRDefault="008510F4">
      <w:pPr>
        <w:spacing w:after="160"/>
        <w:ind w:firstLine="0"/>
        <w:rPr>
          <w:color w:val="000000"/>
        </w:rPr>
      </w:pPr>
      <w:r>
        <w:rPr>
          <w:color w:val="000000"/>
        </w:rPr>
        <w:t>Planning and Actioning</w:t>
      </w:r>
    </w:p>
    <w:p w14:paraId="32ED9B5A" w14:textId="77777777" w:rsidR="00014632" w:rsidRDefault="008510F4">
      <w:pPr>
        <w:spacing w:after="160"/>
        <w:ind w:firstLine="0"/>
        <w:rPr>
          <w:color w:val="000000"/>
        </w:rPr>
      </w:pPr>
      <w:r>
        <w:rPr>
          <w:color w:val="000000"/>
        </w:rPr>
        <w:t>In the maturity stage, organizations have established their market presence and seek stability and efficiency. Planning should involve optimizing processes, cost control, and maintaining customer loyalty. Recent insights (Ipsen et al., Environmental Assessment of Smart City Solutions) highlight the importance of sustainability in this phase, aligning with the Contingency Approach Model's adaptability principle.</w:t>
      </w:r>
    </w:p>
    <w:p w14:paraId="606D87B6" w14:textId="77777777" w:rsidR="00014632" w:rsidRDefault="008510F4">
      <w:pPr>
        <w:spacing w:after="160"/>
        <w:ind w:firstLine="0"/>
        <w:rPr>
          <w:color w:val="000000"/>
        </w:rPr>
      </w:pPr>
      <w:r>
        <w:rPr>
          <w:color w:val="000000"/>
        </w:rPr>
        <w:t>Actioning in the maturity stage involves process refinement, quality control, and continuous improvement. Performance metrics should include efficiency indicators and customer satisfaction scores.</w:t>
      </w:r>
    </w:p>
    <w:p w14:paraId="64FC3DE9" w14:textId="77777777" w:rsidR="00014632" w:rsidRDefault="008510F4">
      <w:pPr>
        <w:spacing w:after="160"/>
        <w:ind w:firstLine="0"/>
        <w:rPr>
          <w:color w:val="000000"/>
        </w:rPr>
      </w:pPr>
      <w:r>
        <w:rPr>
          <w:color w:val="000000"/>
        </w:rPr>
        <w:t>In the maturity stage, efficiency and stability are paramount, and the performance cycle should reflect this. The performance cycle can be represented as follows:</w:t>
      </w:r>
    </w:p>
    <w:p w14:paraId="3BE009F5" w14:textId="77777777" w:rsidR="00014632" w:rsidRDefault="008510F4">
      <w:pPr>
        <w:numPr>
          <w:ilvl w:val="0"/>
          <w:numId w:val="3"/>
        </w:numPr>
        <w:spacing w:after="160"/>
        <w:rPr>
          <w:color w:val="000000"/>
        </w:rPr>
      </w:pPr>
      <w:r>
        <w:rPr>
          <w:b/>
          <w:color w:val="000000"/>
        </w:rPr>
        <w:t>Set Efficiency Objectives</w:t>
      </w:r>
      <w:r>
        <w:rPr>
          <w:color w:val="000000"/>
        </w:rPr>
        <w:t>: Define goals related to cost reduction, process optimization, and customer retention.</w:t>
      </w:r>
    </w:p>
    <w:p w14:paraId="1CEACE94" w14:textId="77777777" w:rsidR="00014632" w:rsidRDefault="008510F4">
      <w:pPr>
        <w:numPr>
          <w:ilvl w:val="0"/>
          <w:numId w:val="3"/>
        </w:numPr>
        <w:spacing w:after="160"/>
        <w:rPr>
          <w:color w:val="000000"/>
        </w:rPr>
      </w:pPr>
      <w:r>
        <w:rPr>
          <w:b/>
          <w:color w:val="000000"/>
        </w:rPr>
        <w:t>Measure</w:t>
      </w:r>
      <w:r>
        <w:rPr>
          <w:color w:val="000000"/>
        </w:rPr>
        <w:t>: Continuously measure efficiency metrics such as operational costs, customer churn rates, and process cycle times.</w:t>
      </w:r>
    </w:p>
    <w:p w14:paraId="7703BDAF" w14:textId="77777777" w:rsidR="00014632" w:rsidRDefault="008510F4">
      <w:pPr>
        <w:numPr>
          <w:ilvl w:val="0"/>
          <w:numId w:val="3"/>
        </w:numPr>
        <w:spacing w:after="160"/>
        <w:rPr>
          <w:color w:val="000000"/>
        </w:rPr>
      </w:pPr>
      <w:r>
        <w:rPr>
          <w:b/>
          <w:color w:val="000000"/>
        </w:rPr>
        <w:t>Analyze</w:t>
      </w:r>
      <w:r>
        <w:rPr>
          <w:color w:val="000000"/>
        </w:rPr>
        <w:t>: Analyze data to identify areas for further efficiency improvements and sustainability considerations.</w:t>
      </w:r>
    </w:p>
    <w:p w14:paraId="6590CC12" w14:textId="77777777" w:rsidR="00014632" w:rsidRDefault="008510F4">
      <w:pPr>
        <w:numPr>
          <w:ilvl w:val="0"/>
          <w:numId w:val="3"/>
        </w:numPr>
        <w:spacing w:after="160"/>
        <w:rPr>
          <w:color w:val="000000"/>
        </w:rPr>
      </w:pPr>
      <w:r>
        <w:rPr>
          <w:b/>
          <w:color w:val="000000"/>
        </w:rPr>
        <w:t>Adjust Strategies</w:t>
      </w:r>
      <w:r>
        <w:rPr>
          <w:color w:val="000000"/>
        </w:rPr>
        <w:t>: Make adjustments to strategies to enhance efficiency, streamline processes, and ensure long-term sustainability.</w:t>
      </w:r>
    </w:p>
    <w:p w14:paraId="7EF1C526" w14:textId="77777777" w:rsidR="00014632" w:rsidRDefault="008510F4">
      <w:pPr>
        <w:numPr>
          <w:ilvl w:val="0"/>
          <w:numId w:val="3"/>
        </w:numPr>
        <w:spacing w:after="160"/>
        <w:rPr>
          <w:color w:val="000000"/>
        </w:rPr>
      </w:pPr>
      <w:r>
        <w:rPr>
          <w:b/>
          <w:color w:val="000000"/>
        </w:rPr>
        <w:lastRenderedPageBreak/>
        <w:t>Execute</w:t>
      </w:r>
      <w:r>
        <w:rPr>
          <w:color w:val="000000"/>
        </w:rPr>
        <w:t>: Implement refined strategies and closely monitor their impact on efficiency and sustainability.</w:t>
      </w:r>
    </w:p>
    <w:p w14:paraId="1C253140" w14:textId="77777777" w:rsidR="00014632" w:rsidRDefault="008510F4">
      <w:pPr>
        <w:spacing w:after="160"/>
        <w:ind w:firstLine="0"/>
        <w:rPr>
          <w:color w:val="000000"/>
        </w:rPr>
      </w:pPr>
      <w:r>
        <w:rPr>
          <w:color w:val="000000"/>
        </w:rPr>
        <w:t>The effectiveness of human resource management is dependent on the maturity stage. At this stage, the companies use their financial resources for marketing purpose and to achieve certain objectives.</w:t>
      </w:r>
    </w:p>
    <w:p w14:paraId="59DF3432" w14:textId="77777777" w:rsidR="00014632" w:rsidRDefault="008510F4">
      <w:pPr>
        <w:pStyle w:val="Heading2"/>
      </w:pPr>
      <w:bookmarkStart w:id="6" w:name="_2s8eyo1" w:colFirst="0" w:colLast="0"/>
      <w:bookmarkEnd w:id="6"/>
      <w:r>
        <w:t>Post-Maturity Stage</w:t>
      </w:r>
    </w:p>
    <w:p w14:paraId="62E25B19" w14:textId="77777777" w:rsidR="00014632" w:rsidRDefault="008510F4">
      <w:pPr>
        <w:spacing w:after="160"/>
        <w:ind w:firstLine="0"/>
        <w:rPr>
          <w:color w:val="000000"/>
        </w:rPr>
      </w:pPr>
      <w:r>
        <w:rPr>
          <w:color w:val="000000"/>
        </w:rPr>
        <w:t>Planning and Actioning</w:t>
      </w:r>
    </w:p>
    <w:p w14:paraId="20CDAE5E" w14:textId="77777777" w:rsidR="00014632" w:rsidRDefault="008510F4">
      <w:pPr>
        <w:spacing w:after="160"/>
        <w:ind w:firstLine="0"/>
        <w:rPr>
          <w:color w:val="000000"/>
        </w:rPr>
      </w:pPr>
      <w:r>
        <w:rPr>
          <w:color w:val="000000"/>
        </w:rPr>
        <w:t>The post-maturity stage is characterized by the need for organizational resilience and sustainability. Planning should encompass environmental responsibility, long-term strategies, and adaptability to changing industry trends. Recent studies (Kim and Chae, Assessment of CO2 Emissions in Precast Concrete) emphasize the importance of environmental considerations in this phase, aligning with the Contingency Approach Model's adaptive approach.</w:t>
      </w:r>
    </w:p>
    <w:p w14:paraId="0DA70F4A" w14:textId="77777777" w:rsidR="00014632" w:rsidRDefault="008510F4">
      <w:pPr>
        <w:spacing w:after="160"/>
        <w:ind w:firstLine="0"/>
        <w:rPr>
          <w:color w:val="000000"/>
        </w:rPr>
      </w:pPr>
      <w:r>
        <w:rPr>
          <w:color w:val="000000"/>
        </w:rPr>
        <w:t>Actioning in the post-maturity stage involves sustainability initiatives, risk management, and long-term strategic partnerships. Performance metrics should include environmental impact assessments and measures of organizational resilience. Performance metrics is the most important characteristics of human resource management that can retain talented employees in the company.</w:t>
      </w:r>
    </w:p>
    <w:p w14:paraId="5D0233C4" w14:textId="77777777" w:rsidR="00014632" w:rsidRDefault="008510F4">
      <w:pPr>
        <w:spacing w:after="160"/>
        <w:ind w:firstLine="0"/>
        <w:rPr>
          <w:b/>
          <w:color w:val="000000"/>
        </w:rPr>
      </w:pPr>
      <w:r>
        <w:rPr>
          <w:b/>
          <w:color w:val="000000"/>
        </w:rPr>
        <w:t>Measurement at Each Stage</w:t>
      </w:r>
    </w:p>
    <w:p w14:paraId="3888D4A6" w14:textId="77777777" w:rsidR="00014632" w:rsidRDefault="008510F4">
      <w:pPr>
        <w:spacing w:after="160"/>
        <w:ind w:firstLine="0"/>
        <w:rPr>
          <w:color w:val="000000"/>
        </w:rPr>
      </w:pPr>
      <w:r>
        <w:rPr>
          <w:color w:val="000000"/>
        </w:rPr>
        <w:t>Agility and Adaptability</w:t>
      </w:r>
    </w:p>
    <w:p w14:paraId="7452B41A" w14:textId="77777777" w:rsidR="00014632" w:rsidRDefault="008510F4">
      <w:pPr>
        <w:spacing w:after="160"/>
        <w:ind w:firstLine="0"/>
        <w:rPr>
          <w:color w:val="000000"/>
        </w:rPr>
      </w:pPr>
      <w:r>
        <w:rPr>
          <w:color w:val="000000"/>
        </w:rPr>
        <w:t xml:space="preserve">Measurement is crucial at every stage of the business life cycle. The Contingency Approach Model mandates a robust and adaptive performance measurement system. This system should </w:t>
      </w:r>
      <w:r>
        <w:rPr>
          <w:color w:val="000000"/>
        </w:rPr>
        <w:lastRenderedPageBreak/>
        <w:t>provide timely and actionable insights, allowing the organization to adjust its strategies according to the life cycle stage. The metrics should align with the organization's objectives and adapt to the evolving context</w:t>
      </w:r>
    </w:p>
    <w:p w14:paraId="23D43472" w14:textId="77777777" w:rsidR="00014632" w:rsidRDefault="008510F4">
      <w:pPr>
        <w:spacing w:after="160"/>
        <w:ind w:firstLine="0"/>
        <w:rPr>
          <w:color w:val="000000"/>
        </w:rPr>
      </w:pPr>
      <w:r>
        <w:rPr>
          <w:color w:val="000000"/>
        </w:rPr>
        <w:t>In the post-maturity stage, organizational resilience and sustainability are critical, and the performance cycle should align with these objectives:</w:t>
      </w:r>
    </w:p>
    <w:p w14:paraId="1EECBB94" w14:textId="77777777" w:rsidR="00014632" w:rsidRDefault="008510F4">
      <w:pPr>
        <w:numPr>
          <w:ilvl w:val="0"/>
          <w:numId w:val="4"/>
        </w:numPr>
        <w:spacing w:after="160"/>
        <w:rPr>
          <w:color w:val="000000"/>
        </w:rPr>
      </w:pPr>
      <w:r>
        <w:rPr>
          <w:b/>
          <w:color w:val="000000"/>
        </w:rPr>
        <w:t>Set Resilience and Sustainability Objectives</w:t>
      </w:r>
      <w:r>
        <w:rPr>
          <w:color w:val="000000"/>
        </w:rPr>
        <w:t>: Define objectives related to environmental responsibility, long-term strategies, and adaptability to industry trends.</w:t>
      </w:r>
    </w:p>
    <w:p w14:paraId="7AE4DF26" w14:textId="77777777" w:rsidR="00014632" w:rsidRDefault="008510F4">
      <w:pPr>
        <w:numPr>
          <w:ilvl w:val="0"/>
          <w:numId w:val="4"/>
        </w:numPr>
        <w:spacing w:after="160"/>
        <w:rPr>
          <w:color w:val="000000"/>
        </w:rPr>
      </w:pPr>
      <w:r>
        <w:rPr>
          <w:b/>
          <w:color w:val="000000"/>
        </w:rPr>
        <w:t>Measure</w:t>
      </w:r>
      <w:r>
        <w:rPr>
          <w:color w:val="000000"/>
        </w:rPr>
        <w:t>: Continuously assess environmental impact metrics, risk indicators, and adaptability to changing circumstances.</w:t>
      </w:r>
    </w:p>
    <w:p w14:paraId="3951B276" w14:textId="77777777" w:rsidR="00014632" w:rsidRDefault="008510F4">
      <w:pPr>
        <w:numPr>
          <w:ilvl w:val="0"/>
          <w:numId w:val="4"/>
        </w:numPr>
        <w:spacing w:after="160"/>
        <w:rPr>
          <w:color w:val="000000"/>
        </w:rPr>
      </w:pPr>
      <w:r>
        <w:rPr>
          <w:b/>
          <w:color w:val="000000"/>
        </w:rPr>
        <w:t>Analyze</w:t>
      </w:r>
      <w:r>
        <w:rPr>
          <w:color w:val="000000"/>
        </w:rPr>
        <w:t>: Analyze data to identify areas for enhancing resilience, reducing environmental impact, and improving long-term sustainability.</w:t>
      </w:r>
    </w:p>
    <w:p w14:paraId="0E3823E0" w14:textId="77777777" w:rsidR="00014632" w:rsidRDefault="008510F4">
      <w:pPr>
        <w:numPr>
          <w:ilvl w:val="0"/>
          <w:numId w:val="4"/>
        </w:numPr>
        <w:spacing w:after="160"/>
        <w:rPr>
          <w:color w:val="000000"/>
        </w:rPr>
      </w:pPr>
      <w:r>
        <w:rPr>
          <w:b/>
          <w:color w:val="000000"/>
        </w:rPr>
        <w:t>Adjust Strategies</w:t>
      </w:r>
      <w:r>
        <w:rPr>
          <w:color w:val="000000"/>
        </w:rPr>
        <w:t>: Adapt strategies to address sustainability concerns, manage risks, and build long-term strategic partnerships.</w:t>
      </w:r>
    </w:p>
    <w:p w14:paraId="1AC4F509" w14:textId="77777777" w:rsidR="00014632" w:rsidRDefault="008510F4">
      <w:pPr>
        <w:numPr>
          <w:ilvl w:val="0"/>
          <w:numId w:val="4"/>
        </w:numPr>
        <w:spacing w:after="160"/>
        <w:rPr>
          <w:color w:val="000000"/>
        </w:rPr>
      </w:pPr>
      <w:r>
        <w:rPr>
          <w:b/>
          <w:color w:val="000000"/>
        </w:rPr>
        <w:t>Execute</w:t>
      </w:r>
      <w:r>
        <w:rPr>
          <w:color w:val="000000"/>
        </w:rPr>
        <w:t>: Implement sustainability initiatives, risk management practices, and strategic partnerships to strengthen resilience.</w:t>
      </w:r>
    </w:p>
    <w:p w14:paraId="10F917A4" w14:textId="77777777" w:rsidR="00014632" w:rsidRDefault="008510F4">
      <w:pPr>
        <w:spacing w:after="160"/>
        <w:ind w:firstLine="0"/>
        <w:rPr>
          <w:color w:val="000000"/>
        </w:rPr>
      </w:pPr>
      <w:r>
        <w:rPr>
          <w:color w:val="000000"/>
        </w:rPr>
        <w:t>By integrating performance cycles at each stage of the business life cycle, organizations can effectively implement the Contingency Approach Model. These cycles ensure continuous improvement and adaptation to changing circumstances, enabling performance management to align seamlessly with overall business strategy.</w:t>
      </w:r>
    </w:p>
    <w:p w14:paraId="3F0C98FD" w14:textId="77777777" w:rsidR="00014632" w:rsidRDefault="008510F4">
      <w:pPr>
        <w:pStyle w:val="Heading1"/>
        <w:jc w:val="left"/>
        <w:rPr>
          <w:color w:val="000000"/>
        </w:rPr>
      </w:pPr>
      <w:bookmarkStart w:id="7" w:name="_17dp8vu" w:colFirst="0" w:colLast="0"/>
      <w:bookmarkEnd w:id="7"/>
      <w:r>
        <w:rPr>
          <w:color w:val="000000"/>
        </w:rPr>
        <w:t xml:space="preserve">Provide Organization Examples for Each Stage </w:t>
      </w:r>
    </w:p>
    <w:p w14:paraId="6155F468" w14:textId="77777777" w:rsidR="00014632" w:rsidRDefault="008510F4">
      <w:pPr>
        <w:ind w:firstLine="0"/>
      </w:pPr>
      <w:r>
        <w:rPr>
          <w:b/>
        </w:rPr>
        <w:t>Tesco PLC: Implementing Performance Management Across the Business Life Cycle</w:t>
      </w:r>
    </w:p>
    <w:p w14:paraId="398E1319" w14:textId="77777777" w:rsidR="00014632" w:rsidRDefault="008510F4">
      <w:pPr>
        <w:pStyle w:val="Heading2"/>
      </w:pPr>
      <w:bookmarkStart w:id="8" w:name="_3rdcrjn" w:colFirst="0" w:colLast="0"/>
      <w:bookmarkEnd w:id="8"/>
      <w:r>
        <w:lastRenderedPageBreak/>
        <w:t>Overview of Tesco PLC</w:t>
      </w:r>
    </w:p>
    <w:p w14:paraId="1A7F6D57" w14:textId="77777777" w:rsidR="00014632" w:rsidRDefault="008510F4">
      <w:pPr>
        <w:ind w:firstLine="0"/>
      </w:pPr>
      <w:r>
        <w:t>Tesco PLC is a multinational grocery and general merchandise retailer headquartered in the United Kingdom. Founded in 1919, it has grown to become one of the largest retailers globally, operating in multiple countries. Throughout its history, Tesco has experienced various business life cycle stages, each requiring a tailored approach to performance management.</w:t>
      </w:r>
    </w:p>
    <w:p w14:paraId="2592727B" w14:textId="77777777" w:rsidR="00014632" w:rsidRDefault="008510F4">
      <w:pPr>
        <w:ind w:firstLine="0"/>
      </w:pPr>
      <w:r>
        <w:rPr>
          <w:b/>
        </w:rPr>
        <w:t>Startup Stage: Early Years and Expansion (1919-1960s)</w:t>
      </w:r>
      <w:r>
        <w:t xml:space="preserve"> During its startup phase, Tesco was a small-scale grocery store chain with a local presence. Performance management in this phase was rudimentary but essential for growth.</w:t>
      </w:r>
    </w:p>
    <w:p w14:paraId="7E3EA448" w14:textId="77777777" w:rsidR="00014632" w:rsidRDefault="008510F4">
      <w:pPr>
        <w:numPr>
          <w:ilvl w:val="0"/>
          <w:numId w:val="5"/>
        </w:numPr>
      </w:pPr>
      <w:r>
        <w:rPr>
          <w:b/>
        </w:rPr>
        <w:t>Performance Metrics:</w:t>
      </w:r>
      <w:r>
        <w:t xml:space="preserve"> Tesco's initial performance metrics included basic financial indicators such as sales revenue, profit margins, and customer counts (Ireland, </w:t>
      </w:r>
      <w:proofErr w:type="spellStart"/>
      <w:r>
        <w:t>Hoskisson</w:t>
      </w:r>
      <w:proofErr w:type="spellEnd"/>
      <w:r>
        <w:t>, &amp; Hitt, 2017).</w:t>
      </w:r>
    </w:p>
    <w:p w14:paraId="443168EC" w14:textId="77777777" w:rsidR="00014632" w:rsidRDefault="008510F4">
      <w:pPr>
        <w:numPr>
          <w:ilvl w:val="0"/>
          <w:numId w:val="5"/>
        </w:numPr>
      </w:pPr>
      <w:r>
        <w:rPr>
          <w:b/>
        </w:rPr>
        <w:t>Performance Drivers:</w:t>
      </w:r>
      <w:r>
        <w:t xml:space="preserve"> The early focus was on maintaining sufficient inventory, ensuring competitive pricing, and providing quality customer service (Grant, 2019).</w:t>
      </w:r>
    </w:p>
    <w:p w14:paraId="36930EDC" w14:textId="77777777" w:rsidR="00014632" w:rsidRDefault="008510F4">
      <w:pPr>
        <w:numPr>
          <w:ilvl w:val="0"/>
          <w:numId w:val="5"/>
        </w:numPr>
      </w:pPr>
      <w:r>
        <w:rPr>
          <w:b/>
        </w:rPr>
        <w:t>Adaptability:</w:t>
      </w:r>
      <w:r>
        <w:t xml:space="preserve"> Tesco's adaptability was evident through its willingness to experiment with new store formats and locations as it expanded its presence across the UK (Ireland, </w:t>
      </w:r>
      <w:proofErr w:type="spellStart"/>
      <w:r>
        <w:t>Hoskisson</w:t>
      </w:r>
      <w:proofErr w:type="spellEnd"/>
      <w:r>
        <w:t>, &amp; Hitt, 2017).</w:t>
      </w:r>
    </w:p>
    <w:p w14:paraId="42ADE1B1" w14:textId="77777777" w:rsidR="00014632" w:rsidRDefault="008510F4">
      <w:pPr>
        <w:ind w:firstLine="0"/>
      </w:pPr>
      <w:r>
        <w:rPr>
          <w:b/>
        </w:rPr>
        <w:t>Organizational Design</w:t>
      </w:r>
      <w:r>
        <w:t>: During its startup phase, Tesco likely embraced a flatter organizational design. This design fostered innovation, agility, and quick decision-making processes, key elements for survival and growth during the early years. The essence of the contingency approach, which emphasizes the need for adaptability in design to the demands of the business life cycle stage, is evident here.</w:t>
      </w:r>
    </w:p>
    <w:p w14:paraId="23B81FFD" w14:textId="77777777" w:rsidR="00014632" w:rsidRDefault="008510F4">
      <w:pPr>
        <w:ind w:firstLine="0"/>
        <w:rPr>
          <w:b/>
        </w:rPr>
      </w:pPr>
      <w:r>
        <w:rPr>
          <w:b/>
        </w:rPr>
        <w:t>Performance Management Strategies</w:t>
      </w:r>
    </w:p>
    <w:p w14:paraId="69AFFAD5" w14:textId="77777777" w:rsidR="00014632" w:rsidRDefault="008510F4">
      <w:pPr>
        <w:ind w:firstLine="0"/>
      </w:pPr>
      <w:r>
        <w:lastRenderedPageBreak/>
        <w:t>Given the startup nature, Tesco would have emphasized basic performance metrics, ensuring agility in response to market feedback. The strategies at this stage might have been less about long-term talent retention and more about rapid iteration and adaptability to quickly gauge market needs.</w:t>
      </w:r>
    </w:p>
    <w:p w14:paraId="1F36B9FD" w14:textId="77777777" w:rsidR="00014632" w:rsidRDefault="008510F4">
      <w:pPr>
        <w:ind w:firstLine="0"/>
      </w:pPr>
      <w:r>
        <w:t>Tesco, in its nascent stages, was a paragon of the lean startup approach, characterized by its focus on the most basic metrics, rapid experimentation, and swift adaptability. According to Blank (2013), startups require a more agile approach, focusing on customer discovery and validation, rather than traditional performance metrics. This resonates with Tesco's approach during its startup stage where the company was less about broad strategy and more about learning from the market and adapting.</w:t>
      </w:r>
    </w:p>
    <w:p w14:paraId="1189D503" w14:textId="77777777" w:rsidR="00014632" w:rsidRDefault="008510F4">
      <w:pPr>
        <w:ind w:firstLine="0"/>
      </w:pPr>
      <w:r>
        <w:t xml:space="preserve">Critical Discussion: While Tesco might have been driven by fundamental performance metrics like sales and profit margins (Ireland, </w:t>
      </w:r>
      <w:proofErr w:type="spellStart"/>
      <w:r>
        <w:t>Hoskisson</w:t>
      </w:r>
      <w:proofErr w:type="spellEnd"/>
      <w:r>
        <w:t>, &amp; Hitt, 2017), its success can also be attributed to the organic entrepreneurial culture and the close-knit relationship it shared with its customer base (Drucker, 2007). This intimacy allowed Tesco to quickly gauge market needs and pivot accordingly.</w:t>
      </w:r>
    </w:p>
    <w:p w14:paraId="6FBD8D1C" w14:textId="77777777" w:rsidR="00014632" w:rsidRDefault="008510F4">
      <w:pPr>
        <w:pStyle w:val="Heading2"/>
      </w:pPr>
      <w:bookmarkStart w:id="9" w:name="_26in1rg" w:colFirst="0" w:colLast="0"/>
      <w:bookmarkEnd w:id="9"/>
      <w:r>
        <w:t xml:space="preserve">Growth Stage: Expansion and Diversification (1970s-1990s) </w:t>
      </w:r>
    </w:p>
    <w:p w14:paraId="55DB4DC7" w14:textId="77777777" w:rsidR="00014632" w:rsidRDefault="008510F4">
      <w:pPr>
        <w:ind w:firstLine="0"/>
      </w:pPr>
      <w:r>
        <w:t>Tesco entered a significant growth phase during the 1970s and 1980s, expanding its store network and diversifying into non-food retail. Performance management evolved accordingly.</w:t>
      </w:r>
    </w:p>
    <w:p w14:paraId="5943A6A1" w14:textId="77777777" w:rsidR="00014632" w:rsidRDefault="008510F4">
      <w:pPr>
        <w:numPr>
          <w:ilvl w:val="0"/>
          <w:numId w:val="6"/>
        </w:numPr>
      </w:pPr>
      <w:r>
        <w:rPr>
          <w:b/>
        </w:rPr>
        <w:t>Performance Metrics:</w:t>
      </w:r>
      <w:r>
        <w:t xml:space="preserve"> As Tesco expanded its operations, performance metrics expanded to include market share, geographic reach, and category-specific sales data (Mintel, 2016).</w:t>
      </w:r>
    </w:p>
    <w:p w14:paraId="135C5871" w14:textId="77777777" w:rsidR="00014632" w:rsidRDefault="008510F4">
      <w:pPr>
        <w:numPr>
          <w:ilvl w:val="0"/>
          <w:numId w:val="6"/>
        </w:numPr>
      </w:pPr>
      <w:r>
        <w:rPr>
          <w:b/>
        </w:rPr>
        <w:t>Performance Drivers:</w:t>
      </w:r>
      <w:r>
        <w:t xml:space="preserve"> The company focused on supply chain optimization, store format innovation, and customer loyalty programs to sustain growth (Grant, 2019).</w:t>
      </w:r>
    </w:p>
    <w:p w14:paraId="58B99462" w14:textId="77777777" w:rsidR="00014632" w:rsidRDefault="008510F4">
      <w:pPr>
        <w:numPr>
          <w:ilvl w:val="0"/>
          <w:numId w:val="6"/>
        </w:numPr>
      </w:pPr>
      <w:r>
        <w:rPr>
          <w:b/>
        </w:rPr>
        <w:lastRenderedPageBreak/>
        <w:t>Strategic Goals:</w:t>
      </w:r>
      <w:r>
        <w:t xml:space="preserve"> Tesco's strategic goals during this phase included becoming the market leader in the UK and expanding internationally (Ireland, </w:t>
      </w:r>
      <w:proofErr w:type="spellStart"/>
      <w:r>
        <w:t>Hoskisson</w:t>
      </w:r>
      <w:proofErr w:type="spellEnd"/>
      <w:r>
        <w:t>, &amp; Hitt, 2017).</w:t>
      </w:r>
    </w:p>
    <w:p w14:paraId="627E4951" w14:textId="77777777" w:rsidR="00014632" w:rsidRDefault="008510F4">
      <w:r>
        <w:rPr>
          <w:b/>
        </w:rPr>
        <w:t>Organizational Design</w:t>
      </w:r>
      <w:r>
        <w:t>: As Tesco ventured into its growth phase, a transition towards a more structured organizational design would have been evident. While retaining some elements of flexibility, the design might have integrated more defined roles, departments, and processes to support its expansion and diversification efforts.</w:t>
      </w:r>
    </w:p>
    <w:p w14:paraId="21CFA0D6" w14:textId="77777777" w:rsidR="00014632" w:rsidRDefault="008510F4">
      <w:pPr>
        <w:ind w:firstLine="0"/>
      </w:pPr>
      <w:r>
        <w:rPr>
          <w:b/>
        </w:rPr>
        <w:t>Performance Management Strategies</w:t>
      </w:r>
      <w:r>
        <w:t>: This stage would have seen an emphasis on talent acquisition and development. As the company diversified, bringing in the right talent and nurturing them would have been crucial. Simultaneously, performance metrics expanded to provide a comprehensive view of the growing business, incorporating market reach and category-specific data.</w:t>
      </w:r>
    </w:p>
    <w:p w14:paraId="355A079C" w14:textId="77777777" w:rsidR="00014632" w:rsidRDefault="008510F4">
      <w:pPr>
        <w:ind w:firstLine="0"/>
      </w:pPr>
      <w:r>
        <w:t>As Tesco transitioned into the growth phase, it mirrors Ansoff's (1957) Product-Market Matrix, diversifying into new market segments and expanding its product lines. It’s not just about growing sales, but about sustaining that growth, thus necessitating a shift in performance management.</w:t>
      </w:r>
    </w:p>
    <w:p w14:paraId="59E2CBA7" w14:textId="77777777" w:rsidR="00014632" w:rsidRDefault="008510F4">
      <w:pPr>
        <w:ind w:firstLine="0"/>
      </w:pPr>
      <w:r>
        <w:t>Critical Discussion: While Tesco's strategic intent of expansion and diversification is commendable, it is essential to note that growth for the sake of growth can be detrimental. According to Penrose (1959), firms must balance between the administrative and productive resources to ensure sustainable growth. Tesco's focus on supply chain optimization and customer loyalty programs (Grant, 2019) was a tactical move to manage this equilibrium.</w:t>
      </w:r>
    </w:p>
    <w:p w14:paraId="6CABB9A8" w14:textId="77777777" w:rsidR="00014632" w:rsidRDefault="008510F4">
      <w:pPr>
        <w:pStyle w:val="Heading2"/>
      </w:pPr>
      <w:bookmarkStart w:id="10" w:name="_lnxbz9" w:colFirst="0" w:colLast="0"/>
      <w:bookmarkEnd w:id="10"/>
      <w:r>
        <w:t xml:space="preserve">Maturity Stage: Market Leadership (2000s-2010s) </w:t>
      </w:r>
    </w:p>
    <w:p w14:paraId="12FE42C4" w14:textId="77777777" w:rsidR="00014632" w:rsidRDefault="008510F4">
      <w:pPr>
        <w:ind w:firstLine="0"/>
      </w:pPr>
      <w:r>
        <w:t>In the maturity stage, Tesco maintained its market leadership position and emphasized operational efficiency.</w:t>
      </w:r>
    </w:p>
    <w:p w14:paraId="3F541FDC" w14:textId="77777777" w:rsidR="00014632" w:rsidRDefault="008510F4">
      <w:pPr>
        <w:numPr>
          <w:ilvl w:val="0"/>
          <w:numId w:val="7"/>
        </w:numPr>
      </w:pPr>
      <w:r>
        <w:rPr>
          <w:b/>
        </w:rPr>
        <w:lastRenderedPageBreak/>
        <w:t>Performance Metrics:</w:t>
      </w:r>
      <w:r>
        <w:t xml:space="preserve"> Comprehensive performance measurement systems were introduced, covering areas like inventory turnover, customer satisfaction, and employee engagement (Kaplan &amp; Norton, 2001).</w:t>
      </w:r>
    </w:p>
    <w:p w14:paraId="19571FC7" w14:textId="77777777" w:rsidR="00014632" w:rsidRDefault="008510F4">
      <w:pPr>
        <w:numPr>
          <w:ilvl w:val="0"/>
          <w:numId w:val="7"/>
        </w:numPr>
      </w:pPr>
      <w:r>
        <w:rPr>
          <w:b/>
        </w:rPr>
        <w:t>Performance Drivers:</w:t>
      </w:r>
      <w:r>
        <w:t xml:space="preserve"> Continuous improvement in supply chain logistics, cost control, and diversification into online retail were priorities (Grant, 2019).</w:t>
      </w:r>
    </w:p>
    <w:p w14:paraId="3E6ADB80" w14:textId="77777777" w:rsidR="00014632" w:rsidRDefault="008510F4">
      <w:pPr>
        <w:numPr>
          <w:ilvl w:val="0"/>
          <w:numId w:val="7"/>
        </w:numPr>
      </w:pPr>
      <w:r>
        <w:rPr>
          <w:b/>
        </w:rPr>
        <w:t>Sustainability:</w:t>
      </w:r>
      <w:r>
        <w:t xml:space="preserve"> Tesco integrated sustainability initiatives into its performance management, tracking environmental impact and responsible sourcing (Tesco PLC, 2019).</w:t>
      </w:r>
    </w:p>
    <w:p w14:paraId="24739EE9" w14:textId="77777777" w:rsidR="00014632" w:rsidRDefault="008510F4">
      <w:pPr>
        <w:ind w:firstLine="0"/>
      </w:pPr>
      <w:r>
        <w:rPr>
          <w:b/>
        </w:rPr>
        <w:t>Organizational Design</w:t>
      </w:r>
      <w:r>
        <w:t>: In the maturity phase, Tesco's organizational design would have evolved into a more hierarchical structure. This structure is conducive to maintaining stability, ensuring streamlined processes, and exerting control over the vast operations.</w:t>
      </w:r>
    </w:p>
    <w:p w14:paraId="02A40938" w14:textId="77777777" w:rsidR="00014632" w:rsidRDefault="008510F4">
      <w:pPr>
        <w:ind w:firstLine="0"/>
      </w:pPr>
      <w:r>
        <w:rPr>
          <w:b/>
        </w:rPr>
        <w:t>Performance Management Strategies</w:t>
      </w:r>
      <w:r>
        <w:t>: With stability and market leadership, the focus would shift towards talent retention. Reward management, with strategic compensation structures, would play a pivotal role in keeping the talent motivated. Comprehensive performance measurement systems, covering a broader range of metrics from customer satisfaction to employee engagement, would be the norm.</w:t>
      </w:r>
    </w:p>
    <w:p w14:paraId="6A026223" w14:textId="77777777" w:rsidR="00014632" w:rsidRDefault="008510F4">
      <w:pPr>
        <w:ind w:firstLine="0"/>
      </w:pPr>
      <w:r>
        <w:t>In the maturity stage, companies often face the challenge of maintaining their market position and extracting maximum value (Levitt, 1965). It was essential for Tesco to not become complacent. By integrating advanced performance measurement systems (Kaplan &amp; Norton, 2001) and focusing on sustainability, Tesco showcased a forward-thinking approach.</w:t>
      </w:r>
    </w:p>
    <w:p w14:paraId="787BCCC7" w14:textId="77777777" w:rsidR="00014632" w:rsidRDefault="008510F4">
      <w:pPr>
        <w:ind w:firstLine="0"/>
      </w:pPr>
      <w:r>
        <w:t xml:space="preserve">Critical Discussion: Emphasizing sustainability is a strategic choice that goes beyond mere compliance. According to Porter and Kramer (2006), creating shared value, where companies generate economic value in a way that also produces value for society, can be the key to the next </w:t>
      </w:r>
      <w:r>
        <w:lastRenderedPageBreak/>
        <w:t>wave of innovation and productivity growth. Tesco's integration of sustainability initiatives indicates a vision beyond profitability.</w:t>
      </w:r>
    </w:p>
    <w:p w14:paraId="406BECFF" w14:textId="77777777" w:rsidR="00014632" w:rsidRDefault="008510F4">
      <w:pPr>
        <w:pStyle w:val="Heading2"/>
      </w:pPr>
      <w:bookmarkStart w:id="11" w:name="_35nkun2" w:colFirst="0" w:colLast="0"/>
      <w:bookmarkEnd w:id="11"/>
      <w:r>
        <w:t xml:space="preserve">Post-Maturity Stage: Challenges and Transformation (2010s-Present) </w:t>
      </w:r>
    </w:p>
    <w:p w14:paraId="076FD279" w14:textId="77777777" w:rsidR="00014632" w:rsidRDefault="008510F4">
      <w:pPr>
        <w:ind w:firstLine="0"/>
      </w:pPr>
      <w:r>
        <w:t>Tesco faced challenges, including market saturation and shifts in consumer behavior. Performance management was crucial in its transformation.</w:t>
      </w:r>
    </w:p>
    <w:p w14:paraId="67EA2BA5" w14:textId="77777777" w:rsidR="00014632" w:rsidRDefault="008510F4">
      <w:pPr>
        <w:numPr>
          <w:ilvl w:val="0"/>
          <w:numId w:val="8"/>
        </w:numPr>
      </w:pPr>
      <w:r>
        <w:rPr>
          <w:b/>
        </w:rPr>
        <w:t>Performance Metrics:</w:t>
      </w:r>
      <w:r>
        <w:t xml:space="preserve"> Metrics now include not only traditional financial measures but also e-commerce metrics, social responsibility indices, and net promoter scores (Kaplan &amp; Norton, 2001).</w:t>
      </w:r>
    </w:p>
    <w:p w14:paraId="1D9941EB" w14:textId="77777777" w:rsidR="00014632" w:rsidRDefault="008510F4">
      <w:pPr>
        <w:numPr>
          <w:ilvl w:val="0"/>
          <w:numId w:val="8"/>
        </w:numPr>
      </w:pPr>
      <w:r>
        <w:rPr>
          <w:b/>
        </w:rPr>
        <w:t>Performance Drivers:</w:t>
      </w:r>
      <w:r>
        <w:t xml:space="preserve"> Strategies focused on enhancing e-commerce capabilities, expanding the product range, and optimizing the supply chain for efficiency (Grant, 2019).</w:t>
      </w:r>
    </w:p>
    <w:p w14:paraId="1B829A35" w14:textId="77777777" w:rsidR="00014632" w:rsidRDefault="008510F4">
      <w:pPr>
        <w:numPr>
          <w:ilvl w:val="0"/>
          <w:numId w:val="8"/>
        </w:numPr>
      </w:pPr>
      <w:r>
        <w:rPr>
          <w:b/>
        </w:rPr>
        <w:t>Adaptation:</w:t>
      </w:r>
      <w:r>
        <w:t xml:space="preserve"> Tesco's adaptability is evident through its investment in digital transformation and diversification into areas like convenience stores and data analytics (Tesco PLC, 2019).</w:t>
      </w:r>
    </w:p>
    <w:p w14:paraId="7C62A1D1" w14:textId="77777777" w:rsidR="00014632" w:rsidRDefault="008510F4">
      <w:pPr>
        <w:ind w:firstLine="0"/>
      </w:pPr>
      <w:r>
        <w:rPr>
          <w:b/>
        </w:rPr>
        <w:t>Organizational Design</w:t>
      </w:r>
      <w:r>
        <w:t>: Facing market saturation and changing consumer behavior, Tesco would require a blend of hierarchical and flexible designs. While maintaining control over core operations, pockets of agility would be crucial to experiment and drive transformation.</w:t>
      </w:r>
    </w:p>
    <w:p w14:paraId="6EE6C276" w14:textId="77777777" w:rsidR="00014632" w:rsidRDefault="008510F4">
      <w:pPr>
        <w:ind w:firstLine="0"/>
      </w:pPr>
      <w:r>
        <w:rPr>
          <w:b/>
        </w:rPr>
        <w:t>Performance Management Strategies</w:t>
      </w:r>
      <w:r>
        <w:t>: In this transformative phase, Tesco would re-evaluate its performance metrics, integrating modern aspects like e-commerce metrics and social responsibility indices. Talent management would take a holistic approach, balancing between nurturing existing talent and bringing in fresh perspectives to drive innovation.</w:t>
      </w:r>
    </w:p>
    <w:p w14:paraId="25BF2CAB" w14:textId="77777777" w:rsidR="00014632" w:rsidRDefault="008510F4">
      <w:pPr>
        <w:ind w:firstLine="0"/>
      </w:pPr>
      <w:r>
        <w:lastRenderedPageBreak/>
        <w:t>The post-maturity stage, often characterized by saturation and declining growth, requires firms to reinvent themselves (Kim &amp; Mauborgne, 2004). Tesco’s investment in digital transformation and diversification is indicative of its intent to stay relevant and competitive.</w:t>
      </w:r>
    </w:p>
    <w:p w14:paraId="32216314" w14:textId="77777777" w:rsidR="00014632" w:rsidRDefault="008510F4">
      <w:pPr>
        <w:ind w:firstLine="0"/>
      </w:pPr>
      <w:r>
        <w:t>Critical Discussion: As Teece (2018) suggests, dynamic capabilities, i.e., a firm's ability to integrate, build, and reconfigure internal and external competencies, are crucial in rapidly changing environments. Tesco's emphasis on e-commerce, data analytics, and diversification showcases its commitment to nurturing these dynamic capabilities.</w:t>
      </w:r>
    </w:p>
    <w:p w14:paraId="45E2D0A1" w14:textId="77777777" w:rsidR="00014632" w:rsidRDefault="008510F4">
      <w:pPr>
        <w:pStyle w:val="Heading2"/>
      </w:pPr>
      <w:bookmarkStart w:id="12" w:name="_1ksv4uv" w:colFirst="0" w:colLast="0"/>
      <w:bookmarkEnd w:id="12"/>
      <w:r>
        <w:t xml:space="preserve">Critical Analysis </w:t>
      </w:r>
    </w:p>
    <w:p w14:paraId="296A8C94" w14:textId="77777777" w:rsidR="00014632" w:rsidRDefault="008510F4">
      <w:pPr>
        <w:ind w:firstLine="0"/>
      </w:pPr>
      <w:r>
        <w:t>In its formative years, spanning from 1919-1960s, Tesco embarked on its retail journey with a vision to make a mark in a burgeoning industry. As a budding entity, it placed emphasis on agile strategies that prioritized experimentation and agility. The goal was clear: to establish a solid foothold in the market and cater to a growing consumer base. Performance management during this startup phase revolved around foundational metrics like basic financial indicators, customer acquisition, and market reach. The agility inherent in their approach allowed them to rapidly adapt to market demands, ensuring a promising start in the retail landscape. However, this agility came with challenges, as the company had to ensure consistent delivery and quality of service amidst changing consumer preferences and emerging competition.</w:t>
      </w:r>
    </w:p>
    <w:p w14:paraId="779FC64E" w14:textId="77777777" w:rsidR="00014632" w:rsidRDefault="008510F4">
      <w:pPr>
        <w:ind w:firstLine="0"/>
      </w:pPr>
      <w:r>
        <w:t xml:space="preserve">Transitioning into its growth phase during the 1970s-1990s, Tesco's aspirations broadened, and so did its performance management outlook. The focus shifted towards expansion and diversification. The company not only broadened its performance metrics to include market share and brand recognition but also recognized the importance of talent acquisition and development to support its expansive vision. With the proliferation of stores and an expanding product portfolio, Tesco invested in robust training programs, ensuring that its workforce was </w:t>
      </w:r>
      <w:r>
        <w:lastRenderedPageBreak/>
        <w:t>equipped to drive growth. This period was characterized by a sophisticated approach to performance management, ensuring that Tesco's growth was both sustained and dominant. Yet, the rapid pace of expansion posed its own challenges, chiefly in maintaining consistent quality and service standards across diverse geographies and adapting to local market nuances.</w:t>
      </w:r>
    </w:p>
    <w:p w14:paraId="4787958C" w14:textId="77777777" w:rsidR="00014632" w:rsidRDefault="008510F4">
      <w:pPr>
        <w:ind w:firstLine="0"/>
      </w:pPr>
      <w:r>
        <w:t>As Tesco matured in the 2000s-2010s, the retail landscape underwent significant transformation, driven by technology and globalized supply chains. The company's approach to performance management evolved to prioritize efficiency and sustainability. Comprehensive performance measurement systems were integrated, and the company's organizational design became more hierarchical, ensuring stability in its vast operations. However, the balance between innovation and maintaining operational stability might have posed challenges, especially with the advent of e-commerce and changing consumer behaviors.</w:t>
      </w:r>
    </w:p>
    <w:p w14:paraId="3780F566" w14:textId="77777777" w:rsidR="00014632" w:rsidRDefault="008510F4">
      <w:pPr>
        <w:ind w:firstLine="0"/>
      </w:pPr>
      <w:r>
        <w:t>The post-maturity stage from the 2010s to the present brought with it new challenges and demands. With the digital revolution reshaping the retail sector, Tesco's performance management strategies, in response, centered on digital transformation and adaptability. The company recognized the need for transformation and adaptation to new market dynamics, ensuring it remained competitive in a shifting retail landscape. Investments in online platforms, data analytics, and customer-centric strategies became paramount.</w:t>
      </w:r>
    </w:p>
    <w:p w14:paraId="69532637" w14:textId="77777777" w:rsidR="00014632" w:rsidRDefault="008510F4">
      <w:pPr>
        <w:ind w:firstLine="0"/>
      </w:pPr>
      <w:r>
        <w:t xml:space="preserve">Tesco's journey through these life cycle stages underscores the adaptability and dynamism inherent in its performance management strategies. The company's approach resonated with the Contingency Approach Model, suggesting that strategies should be contingent on the organization's stage in the business life cycle. Tesco's ability to adjust its performance metrics, drivers, and goals in line with the specific challenges and opportunities of each stage, as indicated by Donaldson (2001), has been a cornerstone of its sustained success. Through these </w:t>
      </w:r>
      <w:r>
        <w:lastRenderedPageBreak/>
        <w:t>evolutionary phases, the company exemplified the art of strategic adaptability, aligning its performance management frameworks with emerging challenges and opportunities.</w:t>
      </w:r>
    </w:p>
    <w:p w14:paraId="35EDF5DB" w14:textId="77777777" w:rsidR="00014632" w:rsidRDefault="008510F4">
      <w:pPr>
        <w:ind w:firstLine="0"/>
      </w:pPr>
      <w:r>
        <w:t>Tesco PLC's journey, from its humble beginnings to its current stature as a global retail colossus, illuminates the significance of evolving performance management strategies in alignment with an organization's shifting needs and circumstances. Performance management isn't a monolithic, static concept; it's a dynamic process that should evolve as organizations traverse their unique life cycle stages. Tesco stands as a testament to this dynamism, deftly navigating the challenges of each stage, backed by academic theories and models, to maintain its market dominance in a competitive industry.</w:t>
      </w:r>
    </w:p>
    <w:p w14:paraId="04FD9F4A" w14:textId="77777777" w:rsidR="00014632" w:rsidRDefault="008510F4">
      <w:pPr>
        <w:ind w:firstLine="0"/>
      </w:pPr>
      <w:r>
        <w:t>Tesco PLC is successful due to its effective human resource management as it supports and maintains the high performance of the employees. It is the responsibility of the HR management team to generate effective policies that is quite helpful to direct employees towards the organizational goals.</w:t>
      </w:r>
    </w:p>
    <w:p w14:paraId="10D48D5D" w14:textId="77777777" w:rsidR="00014632" w:rsidRDefault="00014632"/>
    <w:p w14:paraId="453FD418" w14:textId="77777777" w:rsidR="00014632" w:rsidRDefault="008510F4">
      <w:pPr>
        <w:pStyle w:val="Heading1"/>
        <w:jc w:val="left"/>
        <w:rPr>
          <w:color w:val="000000"/>
        </w:rPr>
      </w:pPr>
      <w:bookmarkStart w:id="13" w:name="_44sinio" w:colFirst="0" w:colLast="0"/>
      <w:bookmarkEnd w:id="13"/>
      <w:r>
        <w:rPr>
          <w:color w:val="000000"/>
        </w:rPr>
        <w:t xml:space="preserve">Discuss Performance Management Activities for Post-Maturity Stage </w:t>
      </w:r>
    </w:p>
    <w:p w14:paraId="3CB8761C" w14:textId="77777777" w:rsidR="00014632" w:rsidRDefault="008510F4">
      <w:pPr>
        <w:pStyle w:val="Heading2"/>
      </w:pPr>
      <w:bookmarkStart w:id="14" w:name="_2jxsxqh" w:colFirst="0" w:colLast="0"/>
      <w:bookmarkEnd w:id="14"/>
      <w:r>
        <w:t>Tesco's Performance Management in the Post-Maturity Stage</w:t>
      </w:r>
    </w:p>
    <w:p w14:paraId="0B97DE67" w14:textId="77777777" w:rsidR="00014632" w:rsidRDefault="008510F4">
      <w:pPr>
        <w:ind w:firstLine="0"/>
        <w:rPr>
          <w:color w:val="000000"/>
        </w:rPr>
      </w:pPr>
      <w:r>
        <w:rPr>
          <w:color w:val="000000"/>
        </w:rPr>
        <w:t>Tesco, as a retail behemoth, presents an intriguing case study of an enterprise in its post-maturity stage. This stage, marked by potential stasis or decline, demands a fresh lens for performance management. In this section, we will delve deeper into the specific challenges faced by Tesco in its post-maturity stage and the corresponding strategies it has employed.</w:t>
      </w:r>
    </w:p>
    <w:p w14:paraId="5C3BBACE" w14:textId="77777777" w:rsidR="00014632" w:rsidRDefault="008510F4">
      <w:pPr>
        <w:pStyle w:val="Heading3"/>
        <w:ind w:firstLine="0"/>
      </w:pPr>
      <w:bookmarkStart w:id="15" w:name="_z337ya" w:colFirst="0" w:colLast="0"/>
      <w:bookmarkEnd w:id="15"/>
      <w:r>
        <w:t>Steady State Performance Management:</w:t>
      </w:r>
    </w:p>
    <w:p w14:paraId="7A7A632C" w14:textId="77777777" w:rsidR="00014632" w:rsidRDefault="008510F4">
      <w:pPr>
        <w:ind w:firstLine="0"/>
        <w:rPr>
          <w:color w:val="000000"/>
        </w:rPr>
      </w:pPr>
      <w:r>
        <w:rPr>
          <w:color w:val="000000"/>
        </w:rPr>
        <w:t xml:space="preserve">In a steady-state scenario, companies like Tesco focus on preserving their market position and ensuring consistent operational efficiency. Drawing from literature, such as the study by Hussain </w:t>
      </w:r>
      <w:r>
        <w:rPr>
          <w:color w:val="000000"/>
        </w:rPr>
        <w:lastRenderedPageBreak/>
        <w:t>et al. (2021), maintaining optimal conditions becomes pivotal. For Tesco, this might involve a strategic interplay of supply chain efficiency, inventory management, and customer relationship management. Drucker (1999) posits that in mature businesses, the emphasis should be on making existing processes efficient, optimizing costs, and ensuring customer loyalty. Tesco's Clubcard loyalty program, for instance, is a testament to this approach, aiming to retain customers through personalized offerings and rewards.</w:t>
      </w:r>
    </w:p>
    <w:p w14:paraId="443B963B" w14:textId="77777777" w:rsidR="00014632" w:rsidRDefault="008510F4">
      <w:pPr>
        <w:pStyle w:val="Heading3"/>
        <w:ind w:firstLine="0"/>
      </w:pPr>
      <w:bookmarkStart w:id="16" w:name="_3j2qqm3" w:colFirst="0" w:colLast="0"/>
      <w:bookmarkEnd w:id="16"/>
      <w:r>
        <w:t>Performance Management in Decline</w:t>
      </w:r>
    </w:p>
    <w:p w14:paraId="3CFF2A07" w14:textId="77777777" w:rsidR="00014632" w:rsidRDefault="008510F4">
      <w:pPr>
        <w:ind w:firstLine="0"/>
        <w:rPr>
          <w:color w:val="000000"/>
        </w:rPr>
      </w:pPr>
      <w:r>
        <w:rPr>
          <w:color w:val="000000"/>
        </w:rPr>
        <w:t>The decline phase poses substantial challenges. Kim and Mauborgne (2004) in their book "Blue Ocean Strategy," discuss the significance of innovation and market creation when traditional avenues seem saturated. Tesco's foray into digital transformation and e-commerce can be seen as a manifestation of this strategy. Reflecting on Wang, Akbar, &amp; Akbar's (2020) emphasis on tailored financial strategies during decline, Tesco's focus on cost optimization, store rationalizations, and investment in growth areas like online retailing align with this perspective. Tweedie, Wild, Rhodes, &amp; Martinov-Bennie (2019) further underscore the importance of acknowledging workers’ contributions during challenging times. Tesco's investment in employee training, development, and well-being initiatives resonates with this, aiming to maintain high morale and productivity even in potentially declining phases.</w:t>
      </w:r>
    </w:p>
    <w:p w14:paraId="23FC2B28" w14:textId="77777777" w:rsidR="00014632" w:rsidRDefault="008510F4">
      <w:pPr>
        <w:pStyle w:val="Heading3"/>
        <w:ind w:firstLine="0"/>
      </w:pPr>
      <w:bookmarkStart w:id="17" w:name="_1y810tw" w:colFirst="0" w:colLast="0"/>
      <w:bookmarkEnd w:id="17"/>
      <w:r>
        <w:t>Performance Management in Renewal</w:t>
      </w:r>
    </w:p>
    <w:p w14:paraId="1C10647E" w14:textId="77777777" w:rsidR="00014632" w:rsidRDefault="008510F4">
      <w:pPr>
        <w:ind w:firstLine="0"/>
        <w:rPr>
          <w:color w:val="000000"/>
        </w:rPr>
      </w:pPr>
      <w:r>
        <w:rPr>
          <w:color w:val="000000"/>
        </w:rPr>
        <w:t xml:space="preserve">For a company in its post-maturity stage, renewal becomes an essential aspect. Drawing from Tushman and O'Reilly's (1996) work on ambidextrous organizations, businesses like Tesco need to excel at exploiting their existing capabilities while simultaneously exploring new opportunities. This balance is crucial for renewal. Tesco's ventures into areas like online grocery delivery, cashless payment systems, and even data analytics through its subsidiary </w:t>
      </w:r>
      <w:proofErr w:type="spellStart"/>
      <w:r>
        <w:rPr>
          <w:color w:val="000000"/>
        </w:rPr>
        <w:t>Dunnhumby</w:t>
      </w:r>
      <w:proofErr w:type="spellEnd"/>
      <w:r>
        <w:rPr>
          <w:color w:val="000000"/>
        </w:rPr>
        <w:t xml:space="preserve">, </w:t>
      </w:r>
      <w:r>
        <w:rPr>
          <w:color w:val="000000"/>
        </w:rPr>
        <w:lastRenderedPageBreak/>
        <w:t>are indicative of its explorative strategies for renewal. Week 7 insights into team dynamics further reinforce that understanding and leveraging the diverse strengths within teams can catalyze innovation. For Tesco, this means harnessing the collective expertise of its workforce, fostering cross-functional collaborations, and promoting a culture of continuous learning and innovation.</w:t>
      </w:r>
    </w:p>
    <w:p w14:paraId="3BEBE9C6" w14:textId="77777777" w:rsidR="00014632" w:rsidRDefault="008510F4">
      <w:pPr>
        <w:ind w:firstLine="0"/>
        <w:rPr>
          <w:color w:val="000000"/>
        </w:rPr>
      </w:pPr>
      <w:r>
        <w:rPr>
          <w:color w:val="000000"/>
        </w:rPr>
        <w:t>Moreover, Mintzberg (1979) in his work on organizational structures, emphasizes the importance of adaptability in large organizations, especially in their mature or post-maturity stages. Tesco's adoption of hybrid structures, combining elements of functional, divisional, and even matrix structures, is a strategic move to foster adaptability, promote renewal, and address the complexities of the modern retail landscape.</w:t>
      </w:r>
    </w:p>
    <w:p w14:paraId="64742D04" w14:textId="77777777" w:rsidR="00014632" w:rsidRDefault="008510F4">
      <w:pPr>
        <w:ind w:firstLine="0"/>
        <w:rPr>
          <w:color w:val="000000"/>
        </w:rPr>
      </w:pPr>
      <w:r>
        <w:rPr>
          <w:color w:val="000000"/>
        </w:rPr>
        <w:t>Navigating the post-maturity stage is a complex endeavor, demanding a blend of preservation, innovation, and transformation strategies. For Tesco, this has meant drawing from a rich tapestry of academic theories and practical insights, tailoring its performance management activities to the unique challenges and opportunities of this stage. Through strategic adaptability, a commitment to innovation, and an unwavering focus on both customers and employees, Tesco continues to chart its course in the ever-evolving retail industry, showcasing the dynamism and resilience that define its legacy.</w:t>
      </w:r>
    </w:p>
    <w:p w14:paraId="57EFD55B" w14:textId="77777777" w:rsidR="00014632" w:rsidRDefault="008510F4">
      <w:pPr>
        <w:ind w:firstLine="0"/>
        <w:rPr>
          <w:color w:val="000000"/>
        </w:rPr>
      </w:pPr>
      <w:r>
        <w:rPr>
          <w:color w:val="000000"/>
        </w:rPr>
        <w:t>Tesco is one of the biggest companies of the world that is using performance management system to increase the level of success. Tesco uses different strategies to motivate their employees. We can say that human resource department is playing a significant role in this scenario such as they used to conduct survey among to employees that where they stand and how do they feel about the workplace.</w:t>
      </w:r>
    </w:p>
    <w:p w14:paraId="26D8FB45" w14:textId="77777777" w:rsidR="00014632" w:rsidRDefault="008510F4">
      <w:pPr>
        <w:pStyle w:val="Heading1"/>
        <w:jc w:val="left"/>
        <w:rPr>
          <w:color w:val="000000"/>
        </w:rPr>
      </w:pPr>
      <w:bookmarkStart w:id="18" w:name="_4i7ojhp" w:colFirst="0" w:colLast="0"/>
      <w:bookmarkEnd w:id="18"/>
      <w:r>
        <w:rPr>
          <w:color w:val="000000"/>
        </w:rPr>
        <w:lastRenderedPageBreak/>
        <w:t xml:space="preserve">Reflection on Learning and Improvement in Practice </w:t>
      </w:r>
    </w:p>
    <w:p w14:paraId="6D2C5F87" w14:textId="77777777" w:rsidR="00014632" w:rsidRDefault="008510F4">
      <w:pPr>
        <w:ind w:firstLine="0"/>
        <w:rPr>
          <w:color w:val="000000"/>
        </w:rPr>
      </w:pPr>
      <w:r>
        <w:rPr>
          <w:color w:val="000000"/>
        </w:rPr>
        <w:t>Reflecting upon this module has undoubtedly enriched my perspective on performance management. The semester-long programme on the application of contingency techniques has been enjoyable for me. Using references to the ongoing thesis has helped me better grasp and gain knowledge in each of the module's many subject areas.</w:t>
      </w:r>
    </w:p>
    <w:p w14:paraId="5A59B999" w14:textId="77777777" w:rsidR="00014632" w:rsidRDefault="008510F4">
      <w:pPr>
        <w:ind w:firstLine="0"/>
        <w:rPr>
          <w:color w:val="000000"/>
        </w:rPr>
      </w:pPr>
      <w:r>
        <w:rPr>
          <w:color w:val="000000"/>
        </w:rPr>
        <w:t xml:space="preserve">The module's deep dive into the contingency approach model has been particularly enlightening, revealing its applicability across diverse business life cycle stages. </w:t>
      </w:r>
    </w:p>
    <w:p w14:paraId="3F3210A7" w14:textId="77777777" w:rsidR="00014632" w:rsidRDefault="008510F4">
      <w:pPr>
        <w:ind w:firstLine="0"/>
        <w:rPr>
          <w:color w:val="000000"/>
        </w:rPr>
      </w:pPr>
      <w:r>
        <w:rPr>
          <w:color w:val="000000"/>
        </w:rPr>
        <w:t>One significant revelation from this module is the intricate balance between individual, team, and organizational objectives. Insights from the early weeks illuminated the necessity of aligning these tiers for holistic organizational success. With Tesco as a case in point, I am now better poised to contribute to and evaluate alignment processes, ensuring that performance management strategies effectively resonate with the larger organizational narrative.</w:t>
      </w:r>
    </w:p>
    <w:p w14:paraId="7EB5A9FC" w14:textId="77777777" w:rsidR="00014632" w:rsidRDefault="008510F4">
      <w:pPr>
        <w:ind w:firstLine="0"/>
        <w:rPr>
          <w:color w:val="000000"/>
        </w:rPr>
      </w:pPr>
      <w:r>
        <w:rPr>
          <w:color w:val="000000"/>
        </w:rPr>
        <w:t>The module's emphasis on planning, actioning, and measuring performance management, and juxtaposing it against Tesco's strategies, has provided invaluable insights. Tesco's commitment to innovative planning, agile actioning in the face of market challenges, and its robust performance measurement systems, especially its emphasis on customer feedback and satisfaction metrics, stands as a testament to the theories discussed. This enhanced understanding gears me up to play a proactive role in performance management processes, ensuring dynamism, alignment, and efficacy.</w:t>
      </w:r>
    </w:p>
    <w:p w14:paraId="1A472827" w14:textId="77777777" w:rsidR="00014632" w:rsidRDefault="008510F4">
      <w:pPr>
        <w:ind w:firstLine="0"/>
        <w:rPr>
          <w:color w:val="000000"/>
        </w:rPr>
      </w:pPr>
      <w:r>
        <w:rPr>
          <w:color w:val="000000"/>
        </w:rPr>
        <w:t xml:space="preserve">The exploration of the relationship between organizational design and performance management strategies offered a comprehensive viewpoint on how structure and strategy intermingle. Understanding Tesco's organizational design, especially its shift towards more flexible structures in the face of digital transformation and market shifts, resonates with the module's emphasis on </w:t>
      </w:r>
      <w:r>
        <w:rPr>
          <w:color w:val="000000"/>
        </w:rPr>
        <w:lastRenderedPageBreak/>
        <w:t>tailoring design and strategies as per the business life cycle stage. This insight is instrumental in ensuring that performance management strategies are not just theoretically sound but also contextually apt.</w:t>
      </w:r>
    </w:p>
    <w:p w14:paraId="36DC2088" w14:textId="77777777" w:rsidR="00014632" w:rsidRDefault="008510F4">
      <w:pPr>
        <w:ind w:firstLine="0"/>
        <w:rPr>
          <w:color w:val="000000"/>
        </w:rPr>
      </w:pPr>
      <w:r>
        <w:rPr>
          <w:color w:val="000000"/>
        </w:rPr>
        <w:t>Lastly, the focus on the post-maturity stage, particularly managing team dynamics, has been a revelation. Tesco's emphasis on fostering a culture of continuous learning, innovation, and collaboration reflects the module's insights on managing team dynamics and analyzing group behavior. This understanding equips me to emphasize the significance of team collaboration, harnessing diverse skills, and undertaking regular behavior analysis to optimize performance management, especially in challenging stages of an organization's life cycle.</w:t>
      </w:r>
    </w:p>
    <w:p w14:paraId="35D8DC5F" w14:textId="77777777" w:rsidR="00014632" w:rsidRDefault="008510F4">
      <w:pPr>
        <w:ind w:firstLine="0"/>
        <w:rPr>
          <w:color w:val="000000"/>
          <w:highlight w:val="yellow"/>
        </w:rPr>
      </w:pPr>
      <w:r>
        <w:rPr>
          <w:color w:val="000000"/>
        </w:rPr>
        <w:t>This module, intertwined with the narrative of Tesco, has fortified my understanding of performance management, offering a harmonious blend of theory and practice. It equips me to approach performance management not just as a managerial task but as an evolving strategy, adaptable and aligned to an organization's journey and challenges.</w:t>
      </w:r>
    </w:p>
    <w:p w14:paraId="5B8AEF9E" w14:textId="77777777" w:rsidR="00014632" w:rsidRDefault="008510F4">
      <w:pPr>
        <w:pStyle w:val="Heading1"/>
        <w:jc w:val="left"/>
        <w:rPr>
          <w:color w:val="000000"/>
        </w:rPr>
      </w:pPr>
      <w:bookmarkStart w:id="19" w:name="_2xcytpi" w:colFirst="0" w:colLast="0"/>
      <w:bookmarkEnd w:id="19"/>
      <w:r>
        <w:rPr>
          <w:color w:val="000000"/>
        </w:rPr>
        <w:t xml:space="preserve">Conclusion and Recommendation </w:t>
      </w:r>
    </w:p>
    <w:p w14:paraId="7C1768B2" w14:textId="77777777" w:rsidR="00014632" w:rsidRDefault="008510F4">
      <w:pPr>
        <w:ind w:firstLine="0"/>
      </w:pPr>
      <w:r>
        <w:t xml:space="preserve">This in-depth exploration of the contingency approach model, especially in the context of Tesco's storied trajectory, has illuminated the profound interplay between theory and practice. The model's inherent adaptability, which hinges on aligning with an organization's ever-evolving internal and external milieu, is quintessential for fostering both organizational effectiveness and sustainability. By threading the needle between individual, team, and overarching organizational objectives, the assignment has highlighted the salience of harmonized performance management. The emphasis on navigating different business life cycle stages, particularly the often-daunting decline and post-maturity stages, underscores the exigency for nuanced, tailored strategies. </w:t>
      </w:r>
      <w:r>
        <w:lastRenderedPageBreak/>
        <w:t>Tesco's pragmatic application of these tenets, as evidenced in its continuous evolution in the UK market, stands as a testament to the contingency approach model's robustness and relevance.</w:t>
      </w:r>
    </w:p>
    <w:p w14:paraId="29186EE0" w14:textId="77777777" w:rsidR="00014632" w:rsidRDefault="008510F4">
      <w:pPr>
        <w:ind w:firstLine="0"/>
      </w:pPr>
      <w:r>
        <w:rPr>
          <w:b/>
        </w:rPr>
        <w:t>Recommendations</w:t>
      </w:r>
      <w:r>
        <w:t>:</w:t>
      </w:r>
    </w:p>
    <w:p w14:paraId="296244BE" w14:textId="77777777" w:rsidR="00014632" w:rsidRDefault="008510F4">
      <w:pPr>
        <w:numPr>
          <w:ilvl w:val="0"/>
          <w:numId w:val="9"/>
        </w:numPr>
      </w:pPr>
      <w:r>
        <w:rPr>
          <w:b/>
        </w:rPr>
        <w:t>Life Cycle-centric Adaptation</w:t>
      </w:r>
      <w:r>
        <w:t>: Organizations, taking a leaf out of Tesco's book, should pivot their performance management strategies in tandem with their life cycle stage. This ensures strategies remain pertinent and efficacious in achieving desired outcomes.</w:t>
      </w:r>
    </w:p>
    <w:p w14:paraId="39F3FDCC" w14:textId="77777777" w:rsidR="00014632" w:rsidRDefault="008510F4">
      <w:pPr>
        <w:numPr>
          <w:ilvl w:val="0"/>
          <w:numId w:val="9"/>
        </w:numPr>
      </w:pPr>
      <w:r>
        <w:rPr>
          <w:b/>
        </w:rPr>
        <w:t>Embrace Continual Learning</w:t>
      </w:r>
      <w:r>
        <w:t>: An emphasis on perpetually augmenting skills and competencies within the workforce catalyzes innovation and elevates performance standards.</w:t>
      </w:r>
    </w:p>
    <w:p w14:paraId="605C4D9B" w14:textId="77777777" w:rsidR="00014632" w:rsidRDefault="008510F4">
      <w:pPr>
        <w:numPr>
          <w:ilvl w:val="0"/>
          <w:numId w:val="9"/>
        </w:numPr>
      </w:pPr>
      <w:r>
        <w:rPr>
          <w:b/>
        </w:rPr>
        <w:t>Champion Employee Welfare</w:t>
      </w:r>
      <w:r>
        <w:t>: Especially in tumultuous phases like decline or transformation, anchoring employee well-being and recognition can bolster morale, sustain motivation, and amplify productivity.</w:t>
      </w:r>
    </w:p>
    <w:p w14:paraId="501A0C9F" w14:textId="77777777" w:rsidR="00014632" w:rsidRDefault="008510F4">
      <w:pPr>
        <w:numPr>
          <w:ilvl w:val="0"/>
          <w:numId w:val="9"/>
        </w:numPr>
      </w:pPr>
      <w:r>
        <w:rPr>
          <w:b/>
        </w:rPr>
        <w:t>Resource Management is Key</w:t>
      </w:r>
      <w:r>
        <w:t>: Efficiently harnessing resources and fine-tuning operational efficiency is paramount. It equips organizations to adeptly circumnavigate the intricate challenges presented by various life cycle stages.</w:t>
      </w:r>
    </w:p>
    <w:p w14:paraId="12631D63" w14:textId="77777777" w:rsidR="00014632" w:rsidRDefault="008510F4">
      <w:pPr>
        <w:numPr>
          <w:ilvl w:val="0"/>
          <w:numId w:val="9"/>
        </w:numPr>
      </w:pPr>
      <w:r>
        <w:rPr>
          <w:b/>
        </w:rPr>
        <w:t>Institutionalize Feedback Mechanisms</w:t>
      </w:r>
      <w:r>
        <w:t>: Regular assessments paired with constructive feedback loops will not only gauge performance but also spotlight areas for improvement, paving the way for timely interventions.</w:t>
      </w:r>
    </w:p>
    <w:p w14:paraId="7F6B0879" w14:textId="77777777" w:rsidR="00014632" w:rsidRDefault="008510F4">
      <w:pPr>
        <w:ind w:firstLine="0"/>
      </w:pPr>
      <w:r>
        <w:t xml:space="preserve">In summation, the contingency approach model emerges as an invaluable compass for orchestrating performance management across diverse business life cycle stages. Its core tenets of flexibility, strategic alignment, and incessant refinement are in concert with today's fluid business terrain, anchoring organizational durability and success. The profound insights unearthed through this analytical journey accentuate the import of a holistic, deliberate, and </w:t>
      </w:r>
      <w:r>
        <w:lastRenderedPageBreak/>
        <w:t>forward-thinking approach to performance management. It's clear that such an approach doesn't merely sustain growth but, as evidenced by giants like Tesco, can also propel an organization to the zenith of its industry.</w:t>
      </w:r>
    </w:p>
    <w:p w14:paraId="4830FBEC" w14:textId="77777777" w:rsidR="00014632" w:rsidRDefault="00014632"/>
    <w:p w14:paraId="1A3D7137" w14:textId="77777777" w:rsidR="00014632" w:rsidRDefault="008510F4">
      <w:pPr>
        <w:rPr>
          <w:b/>
          <w:color w:val="000000"/>
        </w:rPr>
      </w:pPr>
      <w:r>
        <w:br w:type="page"/>
      </w:r>
    </w:p>
    <w:p w14:paraId="422D14B6" w14:textId="77777777" w:rsidR="00014632" w:rsidRDefault="008510F4">
      <w:pPr>
        <w:pStyle w:val="Heading1"/>
        <w:jc w:val="left"/>
        <w:rPr>
          <w:color w:val="000000"/>
        </w:rPr>
      </w:pPr>
      <w:bookmarkStart w:id="20" w:name="_1ci93xb" w:colFirst="0" w:colLast="0"/>
      <w:bookmarkEnd w:id="20"/>
      <w:r>
        <w:rPr>
          <w:color w:val="000000"/>
        </w:rPr>
        <w:lastRenderedPageBreak/>
        <w:t>References</w:t>
      </w:r>
    </w:p>
    <w:p w14:paraId="568059C4" w14:textId="77777777" w:rsidR="00014632" w:rsidRDefault="008510F4">
      <w:pPr>
        <w:ind w:left="720" w:hanging="720"/>
        <w:rPr>
          <w:color w:val="000000"/>
        </w:rPr>
      </w:pPr>
      <w:proofErr w:type="spellStart"/>
      <w:r>
        <w:rPr>
          <w:color w:val="000000"/>
        </w:rPr>
        <w:t>Acur</w:t>
      </w:r>
      <w:proofErr w:type="spellEnd"/>
      <w:r>
        <w:rPr>
          <w:color w:val="000000"/>
        </w:rPr>
        <w:t xml:space="preserve">, N., </w:t>
      </w:r>
      <w:proofErr w:type="spellStart"/>
      <w:r>
        <w:rPr>
          <w:color w:val="000000"/>
        </w:rPr>
        <w:t>Bititci</w:t>
      </w:r>
      <w:proofErr w:type="spellEnd"/>
      <w:r>
        <w:rPr>
          <w:color w:val="000000"/>
        </w:rPr>
        <w:t>, U., 2004. A balanced approach to strategy process. International Journal of Operations &amp; Production Management 24, 388–408. https://doi.org/10.1108/01443570410524659</w:t>
      </w:r>
    </w:p>
    <w:p w14:paraId="15009144" w14:textId="77777777" w:rsidR="00014632" w:rsidRDefault="008510F4">
      <w:pPr>
        <w:ind w:left="720" w:hanging="720"/>
        <w:rPr>
          <w:color w:val="000000"/>
        </w:rPr>
      </w:pPr>
      <w:r>
        <w:rPr>
          <w:color w:val="000000"/>
        </w:rPr>
        <w:t xml:space="preserve">Alt, R., </w:t>
      </w:r>
      <w:proofErr w:type="spellStart"/>
      <w:r>
        <w:rPr>
          <w:color w:val="000000"/>
        </w:rPr>
        <w:t>Puschmann</w:t>
      </w:r>
      <w:proofErr w:type="spellEnd"/>
      <w:r>
        <w:rPr>
          <w:color w:val="000000"/>
        </w:rPr>
        <w:t>, T., 2012. The rise of customer-oriented banking - electronic markets are paving the way for change in the financial industry. Electronic Markets 22, 203–215. https://doi.org/10.1007/s12525-012-0106-2</w:t>
      </w:r>
    </w:p>
    <w:p w14:paraId="51D1A81B" w14:textId="77777777" w:rsidR="00014632" w:rsidRDefault="008510F4">
      <w:pPr>
        <w:ind w:left="720" w:hanging="720"/>
        <w:rPr>
          <w:color w:val="000000"/>
        </w:rPr>
      </w:pPr>
      <w:r>
        <w:rPr>
          <w:color w:val="000000"/>
        </w:rPr>
        <w:t>Ansoff, H.I. (1957). Strategies for Diversification. Harvard Business Review.</w:t>
      </w:r>
    </w:p>
    <w:p w14:paraId="732AFBCE" w14:textId="77777777" w:rsidR="00014632" w:rsidRDefault="008510F4">
      <w:pPr>
        <w:ind w:left="720" w:hanging="720"/>
        <w:rPr>
          <w:color w:val="000000"/>
        </w:rPr>
      </w:pPr>
      <w:r>
        <w:rPr>
          <w:color w:val="000000"/>
        </w:rPr>
        <w:t xml:space="preserve">Becker, S.J., Squires, D.D., Strong, D.R., Barnett, N.P., Monti, P.M., Petry, N.M., 2016. Training Opioid Addiction Treatment Providers to Adopt Contingency Management: A Prospective Pilot Trial of </w:t>
      </w:r>
      <w:proofErr w:type="gramStart"/>
      <w:r>
        <w:rPr>
          <w:color w:val="000000"/>
        </w:rPr>
        <w:t>A</w:t>
      </w:r>
      <w:proofErr w:type="gramEnd"/>
      <w:r>
        <w:rPr>
          <w:color w:val="000000"/>
        </w:rPr>
        <w:t xml:space="preserve"> Comprehensive Implementation Science Approach. Substance Abuse 37, 134–140. https://doi.org/10.1080/08897077.2015.1129524</w:t>
      </w:r>
    </w:p>
    <w:p w14:paraId="530B1288" w14:textId="77777777" w:rsidR="00014632" w:rsidRDefault="008510F4">
      <w:pPr>
        <w:ind w:left="720" w:hanging="720"/>
        <w:rPr>
          <w:color w:val="000000"/>
        </w:rPr>
      </w:pPr>
      <w:r>
        <w:rPr>
          <w:color w:val="000000"/>
        </w:rPr>
        <w:t>Blank, S. (2013). Why the Lean Start-Up Changes Everything. Harvard Business Review.</w:t>
      </w:r>
    </w:p>
    <w:p w14:paraId="6AD2DF9E" w14:textId="77777777" w:rsidR="00014632" w:rsidRDefault="008510F4">
      <w:pPr>
        <w:ind w:left="720" w:hanging="720"/>
        <w:rPr>
          <w:color w:val="000000"/>
        </w:rPr>
      </w:pPr>
      <w:r>
        <w:rPr>
          <w:color w:val="000000"/>
        </w:rPr>
        <w:t xml:space="preserve">Dia, M., </w:t>
      </w:r>
      <w:proofErr w:type="spellStart"/>
      <w:r>
        <w:rPr>
          <w:color w:val="000000"/>
        </w:rPr>
        <w:t>Golmohammadi</w:t>
      </w:r>
      <w:proofErr w:type="spellEnd"/>
      <w:r>
        <w:rPr>
          <w:color w:val="000000"/>
        </w:rPr>
        <w:t xml:space="preserve">, A., </w:t>
      </w:r>
      <w:proofErr w:type="spellStart"/>
      <w:r>
        <w:rPr>
          <w:color w:val="000000"/>
        </w:rPr>
        <w:t>Takouda</w:t>
      </w:r>
      <w:proofErr w:type="spellEnd"/>
      <w:r>
        <w:rPr>
          <w:color w:val="000000"/>
        </w:rPr>
        <w:t>, P.M., 2020. Relative Efficiency of Canadian Banks: A Three-Stage Network Bootstrap DEA. Journal of Risk and Financial Management 13, 68. https://doi.org/10.3390/jrfm13040068</w:t>
      </w:r>
    </w:p>
    <w:p w14:paraId="36D9A609" w14:textId="77777777" w:rsidR="00014632" w:rsidRDefault="008510F4">
      <w:pPr>
        <w:ind w:left="720" w:hanging="720"/>
        <w:rPr>
          <w:color w:val="000000"/>
        </w:rPr>
      </w:pPr>
      <w:r>
        <w:rPr>
          <w:color w:val="000000"/>
        </w:rPr>
        <w:t>Drucker, P. (2007). Innovation and entrepreneurship. Butterworth-Heinemann.</w:t>
      </w:r>
    </w:p>
    <w:p w14:paraId="56C38800" w14:textId="77777777" w:rsidR="00014632" w:rsidRDefault="008510F4">
      <w:pPr>
        <w:ind w:left="720" w:hanging="720"/>
        <w:rPr>
          <w:color w:val="000000"/>
        </w:rPr>
      </w:pPr>
      <w:r>
        <w:rPr>
          <w:color w:val="000000"/>
        </w:rPr>
        <w:t xml:space="preserve">Falsone, A., </w:t>
      </w:r>
      <w:proofErr w:type="spellStart"/>
      <w:r>
        <w:rPr>
          <w:color w:val="000000"/>
        </w:rPr>
        <w:t>Deori</w:t>
      </w:r>
      <w:proofErr w:type="spellEnd"/>
      <w:r>
        <w:rPr>
          <w:color w:val="000000"/>
        </w:rPr>
        <w:t xml:space="preserve">, L., Ioli, D., </w:t>
      </w:r>
      <w:proofErr w:type="spellStart"/>
      <w:r>
        <w:rPr>
          <w:color w:val="000000"/>
        </w:rPr>
        <w:t>Garatti</w:t>
      </w:r>
      <w:proofErr w:type="spellEnd"/>
      <w:r>
        <w:rPr>
          <w:color w:val="000000"/>
        </w:rPr>
        <w:t>, S., Prandini, M., 2022. Optimal Steady-State Disturbance Compensation for Constrained Linear Systems: The Gaussian Noise Case. IEEE Transactions on Automatic Control 67, 6322–6332. https://doi.org/10.1109/tac.2021.3127431</w:t>
      </w:r>
    </w:p>
    <w:p w14:paraId="264554F3" w14:textId="77777777" w:rsidR="00014632" w:rsidRDefault="008510F4">
      <w:pPr>
        <w:ind w:left="720" w:hanging="720"/>
        <w:rPr>
          <w:color w:val="000000"/>
        </w:rPr>
      </w:pPr>
      <w:r>
        <w:rPr>
          <w:color w:val="000000"/>
        </w:rPr>
        <w:t xml:space="preserve">Gamal, L., 2022. Corporate sustainability performance throughout the firm life cycle: Case of Egypt [WWW Document]. Virtus </w:t>
      </w:r>
      <w:proofErr w:type="spellStart"/>
      <w:r>
        <w:rPr>
          <w:color w:val="000000"/>
        </w:rPr>
        <w:t>InterPress</w:t>
      </w:r>
      <w:proofErr w:type="spellEnd"/>
      <w:r>
        <w:rPr>
          <w:color w:val="000000"/>
        </w:rPr>
        <w:t>. URL https://doi.org/10.22495/cgobrv6i1p6</w:t>
      </w:r>
    </w:p>
    <w:p w14:paraId="4CD8A5CC" w14:textId="77777777" w:rsidR="00014632" w:rsidRDefault="008510F4">
      <w:pPr>
        <w:ind w:left="720" w:hanging="720"/>
        <w:rPr>
          <w:color w:val="000000"/>
        </w:rPr>
      </w:pPr>
      <w:r>
        <w:rPr>
          <w:color w:val="000000"/>
        </w:rPr>
        <w:lastRenderedPageBreak/>
        <w:t xml:space="preserve">Hadžić, N., </w:t>
      </w:r>
      <w:proofErr w:type="spellStart"/>
      <w:r>
        <w:rPr>
          <w:color w:val="000000"/>
        </w:rPr>
        <w:t>Ložar</w:t>
      </w:r>
      <w:proofErr w:type="spellEnd"/>
      <w:r>
        <w:rPr>
          <w:color w:val="000000"/>
        </w:rPr>
        <w:t xml:space="preserve">, V., </w:t>
      </w:r>
      <w:proofErr w:type="spellStart"/>
      <w:r>
        <w:rPr>
          <w:color w:val="000000"/>
        </w:rPr>
        <w:t>Opetuk</w:t>
      </w:r>
      <w:proofErr w:type="spellEnd"/>
      <w:r>
        <w:rPr>
          <w:color w:val="000000"/>
        </w:rPr>
        <w:t xml:space="preserve">, T., </w:t>
      </w:r>
      <w:proofErr w:type="spellStart"/>
      <w:r>
        <w:rPr>
          <w:color w:val="000000"/>
        </w:rPr>
        <w:t>Kunkera</w:t>
      </w:r>
      <w:proofErr w:type="spellEnd"/>
      <w:r>
        <w:rPr>
          <w:color w:val="000000"/>
        </w:rPr>
        <w:t>, Z., 2022. The Bernoulli Assembly Line: The Analytical and Semi-Analytical Evaluation of Steady-State Performance. Applied Sciences 12, 12447. https://doi.org/10.3390/app122312447</w:t>
      </w:r>
    </w:p>
    <w:p w14:paraId="2E5D73CE" w14:textId="77777777" w:rsidR="00014632" w:rsidRDefault="008510F4">
      <w:pPr>
        <w:ind w:left="720" w:hanging="720"/>
        <w:rPr>
          <w:color w:val="000000"/>
        </w:rPr>
      </w:pPr>
      <w:r>
        <w:rPr>
          <w:color w:val="000000"/>
        </w:rPr>
        <w:t xml:space="preserve">Hoehn, D., </w:t>
      </w:r>
      <w:proofErr w:type="spellStart"/>
      <w:r>
        <w:rPr>
          <w:color w:val="000000"/>
        </w:rPr>
        <w:t>Laso</w:t>
      </w:r>
      <w:proofErr w:type="spellEnd"/>
      <w:r>
        <w:rPr>
          <w:color w:val="000000"/>
        </w:rPr>
        <w:t>, J., Cristóbal, J., Ruiz‐</w:t>
      </w:r>
      <w:proofErr w:type="spellStart"/>
      <w:r>
        <w:rPr>
          <w:color w:val="000000"/>
        </w:rPr>
        <w:t>Salmón</w:t>
      </w:r>
      <w:proofErr w:type="spellEnd"/>
      <w:r>
        <w:rPr>
          <w:color w:val="000000"/>
        </w:rPr>
        <w:t xml:space="preserve">, I., Butnar, I., </w:t>
      </w:r>
      <w:proofErr w:type="spellStart"/>
      <w:r>
        <w:rPr>
          <w:color w:val="000000"/>
        </w:rPr>
        <w:t>Borrion</w:t>
      </w:r>
      <w:proofErr w:type="spellEnd"/>
      <w:r>
        <w:rPr>
          <w:color w:val="000000"/>
        </w:rPr>
        <w:t xml:space="preserve">, A., Bala, A., </w:t>
      </w:r>
      <w:proofErr w:type="spellStart"/>
      <w:r>
        <w:rPr>
          <w:color w:val="000000"/>
        </w:rPr>
        <w:t>Fullana</w:t>
      </w:r>
      <w:proofErr w:type="spellEnd"/>
      <w:r>
        <w:rPr>
          <w:color w:val="000000"/>
        </w:rPr>
        <w:t>–</w:t>
      </w:r>
      <w:proofErr w:type="spellStart"/>
      <w:r>
        <w:rPr>
          <w:color w:val="000000"/>
        </w:rPr>
        <w:t>i</w:t>
      </w:r>
      <w:proofErr w:type="spellEnd"/>
      <w:r>
        <w:rPr>
          <w:color w:val="000000"/>
        </w:rPr>
        <w:t>–Palmer, P., Vázquez‐Rowe, I., Aldaco, R., Margallo, M., 2020. Regionalized Strategies for Food Loss and Waste Management in Spain under a Life Cycle Thinking Approach [WWW Document]. Foods. https://doi.org/10.3390/foods9121765</w:t>
      </w:r>
    </w:p>
    <w:p w14:paraId="52306081" w14:textId="77777777" w:rsidR="00014632" w:rsidRDefault="008510F4">
      <w:pPr>
        <w:ind w:left="720" w:hanging="720"/>
        <w:rPr>
          <w:color w:val="000000"/>
        </w:rPr>
      </w:pPr>
      <w:r>
        <w:rPr>
          <w:color w:val="000000"/>
        </w:rPr>
        <w:t>Hussain, M.I., Lee, G.-H., Kim, J.-T., 2021. A Comprehensive Performance Characterization of a Nanofluid-Powered Dual-Fluid PV/T System under Outdoor Steady State Conditions. Sustainability 13, 13134. https://doi.org/10.3390/su132313134</w:t>
      </w:r>
    </w:p>
    <w:p w14:paraId="24F31752" w14:textId="77777777" w:rsidR="00014632" w:rsidRDefault="008510F4">
      <w:pPr>
        <w:ind w:left="720" w:hanging="720"/>
        <w:rPr>
          <w:color w:val="000000"/>
        </w:rPr>
      </w:pPr>
      <w:r>
        <w:rPr>
          <w:color w:val="000000"/>
        </w:rPr>
        <w:t xml:space="preserve">Ibarra, D., Bigdeli, A.Z., Igartua, J.I., </w:t>
      </w:r>
      <w:proofErr w:type="spellStart"/>
      <w:r>
        <w:rPr>
          <w:color w:val="000000"/>
        </w:rPr>
        <w:t>Ganzarain</w:t>
      </w:r>
      <w:proofErr w:type="spellEnd"/>
      <w:r>
        <w:rPr>
          <w:color w:val="000000"/>
        </w:rPr>
        <w:t>, J., 2020. Business Model Innovation in Established SMEs: A Configurational Approach. Journal of Open Innovation: Technology, Market, and Complexity 6, 76. https://doi.org/10.3390/joitmc6030076</w:t>
      </w:r>
    </w:p>
    <w:p w14:paraId="1CD27231" w14:textId="77777777" w:rsidR="00014632" w:rsidRDefault="008510F4">
      <w:pPr>
        <w:ind w:left="720" w:hanging="720"/>
        <w:rPr>
          <w:color w:val="000000"/>
        </w:rPr>
      </w:pPr>
      <w:r>
        <w:rPr>
          <w:color w:val="000000"/>
        </w:rPr>
        <w:t>Ipsen, K.L., Zimmermann, R.K., Nielsen, P.S., Birkved, M., 2018. Environmental assessment of Smart City Solutions using a coupled urban metabolism—life cycle impact assessment approach. The International Journal of Life Cycle Assessment 24, 1239–1253. https://doi.org/10.1007/s11367-018-1453-9</w:t>
      </w:r>
    </w:p>
    <w:p w14:paraId="50738DA1" w14:textId="77777777" w:rsidR="00014632" w:rsidRDefault="008510F4">
      <w:pPr>
        <w:ind w:left="720" w:hanging="720"/>
        <w:rPr>
          <w:color w:val="000000"/>
        </w:rPr>
      </w:pPr>
      <w:r>
        <w:rPr>
          <w:color w:val="000000"/>
        </w:rPr>
        <w:t>Iqbal, A., Aftab, S., Ali, U., Nawaz, Z., Sana, L., Ahmad, M., Husen, A., 2019. Performance Analysis of Machine Learning Techniques on Software Defect Prediction using NASA Datasets. International Journal of Advanced Computer Science and Applications 10. https://doi.org/10.14569/ijacsa.2019.0100538</w:t>
      </w:r>
    </w:p>
    <w:p w14:paraId="7C0D2C6E" w14:textId="77777777" w:rsidR="00014632" w:rsidRDefault="008510F4">
      <w:pPr>
        <w:ind w:left="720" w:hanging="720"/>
        <w:rPr>
          <w:color w:val="000000"/>
        </w:rPr>
      </w:pPr>
      <w:r>
        <w:rPr>
          <w:color w:val="000000"/>
        </w:rPr>
        <w:t xml:space="preserve">Ireland, R. D., </w:t>
      </w:r>
      <w:proofErr w:type="spellStart"/>
      <w:r>
        <w:rPr>
          <w:color w:val="000000"/>
        </w:rPr>
        <w:t>Hoskisson</w:t>
      </w:r>
      <w:proofErr w:type="spellEnd"/>
      <w:r>
        <w:rPr>
          <w:color w:val="000000"/>
        </w:rPr>
        <w:t>, R., &amp; Hitt, M. A. (2017). The management of strategy: Concepts and cases. Cengage Learning.</w:t>
      </w:r>
    </w:p>
    <w:p w14:paraId="206E7B16" w14:textId="77777777" w:rsidR="00014632" w:rsidRDefault="008510F4">
      <w:pPr>
        <w:ind w:left="720" w:hanging="720"/>
        <w:rPr>
          <w:color w:val="000000"/>
        </w:rPr>
      </w:pPr>
      <w:r>
        <w:rPr>
          <w:color w:val="000000"/>
        </w:rPr>
        <w:lastRenderedPageBreak/>
        <w:t>Kaplan, R. S., &amp; Norton, D. P. (2001). Transforming the balanced scorecard from performance measurement to strategic management. Accounting horizons, 15(1), 87-104.</w:t>
      </w:r>
    </w:p>
    <w:p w14:paraId="4974D009" w14:textId="77777777" w:rsidR="00014632" w:rsidRDefault="008510F4">
      <w:pPr>
        <w:ind w:left="720" w:hanging="720"/>
        <w:rPr>
          <w:color w:val="000000"/>
        </w:rPr>
      </w:pPr>
      <w:r>
        <w:rPr>
          <w:color w:val="000000"/>
        </w:rPr>
        <w:t>Kim, T., Chae, C., 2016. Evaluation Analysis of the CO2 Emission and Absorption Life Cycle for Precast Concrete in Korea. Sustainability 8, 663. https://doi.org/10.3390/su8070663</w:t>
      </w:r>
    </w:p>
    <w:p w14:paraId="215DC954" w14:textId="77777777" w:rsidR="00014632" w:rsidRDefault="008510F4">
      <w:pPr>
        <w:ind w:left="720" w:hanging="720"/>
        <w:rPr>
          <w:color w:val="000000"/>
        </w:rPr>
      </w:pPr>
      <w:r>
        <w:rPr>
          <w:color w:val="000000"/>
        </w:rPr>
        <w:t>Kim, W.C., &amp; Mauborgne, R. (2004). Blue Ocean Strategy. Harvard Business Review.</w:t>
      </w:r>
    </w:p>
    <w:p w14:paraId="2601701D" w14:textId="77777777" w:rsidR="00014632" w:rsidRDefault="008510F4">
      <w:pPr>
        <w:ind w:left="720" w:hanging="720"/>
        <w:rPr>
          <w:color w:val="000000"/>
        </w:rPr>
      </w:pPr>
      <w:r>
        <w:rPr>
          <w:color w:val="000000"/>
        </w:rPr>
        <w:t>Levitt, T. (1965). Exploit the Product Life Cycle. Harvard Business Review.</w:t>
      </w:r>
    </w:p>
    <w:p w14:paraId="2036BEC9" w14:textId="77777777" w:rsidR="00014632" w:rsidRDefault="008510F4">
      <w:pPr>
        <w:ind w:left="720" w:hanging="720"/>
        <w:rPr>
          <w:color w:val="000000"/>
        </w:rPr>
      </w:pPr>
      <w:r>
        <w:rPr>
          <w:color w:val="000000"/>
        </w:rPr>
        <w:t xml:space="preserve">Mole, K., North, D., </w:t>
      </w:r>
      <w:proofErr w:type="spellStart"/>
      <w:r>
        <w:rPr>
          <w:color w:val="000000"/>
        </w:rPr>
        <w:t>Baldock</w:t>
      </w:r>
      <w:proofErr w:type="spellEnd"/>
      <w:r>
        <w:rPr>
          <w:color w:val="000000"/>
        </w:rPr>
        <w:t>, R., 2016. Which SMEs seek external support? Business characteristics, management behaviour and external influences in a contingency approach. Environment and Planning C: Politics and Space 35, 476–499. https://doi.org/10.1177/0263774x16665362</w:t>
      </w:r>
    </w:p>
    <w:p w14:paraId="6F41EBF9" w14:textId="77777777" w:rsidR="00014632" w:rsidRDefault="008510F4">
      <w:pPr>
        <w:ind w:left="720" w:hanging="720"/>
        <w:rPr>
          <w:color w:val="000000"/>
        </w:rPr>
      </w:pPr>
      <w:r>
        <w:rPr>
          <w:color w:val="000000"/>
        </w:rPr>
        <w:t xml:space="preserve">Oh, S.-S., Moon, H.C., Zhong, Y., 2020. Contingency Management and Supply Chain Performance in Korea: A COVID-19 Pandemic Approach [WWW Document]. Sustainability. </w:t>
      </w:r>
      <w:hyperlink r:id="rId8">
        <w:r>
          <w:rPr>
            <w:color w:val="5F5F5F"/>
            <w:u w:val="single"/>
          </w:rPr>
          <w:t>https://doi.org/10.3390/su12239823</w:t>
        </w:r>
      </w:hyperlink>
    </w:p>
    <w:p w14:paraId="4F06B02F" w14:textId="77777777" w:rsidR="00014632" w:rsidRDefault="008510F4">
      <w:pPr>
        <w:ind w:left="720" w:hanging="720"/>
        <w:rPr>
          <w:color w:val="000000"/>
        </w:rPr>
      </w:pPr>
      <w:r>
        <w:rPr>
          <w:color w:val="000000"/>
        </w:rPr>
        <w:t>Palmer, I., Hardy, C., 2000. Thinking about Management: Implications of Organizational Debates for Practice. https://doi.org/10.4135/9781446217641</w:t>
      </w:r>
    </w:p>
    <w:p w14:paraId="4EA1D74F" w14:textId="77777777" w:rsidR="00014632" w:rsidRDefault="008510F4">
      <w:pPr>
        <w:ind w:left="720" w:hanging="720"/>
        <w:rPr>
          <w:color w:val="000000"/>
        </w:rPr>
      </w:pPr>
      <w:r>
        <w:rPr>
          <w:color w:val="000000"/>
        </w:rPr>
        <w:t>Pei, H., Xiao, C., Xing, L., Tu, Z., 2022. Self-Water-Removal and Voltage Behavior Improvement of Dead-Ended Proton Exchange Membrane Fuel Cell Stack at Steady-State and Dynamic Conditions. Frontiers in Energy Research 10. https://doi.org/10.3389/fenrg.2022.902829</w:t>
      </w:r>
    </w:p>
    <w:p w14:paraId="31CDE28B" w14:textId="77777777" w:rsidR="00014632" w:rsidRDefault="008510F4">
      <w:pPr>
        <w:ind w:left="720" w:hanging="720"/>
        <w:rPr>
          <w:color w:val="000000"/>
        </w:rPr>
      </w:pPr>
      <w:r>
        <w:rPr>
          <w:color w:val="000000"/>
        </w:rPr>
        <w:t>Penrose, E. T. (1959). The theory of the growth of the firm. Oxford university press.</w:t>
      </w:r>
    </w:p>
    <w:p w14:paraId="4278B71A" w14:textId="77777777" w:rsidR="00014632" w:rsidRDefault="008510F4">
      <w:pPr>
        <w:ind w:left="720" w:hanging="720"/>
        <w:rPr>
          <w:color w:val="000000"/>
        </w:rPr>
      </w:pPr>
      <w:r>
        <w:rPr>
          <w:color w:val="000000"/>
        </w:rPr>
        <w:t>Porter, M.E., &amp; Kramer, M.R. (2006). Strategy and Society: The Link Between Competitive Advantage and Corporate Social Responsibility. Harvard Business Review.</w:t>
      </w:r>
    </w:p>
    <w:p w14:paraId="2C153AA9" w14:textId="77777777" w:rsidR="00014632" w:rsidRDefault="008510F4">
      <w:pPr>
        <w:ind w:left="720" w:hanging="720"/>
        <w:rPr>
          <w:color w:val="000000"/>
        </w:rPr>
      </w:pPr>
      <w:r>
        <w:rPr>
          <w:color w:val="000000"/>
        </w:rPr>
        <w:lastRenderedPageBreak/>
        <w:t>Prabhu, V.S., Shrivastava, S., Mukhopadhyay, K., 2021. Life Cycle Assessment of Solar Photovoltaic in India: A Circular Economy Approach [WWW Document]. Circular Economy and Sustainability. https://doi.org/10.1007/s43615-021-00101-5</w:t>
      </w:r>
    </w:p>
    <w:p w14:paraId="4578338B" w14:textId="77777777" w:rsidR="00014632" w:rsidRDefault="008510F4">
      <w:pPr>
        <w:ind w:left="720" w:hanging="720"/>
        <w:rPr>
          <w:color w:val="000000"/>
        </w:rPr>
      </w:pPr>
      <w:proofErr w:type="spellStart"/>
      <w:r>
        <w:rPr>
          <w:color w:val="000000"/>
        </w:rPr>
        <w:t>Rajlich</w:t>
      </w:r>
      <w:proofErr w:type="spellEnd"/>
      <w:r>
        <w:rPr>
          <w:color w:val="000000"/>
        </w:rPr>
        <w:t>, V.T., Bennett, K.H., 2000. A staged model for the software life cycle. Computer 33, 66–71. https://doi.org/10.1109/2.869374</w:t>
      </w:r>
    </w:p>
    <w:p w14:paraId="2F5E46A5" w14:textId="77777777" w:rsidR="00014632" w:rsidRDefault="008510F4">
      <w:pPr>
        <w:ind w:left="720" w:hanging="720"/>
        <w:rPr>
          <w:color w:val="000000"/>
        </w:rPr>
      </w:pPr>
      <w:r>
        <w:rPr>
          <w:color w:val="000000"/>
        </w:rPr>
        <w:t>Rhoades, D.L., Waguespack, B., 2008. Twenty years of service quality performance in the US airline industry. Managing Service Quality: An International Journal 18, 20–33. https://doi.org/10.1108/09604520810842821</w:t>
      </w:r>
    </w:p>
    <w:p w14:paraId="4EC8F80A" w14:textId="77777777" w:rsidR="00014632" w:rsidRDefault="008510F4">
      <w:pPr>
        <w:ind w:left="720" w:hanging="720"/>
        <w:rPr>
          <w:color w:val="000000"/>
        </w:rPr>
      </w:pPr>
      <w:proofErr w:type="spellStart"/>
      <w:r>
        <w:rPr>
          <w:color w:val="000000"/>
        </w:rPr>
        <w:t>Sakuntanak</w:t>
      </w:r>
      <w:proofErr w:type="spellEnd"/>
      <w:r>
        <w:rPr>
          <w:color w:val="000000"/>
        </w:rPr>
        <w:t xml:space="preserve">, K., 2022. Performance Management Training | </w:t>
      </w:r>
      <w:proofErr w:type="spellStart"/>
      <w:r>
        <w:rPr>
          <w:color w:val="000000"/>
        </w:rPr>
        <w:t>iHR</w:t>
      </w:r>
      <w:proofErr w:type="spellEnd"/>
      <w:r>
        <w:rPr>
          <w:color w:val="000000"/>
        </w:rPr>
        <w:t xml:space="preserve"> Australia [WWW Document]. </w:t>
      </w:r>
      <w:proofErr w:type="spellStart"/>
      <w:r>
        <w:rPr>
          <w:color w:val="000000"/>
        </w:rPr>
        <w:t>iHR</w:t>
      </w:r>
      <w:proofErr w:type="spellEnd"/>
      <w:r>
        <w:rPr>
          <w:color w:val="000000"/>
        </w:rPr>
        <w:t xml:space="preserve"> Australia. URL https://ihraustralia.com/workplace-training/performance-management/?job=1008&amp;action=click&amp;channel=search&amp;trfc=1&amp;obj=3&amp;utm_campaign=9553535957&amp;utm_source=google&amp;utm_medium=cpc&amp;utm_content=423064243636&amp;utm_term=performance%20management%20training&amp;adgroupid=93299304890&amp;utm_term=performance%20management%20training&amp;utm_campaign=EEO+-+Contact+Officer+training&amp;utm_source=adwords&amp;utm_medium=ppc&amp;hsa_acc=9951628333&amp;hsa_cam=9553535957&amp;hsa_grp=93299304890&amp;hsa_ad=423064243636&amp;hsa_src=g&amp;hsa_tgt=kwd-294343812907&amp;hsa_kw=performance%20management%20training&amp;hsa_mt=p&amp;hsa_net=adwords&amp;hsa_ver=3&amp;gclid=CjwKCAjwgsqoBhBNEiwAwe5w0zn7fOPAV72urwwy9bxR9gLdN8TFbQynO1iGr7si_cAZVC-ft7srVxoCTvgQAvD_BwE</w:t>
      </w:r>
    </w:p>
    <w:p w14:paraId="0EE07825" w14:textId="77777777" w:rsidR="00014632" w:rsidRDefault="008510F4">
      <w:pPr>
        <w:ind w:left="720" w:hanging="720"/>
        <w:rPr>
          <w:color w:val="000000"/>
        </w:rPr>
      </w:pPr>
      <w:r>
        <w:rPr>
          <w:color w:val="000000"/>
        </w:rPr>
        <w:t>Teece, D.J. (2018). Business models and dynamic capabilities. Long Range Planning, 51(1), 40-49.</w:t>
      </w:r>
    </w:p>
    <w:p w14:paraId="546DD51E" w14:textId="77777777" w:rsidR="00014632" w:rsidRDefault="008510F4">
      <w:pPr>
        <w:ind w:left="720" w:hanging="720"/>
        <w:rPr>
          <w:color w:val="000000"/>
        </w:rPr>
      </w:pPr>
      <w:r>
        <w:rPr>
          <w:color w:val="000000"/>
        </w:rPr>
        <w:lastRenderedPageBreak/>
        <w:t>Tweedie, D., Wild, D., Rhodes, C., Martinov‐Bennie, N., 2018. How Does Performance Management Affect Workers? Beyond Human Resource Management and Its Critique. International Journal of Management Reviews 21, 76–96. https://doi.org/10.1111/ijmr.12177</w:t>
      </w:r>
    </w:p>
    <w:p w14:paraId="1495CA26" w14:textId="77777777" w:rsidR="00014632" w:rsidRDefault="008510F4">
      <w:pPr>
        <w:ind w:left="720" w:hanging="720"/>
        <w:rPr>
          <w:color w:val="000000"/>
        </w:rPr>
      </w:pPr>
      <w:r>
        <w:rPr>
          <w:color w:val="000000"/>
        </w:rPr>
        <w:t xml:space="preserve">Wang, Z., Akbar, M., Akbar, A., 2020. The Interplay between Working Capital Management and a Firm’s Financial Performance across the Corporate Life Cycle. Sustainability 12, 1661.         </w:t>
      </w:r>
      <w:hyperlink r:id="rId9">
        <w:r>
          <w:rPr>
            <w:color w:val="5F5F5F"/>
            <w:u w:val="single"/>
          </w:rPr>
          <w:t>https://doi.org/10.3390/su12041661</w:t>
        </w:r>
      </w:hyperlink>
    </w:p>
    <w:p w14:paraId="5178DD02" w14:textId="77777777" w:rsidR="00014632" w:rsidRDefault="00014632">
      <w:pPr>
        <w:ind w:left="720" w:hanging="720"/>
        <w:rPr>
          <w:color w:val="000000"/>
        </w:rPr>
      </w:pPr>
    </w:p>
    <w:sectPr w:rsidR="00014632">
      <w:headerReference w:type="default" r:id="rId10"/>
      <w:headerReference w:type="firs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7DEF9" w14:textId="77777777" w:rsidR="00E50B36" w:rsidRDefault="00E50B36">
      <w:pPr>
        <w:spacing w:line="240" w:lineRule="auto"/>
      </w:pPr>
      <w:r>
        <w:separator/>
      </w:r>
    </w:p>
  </w:endnote>
  <w:endnote w:type="continuationSeparator" w:id="0">
    <w:p w14:paraId="4B2160DE" w14:textId="77777777" w:rsidR="00E50B36" w:rsidRDefault="00E50B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0639F" w14:textId="77777777" w:rsidR="00E50B36" w:rsidRDefault="00E50B36">
      <w:pPr>
        <w:spacing w:line="240" w:lineRule="auto"/>
      </w:pPr>
      <w:r>
        <w:separator/>
      </w:r>
    </w:p>
  </w:footnote>
  <w:footnote w:type="continuationSeparator" w:id="0">
    <w:p w14:paraId="0C08D1BB" w14:textId="77777777" w:rsidR="00E50B36" w:rsidRDefault="00E50B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3709D" w14:textId="77777777" w:rsidR="00014632" w:rsidRDefault="00014632">
    <w:pPr>
      <w:widowControl w:val="0"/>
      <w:pBdr>
        <w:top w:val="nil"/>
        <w:left w:val="nil"/>
        <w:bottom w:val="nil"/>
        <w:right w:val="nil"/>
        <w:between w:val="nil"/>
      </w:pBdr>
      <w:spacing w:line="276" w:lineRule="auto"/>
      <w:ind w:firstLine="0"/>
      <w:rPr>
        <w:color w:val="000000"/>
      </w:rPr>
    </w:pPr>
  </w:p>
  <w:tbl>
    <w:tblPr>
      <w:tblStyle w:val="a0"/>
      <w:tblW w:w="9360" w:type="dxa"/>
      <w:tblBorders>
        <w:top w:val="single" w:sz="4" w:space="0" w:color="EAEAEA"/>
        <w:left w:val="single" w:sz="4" w:space="0" w:color="B2B2B2"/>
        <w:bottom w:val="single" w:sz="4" w:space="0" w:color="EAEAEA"/>
        <w:right w:val="single" w:sz="4" w:space="0" w:color="B2B2B2"/>
        <w:insideH w:val="single" w:sz="4" w:space="0" w:color="EAEAEA"/>
        <w:insideV w:val="single" w:sz="4" w:space="0" w:color="EAEAEA"/>
      </w:tblBorders>
      <w:tblLayout w:type="fixed"/>
      <w:tblLook w:val="04A0" w:firstRow="1" w:lastRow="0" w:firstColumn="1" w:lastColumn="0" w:noHBand="0" w:noVBand="1"/>
    </w:tblPr>
    <w:tblGrid>
      <w:gridCol w:w="8280"/>
      <w:gridCol w:w="1080"/>
    </w:tblGrid>
    <w:tr w:rsidR="00014632" w14:paraId="532D6DFD" w14:textId="77777777" w:rsidTr="000146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80" w:type="dxa"/>
        </w:tcPr>
        <w:p w14:paraId="1CB3FA19" w14:textId="77777777" w:rsidR="00014632" w:rsidRDefault="008510F4">
          <w:pPr>
            <w:pBdr>
              <w:top w:val="nil"/>
              <w:left w:val="nil"/>
              <w:bottom w:val="nil"/>
              <w:right w:val="nil"/>
              <w:between w:val="nil"/>
            </w:pBdr>
            <w:rPr>
              <w:color w:val="000000"/>
            </w:rPr>
          </w:pPr>
          <w:r>
            <w:rPr>
              <w:color w:val="000000"/>
            </w:rPr>
            <w:t xml:space="preserve">     </w:t>
          </w:r>
        </w:p>
      </w:tc>
      <w:tc>
        <w:tcPr>
          <w:tcW w:w="1080" w:type="dxa"/>
        </w:tcPr>
        <w:p w14:paraId="3F8E5A5D" w14:textId="77777777" w:rsidR="00014632" w:rsidRDefault="008510F4">
          <w:pPr>
            <w:pBdr>
              <w:top w:val="nil"/>
              <w:left w:val="nil"/>
              <w:bottom w:val="nil"/>
              <w:right w:val="nil"/>
              <w:between w:val="nil"/>
            </w:pBdr>
            <w:jc w:val="right"/>
            <w:cnfStyle w:val="100000000000" w:firstRow="1" w:lastRow="0" w:firstColumn="0" w:lastColumn="0" w:oddVBand="0" w:evenVBand="0" w:oddHBand="0" w:evenHBand="0" w:firstRowFirstColumn="0" w:firstRowLastColumn="0" w:lastRowFirstColumn="0" w:lastRowLastColumn="0"/>
            <w:rPr>
              <w:color w:val="000000"/>
            </w:rPr>
          </w:pPr>
          <w:r>
            <w:rPr>
              <w:color w:val="000000"/>
            </w:rPr>
            <w:fldChar w:fldCharType="begin"/>
          </w:r>
          <w:r>
            <w:rPr>
              <w:color w:val="000000"/>
            </w:rPr>
            <w:instrText>PAGE</w:instrText>
          </w:r>
          <w:r>
            <w:rPr>
              <w:color w:val="000000"/>
            </w:rPr>
            <w:fldChar w:fldCharType="separate"/>
          </w:r>
          <w:r w:rsidR="00615792">
            <w:rPr>
              <w:noProof/>
              <w:color w:val="000000"/>
            </w:rPr>
            <w:t>2</w:t>
          </w:r>
          <w:r>
            <w:rPr>
              <w:color w:val="000000"/>
            </w:rPr>
            <w:fldChar w:fldCharType="end"/>
          </w:r>
        </w:p>
      </w:tc>
    </w:tr>
  </w:tbl>
  <w:p w14:paraId="10E15256" w14:textId="77777777" w:rsidR="00014632" w:rsidRDefault="00014632">
    <w:pPr>
      <w:pBdr>
        <w:top w:val="nil"/>
        <w:left w:val="nil"/>
        <w:bottom w:val="nil"/>
        <w:right w:val="nil"/>
        <w:between w:val="nil"/>
      </w:pBdr>
      <w:spacing w:line="240" w:lineRule="auto"/>
      <w:ind w:firstLine="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4A0D3" w14:textId="77777777" w:rsidR="00014632" w:rsidRDefault="00014632">
    <w:pPr>
      <w:widowControl w:val="0"/>
      <w:pBdr>
        <w:top w:val="nil"/>
        <w:left w:val="nil"/>
        <w:bottom w:val="nil"/>
        <w:right w:val="nil"/>
        <w:between w:val="nil"/>
      </w:pBdr>
      <w:spacing w:line="276" w:lineRule="auto"/>
      <w:ind w:firstLine="0"/>
      <w:rPr>
        <w:color w:val="000000"/>
      </w:rPr>
    </w:pPr>
  </w:p>
  <w:tbl>
    <w:tblPr>
      <w:tblStyle w:val="a"/>
      <w:tblW w:w="1080" w:type="dxa"/>
      <w:tblBorders>
        <w:top w:val="single" w:sz="4" w:space="0" w:color="EAEAEA"/>
        <w:left w:val="single" w:sz="4" w:space="0" w:color="B2B2B2"/>
        <w:bottom w:val="single" w:sz="4" w:space="0" w:color="EAEAEA"/>
        <w:right w:val="single" w:sz="4" w:space="0" w:color="B2B2B2"/>
        <w:insideH w:val="single" w:sz="4" w:space="0" w:color="EAEAEA"/>
        <w:insideV w:val="single" w:sz="4" w:space="0" w:color="EAEAEA"/>
      </w:tblBorders>
      <w:tblLayout w:type="fixed"/>
      <w:tblLook w:val="04A0" w:firstRow="1" w:lastRow="0" w:firstColumn="1" w:lastColumn="0" w:noHBand="0" w:noVBand="1"/>
    </w:tblPr>
    <w:tblGrid>
      <w:gridCol w:w="1080"/>
    </w:tblGrid>
    <w:tr w:rsidR="00014632" w14:paraId="734D5728" w14:textId="77777777" w:rsidTr="000146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tcPr>
        <w:p w14:paraId="62DA7F2A" w14:textId="77777777" w:rsidR="00014632" w:rsidRDefault="00014632">
          <w:pPr>
            <w:pBdr>
              <w:top w:val="nil"/>
              <w:left w:val="nil"/>
              <w:bottom w:val="nil"/>
              <w:right w:val="nil"/>
              <w:between w:val="nil"/>
            </w:pBdr>
            <w:rPr>
              <w:color w:val="000000"/>
            </w:rPr>
          </w:pPr>
        </w:p>
      </w:tc>
    </w:tr>
  </w:tbl>
  <w:p w14:paraId="79157EC2" w14:textId="77777777" w:rsidR="00014632" w:rsidRDefault="00014632">
    <w:pPr>
      <w:pBdr>
        <w:top w:val="nil"/>
        <w:left w:val="nil"/>
        <w:bottom w:val="nil"/>
        <w:right w:val="nil"/>
        <w:between w:val="nil"/>
      </w:pBdr>
      <w:spacing w:line="240" w:lineRule="auto"/>
      <w:ind w:firstLine="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26736"/>
    <w:multiLevelType w:val="multilevel"/>
    <w:tmpl w:val="7BC4A1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D552ECD"/>
    <w:multiLevelType w:val="multilevel"/>
    <w:tmpl w:val="40FC670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0FD66B3"/>
    <w:multiLevelType w:val="multilevel"/>
    <w:tmpl w:val="60063D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440586B"/>
    <w:multiLevelType w:val="multilevel"/>
    <w:tmpl w:val="A2D8EA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578301A"/>
    <w:multiLevelType w:val="multilevel"/>
    <w:tmpl w:val="3DC65B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65A5E93"/>
    <w:multiLevelType w:val="multilevel"/>
    <w:tmpl w:val="0C7A180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7C36C8A"/>
    <w:multiLevelType w:val="multilevel"/>
    <w:tmpl w:val="60481F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E405AEE"/>
    <w:multiLevelType w:val="multilevel"/>
    <w:tmpl w:val="297CF6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7321106A"/>
    <w:multiLevelType w:val="multilevel"/>
    <w:tmpl w:val="E26617D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391346100">
    <w:abstractNumId w:val="5"/>
  </w:num>
  <w:num w:numId="2" w16cid:durableId="2020041444">
    <w:abstractNumId w:val="2"/>
  </w:num>
  <w:num w:numId="3" w16cid:durableId="1135758485">
    <w:abstractNumId w:val="3"/>
  </w:num>
  <w:num w:numId="4" w16cid:durableId="1515458695">
    <w:abstractNumId w:val="7"/>
  </w:num>
  <w:num w:numId="5" w16cid:durableId="1074938620">
    <w:abstractNumId w:val="0"/>
  </w:num>
  <w:num w:numId="6" w16cid:durableId="93017894">
    <w:abstractNumId w:val="6"/>
  </w:num>
  <w:num w:numId="7" w16cid:durableId="59598864">
    <w:abstractNumId w:val="4"/>
  </w:num>
  <w:num w:numId="8" w16cid:durableId="429661370">
    <w:abstractNumId w:val="8"/>
  </w:num>
  <w:num w:numId="9" w16cid:durableId="1482235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632"/>
    <w:rsid w:val="00014632"/>
    <w:rsid w:val="000D137A"/>
    <w:rsid w:val="00615792"/>
    <w:rsid w:val="0071279F"/>
    <w:rsid w:val="00782C57"/>
    <w:rsid w:val="00824200"/>
    <w:rsid w:val="008510F4"/>
    <w:rsid w:val="00A223DB"/>
    <w:rsid w:val="00D55FFE"/>
    <w:rsid w:val="00E50B36"/>
    <w:rsid w:val="00E96E6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B55271"/>
  <w15:docId w15:val="{FD80AF7E-4F66-4988-BDAB-5282C3B59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firstLine="0"/>
      <w:jc w:val="center"/>
      <w:outlineLvl w:val="0"/>
    </w:pPr>
    <w:rPr>
      <w:b/>
    </w:rPr>
  </w:style>
  <w:style w:type="paragraph" w:styleId="Heading2">
    <w:name w:val="heading 2"/>
    <w:basedOn w:val="Normal"/>
    <w:next w:val="Normal"/>
    <w:uiPriority w:val="9"/>
    <w:unhideWhenUsed/>
    <w:qFormat/>
    <w:pPr>
      <w:keepNext/>
      <w:keepLines/>
      <w:ind w:firstLine="0"/>
      <w:outlineLvl w:val="1"/>
    </w:pPr>
    <w:rPr>
      <w:b/>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semiHidden/>
    <w:unhideWhenUsed/>
    <w:qFormat/>
    <w:pPr>
      <w:keepNext/>
      <w:keepLines/>
      <w:outlineLvl w:val="3"/>
    </w:pPr>
    <w:rPr>
      <w:b/>
      <w:i/>
    </w:rPr>
  </w:style>
  <w:style w:type="paragraph" w:styleId="Heading5">
    <w:name w:val="heading 5"/>
    <w:basedOn w:val="Normal"/>
    <w:next w:val="Normal"/>
    <w:uiPriority w:val="9"/>
    <w:semiHidden/>
    <w:unhideWhenUsed/>
    <w:qFormat/>
    <w:pPr>
      <w:keepNext/>
      <w:keepLines/>
      <w:outlineLvl w:val="4"/>
    </w:pPr>
    <w:rPr>
      <w:i/>
    </w:rPr>
  </w:style>
  <w:style w:type="paragraph" w:styleId="Heading6">
    <w:name w:val="heading 6"/>
    <w:basedOn w:val="Normal"/>
    <w:next w:val="Normal"/>
    <w:uiPriority w:val="9"/>
    <w:semiHidden/>
    <w:unhideWhenUsed/>
    <w:qFormat/>
    <w:pPr>
      <w:keepNext/>
      <w:keepLines/>
      <w:spacing w:before="40"/>
      <w:ind w:firstLine="0"/>
      <w:outlineLvl w:val="5"/>
    </w:pPr>
    <w:rPr>
      <w:color w:val="6E6E6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2400"/>
      <w:ind w:firstLine="0"/>
      <w:jc w:val="center"/>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ind w:firstLine="0"/>
    </w:pPr>
    <w:tblPr>
      <w:tblStyleRowBandSize w:val="1"/>
      <w:tblStyleColBandSize w:val="1"/>
      <w:tblCellMar>
        <w:left w:w="0" w:type="dxa"/>
        <w:right w:w="0" w:type="dxa"/>
      </w:tblCellMar>
    </w:tblPr>
    <w:tblStylePr w:type="firstRow">
      <w:rPr>
        <w:b w:val="0"/>
        <w:i w:val="0"/>
      </w:rPr>
      <w:tblPr/>
      <w:tcPr>
        <w:tcBorders>
          <w:top w:val="nil"/>
          <w:left w:val="nil"/>
          <w:bottom w:val="nil"/>
          <w:right w:val="nil"/>
          <w:insideH w:val="nil"/>
          <w:insideV w:val="nil"/>
        </w:tcBorders>
        <w:shd w:val="clear" w:color="auto" w:fill="FFFFFF"/>
      </w:tcPr>
    </w:tblStylePr>
    <w:tblStylePr w:type="lastRow">
      <w:rPr>
        <w:b/>
      </w:rPr>
      <w:tblPr/>
      <w:tcPr>
        <w:tcBorders>
          <w:top w:val="single" w:sz="4" w:space="0" w:color="EAEAEA"/>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F8F8F8"/>
      </w:tcPr>
    </w:tblStylePr>
    <w:tblStylePr w:type="band1Horz">
      <w:tblPr/>
      <w:tcPr>
        <w:shd w:val="clear" w:color="auto" w:fill="F8F8F8"/>
      </w:tcPr>
    </w:tblStylePr>
  </w:style>
  <w:style w:type="table" w:customStyle="1" w:styleId="a0">
    <w:basedOn w:val="TableNormal"/>
    <w:pPr>
      <w:spacing w:line="240" w:lineRule="auto"/>
      <w:ind w:firstLine="0"/>
    </w:pPr>
    <w:tblPr>
      <w:tblStyleRowBandSize w:val="1"/>
      <w:tblStyleColBandSize w:val="1"/>
      <w:tblCellMar>
        <w:left w:w="0" w:type="dxa"/>
        <w:right w:w="0" w:type="dxa"/>
      </w:tblCellMar>
    </w:tblPr>
    <w:tblStylePr w:type="firstRow">
      <w:rPr>
        <w:b w:val="0"/>
        <w:i w:val="0"/>
      </w:rPr>
      <w:tblPr/>
      <w:tcPr>
        <w:tcBorders>
          <w:top w:val="nil"/>
          <w:left w:val="nil"/>
          <w:bottom w:val="nil"/>
          <w:right w:val="nil"/>
          <w:insideH w:val="nil"/>
          <w:insideV w:val="nil"/>
        </w:tcBorders>
        <w:shd w:val="clear" w:color="auto" w:fill="FFFFFF"/>
      </w:tcPr>
    </w:tblStylePr>
    <w:tblStylePr w:type="lastRow">
      <w:rPr>
        <w:b/>
      </w:rPr>
      <w:tblPr/>
      <w:tcPr>
        <w:tcBorders>
          <w:top w:val="single" w:sz="4" w:space="0" w:color="EAEAEA"/>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F8F8F8"/>
      </w:tcPr>
    </w:tblStylePr>
    <w:tblStylePr w:type="band1Horz">
      <w:tblPr/>
      <w:tcPr>
        <w:shd w:val="clear" w:color="auto" w:fill="F8F8F8"/>
      </w:tcPr>
    </w:tblStylePr>
  </w:style>
  <w:style w:type="character" w:customStyle="1" w:styleId="TitleChar">
    <w:name w:val="Title Char"/>
    <w:basedOn w:val="DefaultParagraphFont"/>
    <w:link w:val="Title"/>
    <w:uiPriority w:val="10"/>
    <w:rsid w:val="00615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2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22398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3390/su120416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29</Pages>
  <Words>5741</Words>
  <Characters>37900</Characters>
  <Application>Microsoft Office Word</Application>
  <DocSecurity>0</DocSecurity>
  <Lines>592</Lines>
  <Paragraphs>199</Paragraphs>
  <ScaleCrop>false</ScaleCrop>
  <Company/>
  <LinksUpToDate>false</LinksUpToDate>
  <CharactersWithSpaces>43449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Gurbinder Sanghera</dc:creator>
  <cp:lastModifiedBy>Gurbinder Kaur</cp:lastModifiedBy>
  <cp:revision>16</cp:revision>
  <dcterms:created xsi:type="dcterms:W3CDTF">2023-11-09T08:43:00Z</dcterms:created>
  <dcterms:modified xsi:type="dcterms:W3CDTF">2023-11-09T14:00:00Z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6da49264db40a9bb2392aa59f025505b15934234b062ff241d00bac7734f9a84</vt:lpwstr>
  </property>
</Properties>
</file>