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30"/>
          <w:szCs w:val="30"/>
        </w:rPr>
      </w:pPr>
      <w:r w:rsidDel="00000000" w:rsidR="00000000" w:rsidRPr="00000000">
        <w:rPr>
          <w:sz w:val="28"/>
          <w:szCs w:val="28"/>
          <w:rtl w:val="0"/>
        </w:rPr>
        <w:t xml:space="preserve">                             </w:t>
      </w:r>
      <w:r w:rsidDel="00000000" w:rsidR="00000000" w:rsidRPr="00000000">
        <w:rPr>
          <w:b w:val="1"/>
          <w:bCs w:val="1"/>
          <w:sz w:val="30"/>
          <w:szCs w:val="30"/>
          <w:rtl w:val="0"/>
        </w:rPr>
        <w:t xml:space="preserve">BA (Hons) Business Management</w:t>
      </w:r>
    </w:p>
    <w:p w:rsidR="00000000" w:rsidDel="00000000" w:rsidP="00000000" w:rsidRDefault="00000000" w:rsidRPr="00000000" w14:paraId="00000002">
      <w:pPr>
        <w:rPr>
          <w:b w:val="1"/>
          <w:bCs w:val="1"/>
          <w:sz w:val="30"/>
          <w:szCs w:val="30"/>
        </w:rPr>
      </w:pPr>
      <w:r w:rsidDel="00000000" w:rsidR="00000000" w:rsidRPr="00000000">
        <w:rPr>
          <w:rtl w:val="0"/>
        </w:rPr>
      </w:r>
    </w:p>
    <w:p w:rsidR="00000000" w:rsidDel="00000000" w:rsidP="00000000" w:rsidRDefault="00000000" w:rsidRPr="00000000" w14:paraId="00000003">
      <w:pPr>
        <w:rPr>
          <w:b w:val="1"/>
          <w:bCs w:val="1"/>
          <w:sz w:val="30"/>
          <w:szCs w:val="30"/>
        </w:rPr>
      </w:pPr>
      <w:r w:rsidDel="00000000" w:rsidR="00000000" w:rsidRPr="00000000">
        <w:rPr>
          <w:b w:val="1"/>
          <w:bCs w:val="1"/>
          <w:sz w:val="30"/>
          <w:szCs w:val="30"/>
          <w:rtl w:val="0"/>
        </w:rPr>
        <w:t xml:space="preserve">                     International Business Communication</w:t>
      </w:r>
    </w:p>
    <w:p w:rsidR="00000000" w:rsidDel="00000000" w:rsidP="00000000" w:rsidRDefault="00000000" w:rsidRPr="00000000" w14:paraId="00000004">
      <w:pPr>
        <w:rPr>
          <w:b w:val="1"/>
          <w:bCs w:val="1"/>
          <w:sz w:val="30"/>
          <w:szCs w:val="30"/>
        </w:rPr>
      </w:pPr>
      <w:r w:rsidDel="00000000" w:rsidR="00000000" w:rsidRPr="00000000">
        <w:rPr>
          <w:rtl w:val="0"/>
        </w:rPr>
      </w:r>
    </w:p>
    <w:p w:rsidR="00000000" w:rsidDel="00000000" w:rsidP="00000000" w:rsidRDefault="00000000" w:rsidRPr="00000000" w14:paraId="00000005">
      <w:pPr>
        <w:rPr>
          <w:b w:val="1"/>
          <w:bCs w:val="1"/>
          <w:sz w:val="30"/>
          <w:szCs w:val="30"/>
        </w:rPr>
      </w:pPr>
      <w:r w:rsidDel="00000000" w:rsidR="00000000" w:rsidRPr="00000000">
        <w:rPr>
          <w:b w:val="1"/>
          <w:bCs w:val="1"/>
          <w:sz w:val="30"/>
          <w:szCs w:val="30"/>
          <w:rtl w:val="0"/>
        </w:rPr>
        <w:t xml:space="preserve">                                 Lecturer: Mr Afzal Munna</w:t>
      </w:r>
    </w:p>
    <w:p w:rsidR="00000000" w:rsidDel="00000000" w:rsidP="00000000" w:rsidRDefault="00000000" w:rsidRPr="00000000" w14:paraId="00000006">
      <w:pPr>
        <w:rPr>
          <w:b w:val="1"/>
          <w:bCs w:val="1"/>
          <w:sz w:val="30"/>
          <w:szCs w:val="30"/>
        </w:rPr>
      </w:pPr>
      <w:r w:rsidDel="00000000" w:rsidR="00000000" w:rsidRPr="00000000">
        <w:rPr>
          <w:rtl w:val="0"/>
        </w:rPr>
      </w:r>
    </w:p>
    <w:p w:rsidR="00000000" w:rsidDel="00000000" w:rsidP="00000000" w:rsidRDefault="00000000" w:rsidRPr="00000000" w14:paraId="00000007">
      <w:pPr>
        <w:rPr>
          <w:b w:val="1"/>
          <w:bCs w:val="1"/>
          <w:sz w:val="30"/>
          <w:szCs w:val="30"/>
        </w:rPr>
      </w:pPr>
      <w:r w:rsidDel="00000000" w:rsidR="00000000" w:rsidRPr="00000000">
        <w:rPr>
          <w:b w:val="1"/>
          <w:bCs w:val="1"/>
          <w:sz w:val="30"/>
          <w:szCs w:val="30"/>
          <w:rtl w:val="0"/>
        </w:rPr>
        <w:t xml:space="preserve">                         Component 2: Coursework: Essay</w:t>
      </w:r>
    </w:p>
    <w:p w:rsidR="00000000" w:rsidDel="00000000" w:rsidP="00000000" w:rsidRDefault="00000000" w:rsidRPr="00000000" w14:paraId="00000008">
      <w:pPr>
        <w:rPr>
          <w:b w:val="1"/>
          <w:bCs w:val="1"/>
          <w:sz w:val="30"/>
          <w:szCs w:val="30"/>
        </w:rPr>
      </w:pPr>
      <w:r w:rsidDel="00000000" w:rsidR="00000000" w:rsidRPr="00000000">
        <w:rPr>
          <w:rtl w:val="0"/>
        </w:rPr>
      </w:r>
    </w:p>
    <w:p w:rsidR="00000000" w:rsidDel="00000000" w:rsidP="00000000" w:rsidRDefault="00000000" w:rsidRPr="00000000" w14:paraId="00000009">
      <w:pPr>
        <w:rPr>
          <w:b w:val="1"/>
          <w:bCs w:val="1"/>
          <w:sz w:val="30"/>
          <w:szCs w:val="30"/>
        </w:rPr>
      </w:pPr>
      <w:r w:rsidDel="00000000" w:rsidR="00000000" w:rsidRPr="00000000">
        <w:rPr>
          <w:b w:val="1"/>
          <w:bCs w:val="1"/>
          <w:sz w:val="30"/>
          <w:szCs w:val="30"/>
          <w:rtl w:val="0"/>
        </w:rPr>
        <w:t xml:space="preserve">                                  Module Code: LBB6023</w:t>
      </w:r>
    </w:p>
    <w:p w:rsidR="00000000" w:rsidDel="00000000" w:rsidP="00000000" w:rsidRDefault="00000000" w:rsidRPr="00000000" w14:paraId="0000000A">
      <w:pPr>
        <w:rPr>
          <w:b w:val="1"/>
          <w:bCs w:val="1"/>
          <w:sz w:val="30"/>
          <w:szCs w:val="30"/>
        </w:rPr>
      </w:pPr>
      <w:r w:rsidDel="00000000" w:rsidR="00000000" w:rsidRPr="00000000">
        <w:rPr>
          <w:rtl w:val="0"/>
        </w:rPr>
      </w:r>
    </w:p>
    <w:p w:rsidR="00000000" w:rsidDel="00000000" w:rsidP="00000000" w:rsidRDefault="00000000" w:rsidRPr="00000000" w14:paraId="0000000B">
      <w:pPr>
        <w:rPr>
          <w:b w:val="1"/>
          <w:bCs w:val="1"/>
          <w:sz w:val="30"/>
          <w:szCs w:val="30"/>
        </w:rPr>
      </w:pPr>
      <w:r w:rsidDel="00000000" w:rsidR="00000000" w:rsidRPr="00000000">
        <w:rPr>
          <w:b w:val="1"/>
          <w:bCs w:val="1"/>
          <w:sz w:val="30"/>
          <w:szCs w:val="30"/>
          <w:rtl w:val="0"/>
        </w:rPr>
        <w:t xml:space="preserve">                                     Student ID: 221377</w:t>
      </w:r>
    </w:p>
    <w:p w:rsidR="00000000" w:rsidDel="00000000" w:rsidP="00000000" w:rsidRDefault="00000000" w:rsidRPr="00000000" w14:paraId="0000000C">
      <w:pPr>
        <w:rPr>
          <w:b w:val="1"/>
          <w:bCs w:val="1"/>
          <w:sz w:val="30"/>
          <w:szCs w:val="30"/>
        </w:rPr>
      </w:pPr>
      <w:r w:rsidDel="00000000" w:rsidR="00000000" w:rsidRPr="00000000">
        <w:rPr>
          <w:rtl w:val="0"/>
        </w:rPr>
      </w:r>
    </w:p>
    <w:p w:rsidR="00000000" w:rsidDel="00000000" w:rsidP="00000000" w:rsidRDefault="00000000" w:rsidRPr="00000000" w14:paraId="0000000D">
      <w:pPr>
        <w:rPr>
          <w:b w:val="1"/>
          <w:bCs w:val="1"/>
          <w:sz w:val="30"/>
          <w:szCs w:val="30"/>
        </w:rPr>
      </w:pPr>
      <w:r w:rsidDel="00000000" w:rsidR="00000000" w:rsidRPr="00000000">
        <w:rPr>
          <w:rtl w:val="0"/>
        </w:rPr>
      </w:r>
    </w:p>
    <w:p w:rsidR="00000000" w:rsidDel="00000000" w:rsidP="00000000" w:rsidRDefault="00000000" w:rsidRPr="00000000" w14:paraId="0000000E">
      <w:pPr>
        <w:rPr>
          <w:b w:val="1"/>
          <w:bCs w:val="1"/>
          <w:sz w:val="30"/>
          <w:szCs w:val="30"/>
        </w:rPr>
      </w:pPr>
      <w:r w:rsidDel="00000000" w:rsidR="00000000" w:rsidRPr="00000000">
        <w:rPr>
          <w:rtl w:val="0"/>
        </w:rPr>
      </w:r>
    </w:p>
    <w:p w:rsidR="00000000" w:rsidDel="00000000" w:rsidP="00000000" w:rsidRDefault="00000000" w:rsidRPr="00000000" w14:paraId="0000000F">
      <w:pPr>
        <w:rPr>
          <w:b w:val="1"/>
          <w:bCs w:val="1"/>
          <w:sz w:val="30"/>
          <w:szCs w:val="30"/>
        </w:rPr>
      </w:pPr>
      <w:r w:rsidDel="00000000" w:rsidR="00000000" w:rsidRPr="00000000">
        <w:rPr>
          <w:rtl w:val="0"/>
        </w:rPr>
      </w:r>
    </w:p>
    <w:p w:rsidR="00000000" w:rsidDel="00000000" w:rsidP="00000000" w:rsidRDefault="00000000" w:rsidRPr="00000000" w14:paraId="00000010">
      <w:pPr>
        <w:rPr>
          <w:b w:val="1"/>
          <w:bCs w:val="1"/>
          <w:sz w:val="30"/>
          <w:szCs w:val="30"/>
        </w:rPr>
      </w:pPr>
      <w:r w:rsidDel="00000000" w:rsidR="00000000" w:rsidRPr="00000000">
        <w:rPr>
          <w:rtl w:val="0"/>
        </w:rPr>
      </w:r>
    </w:p>
    <w:p w:rsidR="00000000" w:rsidDel="00000000" w:rsidP="00000000" w:rsidRDefault="00000000" w:rsidRPr="00000000" w14:paraId="00000011">
      <w:pPr>
        <w:rPr>
          <w:b w:val="1"/>
          <w:bCs w:val="1"/>
          <w:sz w:val="30"/>
          <w:szCs w:val="30"/>
        </w:rPr>
      </w:pPr>
      <w:r w:rsidDel="00000000" w:rsidR="00000000" w:rsidRPr="00000000">
        <w:rPr>
          <w:rtl w:val="0"/>
        </w:rPr>
      </w:r>
    </w:p>
    <w:p w:rsidR="00000000" w:rsidDel="00000000" w:rsidP="00000000" w:rsidRDefault="00000000" w:rsidRPr="00000000" w14:paraId="00000012">
      <w:pPr>
        <w:rPr>
          <w:b w:val="1"/>
          <w:bCs w:val="1"/>
          <w:sz w:val="30"/>
          <w:szCs w:val="30"/>
        </w:rPr>
      </w:pPr>
      <w:r w:rsidDel="00000000" w:rsidR="00000000" w:rsidRPr="00000000">
        <w:rPr>
          <w:rtl w:val="0"/>
        </w:rPr>
      </w:r>
    </w:p>
    <w:p w:rsidR="00000000" w:rsidDel="00000000" w:rsidP="00000000" w:rsidRDefault="00000000" w:rsidRPr="00000000" w14:paraId="00000013">
      <w:pPr>
        <w:rPr>
          <w:b w:val="1"/>
          <w:bCs w:val="1"/>
          <w:sz w:val="30"/>
          <w:szCs w:val="30"/>
        </w:rPr>
      </w:pPr>
      <w:r w:rsidDel="00000000" w:rsidR="00000000" w:rsidRPr="00000000">
        <w:rPr>
          <w:rtl w:val="0"/>
        </w:rPr>
      </w:r>
    </w:p>
    <w:p w:rsidR="00000000" w:rsidDel="00000000" w:rsidP="00000000" w:rsidRDefault="00000000" w:rsidRPr="00000000" w14:paraId="00000014">
      <w:pPr>
        <w:rPr>
          <w:b w:val="1"/>
          <w:bCs w:val="1"/>
          <w:sz w:val="30"/>
          <w:szCs w:val="30"/>
        </w:rPr>
      </w:pPr>
      <w:r w:rsidDel="00000000" w:rsidR="00000000" w:rsidRPr="00000000">
        <w:rPr>
          <w:rtl w:val="0"/>
        </w:rPr>
      </w:r>
    </w:p>
    <w:p w:rsidR="00000000" w:rsidDel="00000000" w:rsidP="00000000" w:rsidRDefault="00000000" w:rsidRPr="00000000" w14:paraId="00000015">
      <w:pPr>
        <w:rPr>
          <w:b w:val="1"/>
          <w:bCs w:val="1"/>
          <w:sz w:val="30"/>
          <w:szCs w:val="30"/>
        </w:rPr>
      </w:pPr>
      <w:r w:rsidDel="00000000" w:rsidR="00000000" w:rsidRPr="00000000">
        <w:rPr>
          <w:rtl w:val="0"/>
        </w:rPr>
      </w:r>
    </w:p>
    <w:p w:rsidR="00000000" w:rsidDel="00000000" w:rsidP="00000000" w:rsidRDefault="00000000" w:rsidRPr="00000000" w14:paraId="00000016">
      <w:pPr>
        <w:rPr>
          <w:b w:val="1"/>
          <w:bCs w:val="1"/>
          <w:sz w:val="30"/>
          <w:szCs w:val="30"/>
        </w:rPr>
      </w:pPr>
      <w:r w:rsidDel="00000000" w:rsidR="00000000" w:rsidRPr="00000000">
        <w:rPr>
          <w:rtl w:val="0"/>
        </w:rPr>
      </w:r>
    </w:p>
    <w:p w:rsidR="00000000" w:rsidDel="00000000" w:rsidP="00000000" w:rsidRDefault="00000000" w:rsidRPr="00000000" w14:paraId="00000017">
      <w:pPr>
        <w:rPr>
          <w:b w:val="1"/>
          <w:bCs w:val="1"/>
          <w:sz w:val="30"/>
          <w:szCs w:val="30"/>
        </w:rPr>
      </w:pPr>
      <w:r w:rsidDel="00000000" w:rsidR="00000000" w:rsidRPr="00000000">
        <w:rPr>
          <w:rtl w:val="0"/>
        </w:rPr>
      </w:r>
    </w:p>
    <w:p w:rsidR="00000000" w:rsidDel="00000000" w:rsidP="00000000" w:rsidRDefault="00000000" w:rsidRPr="00000000" w14:paraId="00000018">
      <w:pPr>
        <w:rPr>
          <w:b w:val="1"/>
          <w:bCs w:val="1"/>
          <w:sz w:val="30"/>
          <w:szCs w:val="30"/>
        </w:rPr>
      </w:pPr>
      <w:r w:rsidDel="00000000" w:rsidR="00000000" w:rsidRPr="00000000">
        <w:rPr>
          <w:rtl w:val="0"/>
        </w:rPr>
      </w:r>
    </w:p>
    <w:p w:rsidR="00000000" w:rsidDel="00000000" w:rsidP="00000000" w:rsidRDefault="00000000" w:rsidRPr="00000000" w14:paraId="00000019">
      <w:pPr>
        <w:rPr>
          <w:b w:val="1"/>
          <w:bCs w:val="1"/>
          <w:sz w:val="30"/>
          <w:szCs w:val="30"/>
        </w:rPr>
      </w:pPr>
      <w:r w:rsidDel="00000000" w:rsidR="00000000" w:rsidRPr="00000000">
        <w:rPr>
          <w:rtl w:val="0"/>
        </w:rPr>
      </w:r>
    </w:p>
    <w:p w:rsidR="00000000" w:rsidDel="00000000" w:rsidP="00000000" w:rsidRDefault="00000000" w:rsidRPr="00000000" w14:paraId="0000001A">
      <w:pPr>
        <w:rPr>
          <w:b w:val="1"/>
          <w:bCs w:val="1"/>
          <w:sz w:val="30"/>
          <w:szCs w:val="30"/>
        </w:rPr>
      </w:pPr>
      <w:r w:rsidDel="00000000" w:rsidR="00000000" w:rsidRPr="00000000">
        <w:rPr>
          <w:rtl w:val="0"/>
        </w:rPr>
      </w:r>
    </w:p>
    <w:p w:rsidR="00000000" w:rsidDel="00000000" w:rsidP="00000000" w:rsidRDefault="00000000" w:rsidRPr="00000000" w14:paraId="0000001B">
      <w:pPr>
        <w:rPr>
          <w:b w:val="1"/>
          <w:bCs w:val="1"/>
          <w:sz w:val="30"/>
          <w:szCs w:val="30"/>
        </w:rPr>
      </w:pPr>
      <w:r w:rsidDel="00000000" w:rsidR="00000000" w:rsidRPr="00000000">
        <w:rPr>
          <w:rtl w:val="0"/>
        </w:rPr>
      </w:r>
    </w:p>
    <w:p w:rsidR="00000000" w:rsidDel="00000000" w:rsidP="00000000" w:rsidRDefault="00000000" w:rsidRPr="00000000" w14:paraId="0000001C">
      <w:pPr>
        <w:rPr>
          <w:b w:val="1"/>
          <w:bCs w:val="1"/>
          <w:sz w:val="30"/>
          <w:szCs w:val="30"/>
        </w:rPr>
      </w:pPr>
      <w:r w:rsidDel="00000000" w:rsidR="00000000" w:rsidRPr="00000000">
        <w:rPr>
          <w:rtl w:val="0"/>
        </w:rPr>
      </w:r>
    </w:p>
    <w:p w:rsidR="00000000" w:rsidDel="00000000" w:rsidP="00000000" w:rsidRDefault="00000000" w:rsidRPr="00000000" w14:paraId="0000001D">
      <w:pPr>
        <w:rPr>
          <w:b w:val="1"/>
          <w:bCs w:val="1"/>
          <w:sz w:val="30"/>
          <w:szCs w:val="30"/>
        </w:rPr>
      </w:pPr>
      <w:r w:rsidDel="00000000" w:rsidR="00000000" w:rsidRPr="00000000">
        <w:rPr>
          <w:rtl w:val="0"/>
        </w:rPr>
      </w:r>
    </w:p>
    <w:p w:rsidR="00000000" w:rsidDel="00000000" w:rsidP="00000000" w:rsidRDefault="00000000" w:rsidRPr="00000000" w14:paraId="0000001E">
      <w:pPr>
        <w:rPr>
          <w:b w:val="1"/>
          <w:bCs w:val="1"/>
          <w:sz w:val="30"/>
          <w:szCs w:val="30"/>
        </w:rPr>
      </w:pPr>
      <w:r w:rsidDel="00000000" w:rsidR="00000000" w:rsidRPr="00000000">
        <w:rPr>
          <w:rtl w:val="0"/>
        </w:rPr>
      </w:r>
    </w:p>
    <w:p w:rsidR="00000000" w:rsidDel="00000000" w:rsidP="00000000" w:rsidRDefault="00000000" w:rsidRPr="00000000" w14:paraId="0000001F">
      <w:pPr>
        <w:rPr>
          <w:b w:val="1"/>
          <w:bCs w:val="1"/>
          <w:sz w:val="30"/>
          <w:szCs w:val="30"/>
        </w:rPr>
      </w:pPr>
      <w:r w:rsidDel="00000000" w:rsidR="00000000" w:rsidRPr="00000000">
        <w:rPr>
          <w:rtl w:val="0"/>
        </w:rPr>
      </w:r>
    </w:p>
    <w:p w:rsidR="00000000" w:rsidDel="00000000" w:rsidP="00000000" w:rsidRDefault="00000000" w:rsidRPr="00000000" w14:paraId="00000020">
      <w:pPr>
        <w:rPr>
          <w:b w:val="1"/>
          <w:bCs w:val="1"/>
          <w:sz w:val="30"/>
          <w:szCs w:val="30"/>
        </w:rPr>
      </w:pPr>
      <w:r w:rsidDel="00000000" w:rsidR="00000000" w:rsidRPr="00000000">
        <w:rPr>
          <w:rtl w:val="0"/>
        </w:rPr>
      </w:r>
    </w:p>
    <w:p w:rsidR="00000000" w:rsidDel="00000000" w:rsidP="00000000" w:rsidRDefault="00000000" w:rsidRPr="00000000" w14:paraId="00000021">
      <w:pPr>
        <w:rPr>
          <w:b w:val="1"/>
          <w:bCs w:val="1"/>
          <w:sz w:val="30"/>
          <w:szCs w:val="30"/>
        </w:rPr>
      </w:pPr>
      <w:r w:rsidDel="00000000" w:rsidR="00000000" w:rsidRPr="00000000">
        <w:rPr>
          <w:rtl w:val="0"/>
        </w:rPr>
      </w:r>
    </w:p>
    <w:p w:rsidR="00000000" w:rsidDel="00000000" w:rsidP="00000000" w:rsidRDefault="00000000" w:rsidRPr="00000000" w14:paraId="00000022">
      <w:pPr>
        <w:rPr>
          <w:b w:val="1"/>
          <w:bCs w:val="1"/>
          <w:sz w:val="30"/>
          <w:szCs w:val="30"/>
        </w:rPr>
      </w:pPr>
      <w:r w:rsidDel="00000000" w:rsidR="00000000" w:rsidRPr="00000000">
        <w:rPr>
          <w:rtl w:val="0"/>
        </w:rPr>
      </w:r>
    </w:p>
    <w:p w:rsidR="00000000" w:rsidDel="00000000" w:rsidP="00000000" w:rsidRDefault="00000000" w:rsidRPr="00000000" w14:paraId="00000023">
      <w:pPr>
        <w:rPr>
          <w:b w:val="1"/>
          <w:bCs w:val="1"/>
          <w:sz w:val="30"/>
          <w:szCs w:val="30"/>
        </w:rPr>
      </w:pPr>
      <w:r w:rsidDel="00000000" w:rsidR="00000000" w:rsidRPr="00000000">
        <w:rPr>
          <w:rtl w:val="0"/>
        </w:rPr>
      </w:r>
    </w:p>
    <w:p w:rsidR="00000000" w:rsidDel="00000000" w:rsidP="00000000" w:rsidRDefault="00000000" w:rsidRPr="00000000" w14:paraId="00000024">
      <w:pPr>
        <w:rPr>
          <w:b w:val="1"/>
          <w:bCs w:val="1"/>
          <w:sz w:val="30"/>
          <w:szCs w:val="30"/>
        </w:rPr>
      </w:pPr>
      <w:r w:rsidDel="00000000" w:rsidR="00000000" w:rsidRPr="00000000">
        <w:rPr>
          <w:rtl w:val="0"/>
        </w:rPr>
      </w:r>
    </w:p>
    <w:p w:rsidR="00000000" w:rsidDel="00000000" w:rsidP="00000000" w:rsidRDefault="00000000" w:rsidRPr="00000000" w14:paraId="00000025">
      <w:pPr>
        <w:rPr>
          <w:b w:val="1"/>
          <w:bCs w:val="1"/>
          <w:sz w:val="30"/>
          <w:szCs w:val="30"/>
        </w:rPr>
      </w:pPr>
      <w:r w:rsidDel="00000000" w:rsidR="00000000" w:rsidRPr="00000000">
        <w:rPr>
          <w:rtl w:val="0"/>
        </w:rPr>
      </w:r>
    </w:p>
    <w:p w:rsidR="00000000" w:rsidDel="00000000" w:rsidP="00000000" w:rsidRDefault="00000000" w:rsidRPr="00000000" w14:paraId="00000026">
      <w:pPr>
        <w:rPr>
          <w:b w:val="1"/>
          <w:bCs w:val="1"/>
          <w:sz w:val="30"/>
          <w:szCs w:val="30"/>
        </w:rPr>
      </w:pPr>
      <w:r w:rsidDel="00000000" w:rsidR="00000000" w:rsidRPr="00000000">
        <w:rPr>
          <w:b w:val="1"/>
          <w:bCs w:val="1"/>
          <w:sz w:val="30"/>
          <w:szCs w:val="30"/>
          <w:rtl w:val="0"/>
        </w:rPr>
        <w:t xml:space="preserve">                                       Introduction </w:t>
      </w:r>
    </w:p>
    <w:p w:rsidR="00000000" w:rsidDel="00000000" w:rsidP="00000000" w:rsidRDefault="00000000" w:rsidRPr="00000000" w14:paraId="00000027">
      <w:pPr>
        <w:rPr>
          <w:b w:val="1"/>
          <w:bCs w:val="1"/>
          <w:sz w:val="30"/>
          <w:szCs w:val="30"/>
        </w:rPr>
      </w:pPr>
      <w:r w:rsidDel="00000000" w:rsidR="00000000" w:rsidRPr="00000000">
        <w:rPr>
          <w:rtl w:val="0"/>
        </w:rPr>
      </w:r>
    </w:p>
    <w:p w:rsidR="00000000" w:rsidDel="00000000" w:rsidP="00000000" w:rsidRDefault="00000000" w:rsidRPr="00000000" w14:paraId="00000028">
      <w:pPr>
        <w:rPr>
          <w:b w:val="1"/>
          <w:bCs w:val="1"/>
          <w:sz w:val="30"/>
          <w:szCs w:val="30"/>
        </w:rPr>
      </w:pPr>
      <w:r w:rsidDel="00000000" w:rsidR="00000000" w:rsidRPr="00000000">
        <w:rPr>
          <w:rtl w:val="0"/>
        </w:rPr>
      </w:r>
    </w:p>
    <w:p w:rsidR="00000000" w:rsidDel="00000000" w:rsidP="00000000" w:rsidRDefault="00000000" w:rsidRPr="00000000" w14:paraId="00000029">
      <w:pPr>
        <w:rPr>
          <w:b w:val="1"/>
          <w:bCs w:val="1"/>
          <w:sz w:val="30"/>
          <w:szCs w:val="30"/>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In an increasingly globalised economy, effective communication across cultures has become a critical factor in international business success. As organisations expand beyond national borders, managers are required to negotiate, collaborate, and build relationships with partners whos cultural values,communication styles, and business expectations may differ significantly from their own. When these differences are poorly understood or ignored, the result is often miscommunication, damaged trust, and unsuccessful business outcomes. One area where cultural differences are particularly visible is international business negotiation, where communication practices are shaped by deeply rooted cultural norms.</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This essay critically analyzes communication practices in international business negotiations, focusing specifically on interactions between Japanese and American firms. These two business cultures are frequently contrasted in intercultural communication research due to their differing approaches to hierarchy, decision making, time orientation, and communication style. While American negotiation practices tend to emphasise directness, efficiency, and individual authority, Japanese negotiations are often characterised by indirect communication, consensus building, and long term relationship orientation.</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The aim of this essay is to analyse the influence of cultural differences on negotiation communication between Japanese and American organisations. It specifically examines how contrasting cultural values and communication styles shape the way negotiators are conducted and understood. In addition, the essay explores how international managers can address and overcome communication barriers by adopting appropriate strategic approaches. The discussion begins with an overview of key intercultural communication theories of key intercultural communication theories relevant to international negotiation. These theoretical perspectives are then applied to japanese-american business contexts to evaluate common communication challenges and managerial strategies. This essay concludes by considering the implications of these findings for international managers working in culturally diverse business environments.</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b w:val="1"/>
          <w:bCs w:val="1"/>
          <w:sz w:val="30"/>
          <w:szCs w:val="30"/>
        </w:rPr>
      </w:pPr>
      <w:r w:rsidDel="00000000" w:rsidR="00000000" w:rsidRPr="00000000">
        <w:rPr>
          <w:sz w:val="28"/>
          <w:szCs w:val="28"/>
          <w:rtl w:val="0"/>
        </w:rPr>
        <w:t xml:space="preserve">             </w:t>
      </w:r>
      <w:r w:rsidDel="00000000" w:rsidR="00000000" w:rsidRPr="00000000">
        <w:rPr>
          <w:b w:val="1"/>
          <w:bCs w:val="1"/>
          <w:sz w:val="30"/>
          <w:szCs w:val="30"/>
          <w:rtl w:val="0"/>
        </w:rPr>
        <w:t xml:space="preserve">                     Literature review </w:t>
      </w:r>
    </w:p>
    <w:p w:rsidR="00000000" w:rsidDel="00000000" w:rsidP="00000000" w:rsidRDefault="00000000" w:rsidRPr="00000000" w14:paraId="00000035">
      <w:pPr>
        <w:rPr>
          <w:b w:val="1"/>
          <w:bCs w:val="1"/>
          <w:sz w:val="30"/>
          <w:szCs w:val="30"/>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Intercultural communication theory provides an essential framework for understanding how culture influences communication in international business. One of the most widely used frameworks in intercultural communication research is Hofstede's cultural dimensions theory, which identifies key cultural variables such as individualism versus collectivism, power distance, uncertainty avoidance, masculinity versus femininity, and long-term orientation (hofstede, hofstede and minkov, 2010). Using this model, the United States is typically characterized by high levels of individualism and low power distance, reflecting an emphasis on personal autonomy, direct communication, and decentralised decision making. Japan, by comparison, is more collectivist, demonstrates high power distance, and scores strongly on uncertainty avoidance. These cultural characteristics encourage careful planning, risk minimisation, and a preference for consensus based decision making.</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Another influential concept in intercultural communication is the distinction between high-context and low-context cultures. (Hall,1976). High-context cultures, such as Japan, rely heavily on implicit communication, shared understanding, and non-verbal cues, whereas low-context cultures, such as the United States, favor explicit verbal messages and clarity. This distinction is particularly relevant in negotiation contexts, where silence, indirect language, and ambiguity may carry significant meaning for Japanese negotiators but cause confusion or frustration for American counterparts.</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Language also plays a central role in international business communication. The concept of business english as a lingua franca (BELF) highlights how English is used as a shared working language among speakers from different linguistic backgrounds (gimenez, 2006) .BELF research argues that successful communication depends less on grammatical accuracy and more on clarity, accommodation, and mutual understanding. In Japanese-American negotiations, English is typically the dominant language, which can create power imbalances and increase the likelihood of pragmatic misunderstandings.</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Samovar, porter and mcdaniel (2013) emphasises that culture shapes perception, values, and communication behaviour. They argue that effective intercultural communication requires awareness of one's own cultural assumptions as well as sensitivity to others. In Japanese business culture, concepts such as harmony, face-saving, and long-term relationships strongly influence communication practices. These values often contract with American business norms that prioritise efficiency, assertiveness, and short term results. Together , these theories provide a strong foundation for analysing communication challenges in Japanese-American business negotiations.</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b w:val="1"/>
          <w:bCs w:val="1"/>
          <w:sz w:val="30"/>
          <w:szCs w:val="30"/>
        </w:rPr>
      </w:pPr>
      <w:r w:rsidDel="00000000" w:rsidR="00000000" w:rsidRPr="00000000">
        <w:rPr>
          <w:sz w:val="24"/>
          <w:szCs w:val="24"/>
          <w:rtl w:val="0"/>
        </w:rPr>
        <w:t xml:space="preserve">                                           </w:t>
      </w:r>
      <w:r w:rsidDel="00000000" w:rsidR="00000000" w:rsidRPr="00000000">
        <w:rPr>
          <w:b w:val="1"/>
          <w:bCs w:val="1"/>
          <w:sz w:val="30"/>
          <w:szCs w:val="30"/>
          <w:rtl w:val="0"/>
        </w:rPr>
        <w:t xml:space="preserve">Main analysis </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When applying intercultural communication theories to Japanese-American business negotiations, several key communication challenges become apparent. One of the most significant differences lies in communication style. American negotiators typically favour direct and explicit language, clearly stating objectives, positions, and expectations. This approach reflects the United States low context communication style and individualistic cultural orientation. In contrast, Japanese negotiators often rely on indirect communication, subtle language, and non-verbal cues to convey meaning. Silence, pauses, and ambiguity are commonly used as part of the negotiation process and are interpreted as signs of thoughtfulness and respect.</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These contrasting styles can easily lead to misunderstandings. For example, an American manager may interpret Japanese indirectness or silence as a lack of interest or disagreement, while Japanese negotiators may perceive American directness as aggressive or insensitive. Hall's high and low context framework helps explain why these misinterpretations occur, as each side applies its own cultural norms when decoding messages. Without cultural awareness, both parties may incorrectly judge the intentions or competence of the other.</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Decision making processes further complicate communication in negotiations. Japanese organisations often rely on a consensus-based system known as ringi, where proposals are circulated internally for approval before a final decision is made. This process ensures group harmony and risk reduction but can be time-consuming. From an American perspective, where decision-making authority is often delegated to individuals or small teams, this approach may appear inefficient or evasive. Hofstede's uncertainty avoidance dimension explains Japan's preferences for careful deliberation and thorough evaluation before committing to agreements.</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Another important factor influencing negotiation communication between Japanese and American businesses is the role of power distance and hierarchy. According to Hofstede's cultural dimensions, Japan demonstrates a higher level of power compared to the United States, meaning that authority, seniority, and organizational hierarchy are more strongly respected. This cultural characteristic has a direct impact on how negotiators are often chosen based on seniority rather than individual expertise, and junior members may avoid speaking openly during negotiations in order to maintain respect for hierarchy.</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In contrast, American business culture is characterized by relatively low power distance, where communication tends to be more informal and hierarchical boundaries are less pronounced. American negotiators may expect open discussion, immediate feedback, and individual accountability during negotiations. This difference can lead to misinterpretations, as American managers may view Japanese negotiators as overly reserved or lacking authority, while Japanese negotiators may perceive American communication styles as disrespectful or overly confrontational.</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Closely linked to power distance is the concept of “face”, which plays a central role in Japanese communication practices. Maintaining harmony and avoiding embarrassment or public disagreement are considered essential in Japanese business interactions. During negotiations, Japanese negotiators may avoid directly rejecting proposals or expressing disagreement, instead using vague language or non committal responses. While this approach helps preserve relationships, it can create confusion for American negotiators who are accustomed to clear and direct answers.</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Samovar at el. (2013) argues that misunderstandings related to face-saving behaviours are common in intercultural business communication, particularly when low context communicators, particularly when low context communicators interact with high context cultures. In Japanese American negotiations, failure to recognise face concerns can damage trust and stall negotiation progress. For example, directly challenging a Japanese negotiator's proposal in a public setting may cause loss of face and negatively affect future collaboration.</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To manage these challenges, international managers must develop sensitivity towards hierarchical structures and face related communication norms. Adopting a more indirect communication style, showing respect for senior representatives, and addressing disagreements privately rather than publicly can significantly improve negotiation outcomes. These strategies not only reduce communication breakdowns but also demonstrate cultural respect, which is highly valued in Japanese business culture. As a result, understanding power distance and face is essential for effective negotiation communication in japanese-american business relationships.</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Language use is another critical factor in Japanese-American negotiations. Although English is commonly used as the negotiations language, many Japanese negotiators operate in a second language or rely on interpreters. According to BELF research, misunderstandings in such contexts often arise from differences in pragmatic norms rather than vocabulary or grammar (Gimenez, 2006). For instance, American negotiators may use idiomatic expressions, humour, or informal language that does not translate well culturally. This can unintentionally exclude Japanese participants or cause confusion.</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sz w:val="24"/>
          <w:szCs w:val="24"/>
          <w:rtl w:val="0"/>
        </w:rPr>
        <w:t xml:space="preserve">Real-world business examples highlight the importance of managing these communication differences effectively. Japanese automotive firms such as Toyota have generally been successful in forming partnerships with American companies due to their emphasis on cross-cultural training and relationship building. In contrast, several failed joint ventures in the technology and manufacturing sectors have been attributed to American firms underestimating the importance of trust, patience, and long term orientation in Japanese negotiations. These cases demonstrate that communication failures are often rooted in cultural misunderstandings rather than technical or strategic flaws.</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International managers can overcome these barriers through a range of strategic approaches. First, developing cultural intelligence is essential. This involves not only learning about cultural differences but also reflecting on one's own communication style and adapting it when necessary. Managers who understand high-context  communication are better equipped to interpret indirect messages and non-verbal cues in Japanese negotiations.</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Second, patience and flexibility are crucial. Allowing time for internal consensus-building and avoiding excessive pressure can help build trust and mutual respect. American managers who adjust their expectations around timelines and decision making processes are more likely to achieve successful outcomes. Third , strategic language use plays a vital role. Applying BELF principles by using clear, simple language, avoiding slang, and regularly checking understanding can significantly reduce miscommunication.</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Finally, prioritising relationships building over short-term gains aligns closely with Japanese business values. Investing time in informal meetings, social interactions, and trust development creates a stronger foundation for negotiation. Overall , effective communication in Japanese-American negotiations requires awareness, adaptability, and a willingness to view negotiation as a long term collaborative process rather than a competitive exchange.</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b w:val="1"/>
          <w:bCs w:val="1"/>
          <w:sz w:val="30"/>
          <w:szCs w:val="30"/>
        </w:rPr>
      </w:pPr>
      <w:r w:rsidDel="00000000" w:rsidR="00000000" w:rsidRPr="00000000">
        <w:rPr>
          <w:sz w:val="24"/>
          <w:szCs w:val="24"/>
          <w:rtl w:val="0"/>
        </w:rPr>
        <w:t xml:space="preserve">                                             </w:t>
      </w:r>
      <w:r w:rsidDel="00000000" w:rsidR="00000000" w:rsidRPr="00000000">
        <w:rPr>
          <w:b w:val="1"/>
          <w:bCs w:val="1"/>
          <w:sz w:val="30"/>
          <w:szCs w:val="30"/>
          <w:rtl w:val="0"/>
        </w:rPr>
        <w:t xml:space="preserve">Conclusion </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This essay has critically analysed communication practices in international business negotiations, focusing on interactions between Japanese and American firms. Drawing on key intercultural communication theories, including Hofstede's cultural dimensions, high- and low-context communication, and business English as a lingua franca, the analysis demonstrates how deeply cultural differences shape negotiation communication styles, decision-making processes, and expectations. Differences in directness, language use, time orientation, and relationship prioritises frequently lead to misunderstandings that can negatively affect negotiations outcomes.</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However , the analysis also shows that these challenges are not unavoidable. International managers who develop cultural intelligence, adapt their communication strategies, and demonstrate patience and respect for different cultural practices can significantly improve negotiation effectiveness. Strategic approaches such as simplifying language, allowing time for consensus-building, and prioritising long-term relationships are particularly effective in Japanese-American business contexts.</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The key implication for international managers is that successful negotiations in global business environments requires more than technical expertise. It demands a strong understanding of intercultural communication and the ability to adapt one's behaviour accordingly. As international business continues to expand, managers who invest in cultural and communicative competence will be better positioned to build trust, avoid costly misunderstandings, and achieve sustainable success.</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Furthermore, as international business continues to increase, the ability to communicate effectively across cultures is becoming an essential managerial skill rather than an optional advantage. Developing intercultural awareness and strategic communication competence can therefore enhance negotiation outcomes and support long term international business relationships.</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b w:val="1"/>
          <w:bCs w:val="1"/>
          <w:sz w:val="30"/>
          <w:szCs w:val="30"/>
        </w:rPr>
      </w:pPr>
      <w:r w:rsidDel="00000000" w:rsidR="00000000" w:rsidRPr="00000000">
        <w:rPr>
          <w:sz w:val="24"/>
          <w:szCs w:val="24"/>
          <w:rtl w:val="0"/>
        </w:rPr>
        <w:t xml:space="preserve">                                             </w:t>
      </w:r>
      <w:r w:rsidDel="00000000" w:rsidR="00000000" w:rsidRPr="00000000">
        <w:rPr>
          <w:b w:val="1"/>
          <w:bCs w:val="1"/>
          <w:sz w:val="30"/>
          <w:szCs w:val="30"/>
          <w:rtl w:val="0"/>
        </w:rPr>
        <w:t xml:space="preserve">References </w:t>
      </w:r>
    </w:p>
    <w:p w:rsidR="00000000" w:rsidDel="00000000" w:rsidP="00000000" w:rsidRDefault="00000000" w:rsidRPr="00000000" w14:paraId="0000008B">
      <w:pPr>
        <w:rPr>
          <w:b w:val="1"/>
          <w:bCs w:val="1"/>
          <w:sz w:val="30"/>
          <w:szCs w:val="30"/>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Gimenez, J.C. (2006) Embedded business emails: Meeting new demands in international business communication, English for Specific Purposes, 25(2),pp. 154-170.</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sz w:val="24"/>
          <w:szCs w:val="24"/>
          <w:rtl w:val="0"/>
        </w:rPr>
        <w:t xml:space="preserve">Hall, E.T. (1976) Beyond Culture. New York: Anchor Books.</w:t>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sz w:val="24"/>
          <w:szCs w:val="24"/>
          <w:rtl w:val="0"/>
        </w:rPr>
        <w:t xml:space="preserve">Hofsted, G.,Hofsted,G.J. and Minkov, M. (2010) Cultures and Organizations: Software of the Mind. 3rd edn. New York: McGraw-Hill.</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sz w:val="24"/>
          <w:szCs w:val="24"/>
          <w:rtl w:val="0"/>
        </w:rPr>
        <w:t xml:space="preserve">Neuliep, JW. (2018) Intercultural Communication: A Contextual Approach. 7th edn. Thousand Oaks: Sage.</w:t>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sz w:val="24"/>
          <w:szCs w:val="24"/>
          <w:rtl w:val="0"/>
        </w:rPr>
        <w:t xml:space="preserve">Samovar, L.A., Porter, R.E and McDaniel, E.R. (2013) Communication Between Culture. 8th edn. Boston: Wadsworth.</w:t>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sz w:val="24"/>
          <w:szCs w:val="24"/>
          <w:rtl w:val="0"/>
        </w:rPr>
        <w:t xml:space="preserve">Spencer-Oatey,H.(2012) “ What is culture? A compilation of quotations’, GlobalPAD Core concepts.</w:t>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sz w:val="24"/>
          <w:szCs w:val="24"/>
          <w:rtl w:val="0"/>
        </w:rPr>
        <w:t xml:space="preserve">Trompenaars, F. and Hampden-Turner,C. (2012) Riding the Waves Of Culture. 3rd edn. London: Nicholas Brealey.</w:t>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sz w:val="24"/>
          <w:szCs w:val="24"/>
          <w:rtl w:val="0"/>
        </w:rPr>
        <w:t xml:space="preserve">Varner, I. and Beamer,L. (2011) Intercultural Communication in the Global Workplace. 5th edn. New York: McGraw-Hill.</w:t>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sz w:val="24"/>
          <w:szCs w:val="24"/>
          <w:rtl w:val="0"/>
        </w:rPr>
        <w:t xml:space="preserve">Gudykunst, W.B. (2004) Bridging Differences: Effective Intergroup Communication. 4th edn. Thousand Oaks: Sage.</w:t>
      </w:r>
    </w:p>
    <w:p w:rsidR="00000000" w:rsidDel="00000000" w:rsidP="00000000" w:rsidRDefault="00000000" w:rsidRPr="00000000" w14:paraId="000000A0">
      <w:pPr>
        <w:rPr>
          <w:sz w:val="24"/>
          <w:szCs w:val="24"/>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sz w:val="24"/>
          <w:szCs w:val="24"/>
          <w:rtl w:val="0"/>
        </w:rPr>
        <w:t xml:space="preserve">Jackson,T. (2020) International Management Ethics. 3rd edn. Cambridge: Cambridge University Press.</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