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F4949" w:rsidRPr="00DE4ADE" w:rsidRDefault="00CF4949">
      <w:pPr>
        <w:pStyle w:val="Title"/>
        <w:rPr>
          <w:rFonts w:ascii="Arial" w:hAnsi="Arial" w:cs="Arial"/>
        </w:rPr>
      </w:pPr>
      <w:r w:rsidRPr="00DE4ADE">
        <w:rPr>
          <w:rFonts w:ascii="Arial" w:hAnsi="Arial" w:cs="Arial"/>
          <w:noProof/>
        </w:rPr>
        <w:drawing>
          <wp:anchor distT="0" distB="0" distL="114300" distR="114300" simplePos="0" relativeHeight="251659264" behindDoc="0" locked="0" layoutInCell="1" allowOverlap="1" wp14:anchorId="63296EBD" wp14:editId="478A347B">
            <wp:simplePos x="0" y="0"/>
            <wp:positionH relativeFrom="column">
              <wp:posOffset>-76200</wp:posOffset>
            </wp:positionH>
            <wp:positionV relativeFrom="paragraph">
              <wp:posOffset>-304800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CF4949" w:rsidRPr="00DE4ADE" w:rsidRDefault="00CF4949" w:rsidP="00B04A90">
      <w:pPr>
        <w:pStyle w:val="Title"/>
        <w:jc w:val="center"/>
        <w:rPr>
          <w:rFonts w:ascii="Arial" w:hAnsi="Arial" w:cs="Arial"/>
        </w:rPr>
      </w:pPr>
    </w:p>
    <w:p w:rsidR="00D35F79" w:rsidRPr="00DE4ADE" w:rsidRDefault="00826748" w:rsidP="00B04A90">
      <w:pPr>
        <w:pStyle w:val="Title"/>
        <w:jc w:val="center"/>
        <w:rPr>
          <w:rFonts w:ascii="Arial" w:hAnsi="Arial" w:cs="Arial"/>
        </w:rPr>
      </w:pPr>
      <w:r w:rsidRPr="00DE4ADE">
        <w:rPr>
          <w:rFonts w:ascii="Arial" w:hAnsi="Arial" w:cs="Arial"/>
        </w:rPr>
        <w:t>Digital Innovation in UK Health and Social Care: A Critical Evaluation of Accurx</w:t>
      </w:r>
    </w:p>
    <w:p w:rsidR="00B04A90" w:rsidRDefault="00B04A90" w:rsidP="00B04A90">
      <w:pPr>
        <w:jc w:val="center"/>
        <w:rPr>
          <w:rFonts w:ascii="Arial" w:hAnsi="Arial" w:cs="Arial"/>
        </w:rPr>
      </w:pPr>
    </w:p>
    <w:p w:rsidR="00B04A90" w:rsidRDefault="00B04A90" w:rsidP="00B04A90">
      <w:pPr>
        <w:jc w:val="center"/>
        <w:rPr>
          <w:rFonts w:ascii="Arial" w:hAnsi="Arial" w:cs="Arial"/>
        </w:rPr>
      </w:pPr>
    </w:p>
    <w:p w:rsidR="00E64139" w:rsidRDefault="00E64139" w:rsidP="00B04A90">
      <w:pPr>
        <w:jc w:val="center"/>
        <w:rPr>
          <w:rFonts w:ascii="Arial" w:hAnsi="Arial" w:cs="Arial"/>
        </w:rPr>
      </w:pPr>
      <w:r>
        <w:rPr>
          <w:rFonts w:ascii="Arial" w:hAnsi="Arial" w:cs="Arial"/>
        </w:rPr>
        <w:t>Tile</w:t>
      </w:r>
      <w:r w:rsidRPr="00DE4ADE">
        <w:rPr>
          <w:rFonts w:ascii="Arial" w:hAnsi="Arial" w:cs="Arial"/>
        </w:rPr>
        <w:t>:</w:t>
      </w:r>
      <w:r>
        <w:rPr>
          <w:rFonts w:ascii="Arial" w:hAnsi="Arial" w:cs="Arial"/>
        </w:rPr>
        <w:t xml:space="preserve"> </w:t>
      </w:r>
      <w:r w:rsidRPr="00345319">
        <w:rPr>
          <w:rFonts w:ascii="Arial" w:hAnsi="Arial" w:cs="Arial"/>
          <w:b/>
          <w:bCs/>
        </w:rPr>
        <w:t>Component 1: Written Report</w:t>
      </w:r>
    </w:p>
    <w:p w:rsidR="00B04A90" w:rsidRDefault="00B04A90" w:rsidP="00B04A90">
      <w:pPr>
        <w:jc w:val="center"/>
        <w:rPr>
          <w:rFonts w:ascii="Arial" w:hAnsi="Arial" w:cs="Arial"/>
        </w:rPr>
      </w:pPr>
    </w:p>
    <w:p w:rsidR="00D35F79" w:rsidRPr="00DE4ADE" w:rsidRDefault="00826748" w:rsidP="00B04A90">
      <w:pPr>
        <w:jc w:val="center"/>
        <w:rPr>
          <w:rFonts w:ascii="Arial" w:hAnsi="Arial" w:cs="Arial"/>
        </w:rPr>
      </w:pPr>
      <w:r w:rsidRPr="00DE4ADE">
        <w:rPr>
          <w:rFonts w:ascii="Arial" w:hAnsi="Arial" w:cs="Arial"/>
        </w:rPr>
        <w:t xml:space="preserve">Student Name: </w:t>
      </w:r>
      <w:r w:rsidR="00094730" w:rsidRPr="00DE4ADE">
        <w:rPr>
          <w:rFonts w:ascii="Arial" w:hAnsi="Arial" w:cs="Arial"/>
        </w:rPr>
        <w:t>Maryam</w:t>
      </w:r>
    </w:p>
    <w:p w:rsidR="00B04A90" w:rsidRDefault="00B04A90" w:rsidP="00B04A90">
      <w:pPr>
        <w:jc w:val="center"/>
        <w:rPr>
          <w:rFonts w:ascii="Arial" w:hAnsi="Arial" w:cs="Arial"/>
        </w:rPr>
      </w:pPr>
    </w:p>
    <w:p w:rsidR="000313A4" w:rsidRPr="00DE4ADE" w:rsidRDefault="000313A4" w:rsidP="00B04A90">
      <w:pPr>
        <w:jc w:val="center"/>
        <w:rPr>
          <w:rFonts w:ascii="Arial" w:hAnsi="Arial" w:cs="Arial"/>
        </w:rPr>
      </w:pPr>
      <w:r w:rsidRPr="00DE4ADE">
        <w:rPr>
          <w:rFonts w:ascii="Arial" w:hAnsi="Arial" w:cs="Arial"/>
        </w:rPr>
        <w:t>Student ID</w:t>
      </w:r>
      <w:r w:rsidRPr="00DE4ADE">
        <w:rPr>
          <w:rFonts w:ascii="Arial" w:hAnsi="Arial" w:cs="Arial"/>
        </w:rPr>
        <w:t>:</w:t>
      </w:r>
    </w:p>
    <w:p w:rsidR="00B04A90" w:rsidRDefault="00B04A90" w:rsidP="00B04A90">
      <w:pPr>
        <w:jc w:val="center"/>
        <w:rPr>
          <w:rFonts w:ascii="Arial" w:hAnsi="Arial" w:cs="Arial"/>
        </w:rPr>
      </w:pPr>
    </w:p>
    <w:p w:rsidR="00D35F79" w:rsidRPr="00DE4ADE" w:rsidRDefault="00826748" w:rsidP="00B04A90">
      <w:pPr>
        <w:jc w:val="center"/>
        <w:rPr>
          <w:rFonts w:ascii="Arial" w:hAnsi="Arial" w:cs="Arial"/>
        </w:rPr>
      </w:pPr>
      <w:r w:rsidRPr="00DE4ADE">
        <w:rPr>
          <w:rFonts w:ascii="Arial" w:hAnsi="Arial" w:cs="Arial"/>
        </w:rPr>
        <w:t>Module: Digital Transformation in Health and Social Care</w:t>
      </w:r>
    </w:p>
    <w:p w:rsidR="00B04A90" w:rsidRDefault="00B04A90" w:rsidP="00B04A90">
      <w:pPr>
        <w:jc w:val="center"/>
        <w:rPr>
          <w:rFonts w:ascii="Arial" w:hAnsi="Arial" w:cs="Arial"/>
        </w:rPr>
      </w:pPr>
    </w:p>
    <w:p w:rsidR="00C8558F" w:rsidRPr="00DE4ADE" w:rsidRDefault="00C8558F" w:rsidP="00B04A90">
      <w:pPr>
        <w:jc w:val="center"/>
        <w:rPr>
          <w:rFonts w:ascii="Arial" w:hAnsi="Arial" w:cs="Arial"/>
        </w:rPr>
      </w:pPr>
      <w:r w:rsidRPr="00DE4ADE">
        <w:rPr>
          <w:rFonts w:ascii="Arial" w:hAnsi="Arial" w:cs="Arial"/>
        </w:rPr>
        <w:t>Module Code</w:t>
      </w:r>
      <w:r w:rsidRPr="00DE4ADE">
        <w:rPr>
          <w:rFonts w:ascii="Arial" w:hAnsi="Arial" w:cs="Arial"/>
        </w:rPr>
        <w:t>:</w:t>
      </w:r>
      <w:r w:rsidRPr="00DE4ADE">
        <w:rPr>
          <w:rFonts w:ascii="Arial" w:hAnsi="Arial" w:cs="Arial"/>
          <w:b/>
        </w:rPr>
        <w:t xml:space="preserve"> </w:t>
      </w:r>
      <w:r w:rsidRPr="00DE4ADE">
        <w:rPr>
          <w:rFonts w:ascii="Arial" w:hAnsi="Arial" w:cs="Arial"/>
        </w:rPr>
        <w:t>BMHP6026</w:t>
      </w:r>
    </w:p>
    <w:p w:rsidR="00B04A90" w:rsidRDefault="00B04A90" w:rsidP="00B04A90">
      <w:pPr>
        <w:jc w:val="center"/>
        <w:rPr>
          <w:rFonts w:ascii="Arial" w:hAnsi="Arial" w:cs="Arial"/>
        </w:rPr>
      </w:pPr>
    </w:p>
    <w:p w:rsidR="00D35F79" w:rsidRDefault="00875E17" w:rsidP="00B04A90">
      <w:pPr>
        <w:jc w:val="center"/>
        <w:rPr>
          <w:rFonts w:ascii="Arial" w:hAnsi="Arial" w:cs="Arial"/>
        </w:rPr>
      </w:pPr>
      <w:r>
        <w:rPr>
          <w:rFonts w:ascii="Arial" w:hAnsi="Arial" w:cs="Arial"/>
        </w:rPr>
        <w:t>Word Count: 2066</w:t>
      </w:r>
    </w:p>
    <w:p w:rsidR="00B04A90" w:rsidRPr="00DE4ADE" w:rsidRDefault="00B04A90" w:rsidP="00B04A90">
      <w:pPr>
        <w:jc w:val="center"/>
        <w:rPr>
          <w:rFonts w:ascii="Arial" w:hAnsi="Arial" w:cs="Arial"/>
        </w:rPr>
      </w:pPr>
      <w:r>
        <w:rPr>
          <w:rFonts w:ascii="Arial" w:hAnsi="Arial" w:cs="Arial"/>
        </w:rPr>
        <w:t>Date</w:t>
      </w:r>
      <w:r w:rsidRPr="00DE4ADE">
        <w:rPr>
          <w:rFonts w:ascii="Arial" w:hAnsi="Arial" w:cs="Arial"/>
        </w:rPr>
        <w:t>:</w:t>
      </w:r>
      <w:r>
        <w:rPr>
          <w:rFonts w:ascii="Arial" w:hAnsi="Arial" w:cs="Arial"/>
        </w:rPr>
        <w:t xml:space="preserve"> 07 Fe</w:t>
      </w:r>
      <w:r w:rsidR="00D9308A">
        <w:rPr>
          <w:rFonts w:ascii="Arial" w:hAnsi="Arial" w:cs="Arial"/>
        </w:rPr>
        <w:t>bruary, 2</w:t>
      </w:r>
      <w:r w:rsidR="00875E17">
        <w:rPr>
          <w:rFonts w:ascii="Arial" w:hAnsi="Arial" w:cs="Arial"/>
        </w:rPr>
        <w:t>026</w:t>
      </w:r>
    </w:p>
    <w:p w:rsidR="00D33415" w:rsidRPr="00DE4ADE" w:rsidRDefault="00D33415">
      <w:pPr>
        <w:rPr>
          <w:rFonts w:ascii="Arial" w:hAnsi="Arial" w:cs="Arial"/>
        </w:rPr>
      </w:pPr>
    </w:p>
    <w:p w:rsidR="00D33415" w:rsidRPr="00DE4ADE" w:rsidRDefault="00D33415">
      <w:pPr>
        <w:rPr>
          <w:rFonts w:ascii="Arial" w:hAnsi="Arial" w:cs="Arial"/>
        </w:rPr>
      </w:pPr>
      <w:r w:rsidRPr="00DE4ADE">
        <w:rPr>
          <w:rFonts w:ascii="Arial" w:hAnsi="Arial" w:cs="Arial"/>
        </w:rPr>
        <w:br w:type="page"/>
      </w:r>
    </w:p>
    <w:p w:rsidR="00912613" w:rsidRPr="00345319" w:rsidRDefault="00912613" w:rsidP="00912613">
      <w:pPr>
        <w:spacing w:line="360" w:lineRule="auto"/>
        <w:jc w:val="center"/>
        <w:rPr>
          <w:rFonts w:ascii="Arial" w:hAnsi="Arial" w:cs="Arial"/>
        </w:rPr>
      </w:pPr>
      <w:r w:rsidRPr="00345319">
        <w:rPr>
          <w:rFonts w:ascii="Arial" w:hAnsi="Arial" w:cs="Arial"/>
        </w:rPr>
        <w:lastRenderedPageBreak/>
        <w:t>C</w:t>
      </w:r>
      <w:r w:rsidRPr="00345319">
        <w:rPr>
          <w:rFonts w:ascii="Arial" w:hAnsi="Arial" w:cs="Arial"/>
        </w:rPr>
        <w:t>ontemporary</w:t>
      </w:r>
      <w:r w:rsidR="0072052C">
        <w:rPr>
          <w:rFonts w:ascii="Arial" w:hAnsi="Arial" w:cs="Arial"/>
        </w:rPr>
        <w:t xml:space="preserve"> Digital T</w:t>
      </w:r>
      <w:r w:rsidRPr="00345319">
        <w:rPr>
          <w:rFonts w:ascii="Arial" w:hAnsi="Arial" w:cs="Arial"/>
        </w:rPr>
        <w:t xml:space="preserve">ransformations </w:t>
      </w:r>
      <w:r w:rsidR="0072052C">
        <w:rPr>
          <w:rFonts w:ascii="Arial" w:hAnsi="Arial" w:cs="Arial"/>
        </w:rPr>
        <w:t>for Professionals and Service u</w:t>
      </w:r>
      <w:r w:rsidR="0072052C" w:rsidRPr="00345319">
        <w:rPr>
          <w:rFonts w:ascii="Arial" w:hAnsi="Arial" w:cs="Arial"/>
        </w:rPr>
        <w:t xml:space="preserve">sers Within </w:t>
      </w:r>
      <w:proofErr w:type="gramStart"/>
      <w:r w:rsidR="0072052C">
        <w:rPr>
          <w:rFonts w:ascii="Arial" w:hAnsi="Arial" w:cs="Arial"/>
        </w:rPr>
        <w:t>The</w:t>
      </w:r>
      <w:proofErr w:type="gramEnd"/>
      <w:r w:rsidR="0072052C">
        <w:rPr>
          <w:rFonts w:ascii="Arial" w:hAnsi="Arial" w:cs="Arial"/>
        </w:rPr>
        <w:t xml:space="preserve"> Health a</w:t>
      </w:r>
      <w:r w:rsidR="0072052C" w:rsidRPr="00345319">
        <w:rPr>
          <w:rFonts w:ascii="Arial" w:hAnsi="Arial" w:cs="Arial"/>
        </w:rPr>
        <w:t>nd Care</w:t>
      </w:r>
    </w:p>
    <w:p w:rsidR="00912613" w:rsidRDefault="00912613" w:rsidP="00912613">
      <w:pPr>
        <w:jc w:val="center"/>
        <w:rPr>
          <w:rFonts w:ascii="Arial" w:hAnsi="Arial" w:cs="Arial"/>
        </w:rPr>
      </w:pPr>
      <w:r w:rsidRPr="00345319">
        <w:rPr>
          <w:rFonts w:ascii="Arial" w:hAnsi="Arial" w:cs="Arial"/>
        </w:rPr>
        <w:t>I</w:t>
      </w:r>
      <w:r w:rsidRPr="00345319">
        <w:rPr>
          <w:rFonts w:ascii="Arial" w:hAnsi="Arial" w:cs="Arial"/>
        </w:rPr>
        <w:t xml:space="preserve">nnovative </w:t>
      </w:r>
      <w:r w:rsidR="0072052C">
        <w:rPr>
          <w:rFonts w:ascii="Arial" w:hAnsi="Arial" w:cs="Arial"/>
        </w:rPr>
        <w:t>Digital Technologies and Devices a</w:t>
      </w:r>
      <w:r w:rsidR="0083427F">
        <w:rPr>
          <w:rFonts w:ascii="Arial" w:hAnsi="Arial" w:cs="Arial"/>
        </w:rPr>
        <w:t>nd t</w:t>
      </w:r>
      <w:r w:rsidR="005967A9">
        <w:rPr>
          <w:rFonts w:ascii="Arial" w:hAnsi="Arial" w:cs="Arial"/>
        </w:rPr>
        <w:t>he Impact u</w:t>
      </w:r>
      <w:r w:rsidR="0072052C">
        <w:rPr>
          <w:rFonts w:ascii="Arial" w:hAnsi="Arial" w:cs="Arial"/>
        </w:rPr>
        <w:t>pon Communities and Populations</w:t>
      </w:r>
    </w:p>
    <w:p w:rsidR="00D33415" w:rsidRPr="00947935" w:rsidRDefault="00D33415" w:rsidP="00912613">
      <w:pPr>
        <w:jc w:val="center"/>
        <w:rPr>
          <w:rFonts w:ascii="Arial" w:hAnsi="Arial" w:cs="Arial"/>
          <w:color w:val="FFFFFF" w:themeColor="background1"/>
          <w:sz w:val="38"/>
        </w:rPr>
      </w:pPr>
      <w:proofErr w:type="spellStart"/>
      <w:r w:rsidRPr="00947935">
        <w:rPr>
          <w:rFonts w:ascii="Arial" w:hAnsi="Arial" w:cs="Arial"/>
          <w:color w:val="FFFFFF" w:themeColor="background1"/>
          <w:sz w:val="38"/>
          <w:highlight w:val="blue"/>
        </w:rPr>
        <w:t>AccuRx</w:t>
      </w:r>
      <w:proofErr w:type="spellEnd"/>
    </w:p>
    <w:p w:rsidR="00FD0DEA" w:rsidRPr="00DE4ADE" w:rsidRDefault="00D33415">
      <w:pPr>
        <w:rPr>
          <w:rFonts w:ascii="Arial" w:hAnsi="Arial" w:cs="Arial"/>
        </w:rPr>
      </w:pPr>
      <w:r w:rsidRPr="00DE4ADE">
        <w:rPr>
          <w:rFonts w:ascii="Arial" w:hAnsi="Arial" w:cs="Arial"/>
          <w:noProof/>
        </w:rPr>
        <w:drawing>
          <wp:inline distT="0" distB="0" distL="0" distR="0" wp14:anchorId="1C0C3B23" wp14:editId="1C456923">
            <wp:extent cx="5067300" cy="4343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067300" cy="4343400"/>
                    </a:xfrm>
                    <a:prstGeom prst="rect">
                      <a:avLst/>
                    </a:prstGeom>
                  </pic:spPr>
                </pic:pic>
              </a:graphicData>
            </a:graphic>
          </wp:inline>
        </w:drawing>
      </w:r>
    </w:p>
    <w:p w:rsidR="00534CC8" w:rsidRPr="00DE4ADE" w:rsidRDefault="00FD0DEA">
      <w:pPr>
        <w:rPr>
          <w:rFonts w:ascii="Arial" w:hAnsi="Arial" w:cs="Arial"/>
        </w:rPr>
      </w:pPr>
      <w:r w:rsidRPr="00DE4ADE">
        <w:rPr>
          <w:rFonts w:ascii="Arial" w:hAnsi="Arial" w:cs="Arial"/>
          <w:noProof/>
        </w:rPr>
        <w:drawing>
          <wp:inline distT="0" distB="0" distL="0" distR="0" wp14:anchorId="2DDF18C4" wp14:editId="62C5E1C1">
            <wp:extent cx="5486400" cy="20802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486400" cy="2080260"/>
                    </a:xfrm>
                    <a:prstGeom prst="rect">
                      <a:avLst/>
                    </a:prstGeom>
                  </pic:spPr>
                </pic:pic>
              </a:graphicData>
            </a:graphic>
          </wp:inline>
        </w:drawing>
      </w:r>
    </w:p>
    <w:p w:rsidR="00534CC8" w:rsidRPr="00DE4ADE" w:rsidRDefault="00534CC8">
      <w:pPr>
        <w:rPr>
          <w:rFonts w:ascii="Arial" w:hAnsi="Arial" w:cs="Arial"/>
        </w:rPr>
      </w:pPr>
    </w:p>
    <w:sdt>
      <w:sdtPr>
        <w:rPr>
          <w:rFonts w:ascii="Arial" w:hAnsi="Arial" w:cs="Arial"/>
        </w:rPr>
        <w:id w:val="-1829352199"/>
        <w:docPartObj>
          <w:docPartGallery w:val="Table of Contents"/>
          <w:docPartUnique/>
        </w:docPartObj>
      </w:sdtPr>
      <w:sdtEndPr>
        <w:rPr>
          <w:rFonts w:eastAsiaTheme="minorEastAsia"/>
          <w:noProof/>
          <w:color w:val="auto"/>
          <w:sz w:val="22"/>
          <w:szCs w:val="22"/>
        </w:rPr>
      </w:sdtEndPr>
      <w:sdtContent>
        <w:p w:rsidR="00534CC8" w:rsidRPr="00DE4ADE" w:rsidRDefault="00534CC8">
          <w:pPr>
            <w:pStyle w:val="TOCHeading"/>
            <w:rPr>
              <w:rFonts w:ascii="Arial" w:hAnsi="Arial" w:cs="Arial"/>
            </w:rPr>
          </w:pPr>
          <w:r w:rsidRPr="00DE4ADE">
            <w:rPr>
              <w:rFonts w:ascii="Arial" w:hAnsi="Arial" w:cs="Arial"/>
            </w:rPr>
            <w:t>Contents</w:t>
          </w:r>
        </w:p>
        <w:p w:rsidR="000F6DCD" w:rsidRDefault="00534CC8">
          <w:pPr>
            <w:pStyle w:val="TOC1"/>
            <w:tabs>
              <w:tab w:val="left" w:pos="440"/>
              <w:tab w:val="right" w:leader="dot" w:pos="8630"/>
            </w:tabs>
            <w:rPr>
              <w:noProof/>
            </w:rPr>
          </w:pPr>
          <w:r w:rsidRPr="00DE4ADE">
            <w:rPr>
              <w:rFonts w:ascii="Arial" w:hAnsi="Arial" w:cs="Arial"/>
            </w:rPr>
            <w:fldChar w:fldCharType="begin"/>
          </w:r>
          <w:r w:rsidRPr="00DE4ADE">
            <w:rPr>
              <w:rFonts w:ascii="Arial" w:hAnsi="Arial" w:cs="Arial"/>
            </w:rPr>
            <w:instrText xml:space="preserve"> TOC \o "1-3" \h \z \u </w:instrText>
          </w:r>
          <w:r w:rsidRPr="00DE4ADE">
            <w:rPr>
              <w:rFonts w:ascii="Arial" w:hAnsi="Arial" w:cs="Arial"/>
            </w:rPr>
            <w:fldChar w:fldCharType="separate"/>
          </w:r>
          <w:bookmarkStart w:id="0" w:name="_GoBack"/>
          <w:bookmarkEnd w:id="0"/>
          <w:r w:rsidR="000F6DCD" w:rsidRPr="004618A6">
            <w:rPr>
              <w:rStyle w:val="Hyperlink"/>
              <w:noProof/>
            </w:rPr>
            <w:fldChar w:fldCharType="begin"/>
          </w:r>
          <w:r w:rsidR="000F6DCD" w:rsidRPr="004618A6">
            <w:rPr>
              <w:rStyle w:val="Hyperlink"/>
              <w:noProof/>
            </w:rPr>
            <w:instrText xml:space="preserve"> </w:instrText>
          </w:r>
          <w:r w:rsidR="000F6DCD">
            <w:rPr>
              <w:noProof/>
            </w:rPr>
            <w:instrText>HYPERLINK \l "_Toc221321276"</w:instrText>
          </w:r>
          <w:r w:rsidR="000F6DCD" w:rsidRPr="004618A6">
            <w:rPr>
              <w:rStyle w:val="Hyperlink"/>
              <w:noProof/>
            </w:rPr>
            <w:instrText xml:space="preserve"> </w:instrText>
          </w:r>
          <w:r w:rsidR="000F6DCD" w:rsidRPr="004618A6">
            <w:rPr>
              <w:rStyle w:val="Hyperlink"/>
              <w:noProof/>
            </w:rPr>
          </w:r>
          <w:r w:rsidR="000F6DCD" w:rsidRPr="004618A6">
            <w:rPr>
              <w:rStyle w:val="Hyperlink"/>
              <w:noProof/>
            </w:rPr>
            <w:fldChar w:fldCharType="separate"/>
          </w:r>
          <w:r w:rsidR="000F6DCD" w:rsidRPr="004618A6">
            <w:rPr>
              <w:rStyle w:val="Hyperlink"/>
              <w:rFonts w:ascii="Arial" w:hAnsi="Arial" w:cs="Arial"/>
              <w:noProof/>
            </w:rPr>
            <w:t>1.</w:t>
          </w:r>
          <w:r w:rsidR="000F6DCD">
            <w:rPr>
              <w:noProof/>
            </w:rPr>
            <w:tab/>
          </w:r>
          <w:r w:rsidR="000F6DCD" w:rsidRPr="004618A6">
            <w:rPr>
              <w:rStyle w:val="Hyperlink"/>
              <w:rFonts w:ascii="Arial" w:hAnsi="Arial" w:cs="Arial"/>
              <w:noProof/>
            </w:rPr>
            <w:t>Introduction</w:t>
          </w:r>
          <w:r w:rsidR="000F6DCD">
            <w:rPr>
              <w:noProof/>
              <w:webHidden/>
            </w:rPr>
            <w:tab/>
          </w:r>
          <w:r w:rsidR="000F6DCD">
            <w:rPr>
              <w:noProof/>
              <w:webHidden/>
            </w:rPr>
            <w:fldChar w:fldCharType="begin"/>
          </w:r>
          <w:r w:rsidR="000F6DCD">
            <w:rPr>
              <w:noProof/>
              <w:webHidden/>
            </w:rPr>
            <w:instrText xml:space="preserve"> PAGEREF _Toc221321276 \h </w:instrText>
          </w:r>
          <w:r w:rsidR="000F6DCD">
            <w:rPr>
              <w:noProof/>
              <w:webHidden/>
            </w:rPr>
          </w:r>
          <w:r w:rsidR="000F6DCD">
            <w:rPr>
              <w:noProof/>
              <w:webHidden/>
            </w:rPr>
            <w:fldChar w:fldCharType="separate"/>
          </w:r>
          <w:r w:rsidR="000F6DCD">
            <w:rPr>
              <w:noProof/>
              <w:webHidden/>
            </w:rPr>
            <w:t>1</w:t>
          </w:r>
          <w:r w:rsidR="000F6DCD">
            <w:rPr>
              <w:noProof/>
              <w:webHidden/>
            </w:rPr>
            <w:fldChar w:fldCharType="end"/>
          </w:r>
          <w:r w:rsidR="000F6DCD" w:rsidRPr="004618A6">
            <w:rPr>
              <w:rStyle w:val="Hyperlink"/>
              <w:noProof/>
            </w:rPr>
            <w:fldChar w:fldCharType="end"/>
          </w:r>
        </w:p>
        <w:p w:rsidR="000F6DCD" w:rsidRDefault="000F6DCD">
          <w:pPr>
            <w:pStyle w:val="TOC1"/>
            <w:tabs>
              <w:tab w:val="left" w:pos="440"/>
              <w:tab w:val="right" w:leader="dot" w:pos="8630"/>
            </w:tabs>
            <w:rPr>
              <w:noProof/>
            </w:rPr>
          </w:pPr>
          <w:hyperlink w:anchor="_Toc221321277" w:history="1">
            <w:r w:rsidRPr="004618A6">
              <w:rPr>
                <w:rStyle w:val="Hyperlink"/>
                <w:rFonts w:ascii="Arial" w:hAnsi="Arial" w:cs="Arial"/>
                <w:noProof/>
              </w:rPr>
              <w:t>2.</w:t>
            </w:r>
            <w:r>
              <w:rPr>
                <w:noProof/>
              </w:rPr>
              <w:tab/>
            </w:r>
            <w:r w:rsidRPr="004618A6">
              <w:rPr>
                <w:rStyle w:val="Hyperlink"/>
                <w:rFonts w:ascii="Arial" w:hAnsi="Arial" w:cs="Arial"/>
                <w:noProof/>
              </w:rPr>
              <w:t>Workforce Impact: A Critical Evaluation</w:t>
            </w:r>
            <w:r>
              <w:rPr>
                <w:noProof/>
                <w:webHidden/>
              </w:rPr>
              <w:tab/>
            </w:r>
            <w:r>
              <w:rPr>
                <w:noProof/>
                <w:webHidden/>
              </w:rPr>
              <w:fldChar w:fldCharType="begin"/>
            </w:r>
            <w:r>
              <w:rPr>
                <w:noProof/>
                <w:webHidden/>
              </w:rPr>
              <w:instrText xml:space="preserve"> PAGEREF _Toc221321277 \h </w:instrText>
            </w:r>
            <w:r>
              <w:rPr>
                <w:noProof/>
                <w:webHidden/>
              </w:rPr>
            </w:r>
            <w:r>
              <w:rPr>
                <w:noProof/>
                <w:webHidden/>
              </w:rPr>
              <w:fldChar w:fldCharType="separate"/>
            </w:r>
            <w:r>
              <w:rPr>
                <w:noProof/>
                <w:webHidden/>
              </w:rPr>
              <w:t>1</w:t>
            </w:r>
            <w:r>
              <w:rPr>
                <w:noProof/>
                <w:webHidden/>
              </w:rPr>
              <w:fldChar w:fldCharType="end"/>
            </w:r>
          </w:hyperlink>
        </w:p>
        <w:p w:rsidR="000F6DCD" w:rsidRDefault="000F6DCD">
          <w:pPr>
            <w:pStyle w:val="TOC1"/>
            <w:tabs>
              <w:tab w:val="left" w:pos="440"/>
              <w:tab w:val="right" w:leader="dot" w:pos="8630"/>
            </w:tabs>
            <w:rPr>
              <w:noProof/>
            </w:rPr>
          </w:pPr>
          <w:hyperlink w:anchor="_Toc221321278" w:history="1">
            <w:r w:rsidRPr="004618A6">
              <w:rPr>
                <w:rStyle w:val="Hyperlink"/>
                <w:rFonts w:ascii="Arial" w:hAnsi="Arial" w:cs="Arial"/>
                <w:noProof/>
              </w:rPr>
              <w:t>3.</w:t>
            </w:r>
            <w:r>
              <w:rPr>
                <w:noProof/>
              </w:rPr>
              <w:tab/>
            </w:r>
            <w:r w:rsidRPr="004618A6">
              <w:rPr>
                <w:rStyle w:val="Hyperlink"/>
                <w:rFonts w:ascii="Arial" w:hAnsi="Arial" w:cs="Arial"/>
                <w:noProof/>
              </w:rPr>
              <w:t>Service Delivery Impact: A Critical Evaluation</w:t>
            </w:r>
            <w:r>
              <w:rPr>
                <w:noProof/>
                <w:webHidden/>
              </w:rPr>
              <w:tab/>
            </w:r>
            <w:r>
              <w:rPr>
                <w:noProof/>
                <w:webHidden/>
              </w:rPr>
              <w:fldChar w:fldCharType="begin"/>
            </w:r>
            <w:r>
              <w:rPr>
                <w:noProof/>
                <w:webHidden/>
              </w:rPr>
              <w:instrText xml:space="preserve"> PAGEREF _Toc221321278 \h </w:instrText>
            </w:r>
            <w:r>
              <w:rPr>
                <w:noProof/>
                <w:webHidden/>
              </w:rPr>
            </w:r>
            <w:r>
              <w:rPr>
                <w:noProof/>
                <w:webHidden/>
              </w:rPr>
              <w:fldChar w:fldCharType="separate"/>
            </w:r>
            <w:r>
              <w:rPr>
                <w:noProof/>
                <w:webHidden/>
              </w:rPr>
              <w:t>3</w:t>
            </w:r>
            <w:r>
              <w:rPr>
                <w:noProof/>
                <w:webHidden/>
              </w:rPr>
              <w:fldChar w:fldCharType="end"/>
            </w:r>
          </w:hyperlink>
        </w:p>
        <w:p w:rsidR="000F6DCD" w:rsidRDefault="000F6DCD">
          <w:pPr>
            <w:pStyle w:val="TOC1"/>
            <w:tabs>
              <w:tab w:val="left" w:pos="440"/>
              <w:tab w:val="right" w:leader="dot" w:pos="8630"/>
            </w:tabs>
            <w:rPr>
              <w:noProof/>
            </w:rPr>
          </w:pPr>
          <w:hyperlink w:anchor="_Toc221321279" w:history="1">
            <w:r w:rsidRPr="004618A6">
              <w:rPr>
                <w:rStyle w:val="Hyperlink"/>
                <w:rFonts w:ascii="Arial" w:hAnsi="Arial" w:cs="Arial"/>
                <w:noProof/>
              </w:rPr>
              <w:t>4.</w:t>
            </w:r>
            <w:r>
              <w:rPr>
                <w:noProof/>
              </w:rPr>
              <w:tab/>
            </w:r>
            <w:r w:rsidRPr="004618A6">
              <w:rPr>
                <w:rStyle w:val="Hyperlink"/>
                <w:rFonts w:ascii="Arial" w:hAnsi="Arial" w:cs="Arial"/>
                <w:noProof/>
              </w:rPr>
              <w:t>Patient and Service User Impact: A Critical Evaluation</w:t>
            </w:r>
            <w:r>
              <w:rPr>
                <w:noProof/>
                <w:webHidden/>
              </w:rPr>
              <w:tab/>
            </w:r>
            <w:r>
              <w:rPr>
                <w:noProof/>
                <w:webHidden/>
              </w:rPr>
              <w:fldChar w:fldCharType="begin"/>
            </w:r>
            <w:r>
              <w:rPr>
                <w:noProof/>
                <w:webHidden/>
              </w:rPr>
              <w:instrText xml:space="preserve"> PAGEREF _Toc221321279 \h </w:instrText>
            </w:r>
            <w:r>
              <w:rPr>
                <w:noProof/>
                <w:webHidden/>
              </w:rPr>
            </w:r>
            <w:r>
              <w:rPr>
                <w:noProof/>
                <w:webHidden/>
              </w:rPr>
              <w:fldChar w:fldCharType="separate"/>
            </w:r>
            <w:r>
              <w:rPr>
                <w:noProof/>
                <w:webHidden/>
              </w:rPr>
              <w:t>4</w:t>
            </w:r>
            <w:r>
              <w:rPr>
                <w:noProof/>
                <w:webHidden/>
              </w:rPr>
              <w:fldChar w:fldCharType="end"/>
            </w:r>
          </w:hyperlink>
        </w:p>
        <w:p w:rsidR="000F6DCD" w:rsidRDefault="000F6DCD">
          <w:pPr>
            <w:pStyle w:val="TOC1"/>
            <w:tabs>
              <w:tab w:val="right" w:leader="dot" w:pos="8630"/>
            </w:tabs>
            <w:rPr>
              <w:noProof/>
            </w:rPr>
          </w:pPr>
          <w:hyperlink w:anchor="_Toc221321280" w:history="1">
            <w:r w:rsidRPr="004618A6">
              <w:rPr>
                <w:rStyle w:val="Hyperlink"/>
                <w:noProof/>
              </w:rPr>
              <w:t>Conclusion</w:t>
            </w:r>
            <w:r>
              <w:rPr>
                <w:noProof/>
                <w:webHidden/>
              </w:rPr>
              <w:tab/>
            </w:r>
            <w:r>
              <w:rPr>
                <w:noProof/>
                <w:webHidden/>
              </w:rPr>
              <w:fldChar w:fldCharType="begin"/>
            </w:r>
            <w:r>
              <w:rPr>
                <w:noProof/>
                <w:webHidden/>
              </w:rPr>
              <w:instrText xml:space="preserve"> PAGEREF _Toc221321280 \h </w:instrText>
            </w:r>
            <w:r>
              <w:rPr>
                <w:noProof/>
                <w:webHidden/>
              </w:rPr>
            </w:r>
            <w:r>
              <w:rPr>
                <w:noProof/>
                <w:webHidden/>
              </w:rPr>
              <w:fldChar w:fldCharType="separate"/>
            </w:r>
            <w:r>
              <w:rPr>
                <w:noProof/>
                <w:webHidden/>
              </w:rPr>
              <w:t>6</w:t>
            </w:r>
            <w:r>
              <w:rPr>
                <w:noProof/>
                <w:webHidden/>
              </w:rPr>
              <w:fldChar w:fldCharType="end"/>
            </w:r>
          </w:hyperlink>
        </w:p>
        <w:p w:rsidR="000F6DCD" w:rsidRDefault="000F6DCD">
          <w:pPr>
            <w:pStyle w:val="TOC1"/>
            <w:tabs>
              <w:tab w:val="right" w:leader="dot" w:pos="8630"/>
            </w:tabs>
            <w:rPr>
              <w:noProof/>
            </w:rPr>
          </w:pPr>
          <w:hyperlink w:anchor="_Toc221321281" w:history="1">
            <w:r w:rsidRPr="004618A6">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_Toc221321281 \h </w:instrText>
            </w:r>
            <w:r>
              <w:rPr>
                <w:noProof/>
                <w:webHidden/>
              </w:rPr>
            </w:r>
            <w:r>
              <w:rPr>
                <w:noProof/>
                <w:webHidden/>
              </w:rPr>
              <w:fldChar w:fldCharType="separate"/>
            </w:r>
            <w:r>
              <w:rPr>
                <w:noProof/>
                <w:webHidden/>
              </w:rPr>
              <w:t>7</w:t>
            </w:r>
            <w:r>
              <w:rPr>
                <w:noProof/>
                <w:webHidden/>
              </w:rPr>
              <w:fldChar w:fldCharType="end"/>
            </w:r>
          </w:hyperlink>
        </w:p>
        <w:p w:rsidR="00534CC8" w:rsidRPr="00DE4ADE" w:rsidRDefault="00534CC8">
          <w:pPr>
            <w:rPr>
              <w:rFonts w:ascii="Arial" w:hAnsi="Arial" w:cs="Arial"/>
            </w:rPr>
          </w:pPr>
          <w:r w:rsidRPr="00DE4ADE">
            <w:rPr>
              <w:rFonts w:ascii="Arial" w:hAnsi="Arial" w:cs="Arial"/>
              <w:b/>
              <w:bCs/>
              <w:noProof/>
            </w:rPr>
            <w:fldChar w:fldCharType="end"/>
          </w:r>
        </w:p>
      </w:sdtContent>
    </w:sdt>
    <w:p w:rsidR="00534CC8" w:rsidRPr="00DE4ADE" w:rsidRDefault="00534CC8">
      <w:pPr>
        <w:rPr>
          <w:rFonts w:ascii="Arial" w:hAnsi="Arial" w:cs="Arial"/>
        </w:rPr>
      </w:pPr>
    </w:p>
    <w:p w:rsidR="00534CC8" w:rsidRPr="00DE4ADE" w:rsidRDefault="00534CC8">
      <w:pPr>
        <w:rPr>
          <w:rFonts w:ascii="Arial" w:hAnsi="Arial" w:cs="Arial"/>
        </w:rPr>
        <w:sectPr w:rsidR="00534CC8" w:rsidRPr="00DE4ADE" w:rsidSect="00534CC8">
          <w:footerReference w:type="default" r:id="rId13"/>
          <w:pgSz w:w="12240" w:h="15840"/>
          <w:pgMar w:top="1440" w:right="1800" w:bottom="1440" w:left="1800" w:header="720" w:footer="720" w:gutter="0"/>
          <w:pgNumType w:fmt="upperRoman"/>
          <w:cols w:space="720"/>
          <w:docGrid w:linePitch="360"/>
        </w:sectPr>
      </w:pPr>
    </w:p>
    <w:p w:rsidR="00D35F79" w:rsidRPr="00DE4ADE" w:rsidRDefault="00826748" w:rsidP="00D90768">
      <w:pPr>
        <w:pStyle w:val="Heading1"/>
        <w:numPr>
          <w:ilvl w:val="0"/>
          <w:numId w:val="11"/>
        </w:numPr>
        <w:rPr>
          <w:rFonts w:ascii="Arial" w:hAnsi="Arial" w:cs="Arial"/>
        </w:rPr>
      </w:pPr>
      <w:bookmarkStart w:id="1" w:name="_Toc221321276"/>
      <w:r w:rsidRPr="00DE4ADE">
        <w:rPr>
          <w:rFonts w:ascii="Arial" w:hAnsi="Arial" w:cs="Arial"/>
        </w:rPr>
        <w:lastRenderedPageBreak/>
        <w:t>Introduction</w:t>
      </w:r>
      <w:bookmarkEnd w:id="1"/>
    </w:p>
    <w:p w:rsidR="003A0D02" w:rsidRDefault="003A0D02" w:rsidP="003A0D02">
      <w:pPr>
        <w:spacing w:line="360" w:lineRule="auto"/>
        <w:jc w:val="both"/>
        <w:rPr>
          <w:rFonts w:ascii="Arial" w:hAnsi="Arial" w:cs="Arial"/>
        </w:rPr>
      </w:pPr>
      <w:r w:rsidRPr="003A0D02">
        <w:rPr>
          <w:rFonts w:ascii="Arial" w:hAnsi="Arial" w:cs="Arial"/>
        </w:rPr>
        <w:t xml:space="preserve">Different digital health technologies have significantly influenced the UK health and social care within the last ten years, enhancing service delivery, patient interaction, and workforce performance significantly (Gov.uk, 2025). </w:t>
      </w:r>
      <w:proofErr w:type="spellStart"/>
      <w:r w:rsidRPr="003A0D02">
        <w:rPr>
          <w:rFonts w:ascii="Arial" w:hAnsi="Arial" w:cs="Arial"/>
        </w:rPr>
        <w:t>Accurx</w:t>
      </w:r>
      <w:proofErr w:type="spellEnd"/>
      <w:r w:rsidRPr="003A0D02">
        <w:rPr>
          <w:rFonts w:ascii="Arial" w:hAnsi="Arial" w:cs="Arial"/>
        </w:rPr>
        <w:t xml:space="preserve"> is one of such innovations that </w:t>
      </w:r>
      <w:proofErr w:type="gramStart"/>
      <w:r w:rsidRPr="003A0D02">
        <w:rPr>
          <w:rFonts w:ascii="Arial" w:hAnsi="Arial" w:cs="Arial"/>
        </w:rPr>
        <w:t>has</w:t>
      </w:r>
      <w:proofErr w:type="gramEnd"/>
      <w:r w:rsidRPr="003A0D02">
        <w:rPr>
          <w:rFonts w:ascii="Arial" w:hAnsi="Arial" w:cs="Arial"/>
        </w:rPr>
        <w:t xml:space="preserve"> become a central platform of primary care. Released in the last ten years, </w:t>
      </w:r>
      <w:proofErr w:type="spellStart"/>
      <w:r w:rsidRPr="003A0D02">
        <w:rPr>
          <w:rFonts w:ascii="Arial" w:hAnsi="Arial" w:cs="Arial"/>
        </w:rPr>
        <w:t>Accurx</w:t>
      </w:r>
      <w:proofErr w:type="spellEnd"/>
      <w:r w:rsidRPr="003A0D02">
        <w:rPr>
          <w:rFonts w:ascii="Arial" w:hAnsi="Arial" w:cs="Arial"/>
        </w:rPr>
        <w:t xml:space="preserve"> will provide a secure messaging service, videoconferencing, and digital triage, which can be directly integrated with NHS electronic patient records (</w:t>
      </w:r>
      <w:proofErr w:type="spellStart"/>
      <w:r w:rsidRPr="003A0D02">
        <w:rPr>
          <w:rFonts w:ascii="Arial" w:hAnsi="Arial" w:cs="Arial"/>
        </w:rPr>
        <w:t>Accurx</w:t>
      </w:r>
      <w:proofErr w:type="spellEnd"/>
      <w:r w:rsidRPr="003A0D02">
        <w:rPr>
          <w:rFonts w:ascii="Arial" w:hAnsi="Arial" w:cs="Arial"/>
        </w:rPr>
        <w:t xml:space="preserve">, 2026). This form of integration will allow clinicians and administrative staff to interact with patients more effectively but can also ensure the security of data, which is in line with the strategic goals of the NHS to </w:t>
      </w:r>
      <w:proofErr w:type="spellStart"/>
      <w:r w:rsidRPr="003A0D02">
        <w:rPr>
          <w:rFonts w:ascii="Arial" w:hAnsi="Arial" w:cs="Arial"/>
        </w:rPr>
        <w:t>modernise</w:t>
      </w:r>
      <w:proofErr w:type="spellEnd"/>
      <w:r w:rsidRPr="003A0D02">
        <w:rPr>
          <w:rFonts w:ascii="Arial" w:hAnsi="Arial" w:cs="Arial"/>
        </w:rPr>
        <w:t xml:space="preserve"> the services provided and reduce service fragmentation (</w:t>
      </w:r>
      <w:proofErr w:type="spellStart"/>
      <w:r w:rsidRPr="003A0D02">
        <w:rPr>
          <w:rFonts w:ascii="Arial" w:hAnsi="Arial" w:cs="Arial"/>
        </w:rPr>
        <w:t>Greenhalgh</w:t>
      </w:r>
      <w:proofErr w:type="spellEnd"/>
      <w:r w:rsidRPr="003A0D02">
        <w:rPr>
          <w:rFonts w:ascii="Arial" w:hAnsi="Arial" w:cs="Arial"/>
        </w:rPr>
        <w:t xml:space="preserve"> et al., 2022). </w:t>
      </w:r>
    </w:p>
    <w:p w:rsidR="00D35F79" w:rsidRPr="00DE4ADE" w:rsidRDefault="003A0D02" w:rsidP="003A0D02">
      <w:pPr>
        <w:spacing w:line="360" w:lineRule="auto"/>
        <w:jc w:val="both"/>
        <w:rPr>
          <w:rFonts w:ascii="Arial" w:hAnsi="Arial" w:cs="Arial"/>
        </w:rPr>
      </w:pPr>
      <w:r w:rsidRPr="003A0D02">
        <w:rPr>
          <w:rFonts w:ascii="Arial" w:hAnsi="Arial" w:cs="Arial"/>
        </w:rPr>
        <w:t xml:space="preserve">More than 98 per cent of general </w:t>
      </w:r>
      <w:proofErr w:type="spellStart"/>
      <w:r w:rsidRPr="003A0D02">
        <w:rPr>
          <w:rFonts w:ascii="Arial" w:hAnsi="Arial" w:cs="Arial"/>
        </w:rPr>
        <w:t>practise</w:t>
      </w:r>
      <w:proofErr w:type="spellEnd"/>
      <w:r w:rsidRPr="003A0D02">
        <w:rPr>
          <w:rFonts w:ascii="Arial" w:hAnsi="Arial" w:cs="Arial"/>
        </w:rPr>
        <w:t xml:space="preserve"> clinics across England have already adopted the platform (Healthcare Digital, 2025), thus showing that it is widely accepted. </w:t>
      </w:r>
      <w:proofErr w:type="spellStart"/>
      <w:r w:rsidRPr="003A0D02">
        <w:rPr>
          <w:rFonts w:ascii="Arial" w:hAnsi="Arial" w:cs="Arial"/>
        </w:rPr>
        <w:t>Accurx</w:t>
      </w:r>
      <w:proofErr w:type="spellEnd"/>
      <w:r w:rsidRPr="003A0D02">
        <w:rPr>
          <w:rFonts w:ascii="Arial" w:hAnsi="Arial" w:cs="Arial"/>
        </w:rPr>
        <w:t xml:space="preserve"> will overcome issues that include increased administrative workload, non-attendance during appointments and inconsistent patient engagement (</w:t>
      </w:r>
      <w:proofErr w:type="spellStart"/>
      <w:r w:rsidRPr="003A0D02">
        <w:rPr>
          <w:rFonts w:ascii="Arial" w:hAnsi="Arial" w:cs="Arial"/>
        </w:rPr>
        <w:t>Winward</w:t>
      </w:r>
      <w:proofErr w:type="spellEnd"/>
      <w:r w:rsidRPr="003A0D02">
        <w:rPr>
          <w:rFonts w:ascii="Arial" w:hAnsi="Arial" w:cs="Arial"/>
        </w:rPr>
        <w:t xml:space="preserve">, Singh and Patel, 2021). This report is a critical evaluation of the impacts that </w:t>
      </w:r>
      <w:proofErr w:type="spellStart"/>
      <w:r w:rsidRPr="003A0D02">
        <w:rPr>
          <w:rFonts w:ascii="Arial" w:hAnsi="Arial" w:cs="Arial"/>
        </w:rPr>
        <w:t>Accurx</w:t>
      </w:r>
      <w:proofErr w:type="spellEnd"/>
      <w:r w:rsidRPr="003A0D02">
        <w:rPr>
          <w:rFonts w:ascii="Arial" w:hAnsi="Arial" w:cs="Arial"/>
        </w:rPr>
        <w:t xml:space="preserve"> has in the three areas: workforce, service delivery, and patient/service-user experiences. The positive and negative aspects are discussed, which is supported by the current data that is presented in peer-reviewed articles, NHS case studies, and government reports in the UK. The analysis highlights the transformative role </w:t>
      </w:r>
      <w:proofErr w:type="spellStart"/>
      <w:r w:rsidRPr="003A0D02">
        <w:rPr>
          <w:rFonts w:ascii="Arial" w:hAnsi="Arial" w:cs="Arial"/>
        </w:rPr>
        <w:t>Accurx</w:t>
      </w:r>
      <w:proofErr w:type="spellEnd"/>
      <w:r w:rsidRPr="003A0D02">
        <w:rPr>
          <w:rFonts w:ascii="Arial" w:hAnsi="Arial" w:cs="Arial"/>
        </w:rPr>
        <w:t xml:space="preserve"> has had on NHS </w:t>
      </w:r>
      <w:proofErr w:type="spellStart"/>
      <w:r w:rsidRPr="003A0D02">
        <w:rPr>
          <w:rFonts w:ascii="Arial" w:hAnsi="Arial" w:cs="Arial"/>
        </w:rPr>
        <w:t>practise</w:t>
      </w:r>
      <w:proofErr w:type="spellEnd"/>
      <w:r w:rsidRPr="003A0D02">
        <w:rPr>
          <w:rFonts w:ascii="Arial" w:hAnsi="Arial" w:cs="Arial"/>
        </w:rPr>
        <w:t xml:space="preserve">, points to the possible barriers and opportunities, and offers the suggestions to </w:t>
      </w:r>
      <w:proofErr w:type="spellStart"/>
      <w:r w:rsidRPr="003A0D02">
        <w:rPr>
          <w:rFonts w:ascii="Arial" w:hAnsi="Arial" w:cs="Arial"/>
        </w:rPr>
        <w:t>maximise</w:t>
      </w:r>
      <w:proofErr w:type="spellEnd"/>
      <w:r w:rsidRPr="003A0D02">
        <w:rPr>
          <w:rFonts w:ascii="Arial" w:hAnsi="Arial" w:cs="Arial"/>
        </w:rPr>
        <w:t xml:space="preserve"> its use in health and social care.</w:t>
      </w:r>
    </w:p>
    <w:p w:rsidR="00D35F79" w:rsidRPr="003A0D02" w:rsidRDefault="00826748" w:rsidP="003A0D02">
      <w:pPr>
        <w:pStyle w:val="Heading1"/>
        <w:numPr>
          <w:ilvl w:val="0"/>
          <w:numId w:val="11"/>
        </w:numPr>
        <w:rPr>
          <w:rFonts w:ascii="Arial" w:hAnsi="Arial" w:cs="Arial"/>
        </w:rPr>
      </w:pPr>
      <w:bookmarkStart w:id="2" w:name="_Toc221321277"/>
      <w:r w:rsidRPr="003A0D02">
        <w:rPr>
          <w:rFonts w:ascii="Arial" w:hAnsi="Arial" w:cs="Arial"/>
        </w:rPr>
        <w:t>Workforce Impact: A Critical Evaluation</w:t>
      </w:r>
      <w:bookmarkEnd w:id="2"/>
    </w:p>
    <w:p w:rsidR="00D35F79" w:rsidRPr="00DE4ADE" w:rsidRDefault="002F52A8" w:rsidP="002F52A8">
      <w:pPr>
        <w:spacing w:line="360" w:lineRule="auto"/>
        <w:jc w:val="both"/>
        <w:rPr>
          <w:rFonts w:ascii="Arial" w:hAnsi="Arial" w:cs="Arial"/>
        </w:rPr>
      </w:pPr>
      <w:r w:rsidRPr="00DE4ADE">
        <w:rPr>
          <w:rFonts w:ascii="Arial" w:hAnsi="Arial" w:cs="Arial"/>
        </w:rPr>
        <w:t xml:space="preserve">The implementation of </w:t>
      </w:r>
      <w:proofErr w:type="spellStart"/>
      <w:r w:rsidRPr="00DE4ADE">
        <w:rPr>
          <w:rFonts w:ascii="Arial" w:hAnsi="Arial" w:cs="Arial"/>
        </w:rPr>
        <w:t>Accurx</w:t>
      </w:r>
      <w:proofErr w:type="spellEnd"/>
      <w:r w:rsidRPr="00DE4ADE">
        <w:rPr>
          <w:rFonts w:ascii="Arial" w:hAnsi="Arial" w:cs="Arial"/>
        </w:rPr>
        <w:t xml:space="preserve"> has significantly transformed the roles, competencies and workflows of the NHS workforce. There have be</w:t>
      </w:r>
      <w:r w:rsidR="00F9333C" w:rsidRPr="00DE4ADE">
        <w:rPr>
          <w:rFonts w:ascii="Arial" w:hAnsi="Arial" w:cs="Arial"/>
        </w:rPr>
        <w:t>en savings in time and reorganiz</w:t>
      </w:r>
      <w:r w:rsidRPr="00DE4ADE">
        <w:rPr>
          <w:rFonts w:ascii="Arial" w:hAnsi="Arial" w:cs="Arial"/>
        </w:rPr>
        <w:t xml:space="preserve">ing of tasks by administrative staff. According to Healthcare Digital (2025), automated messaging has reduced the need to have manual appointment calls, which allows staff to dedicate more time to the coordination and quality-assurance roles. Such observations can be supported by the study by </w:t>
      </w:r>
      <w:proofErr w:type="spellStart"/>
      <w:r w:rsidRPr="00DE4ADE">
        <w:rPr>
          <w:rFonts w:ascii="Arial" w:hAnsi="Arial" w:cs="Arial"/>
        </w:rPr>
        <w:t>Winward</w:t>
      </w:r>
      <w:proofErr w:type="spellEnd"/>
      <w:r w:rsidRPr="00DE4ADE">
        <w:rPr>
          <w:rFonts w:ascii="Arial" w:hAnsi="Arial" w:cs="Arial"/>
        </w:rPr>
        <w:t xml:space="preserve">, Singh, and Patel (2021), who reported a quantifiable decrease in the administrative load and a positive change in occupational conditions, as the introduction of digital communication tools in primary care. Besides, digital triage capabilities also allow administrations to carry out pre-triage </w:t>
      </w:r>
      <w:r w:rsidRPr="00DE4ADE">
        <w:rPr>
          <w:rFonts w:ascii="Arial" w:hAnsi="Arial" w:cs="Arial"/>
        </w:rPr>
        <w:lastRenderedPageBreak/>
        <w:t>sorting of patients, thus reducing the workload of clinicians and liberating up complex or emergent cases (</w:t>
      </w:r>
      <w:proofErr w:type="spellStart"/>
      <w:r w:rsidRPr="00DE4ADE">
        <w:rPr>
          <w:rFonts w:ascii="Arial" w:hAnsi="Arial" w:cs="Arial"/>
        </w:rPr>
        <w:t>Winward</w:t>
      </w:r>
      <w:proofErr w:type="spellEnd"/>
      <w:r w:rsidRPr="00DE4ADE">
        <w:rPr>
          <w:rFonts w:ascii="Arial" w:hAnsi="Arial" w:cs="Arial"/>
        </w:rPr>
        <w:t xml:space="preserve"> et al., 2021).</w:t>
      </w:r>
    </w:p>
    <w:p w:rsidR="00D35F79" w:rsidRPr="00DE4ADE" w:rsidRDefault="002F52A8" w:rsidP="002F52A8">
      <w:pPr>
        <w:spacing w:line="360" w:lineRule="auto"/>
        <w:jc w:val="both"/>
        <w:rPr>
          <w:rFonts w:ascii="Arial" w:hAnsi="Arial" w:cs="Arial"/>
        </w:rPr>
      </w:pPr>
      <w:r w:rsidRPr="00DE4ADE">
        <w:rPr>
          <w:rFonts w:ascii="Arial" w:hAnsi="Arial" w:cs="Arial"/>
        </w:rPr>
        <w:t>Clinicians have also undergone intensive role change. The advent of video consultations and secure messaging has lessened dependence on traditional face</w:t>
      </w:r>
      <w:r w:rsidRPr="00DE4ADE">
        <w:rPr>
          <w:rFonts w:ascii="Cambria Math" w:hAnsi="Cambria Math" w:cs="Cambria Math"/>
        </w:rPr>
        <w:t>‑</w:t>
      </w:r>
      <w:r w:rsidRPr="00DE4ADE">
        <w:rPr>
          <w:rFonts w:ascii="Arial" w:hAnsi="Arial" w:cs="Arial"/>
        </w:rPr>
        <w:t>to</w:t>
      </w:r>
      <w:r w:rsidRPr="00DE4ADE">
        <w:rPr>
          <w:rFonts w:ascii="Cambria Math" w:hAnsi="Cambria Math" w:cs="Cambria Math"/>
        </w:rPr>
        <w:t>‑</w:t>
      </w:r>
      <w:r w:rsidRPr="00DE4ADE">
        <w:rPr>
          <w:rFonts w:ascii="Arial" w:hAnsi="Arial" w:cs="Arial"/>
        </w:rPr>
        <w:t xml:space="preserve">face interactions. </w:t>
      </w:r>
      <w:proofErr w:type="spellStart"/>
      <w:r w:rsidRPr="00DE4ADE">
        <w:rPr>
          <w:rFonts w:ascii="Arial" w:hAnsi="Arial" w:cs="Arial"/>
        </w:rPr>
        <w:t>Greenhalgh</w:t>
      </w:r>
      <w:proofErr w:type="spellEnd"/>
      <w:r w:rsidRPr="00DE4ADE">
        <w:rPr>
          <w:rFonts w:ascii="Arial" w:hAnsi="Arial" w:cs="Arial"/>
        </w:rPr>
        <w:t xml:space="preserve"> et al. (2022) discovered that remote consultations, which were facilitated with platforms including </w:t>
      </w:r>
      <w:proofErr w:type="spellStart"/>
      <w:r w:rsidRPr="00DE4ADE">
        <w:rPr>
          <w:rFonts w:ascii="Arial" w:hAnsi="Arial" w:cs="Arial"/>
        </w:rPr>
        <w:t>Accurx</w:t>
      </w:r>
      <w:proofErr w:type="spellEnd"/>
      <w:r w:rsidRPr="00DE4ADE">
        <w:rPr>
          <w:rFonts w:ascii="Arial" w:hAnsi="Arial" w:cs="Arial"/>
        </w:rPr>
        <w:t xml:space="preserve">, can ease clinician burnout as it </w:t>
      </w:r>
      <w:r w:rsidR="00F9333C" w:rsidRPr="00DE4ADE">
        <w:rPr>
          <w:rFonts w:ascii="Arial" w:hAnsi="Arial" w:cs="Arial"/>
        </w:rPr>
        <w:t>improves flexibility and minimiz</w:t>
      </w:r>
      <w:r w:rsidRPr="00DE4ADE">
        <w:rPr>
          <w:rFonts w:ascii="Arial" w:hAnsi="Arial" w:cs="Arial"/>
        </w:rPr>
        <w:t>es the travelling between the locations. However, Turner (2021) warns that online consultation systems can put the clinician inadvertently under cognitive overload, with clinicians having to deal with asynchronous communications when the clinic is not open- even qualitative research on GP workloads in digital settings (Turner, 2021; Fitzpatrick et al., 2023) agrees with this point. To deal with these problems, careful workflow planning is required to prevent the generation of digital overloads.</w:t>
      </w:r>
    </w:p>
    <w:p w:rsidR="00D35F79" w:rsidRPr="00DE4ADE" w:rsidRDefault="00AB4092" w:rsidP="002F52A8">
      <w:pPr>
        <w:spacing w:line="360" w:lineRule="auto"/>
        <w:jc w:val="both"/>
        <w:rPr>
          <w:rFonts w:ascii="Arial" w:hAnsi="Arial" w:cs="Arial"/>
        </w:rPr>
      </w:pPr>
      <w:r w:rsidRPr="00DE4ADE">
        <w:rPr>
          <w:rFonts w:ascii="Arial" w:hAnsi="Arial" w:cs="Arial"/>
        </w:rPr>
        <w:t>The level of digital competency has grown. All members across the board have to show competence in safe messaging, video communication, and online triage methods. NHS Digital guidance underscores the necessity of digital literacy traini</w:t>
      </w:r>
      <w:r w:rsidR="00F9333C" w:rsidRPr="00DE4ADE">
        <w:rPr>
          <w:rFonts w:ascii="Arial" w:hAnsi="Arial" w:cs="Arial"/>
        </w:rPr>
        <w:t>ng for effective platform utiliz</w:t>
      </w:r>
      <w:r w:rsidRPr="00DE4ADE">
        <w:rPr>
          <w:rFonts w:ascii="Arial" w:hAnsi="Arial" w:cs="Arial"/>
        </w:rPr>
        <w:t xml:space="preserve">ation (NHS England Digital, 2022).  This is in line with the findings of Fitzpatrick, Smith, and Green (2023) that the lack of format training on digital skills tempers adoption and makes them not used uniformly by teams. Also, the incorporation of AI scribing technologies (e.g., </w:t>
      </w:r>
      <w:proofErr w:type="spellStart"/>
      <w:r w:rsidRPr="00DE4ADE">
        <w:rPr>
          <w:rFonts w:ascii="Arial" w:hAnsi="Arial" w:cs="Arial"/>
        </w:rPr>
        <w:t>Accurx</w:t>
      </w:r>
      <w:proofErr w:type="spellEnd"/>
      <w:r w:rsidRPr="00DE4ADE">
        <w:rPr>
          <w:rFonts w:ascii="Arial" w:hAnsi="Arial" w:cs="Arial"/>
        </w:rPr>
        <w:t xml:space="preserve"> Scribe) means that new skills will be required of the clinicians, who will have to confirm automated summaries and learn to work with AI-aided documentation (Tandem Health, 2025). Although these tools can save time, they also require </w:t>
      </w:r>
      <w:proofErr w:type="gramStart"/>
      <w:r w:rsidRPr="00DE4ADE">
        <w:rPr>
          <w:rFonts w:ascii="Arial" w:hAnsi="Arial" w:cs="Arial"/>
        </w:rPr>
        <w:t xml:space="preserve">management and quality </w:t>
      </w:r>
      <w:proofErr w:type="spellStart"/>
      <w:r w:rsidRPr="00DE4ADE">
        <w:rPr>
          <w:rFonts w:ascii="Arial" w:hAnsi="Arial" w:cs="Arial"/>
        </w:rPr>
        <w:t>cheques</w:t>
      </w:r>
      <w:proofErr w:type="spellEnd"/>
      <w:r w:rsidRPr="00DE4ADE">
        <w:rPr>
          <w:rFonts w:ascii="Arial" w:hAnsi="Arial" w:cs="Arial"/>
        </w:rPr>
        <w:t xml:space="preserve"> which makes</w:t>
      </w:r>
      <w:proofErr w:type="gramEnd"/>
      <w:r w:rsidRPr="00DE4ADE">
        <w:rPr>
          <w:rFonts w:ascii="Arial" w:hAnsi="Arial" w:cs="Arial"/>
        </w:rPr>
        <w:t xml:space="preserve"> training a vital part of workforce preparedness.</w:t>
      </w:r>
    </w:p>
    <w:p w:rsidR="00D35F79" w:rsidRPr="00DE4ADE" w:rsidRDefault="008D421C" w:rsidP="002F52A8">
      <w:pPr>
        <w:spacing w:line="360" w:lineRule="auto"/>
        <w:jc w:val="both"/>
        <w:rPr>
          <w:rFonts w:ascii="Arial" w:hAnsi="Arial" w:cs="Arial"/>
        </w:rPr>
      </w:pPr>
      <w:r w:rsidRPr="00DE4ADE">
        <w:rPr>
          <w:rFonts w:ascii="Arial" w:hAnsi="Arial" w:cs="Arial"/>
        </w:rPr>
        <w:t xml:space="preserve">Although operational profits are high, the satisfaction with the workforce is inconsistent. According to surveys, most clinicians appreciate fewer calls on their phones, but others report more frequent message notifications that result in </w:t>
      </w:r>
      <w:proofErr w:type="spellStart"/>
      <w:r w:rsidRPr="00DE4ADE">
        <w:rPr>
          <w:rFonts w:ascii="Arial" w:hAnsi="Arial" w:cs="Arial"/>
        </w:rPr>
        <w:t>boundaryless</w:t>
      </w:r>
      <w:proofErr w:type="spellEnd"/>
      <w:r w:rsidRPr="00DE4ADE">
        <w:rPr>
          <w:rFonts w:ascii="Arial" w:hAnsi="Arial" w:cs="Arial"/>
        </w:rPr>
        <w:t xml:space="preserve"> work-life and may lead to stress (Ge et al., 2024; Turner, 2021). Moreover, employees aged in older age groups or with less digital confidence indicate a slower rate of adaptation (Fitzpatrick et al., 2023), which indicates that the benefits of workforce are not distributed equally. To conclude, </w:t>
      </w:r>
      <w:proofErr w:type="spellStart"/>
      <w:r w:rsidRPr="00DE4ADE">
        <w:rPr>
          <w:rFonts w:ascii="Arial" w:hAnsi="Arial" w:cs="Arial"/>
        </w:rPr>
        <w:t>Accurx</w:t>
      </w:r>
      <w:proofErr w:type="spellEnd"/>
      <w:r w:rsidRPr="00DE4ADE">
        <w:rPr>
          <w:rFonts w:ascii="Arial" w:hAnsi="Arial" w:cs="Arial"/>
        </w:rPr>
        <w:t xml:space="preserve"> has transformed the functions of professionals, reallocated the work, and required new skills in the NHS workforce. These advantages on a massive scale </w:t>
      </w:r>
      <w:r w:rsidRPr="00DE4ADE">
        <w:rPr>
          <w:rFonts w:ascii="Arial" w:hAnsi="Arial" w:cs="Arial"/>
        </w:rPr>
        <w:lastRenderedPageBreak/>
        <w:t>mean the need to invest in training, support frameworks, and optimization of workflows to prevent possible incidents of digital exhaustion and inequity in digital fluency.</w:t>
      </w:r>
    </w:p>
    <w:p w:rsidR="00D35F79" w:rsidRPr="00DE4ADE" w:rsidRDefault="00826748" w:rsidP="00D90768">
      <w:pPr>
        <w:pStyle w:val="Heading1"/>
        <w:numPr>
          <w:ilvl w:val="0"/>
          <w:numId w:val="11"/>
        </w:numPr>
        <w:rPr>
          <w:rFonts w:ascii="Arial" w:hAnsi="Arial" w:cs="Arial"/>
        </w:rPr>
      </w:pPr>
      <w:bookmarkStart w:id="3" w:name="_Toc221321278"/>
      <w:r w:rsidRPr="00DE4ADE">
        <w:rPr>
          <w:rFonts w:ascii="Arial" w:hAnsi="Arial" w:cs="Arial"/>
        </w:rPr>
        <w:t>Service Del</w:t>
      </w:r>
      <w:r w:rsidRPr="00DE4ADE">
        <w:rPr>
          <w:rFonts w:ascii="Arial" w:hAnsi="Arial" w:cs="Arial"/>
        </w:rPr>
        <w:t>ivery Impact: A Critical Evaluation</w:t>
      </w:r>
      <w:bookmarkEnd w:id="3"/>
    </w:p>
    <w:p w:rsidR="00D35F79" w:rsidRPr="00DE4ADE" w:rsidRDefault="00F6608F" w:rsidP="00F6608F">
      <w:pPr>
        <w:spacing w:line="360" w:lineRule="auto"/>
        <w:jc w:val="both"/>
        <w:rPr>
          <w:rFonts w:ascii="Arial" w:hAnsi="Arial" w:cs="Arial"/>
        </w:rPr>
      </w:pPr>
      <w:r w:rsidRPr="00DE4ADE">
        <w:rPr>
          <w:rFonts w:ascii="Arial" w:hAnsi="Arial" w:cs="Arial"/>
        </w:rPr>
        <w:t xml:space="preserve">The way </w:t>
      </w:r>
      <w:proofErr w:type="spellStart"/>
      <w:r w:rsidRPr="00DE4ADE">
        <w:rPr>
          <w:rFonts w:ascii="Arial" w:hAnsi="Arial" w:cs="Arial"/>
        </w:rPr>
        <w:t>Accurx</w:t>
      </w:r>
      <w:proofErr w:type="spellEnd"/>
      <w:r w:rsidRPr="00DE4ADE">
        <w:rPr>
          <w:rFonts w:ascii="Arial" w:hAnsi="Arial" w:cs="Arial"/>
        </w:rPr>
        <w:t xml:space="preserve"> has affected the services delivery in NHS is multifaceted as it covers appointments, efficiency of triage, accessibility, and continuity of care. One of the main advantages mentioned is the decrease in the number of Did Not Attend (DNA). </w:t>
      </w:r>
      <w:proofErr w:type="spellStart"/>
      <w:r w:rsidRPr="00DE4ADE">
        <w:rPr>
          <w:rFonts w:ascii="Arial" w:hAnsi="Arial" w:cs="Arial"/>
        </w:rPr>
        <w:t>Accurx</w:t>
      </w:r>
      <w:proofErr w:type="spellEnd"/>
      <w:r w:rsidRPr="00DE4ADE">
        <w:rPr>
          <w:rFonts w:ascii="Arial" w:hAnsi="Arial" w:cs="Arial"/>
        </w:rPr>
        <w:t xml:space="preserve"> (2026) documents that automated SMS appointment reminders led to the decrease in DNAs by 50 percent in various primary care practices. This point of observation is in line with the empirical findings of Ge et al. (2024), who proved that digital messaging systems can have a profound positive impact on attendance rates by maintaining patient contact and information exchange. Moreover, electronic triage systems can be used to segment and rank patient requests in an effective manner. Research shows that asynchronous solving of up to 40 percent of patient enquiries takes place without requiring face-to-face appointments to sit in at the clinic, thus adding capacity to the clinic and reducing the waiting time (</w:t>
      </w:r>
      <w:proofErr w:type="spellStart"/>
      <w:r w:rsidRPr="00DE4ADE">
        <w:rPr>
          <w:rFonts w:ascii="Arial" w:hAnsi="Arial" w:cs="Arial"/>
        </w:rPr>
        <w:t>Accurx</w:t>
      </w:r>
      <w:proofErr w:type="spellEnd"/>
      <w:r w:rsidRPr="00DE4ADE">
        <w:rPr>
          <w:rFonts w:ascii="Arial" w:hAnsi="Arial" w:cs="Arial"/>
        </w:rPr>
        <w:t xml:space="preserve"> Blog, 2026). These are digital avenues that can be aligned with the digital transformation goals of the NHS England to reduce unnecessary clinic visits and simplify the process of care provision (Gov.uk, 2025).</w:t>
      </w:r>
    </w:p>
    <w:p w:rsidR="00D35F79" w:rsidRPr="00DE4ADE" w:rsidRDefault="00F6608F" w:rsidP="00F6608F">
      <w:pPr>
        <w:spacing w:line="360" w:lineRule="auto"/>
        <w:jc w:val="both"/>
        <w:rPr>
          <w:rFonts w:ascii="Arial" w:hAnsi="Arial" w:cs="Arial"/>
        </w:rPr>
      </w:pPr>
      <w:r w:rsidRPr="00DE4ADE">
        <w:rPr>
          <w:rFonts w:ascii="Arial" w:hAnsi="Arial" w:cs="Arial"/>
        </w:rPr>
        <w:t>Remote video consultations have expanded clinical reach, particularly benefiting patients residing in rural or underserved areas.</w:t>
      </w:r>
      <w:r w:rsidR="00826748" w:rsidRPr="00DE4ADE">
        <w:rPr>
          <w:rFonts w:ascii="Arial" w:hAnsi="Arial" w:cs="Arial"/>
        </w:rPr>
        <w:t xml:space="preserve"> </w:t>
      </w:r>
      <w:proofErr w:type="spellStart"/>
      <w:r w:rsidRPr="00DE4ADE">
        <w:rPr>
          <w:rFonts w:ascii="Arial" w:hAnsi="Arial" w:cs="Arial"/>
        </w:rPr>
        <w:t>Greenhalgh</w:t>
      </w:r>
      <w:proofErr w:type="spellEnd"/>
      <w:r w:rsidRPr="00DE4ADE">
        <w:rPr>
          <w:rFonts w:ascii="Arial" w:hAnsi="Arial" w:cs="Arial"/>
        </w:rPr>
        <w:t xml:space="preserve"> et al. (2022) discovered that even remote consultations using secure apps like </w:t>
      </w:r>
      <w:proofErr w:type="spellStart"/>
      <w:r w:rsidRPr="00DE4ADE">
        <w:rPr>
          <w:rFonts w:ascii="Arial" w:hAnsi="Arial" w:cs="Arial"/>
        </w:rPr>
        <w:t>Accurx</w:t>
      </w:r>
      <w:proofErr w:type="spellEnd"/>
      <w:r w:rsidRPr="00DE4ADE">
        <w:rPr>
          <w:rFonts w:ascii="Arial" w:hAnsi="Arial" w:cs="Arial"/>
        </w:rPr>
        <w:t xml:space="preserve"> are able to sustain the quality of the clinical process, as well as relieve patients and staff of the burden of travelling. This observation aligns with pre- and post-pandemic assessments that suggest that digital encounters can be clinically useful on many common cases (</w:t>
      </w:r>
      <w:proofErr w:type="spellStart"/>
      <w:r w:rsidRPr="00DE4ADE">
        <w:rPr>
          <w:rFonts w:ascii="Arial" w:hAnsi="Arial" w:cs="Arial"/>
        </w:rPr>
        <w:t>Winward</w:t>
      </w:r>
      <w:proofErr w:type="spellEnd"/>
      <w:r w:rsidRPr="00DE4ADE">
        <w:rPr>
          <w:rFonts w:ascii="Arial" w:hAnsi="Arial" w:cs="Arial"/>
        </w:rPr>
        <w:t xml:space="preserve"> et al., 2021).</w:t>
      </w:r>
    </w:p>
    <w:p w:rsidR="00D35F79" w:rsidRPr="00DE4ADE" w:rsidRDefault="00F6608F" w:rsidP="00F6608F">
      <w:pPr>
        <w:spacing w:line="360" w:lineRule="auto"/>
        <w:jc w:val="both"/>
        <w:rPr>
          <w:rFonts w:ascii="Arial" w:hAnsi="Arial" w:cs="Arial"/>
        </w:rPr>
      </w:pPr>
      <w:r w:rsidRPr="00DE4ADE">
        <w:rPr>
          <w:rFonts w:ascii="Arial" w:hAnsi="Arial" w:cs="Arial"/>
        </w:rPr>
        <w:t xml:space="preserve">The improvement in service delivery is however not evenly realized. Variability in infrastructure across trusts yields inconsistent experiences. Other sites list connectivity issues or the lack of devices with high frequency in the scope of diminishing trust to online interactions (Fitzpatrick et al., 2023). </w:t>
      </w:r>
      <w:r w:rsidR="00826748" w:rsidRPr="00DE4ADE">
        <w:rPr>
          <w:rFonts w:ascii="Arial" w:hAnsi="Arial" w:cs="Arial"/>
        </w:rPr>
        <w:t xml:space="preserve">Additionally, </w:t>
      </w:r>
      <w:proofErr w:type="gramStart"/>
      <w:r w:rsidRPr="00DE4ADE">
        <w:rPr>
          <w:rFonts w:ascii="Arial" w:hAnsi="Arial" w:cs="Arial"/>
        </w:rPr>
        <w:t>Also</w:t>
      </w:r>
      <w:proofErr w:type="gramEnd"/>
      <w:r w:rsidRPr="00DE4ADE">
        <w:rPr>
          <w:rFonts w:ascii="Arial" w:hAnsi="Arial" w:cs="Arial"/>
        </w:rPr>
        <w:t xml:space="preserve">, the interoperability with older electronic health records is an ongoing problem that often requires manual reconciliation which reduces the expected efficiency benefits (Turner, 2021). It has also been empirically demonstrated that digital triage can create a stimulus effect on demand in specific clinical environments; a study of online consultations revealed that asynchronous formats address most of the routine requests, but paradoxically, creates </w:t>
      </w:r>
      <w:r w:rsidRPr="00DE4ADE">
        <w:rPr>
          <w:rFonts w:ascii="Arial" w:hAnsi="Arial" w:cs="Arial"/>
        </w:rPr>
        <w:lastRenderedPageBreak/>
        <w:t xml:space="preserve">new demand due to the low barrier to access (Turner, 2021). Despite these complications, the role of </w:t>
      </w:r>
      <w:proofErr w:type="spellStart"/>
      <w:r w:rsidRPr="00DE4ADE">
        <w:rPr>
          <w:rFonts w:ascii="Arial" w:hAnsi="Arial" w:cs="Arial"/>
        </w:rPr>
        <w:t>Accurx</w:t>
      </w:r>
      <w:proofErr w:type="spellEnd"/>
      <w:r w:rsidRPr="00DE4ADE">
        <w:rPr>
          <w:rFonts w:ascii="Arial" w:hAnsi="Arial" w:cs="Arial"/>
        </w:rPr>
        <w:t xml:space="preserve"> in service delivery means mo</w:t>
      </w:r>
      <w:r w:rsidR="009733AE" w:rsidRPr="00DE4ADE">
        <w:rPr>
          <w:rFonts w:ascii="Arial" w:hAnsi="Arial" w:cs="Arial"/>
        </w:rPr>
        <w:t>st of it is positive when analyz</w:t>
      </w:r>
      <w:r w:rsidRPr="00DE4ADE">
        <w:rPr>
          <w:rFonts w:ascii="Arial" w:hAnsi="Arial" w:cs="Arial"/>
        </w:rPr>
        <w:t>ed using a critical lens. When properly adopted, it could increase the attendance rate</w:t>
      </w:r>
      <w:r w:rsidR="009733AE" w:rsidRPr="00DE4ADE">
        <w:rPr>
          <w:rFonts w:ascii="Arial" w:hAnsi="Arial" w:cs="Arial"/>
        </w:rPr>
        <w:t>s, facilitate the smooth organiz</w:t>
      </w:r>
      <w:r w:rsidRPr="00DE4ADE">
        <w:rPr>
          <w:rFonts w:ascii="Arial" w:hAnsi="Arial" w:cs="Arial"/>
        </w:rPr>
        <w:t>ation of the appointment triage, and increase access, but the comprehensive benefits depend on a well-established infrastructure, ongoing assessment, and flexible work processes.</w:t>
      </w:r>
    </w:p>
    <w:p w:rsidR="00D35F79" w:rsidRPr="00DE4ADE" w:rsidRDefault="00826748" w:rsidP="00D90768">
      <w:pPr>
        <w:pStyle w:val="Heading1"/>
        <w:numPr>
          <w:ilvl w:val="0"/>
          <w:numId w:val="11"/>
        </w:numPr>
        <w:rPr>
          <w:rFonts w:ascii="Arial" w:hAnsi="Arial" w:cs="Arial"/>
        </w:rPr>
      </w:pPr>
      <w:bookmarkStart w:id="4" w:name="_Toc221321279"/>
      <w:r w:rsidRPr="00DE4ADE">
        <w:rPr>
          <w:rFonts w:ascii="Arial" w:hAnsi="Arial" w:cs="Arial"/>
        </w:rPr>
        <w:t>Patient and Service User Impact: A Critical Evaluation</w:t>
      </w:r>
      <w:bookmarkEnd w:id="4"/>
    </w:p>
    <w:p w:rsidR="009733AE" w:rsidRPr="00DE4ADE" w:rsidRDefault="009733AE" w:rsidP="009733AE">
      <w:pPr>
        <w:spacing w:line="360" w:lineRule="auto"/>
        <w:jc w:val="both"/>
        <w:rPr>
          <w:rFonts w:ascii="Arial" w:hAnsi="Arial" w:cs="Arial"/>
        </w:rPr>
      </w:pPr>
      <w:r w:rsidRPr="00DE4ADE">
        <w:rPr>
          <w:rFonts w:ascii="Arial" w:hAnsi="Arial" w:cs="Arial"/>
        </w:rPr>
        <w:t xml:space="preserve">As a patient, digital communication technologies like </w:t>
      </w:r>
      <w:proofErr w:type="spellStart"/>
      <w:r w:rsidRPr="00DE4ADE">
        <w:rPr>
          <w:rFonts w:ascii="Arial" w:hAnsi="Arial" w:cs="Arial"/>
        </w:rPr>
        <w:t>Accurx</w:t>
      </w:r>
      <w:proofErr w:type="spellEnd"/>
      <w:r w:rsidRPr="00DE4ADE">
        <w:rPr>
          <w:rFonts w:ascii="Arial" w:hAnsi="Arial" w:cs="Arial"/>
        </w:rPr>
        <w:t xml:space="preserve"> are convenient, flexible, and provide more interactions with clinicians. Studies prove that patients appreciate the ability to communicate online at their convenience, thus alleviating the necessity to travel as well as the reduction of waiting time (Fitzpatrick et al., 2023). Specifically, Ge et al. (2024) revealed that people who used the online consultation tools were more satisfied with how they scheduled the appointment and reduced anxiety caused by missing appointments. </w:t>
      </w:r>
      <w:proofErr w:type="spellStart"/>
      <w:r w:rsidRPr="00DE4ADE">
        <w:rPr>
          <w:rFonts w:ascii="Arial" w:hAnsi="Arial" w:cs="Arial"/>
        </w:rPr>
        <w:t>Accurx</w:t>
      </w:r>
      <w:proofErr w:type="spellEnd"/>
      <w:r w:rsidRPr="00DE4ADE">
        <w:rPr>
          <w:rFonts w:ascii="Arial" w:hAnsi="Arial" w:cs="Arial"/>
        </w:rPr>
        <w:t xml:space="preserve"> -supported reminders and messages enhance treatment adherence and clinic attendance. The assessment by Digital Health showed that there has been a remarkable increase in response to messaging interventions as compared to traditional telephone systems, thus creating more regular contact with care teams (</w:t>
      </w:r>
      <w:proofErr w:type="spellStart"/>
      <w:r w:rsidRPr="00DE4ADE">
        <w:rPr>
          <w:rFonts w:ascii="Arial" w:hAnsi="Arial" w:cs="Arial"/>
        </w:rPr>
        <w:t>Accurx</w:t>
      </w:r>
      <w:proofErr w:type="spellEnd"/>
      <w:r w:rsidRPr="00DE4ADE">
        <w:rPr>
          <w:rFonts w:ascii="Arial" w:hAnsi="Arial" w:cs="Arial"/>
        </w:rPr>
        <w:t xml:space="preserve"> Blog, 2026). Furthermore, asynchronous communication allows patients to convey their issues without a time constraint, which is aligned with patient-</w:t>
      </w:r>
      <w:proofErr w:type="spellStart"/>
      <w:r w:rsidRPr="00DE4ADE">
        <w:rPr>
          <w:rFonts w:ascii="Arial" w:hAnsi="Arial" w:cs="Arial"/>
        </w:rPr>
        <w:t>centred</w:t>
      </w:r>
      <w:proofErr w:type="spellEnd"/>
      <w:r w:rsidRPr="00DE4ADE">
        <w:rPr>
          <w:rFonts w:ascii="Arial" w:hAnsi="Arial" w:cs="Arial"/>
        </w:rPr>
        <w:t xml:space="preserve"> care principles (Fitzpatrick et al., 2023). However, the effects on the patients are subtle. Digital exclusion is a significant issue among people with a low digital literacy level, socioeconomic status, and old age. According to the analysis by Turner (2021), these groups will be less likely to gain equal benefit of online consultation tools, contributing to health inequities. Likewise, </w:t>
      </w:r>
      <w:proofErr w:type="spellStart"/>
      <w:r w:rsidRPr="00DE4ADE">
        <w:rPr>
          <w:rFonts w:ascii="Arial" w:hAnsi="Arial" w:cs="Arial"/>
        </w:rPr>
        <w:t>Greenhalgh</w:t>
      </w:r>
      <w:proofErr w:type="spellEnd"/>
      <w:r w:rsidRPr="00DE4ADE">
        <w:rPr>
          <w:rFonts w:ascii="Arial" w:hAnsi="Arial" w:cs="Arial"/>
        </w:rPr>
        <w:t xml:space="preserve"> et al. (2022) found that even though numerous patients like video visits, some also complain that they feel uncomfortable with technology or need face-to-face communications when dealing with complicated or sensitive matters. </w:t>
      </w:r>
    </w:p>
    <w:p w:rsidR="00D35F79" w:rsidRDefault="009733AE" w:rsidP="009733AE">
      <w:pPr>
        <w:spacing w:line="360" w:lineRule="auto"/>
        <w:jc w:val="both"/>
        <w:rPr>
          <w:rFonts w:ascii="Arial" w:hAnsi="Arial" w:cs="Arial"/>
        </w:rPr>
      </w:pPr>
      <w:r w:rsidRPr="00DE4ADE">
        <w:rPr>
          <w:rFonts w:ascii="Arial" w:hAnsi="Arial" w:cs="Arial"/>
        </w:rPr>
        <w:t xml:space="preserve">Patient experience is also affected by the sense of privacy and data-security. The fact that </w:t>
      </w:r>
      <w:proofErr w:type="spellStart"/>
      <w:r w:rsidRPr="00DE4ADE">
        <w:rPr>
          <w:rFonts w:ascii="Arial" w:hAnsi="Arial" w:cs="Arial"/>
        </w:rPr>
        <w:t>Accurx</w:t>
      </w:r>
      <w:proofErr w:type="spellEnd"/>
      <w:r w:rsidRPr="00DE4ADE">
        <w:rPr>
          <w:rFonts w:ascii="Arial" w:hAnsi="Arial" w:cs="Arial"/>
        </w:rPr>
        <w:t xml:space="preserve"> uses data protocols that are NHS-compliant does not mean that a percentage of patients are not afraid of sharing digital data and the confidentiality of SMS notifications (Ge et al., 2024). Also, remote consultations might limit non-verbal communication messages; </w:t>
      </w:r>
      <w:proofErr w:type="spellStart"/>
      <w:r w:rsidRPr="00DE4ADE">
        <w:rPr>
          <w:rFonts w:ascii="Arial" w:hAnsi="Arial" w:cs="Arial"/>
        </w:rPr>
        <w:t>Greenhalgh</w:t>
      </w:r>
      <w:proofErr w:type="spellEnd"/>
      <w:r w:rsidRPr="00DE4ADE">
        <w:rPr>
          <w:rFonts w:ascii="Arial" w:hAnsi="Arial" w:cs="Arial"/>
        </w:rPr>
        <w:t xml:space="preserve"> et al. (2022) believe that such a loss could </w:t>
      </w:r>
      <w:r w:rsidRPr="00DE4ADE">
        <w:rPr>
          <w:rFonts w:ascii="Arial" w:hAnsi="Arial" w:cs="Arial"/>
        </w:rPr>
        <w:lastRenderedPageBreak/>
        <w:t>impact the therapeutic relationship, especially in mental health or chronic disease care where empathy and touch are the main aspects of communication.</w:t>
      </w:r>
      <w:r w:rsidR="004E7071" w:rsidRPr="00DE4ADE">
        <w:rPr>
          <w:rFonts w:ascii="Arial" w:hAnsi="Arial" w:cs="Arial"/>
        </w:rPr>
        <w:t xml:space="preserve"> A critical assessment of patient impact therefore reveals that digital tools improve access and engagement for many users while potentially disadvantaging those with limited digital access or a preference for face</w:t>
      </w:r>
      <w:r w:rsidR="00DE65B5">
        <w:rPr>
          <w:rFonts w:ascii="Arial" w:hAnsi="Arial" w:cs="Arial"/>
        </w:rPr>
        <w:t>-</w:t>
      </w:r>
      <w:r w:rsidR="004E7071" w:rsidRPr="00DE4ADE">
        <w:rPr>
          <w:rFonts w:ascii="Arial" w:hAnsi="Arial" w:cs="Arial"/>
        </w:rPr>
        <w:t>to</w:t>
      </w:r>
      <w:r w:rsidR="00DE65B5">
        <w:rPr>
          <w:rFonts w:ascii="Arial" w:hAnsi="Arial" w:cs="Arial"/>
        </w:rPr>
        <w:t>-</w:t>
      </w:r>
      <w:r w:rsidR="004E7071" w:rsidRPr="00DE4ADE">
        <w:rPr>
          <w:rFonts w:ascii="Arial" w:hAnsi="Arial" w:cs="Arial"/>
        </w:rPr>
        <w:t>face care.</w:t>
      </w:r>
      <w:r w:rsidR="004E7071" w:rsidRPr="00DE65B5">
        <w:rPr>
          <w:rFonts w:ascii="Arial" w:hAnsi="Arial" w:cs="Arial"/>
        </w:rPr>
        <w:t xml:space="preserve"> </w:t>
      </w:r>
      <w:r w:rsidR="004E7071" w:rsidRPr="00DE4ADE">
        <w:rPr>
          <w:rFonts w:ascii="Arial" w:hAnsi="Arial" w:cs="Arial"/>
        </w:rPr>
        <w:t>To reduce these differences, persona</w:t>
      </w:r>
      <w:r w:rsidR="00B44817" w:rsidRPr="00DE4ADE">
        <w:rPr>
          <w:rFonts w:ascii="Arial" w:hAnsi="Arial" w:cs="Arial"/>
        </w:rPr>
        <w:t>liz</w:t>
      </w:r>
      <w:r w:rsidR="004E7071" w:rsidRPr="00DE4ADE">
        <w:rPr>
          <w:rFonts w:ascii="Arial" w:hAnsi="Arial" w:cs="Arial"/>
        </w:rPr>
        <w:t>ed care and model hybrids are necessary.</w:t>
      </w:r>
    </w:p>
    <w:p w:rsidR="00875E17" w:rsidRPr="00DE4ADE" w:rsidRDefault="00875E17" w:rsidP="009733AE">
      <w:pPr>
        <w:spacing w:line="360" w:lineRule="auto"/>
        <w:jc w:val="both"/>
        <w:rPr>
          <w:rFonts w:ascii="Arial" w:hAnsi="Arial" w:cs="Arial"/>
        </w:rPr>
      </w:pPr>
      <w:r w:rsidRPr="00875E17">
        <w:rPr>
          <w:rFonts w:ascii="Arial" w:hAnsi="Arial" w:cs="Arial"/>
        </w:rPr>
        <w:t xml:space="preserve">Besides making the process more convenient and engaging, </w:t>
      </w:r>
      <w:proofErr w:type="spellStart"/>
      <w:r w:rsidRPr="00875E17">
        <w:rPr>
          <w:rFonts w:ascii="Arial" w:hAnsi="Arial" w:cs="Arial"/>
        </w:rPr>
        <w:t>Accurx</w:t>
      </w:r>
      <w:proofErr w:type="spellEnd"/>
      <w:r w:rsidRPr="00875E17">
        <w:rPr>
          <w:rFonts w:ascii="Arial" w:hAnsi="Arial" w:cs="Arial"/>
        </w:rPr>
        <w:t xml:space="preserve"> has also led to a higher degree of patient empowerment when it comes to the management of personal health. Online surveys also allow patients to open up about symptoms and track chronic illnesses and give feedback about the effectiveness of their treatment, which provides clinicians with current information to change care plans (Fitzpatrick et al., 2023). This joint generation of health data is in harmony with NHS England making patient-</w:t>
      </w:r>
      <w:proofErr w:type="spellStart"/>
      <w:r w:rsidRPr="00875E17">
        <w:rPr>
          <w:rFonts w:ascii="Arial" w:hAnsi="Arial" w:cs="Arial"/>
        </w:rPr>
        <w:t>centred</w:t>
      </w:r>
      <w:proofErr w:type="spellEnd"/>
      <w:r w:rsidRPr="00875E17">
        <w:rPr>
          <w:rFonts w:ascii="Arial" w:hAnsi="Arial" w:cs="Arial"/>
        </w:rPr>
        <w:t xml:space="preserve"> care a priority, which promotes joint decision-making and reduction of health outcomes (Gov.uk, 2025). However, the gains are not evenly applied to all the patient groups. Turner (2021) adds that people who have poor health literacy or are poor with technology might misinterpret instructions or do not fill out digital questionnaires accurately to affect clinical decision-making. Furthermore, excessive use of digital communication can unintentionally reduce an individual contact with vulnerable patients, who need reassurance or a more sophisticated evaluation (</w:t>
      </w:r>
      <w:proofErr w:type="spellStart"/>
      <w:r w:rsidRPr="00875E17">
        <w:rPr>
          <w:rFonts w:ascii="Arial" w:hAnsi="Arial" w:cs="Arial"/>
        </w:rPr>
        <w:t>Greenhalgh</w:t>
      </w:r>
      <w:proofErr w:type="spellEnd"/>
      <w:r w:rsidRPr="00875E17">
        <w:rPr>
          <w:rFonts w:ascii="Arial" w:hAnsi="Arial" w:cs="Arial"/>
        </w:rPr>
        <w:t xml:space="preserve"> et al., 2022). Empirical data also shows that the use of digital equipment like </w:t>
      </w:r>
      <w:proofErr w:type="spellStart"/>
      <w:r w:rsidRPr="00875E17">
        <w:rPr>
          <w:rFonts w:ascii="Arial" w:hAnsi="Arial" w:cs="Arial"/>
        </w:rPr>
        <w:t>Accurx</w:t>
      </w:r>
      <w:proofErr w:type="spellEnd"/>
      <w:r w:rsidRPr="00875E17">
        <w:rPr>
          <w:rFonts w:ascii="Arial" w:hAnsi="Arial" w:cs="Arial"/>
        </w:rPr>
        <w:t xml:space="preserve"> can inadvertently result into increased health disparities. The socioeconomic factors, language barriers, and access issues suggest that certain groups of people, such as older adults, non-English speakers, and people who do not have smartphones, could experience a relatively weaker service, despite the general increase in efficiency and interaction (Ge, Roberts and Hamilton, 2024). Most importantly, whereas </w:t>
      </w:r>
      <w:proofErr w:type="spellStart"/>
      <w:r w:rsidRPr="00875E17">
        <w:rPr>
          <w:rFonts w:ascii="Arial" w:hAnsi="Arial" w:cs="Arial"/>
        </w:rPr>
        <w:t>Accurx</w:t>
      </w:r>
      <w:proofErr w:type="spellEnd"/>
      <w:r w:rsidRPr="00875E17">
        <w:rPr>
          <w:rFonts w:ascii="Arial" w:hAnsi="Arial" w:cs="Arial"/>
        </w:rPr>
        <w:t xml:space="preserve"> supplements patient convenience, satisfaction, and empowerment, health services need to embrace complementary measures, such as digital literacy assistance, alternative communication channels, and monitoring exclusion, to reduce disparities. Without these kinds of interventions, the benefits of digital innovation will probably be unequally distributed among patient groups and, thus, limit its potential to transform the health and social care systems.</w:t>
      </w:r>
    </w:p>
    <w:p w:rsidR="00D35F79" w:rsidRPr="003A0D02" w:rsidRDefault="00826748" w:rsidP="003A0D02">
      <w:pPr>
        <w:pStyle w:val="Heading1"/>
      </w:pPr>
      <w:bookmarkStart w:id="5" w:name="_Toc221321280"/>
      <w:r w:rsidRPr="003A0D02">
        <w:lastRenderedPageBreak/>
        <w:t>Conclusion</w:t>
      </w:r>
      <w:bookmarkEnd w:id="5"/>
    </w:p>
    <w:p w:rsidR="00FE06B7" w:rsidRDefault="00FE06B7" w:rsidP="003A0D02">
      <w:pPr>
        <w:spacing w:line="360" w:lineRule="auto"/>
        <w:jc w:val="both"/>
        <w:rPr>
          <w:rFonts w:ascii="Arial" w:hAnsi="Arial" w:cs="Arial"/>
        </w:rPr>
      </w:pPr>
      <w:proofErr w:type="spellStart"/>
      <w:r w:rsidRPr="00FE06B7">
        <w:rPr>
          <w:rFonts w:ascii="Arial" w:hAnsi="Arial" w:cs="Arial"/>
        </w:rPr>
        <w:t>Accurx</w:t>
      </w:r>
      <w:proofErr w:type="spellEnd"/>
      <w:r w:rsidRPr="00FE06B7">
        <w:rPr>
          <w:rFonts w:ascii="Arial" w:hAnsi="Arial" w:cs="Arial"/>
        </w:rPr>
        <w:t xml:space="preserve"> is a ground-breaking digital innovation in the UK health and social care, which has improved the efficiency of the workforce, services provided, and patient experience. Some of the effects that workforce can have include a decrease in administrative load, role adjustment, and increased flexibility; however, problems like digital fatigue and imbalanced digital literacy still exist. The service delivery has seen improvements in </w:t>
      </w:r>
      <w:proofErr w:type="spellStart"/>
      <w:r w:rsidRPr="00FE06B7">
        <w:rPr>
          <w:rFonts w:ascii="Arial" w:hAnsi="Arial" w:cs="Arial"/>
        </w:rPr>
        <w:t>non attendance</w:t>
      </w:r>
      <w:proofErr w:type="spellEnd"/>
      <w:r w:rsidRPr="00FE06B7">
        <w:rPr>
          <w:rFonts w:ascii="Arial" w:hAnsi="Arial" w:cs="Arial"/>
        </w:rPr>
        <w:t xml:space="preserve"> (DNA) rate, effective triage and increased access to remote consultation, although these improvements are dampened by inconsistencies in infrastructure and integration issues. Patients will enjoy greater convenience, interaction, and compliance, but there are still drawbacks related to digital exclusion, privacy issues, and communication habits. </w:t>
      </w:r>
    </w:p>
    <w:p w:rsidR="003A0D02" w:rsidRPr="003A0D02" w:rsidRDefault="00FE06B7" w:rsidP="003A0D02">
      <w:pPr>
        <w:spacing w:line="360" w:lineRule="auto"/>
        <w:jc w:val="both"/>
        <w:rPr>
          <w:rFonts w:ascii="Arial" w:hAnsi="Arial" w:cs="Arial"/>
        </w:rPr>
      </w:pPr>
      <w:r>
        <w:rPr>
          <w:rFonts w:ascii="Arial" w:hAnsi="Arial" w:cs="Arial"/>
        </w:rPr>
        <w:t>Practic</w:t>
      </w:r>
      <w:r w:rsidRPr="00FE06B7">
        <w:rPr>
          <w:rFonts w:ascii="Arial" w:hAnsi="Arial" w:cs="Arial"/>
        </w:rPr>
        <w:t>e suggestions would encompass the introduction of systematic digital-skills education to every staff member, investing in high-quality infrastructure, and switching to the hybrid form of care that is responsive to patient needs. The policy-level solutions include encouraging fair access to digital resources, systematically tracking the effects of digital workloads, and managing adoption barriers. To ensure the effective implementatio</w:t>
      </w:r>
      <w:r w:rsidR="004A5E05">
        <w:rPr>
          <w:rFonts w:ascii="Arial" w:hAnsi="Arial" w:cs="Arial"/>
        </w:rPr>
        <w:t xml:space="preserve">n of </w:t>
      </w:r>
      <w:proofErr w:type="spellStart"/>
      <w:r w:rsidR="004A5E05">
        <w:rPr>
          <w:rFonts w:ascii="Arial" w:hAnsi="Arial" w:cs="Arial"/>
        </w:rPr>
        <w:t>Accurx</w:t>
      </w:r>
      <w:proofErr w:type="spellEnd"/>
      <w:r w:rsidR="004A5E05">
        <w:rPr>
          <w:rFonts w:ascii="Arial" w:hAnsi="Arial" w:cs="Arial"/>
        </w:rPr>
        <w:t xml:space="preserve"> into the NHS practic</w:t>
      </w:r>
      <w:r w:rsidRPr="00FE06B7">
        <w:rPr>
          <w:rFonts w:ascii="Arial" w:hAnsi="Arial" w:cs="Arial"/>
        </w:rPr>
        <w:t>e, the workforce support, patient-</w:t>
      </w:r>
      <w:proofErr w:type="spellStart"/>
      <w:r w:rsidRPr="00FE06B7">
        <w:rPr>
          <w:rFonts w:ascii="Arial" w:hAnsi="Arial" w:cs="Arial"/>
        </w:rPr>
        <w:t>centred</w:t>
      </w:r>
      <w:proofErr w:type="spellEnd"/>
      <w:r w:rsidRPr="00FE06B7">
        <w:rPr>
          <w:rFonts w:ascii="Arial" w:hAnsi="Arial" w:cs="Arial"/>
        </w:rPr>
        <w:t xml:space="preserve"> implementation, and infrastructure reliability should be taken into account.</w:t>
      </w:r>
    </w:p>
    <w:p w:rsidR="008302E0" w:rsidRPr="00DE4ADE" w:rsidRDefault="008302E0">
      <w:pPr>
        <w:rPr>
          <w:rFonts w:ascii="Arial" w:eastAsiaTheme="majorEastAsia" w:hAnsi="Arial" w:cs="Arial"/>
          <w:b/>
          <w:bCs/>
          <w:color w:val="365F91" w:themeColor="accent1" w:themeShade="BF"/>
          <w:sz w:val="28"/>
          <w:szCs w:val="28"/>
        </w:rPr>
      </w:pPr>
      <w:r w:rsidRPr="00DE4ADE">
        <w:rPr>
          <w:rFonts w:ascii="Arial" w:hAnsi="Arial" w:cs="Arial"/>
        </w:rPr>
        <w:br w:type="page"/>
      </w:r>
    </w:p>
    <w:p w:rsidR="00D35F79" w:rsidRPr="00DE4ADE" w:rsidRDefault="00826748">
      <w:pPr>
        <w:pStyle w:val="Heading1"/>
        <w:rPr>
          <w:rFonts w:ascii="Arial" w:hAnsi="Arial" w:cs="Arial"/>
        </w:rPr>
      </w:pPr>
      <w:bookmarkStart w:id="6" w:name="_Toc221321281"/>
      <w:r w:rsidRPr="00DE4ADE">
        <w:rPr>
          <w:rFonts w:ascii="Arial" w:hAnsi="Arial" w:cs="Arial"/>
        </w:rPr>
        <w:lastRenderedPageBreak/>
        <w:t>References</w:t>
      </w:r>
      <w:bookmarkEnd w:id="6"/>
    </w:p>
    <w:p w:rsidR="00D35F79" w:rsidRPr="00DE4ADE" w:rsidRDefault="00826748" w:rsidP="00A30E14">
      <w:pPr>
        <w:pStyle w:val="ListParagraph"/>
        <w:numPr>
          <w:ilvl w:val="0"/>
          <w:numId w:val="10"/>
        </w:numPr>
        <w:spacing w:line="360" w:lineRule="auto"/>
        <w:rPr>
          <w:rFonts w:ascii="Arial" w:hAnsi="Arial" w:cs="Arial"/>
        </w:rPr>
      </w:pPr>
      <w:r w:rsidRPr="00DE4ADE">
        <w:rPr>
          <w:rFonts w:ascii="Arial" w:hAnsi="Arial" w:cs="Arial"/>
        </w:rPr>
        <w:t xml:space="preserve">Accurx (2026) Press page. Available at: </w:t>
      </w:r>
      <w:hyperlink r:id="rId14" w:history="1">
        <w:r w:rsidR="00BD4D82" w:rsidRPr="00DE4ADE">
          <w:rPr>
            <w:rStyle w:val="Hyperlink"/>
            <w:rFonts w:ascii="Arial" w:hAnsi="Arial" w:cs="Arial"/>
          </w:rPr>
          <w:t>https://www.accurx.com/press</w:t>
        </w:r>
      </w:hyperlink>
      <w:r w:rsidR="00BD4D82" w:rsidRPr="00DE4ADE">
        <w:rPr>
          <w:rFonts w:ascii="Arial" w:hAnsi="Arial" w:cs="Arial"/>
        </w:rPr>
        <w:t xml:space="preserve"> </w:t>
      </w:r>
      <w:r w:rsidRPr="00DE4ADE">
        <w:rPr>
          <w:rFonts w:ascii="Arial" w:hAnsi="Arial" w:cs="Arial"/>
        </w:rPr>
        <w:t>(Accessed: 6 Feb 2026).</w:t>
      </w:r>
    </w:p>
    <w:p w:rsidR="00D35F79" w:rsidRPr="00DE4ADE" w:rsidRDefault="00826748" w:rsidP="00A30E14">
      <w:pPr>
        <w:pStyle w:val="ListParagraph"/>
        <w:numPr>
          <w:ilvl w:val="0"/>
          <w:numId w:val="10"/>
        </w:numPr>
        <w:spacing w:line="360" w:lineRule="auto"/>
        <w:rPr>
          <w:rFonts w:ascii="Arial" w:hAnsi="Arial" w:cs="Arial"/>
        </w:rPr>
      </w:pPr>
      <w:r w:rsidRPr="00DE4ADE">
        <w:rPr>
          <w:rFonts w:ascii="Arial" w:hAnsi="Arial" w:cs="Arial"/>
        </w:rPr>
        <w:t xml:space="preserve">Accurx (2026) Patient messaging case study. Available at: </w:t>
      </w:r>
      <w:hyperlink r:id="rId15" w:history="1">
        <w:r w:rsidR="00F85774" w:rsidRPr="00DE4ADE">
          <w:rPr>
            <w:rStyle w:val="Hyperlink"/>
            <w:rFonts w:ascii="Arial" w:hAnsi="Arial" w:cs="Arial"/>
          </w:rPr>
          <w:t>https://www.accurx.com/case-study/patient-messaging</w:t>
        </w:r>
      </w:hyperlink>
      <w:r w:rsidR="00F85774" w:rsidRPr="00DE4ADE">
        <w:rPr>
          <w:rFonts w:ascii="Arial" w:hAnsi="Arial" w:cs="Arial"/>
        </w:rPr>
        <w:t xml:space="preserve"> </w:t>
      </w:r>
      <w:r w:rsidRPr="00DE4ADE">
        <w:rPr>
          <w:rFonts w:ascii="Arial" w:hAnsi="Arial" w:cs="Arial"/>
        </w:rPr>
        <w:t>(Accessed: 6 Feb 2026).</w:t>
      </w:r>
    </w:p>
    <w:p w:rsidR="00D35F79" w:rsidRPr="00DE4ADE" w:rsidRDefault="00826748" w:rsidP="00A30E14">
      <w:pPr>
        <w:pStyle w:val="ListParagraph"/>
        <w:numPr>
          <w:ilvl w:val="0"/>
          <w:numId w:val="10"/>
        </w:numPr>
        <w:spacing w:line="360" w:lineRule="auto"/>
        <w:rPr>
          <w:rFonts w:ascii="Arial" w:hAnsi="Arial" w:cs="Arial"/>
        </w:rPr>
      </w:pPr>
      <w:r w:rsidRPr="00DE4ADE">
        <w:rPr>
          <w:rFonts w:ascii="Arial" w:hAnsi="Arial" w:cs="Arial"/>
        </w:rPr>
        <w:t>Accurx Blog (2026) 5 ways your service could use digital questionnaires to deliver productivity ga</w:t>
      </w:r>
      <w:r w:rsidRPr="00DE4ADE">
        <w:rPr>
          <w:rFonts w:ascii="Arial" w:hAnsi="Arial" w:cs="Arial"/>
        </w:rPr>
        <w:t xml:space="preserve">ins. Available at: </w:t>
      </w:r>
      <w:hyperlink r:id="rId16" w:history="1">
        <w:r w:rsidR="00B24CAD" w:rsidRPr="00DE4ADE">
          <w:rPr>
            <w:rStyle w:val="Hyperlink"/>
            <w:rFonts w:ascii="Arial" w:hAnsi="Arial" w:cs="Arial"/>
          </w:rPr>
          <w:t>https://www.accurx.com/post/5-ways-your-service-could-use-digital-questionnaires-to-deliver-productivity-gains</w:t>
        </w:r>
      </w:hyperlink>
      <w:r w:rsidR="00B24CAD" w:rsidRPr="00DE4ADE">
        <w:rPr>
          <w:rFonts w:ascii="Arial" w:hAnsi="Arial" w:cs="Arial"/>
        </w:rPr>
        <w:t xml:space="preserve"> </w:t>
      </w:r>
      <w:r w:rsidRPr="00DE4ADE">
        <w:rPr>
          <w:rFonts w:ascii="Arial" w:hAnsi="Arial" w:cs="Arial"/>
        </w:rPr>
        <w:t>(Accessed: 6 Feb 2026).</w:t>
      </w:r>
    </w:p>
    <w:p w:rsidR="00D35F79" w:rsidRPr="00DE4ADE" w:rsidRDefault="00826748" w:rsidP="00A30E14">
      <w:pPr>
        <w:pStyle w:val="ListParagraph"/>
        <w:numPr>
          <w:ilvl w:val="0"/>
          <w:numId w:val="10"/>
        </w:numPr>
        <w:spacing w:line="360" w:lineRule="auto"/>
        <w:rPr>
          <w:rFonts w:ascii="Arial" w:hAnsi="Arial" w:cs="Arial"/>
        </w:rPr>
      </w:pPr>
      <w:r w:rsidRPr="00DE4ADE">
        <w:rPr>
          <w:rFonts w:ascii="Arial" w:hAnsi="Arial" w:cs="Arial"/>
        </w:rPr>
        <w:t xml:space="preserve">Digital Health (2024) Humber Teaching NHS FT deploys patient communication platform. Available at: </w:t>
      </w:r>
      <w:hyperlink r:id="rId17" w:history="1">
        <w:r w:rsidR="00B24CAD" w:rsidRPr="00DE4ADE">
          <w:rPr>
            <w:rStyle w:val="Hyperlink"/>
            <w:rFonts w:ascii="Arial" w:hAnsi="Arial" w:cs="Arial"/>
          </w:rPr>
          <w:t>https://www.digitalhealth.net/2024/08/humber-teaching-nhs-ft-deploys-patient-communication-platform/</w:t>
        </w:r>
      </w:hyperlink>
      <w:r w:rsidR="00B24CAD" w:rsidRPr="00DE4ADE">
        <w:rPr>
          <w:rFonts w:ascii="Arial" w:hAnsi="Arial" w:cs="Arial"/>
        </w:rPr>
        <w:t xml:space="preserve"> </w:t>
      </w:r>
      <w:r w:rsidRPr="00DE4ADE">
        <w:rPr>
          <w:rFonts w:ascii="Arial" w:hAnsi="Arial" w:cs="Arial"/>
        </w:rPr>
        <w:t>(Accessed: 6 Feb 2026).</w:t>
      </w:r>
    </w:p>
    <w:p w:rsidR="00D35F79" w:rsidRPr="00DE4ADE" w:rsidRDefault="00826748" w:rsidP="00A30E14">
      <w:pPr>
        <w:pStyle w:val="ListParagraph"/>
        <w:numPr>
          <w:ilvl w:val="0"/>
          <w:numId w:val="10"/>
        </w:numPr>
        <w:spacing w:line="360" w:lineRule="auto"/>
        <w:rPr>
          <w:rFonts w:ascii="Arial" w:hAnsi="Arial" w:cs="Arial"/>
        </w:rPr>
      </w:pPr>
      <w:r w:rsidRPr="00DE4ADE">
        <w:rPr>
          <w:rFonts w:ascii="Arial" w:hAnsi="Arial" w:cs="Arial"/>
        </w:rPr>
        <w:t>Fitzpatrick, K., Smith, L. and Green, R. (2023) 'Digital communication tools and health literacy: impacts on patient engagement', Fron</w:t>
      </w:r>
      <w:r w:rsidRPr="00DE4ADE">
        <w:rPr>
          <w:rFonts w:ascii="Arial" w:hAnsi="Arial" w:cs="Arial"/>
        </w:rPr>
        <w:t>tiers in Digital Health, 5, pp.1-14. doi:10.3389/fdgth.2023.1264780.</w:t>
      </w:r>
      <w:r w:rsidR="00D96E30" w:rsidRPr="00DE4ADE">
        <w:rPr>
          <w:rFonts w:ascii="Arial" w:hAnsi="Arial" w:cs="Arial"/>
        </w:rPr>
        <w:t xml:space="preserve"> online available at </w:t>
      </w:r>
      <w:hyperlink r:id="rId18" w:history="1">
        <w:r w:rsidR="00D96E30" w:rsidRPr="00DE4ADE">
          <w:rPr>
            <w:rStyle w:val="Hyperlink"/>
            <w:rFonts w:ascii="Arial" w:hAnsi="Arial" w:cs="Arial"/>
          </w:rPr>
          <w:t>https://www.frontiersin.org/journals/digital-health/articles/10.3389/fdgth.2023.1264780/full</w:t>
        </w:r>
      </w:hyperlink>
    </w:p>
    <w:p w:rsidR="00D35F79" w:rsidRPr="00DE4ADE" w:rsidRDefault="00826748" w:rsidP="00A30E14">
      <w:pPr>
        <w:pStyle w:val="ListParagraph"/>
        <w:numPr>
          <w:ilvl w:val="0"/>
          <w:numId w:val="10"/>
        </w:numPr>
        <w:spacing w:line="360" w:lineRule="auto"/>
        <w:rPr>
          <w:rFonts w:ascii="Arial" w:hAnsi="Arial" w:cs="Arial"/>
        </w:rPr>
      </w:pPr>
      <w:r w:rsidRPr="00DE4ADE">
        <w:rPr>
          <w:rFonts w:ascii="Arial" w:hAnsi="Arial" w:cs="Arial"/>
        </w:rPr>
        <w:t xml:space="preserve">Ge, Y., Roberts, L. and Hamilton, J. (2024) 'Online consultation systems and patient experience in English general practice', Journal of Medical Internet Research, 26(1), e51272. </w:t>
      </w:r>
      <w:proofErr w:type="gramStart"/>
      <w:r w:rsidRPr="00DE4ADE">
        <w:rPr>
          <w:rFonts w:ascii="Arial" w:hAnsi="Arial" w:cs="Arial"/>
        </w:rPr>
        <w:t>doi:</w:t>
      </w:r>
      <w:proofErr w:type="gramEnd"/>
      <w:r w:rsidRPr="00DE4ADE">
        <w:rPr>
          <w:rFonts w:ascii="Arial" w:hAnsi="Arial" w:cs="Arial"/>
        </w:rPr>
        <w:t>10.2</w:t>
      </w:r>
      <w:r w:rsidRPr="00DE4ADE">
        <w:rPr>
          <w:rFonts w:ascii="Arial" w:hAnsi="Arial" w:cs="Arial"/>
        </w:rPr>
        <w:t>196/51272.</w:t>
      </w:r>
      <w:r w:rsidR="00FD2FF1" w:rsidRPr="00DE4ADE">
        <w:rPr>
          <w:rFonts w:ascii="Arial" w:hAnsi="Arial" w:cs="Arial"/>
        </w:rPr>
        <w:t xml:space="preserve"> Online available at </w:t>
      </w:r>
      <w:hyperlink r:id="rId19" w:history="1">
        <w:r w:rsidR="00FD2FF1" w:rsidRPr="00DE4ADE">
          <w:rPr>
            <w:rStyle w:val="Hyperlink"/>
            <w:rFonts w:ascii="Arial" w:hAnsi="Arial" w:cs="Arial"/>
          </w:rPr>
          <w:t>https://www.jmir.org/2024/1/e51272/</w:t>
        </w:r>
      </w:hyperlink>
    </w:p>
    <w:p w:rsidR="00D35F79" w:rsidRPr="00DE4ADE" w:rsidRDefault="00826748" w:rsidP="00A30E14">
      <w:pPr>
        <w:pStyle w:val="ListParagraph"/>
        <w:numPr>
          <w:ilvl w:val="0"/>
          <w:numId w:val="10"/>
        </w:numPr>
        <w:spacing w:line="360" w:lineRule="auto"/>
        <w:rPr>
          <w:rFonts w:ascii="Arial" w:hAnsi="Arial" w:cs="Arial"/>
        </w:rPr>
      </w:pPr>
      <w:r w:rsidRPr="00DE4ADE">
        <w:rPr>
          <w:rFonts w:ascii="Arial" w:hAnsi="Arial" w:cs="Arial"/>
        </w:rPr>
        <w:t xml:space="preserve">Gov.uk (2025) A </w:t>
      </w:r>
      <w:proofErr w:type="gramStart"/>
      <w:r w:rsidRPr="00DE4ADE">
        <w:rPr>
          <w:rFonts w:ascii="Arial" w:hAnsi="Arial" w:cs="Arial"/>
        </w:rPr>
        <w:t>plan</w:t>
      </w:r>
      <w:proofErr w:type="gramEnd"/>
      <w:r w:rsidRPr="00DE4ADE">
        <w:rPr>
          <w:rFonts w:ascii="Arial" w:hAnsi="Arial" w:cs="Arial"/>
        </w:rPr>
        <w:t xml:space="preserve"> for digital health and social care. Available at: </w:t>
      </w:r>
      <w:hyperlink r:id="rId20" w:history="1">
        <w:r w:rsidR="002A60F1" w:rsidRPr="00DE4ADE">
          <w:rPr>
            <w:rStyle w:val="Hyperlink"/>
            <w:rFonts w:ascii="Arial" w:hAnsi="Arial" w:cs="Arial"/>
          </w:rPr>
          <w:t>https://www.gov.uk/government/publications/a-plan-for-digital-health-and-social-care/a-plan-for-digital-health-and-social-care</w:t>
        </w:r>
      </w:hyperlink>
      <w:r w:rsidR="002A60F1" w:rsidRPr="00DE4ADE">
        <w:rPr>
          <w:rFonts w:ascii="Arial" w:hAnsi="Arial" w:cs="Arial"/>
        </w:rPr>
        <w:t xml:space="preserve"> </w:t>
      </w:r>
      <w:r w:rsidRPr="00DE4ADE">
        <w:rPr>
          <w:rFonts w:ascii="Arial" w:hAnsi="Arial" w:cs="Arial"/>
        </w:rPr>
        <w:t>(Accessed: 6 Feb 2026).</w:t>
      </w:r>
    </w:p>
    <w:p w:rsidR="00D35F79" w:rsidRPr="00DE4ADE" w:rsidRDefault="00826748" w:rsidP="00A30E14">
      <w:pPr>
        <w:pStyle w:val="ListParagraph"/>
        <w:numPr>
          <w:ilvl w:val="0"/>
          <w:numId w:val="10"/>
        </w:numPr>
        <w:spacing w:line="360" w:lineRule="auto"/>
        <w:rPr>
          <w:rFonts w:ascii="Arial" w:hAnsi="Arial" w:cs="Arial"/>
        </w:rPr>
      </w:pPr>
      <w:r w:rsidRPr="00DE4ADE">
        <w:rPr>
          <w:rFonts w:ascii="Arial" w:hAnsi="Arial" w:cs="Arial"/>
        </w:rPr>
        <w:t xml:space="preserve">Greenhalgh, T., Rosen, </w:t>
      </w:r>
      <w:r w:rsidRPr="00DE4ADE">
        <w:rPr>
          <w:rFonts w:ascii="Arial" w:hAnsi="Arial" w:cs="Arial"/>
        </w:rPr>
        <w:t xml:space="preserve">R. and Shaw, S. (2022) 'Remote care in UK general practice: lessons post-pandemic', BMJ Open, 12(7), e058789. </w:t>
      </w:r>
      <w:proofErr w:type="gramStart"/>
      <w:r w:rsidRPr="00DE4ADE">
        <w:rPr>
          <w:rFonts w:ascii="Arial" w:hAnsi="Arial" w:cs="Arial"/>
        </w:rPr>
        <w:t>doi:</w:t>
      </w:r>
      <w:proofErr w:type="gramEnd"/>
      <w:r w:rsidRPr="00DE4ADE">
        <w:rPr>
          <w:rFonts w:ascii="Arial" w:hAnsi="Arial" w:cs="Arial"/>
        </w:rPr>
        <w:t>10.1136/bmjopen-2021-058789.</w:t>
      </w:r>
    </w:p>
    <w:p w:rsidR="00620517" w:rsidRPr="00DE4ADE" w:rsidRDefault="00620517" w:rsidP="00A30E14">
      <w:pPr>
        <w:pStyle w:val="ListParagraph"/>
        <w:numPr>
          <w:ilvl w:val="0"/>
          <w:numId w:val="10"/>
        </w:numPr>
        <w:spacing w:line="360" w:lineRule="auto"/>
        <w:rPr>
          <w:rFonts w:ascii="Arial" w:hAnsi="Arial" w:cs="Arial"/>
        </w:rPr>
      </w:pPr>
      <w:proofErr w:type="spellStart"/>
      <w:r w:rsidRPr="00DE4ADE">
        <w:rPr>
          <w:rFonts w:ascii="Arial" w:hAnsi="Arial" w:cs="Arial"/>
        </w:rPr>
        <w:t>Greenhalgh</w:t>
      </w:r>
      <w:proofErr w:type="spellEnd"/>
      <w:r w:rsidRPr="00DE4ADE">
        <w:rPr>
          <w:rFonts w:ascii="Arial" w:hAnsi="Arial" w:cs="Arial"/>
        </w:rPr>
        <w:t xml:space="preserve">, T., Clarke, A., Byng, R., Dakin, F., Faulkner, S., Hemmings, N., Hughes, G., Husain, L., </w:t>
      </w:r>
      <w:proofErr w:type="spellStart"/>
      <w:r w:rsidRPr="00DE4ADE">
        <w:rPr>
          <w:rFonts w:ascii="Arial" w:hAnsi="Arial" w:cs="Arial"/>
        </w:rPr>
        <w:t>Kalin</w:t>
      </w:r>
      <w:proofErr w:type="spellEnd"/>
      <w:r w:rsidRPr="00DE4ADE">
        <w:rPr>
          <w:rFonts w:ascii="Arial" w:hAnsi="Arial" w:cs="Arial"/>
        </w:rPr>
        <w:t xml:space="preserve">, A., </w:t>
      </w:r>
      <w:proofErr w:type="spellStart"/>
      <w:r w:rsidRPr="00DE4ADE">
        <w:rPr>
          <w:rFonts w:ascii="Arial" w:hAnsi="Arial" w:cs="Arial"/>
        </w:rPr>
        <w:t>Ladds</w:t>
      </w:r>
      <w:proofErr w:type="spellEnd"/>
      <w:r w:rsidRPr="00DE4ADE">
        <w:rPr>
          <w:rFonts w:ascii="Arial" w:hAnsi="Arial" w:cs="Arial"/>
        </w:rPr>
        <w:t>, E. and MacIver, E., 2025. After the disruptive innovation: How remote and digital services were embedded, blended and abandoned in UK general practice-longitudinal study. Health and Social Care Delivery Research, pp.1-37.</w:t>
      </w:r>
    </w:p>
    <w:p w:rsidR="00D35F79" w:rsidRPr="00DE4ADE" w:rsidRDefault="00826748" w:rsidP="00A30E14">
      <w:pPr>
        <w:pStyle w:val="ListParagraph"/>
        <w:numPr>
          <w:ilvl w:val="0"/>
          <w:numId w:val="10"/>
        </w:numPr>
        <w:spacing w:line="360" w:lineRule="auto"/>
        <w:rPr>
          <w:rFonts w:ascii="Arial" w:hAnsi="Arial" w:cs="Arial"/>
        </w:rPr>
      </w:pPr>
      <w:r w:rsidRPr="00DE4ADE">
        <w:rPr>
          <w:rFonts w:ascii="Arial" w:hAnsi="Arial" w:cs="Arial"/>
        </w:rPr>
        <w:t xml:space="preserve">Healthcare Digital (2025) Accurx communication platform: UK market share and workflow impact. Available at: </w:t>
      </w:r>
      <w:hyperlink r:id="rId21" w:history="1">
        <w:r w:rsidR="004A30E3" w:rsidRPr="00DE4ADE">
          <w:rPr>
            <w:rStyle w:val="Hyperlink"/>
            <w:rFonts w:ascii="Arial" w:hAnsi="Arial" w:cs="Arial"/>
          </w:rPr>
          <w:t>https://www.healthcare.digital/single-post/accurx-</w:t>
        </w:r>
        <w:r w:rsidR="004A30E3" w:rsidRPr="00DE4ADE">
          <w:rPr>
            <w:rStyle w:val="Hyperlink"/>
            <w:rFonts w:ascii="Arial" w:hAnsi="Arial" w:cs="Arial"/>
          </w:rPr>
          <w:lastRenderedPageBreak/>
          <w:t>communication-platform-uk-market-share-competitive-landscape-unique-selling-points-and-di</w:t>
        </w:r>
      </w:hyperlink>
      <w:r w:rsidR="004A30E3" w:rsidRPr="00DE4ADE">
        <w:rPr>
          <w:rFonts w:ascii="Arial" w:hAnsi="Arial" w:cs="Arial"/>
        </w:rPr>
        <w:t xml:space="preserve"> </w:t>
      </w:r>
      <w:r w:rsidRPr="00DE4ADE">
        <w:rPr>
          <w:rFonts w:ascii="Arial" w:hAnsi="Arial" w:cs="Arial"/>
        </w:rPr>
        <w:t>(Accessed: 6 Feb 2026).</w:t>
      </w:r>
    </w:p>
    <w:p w:rsidR="00F04D68" w:rsidRPr="00DE4ADE" w:rsidRDefault="00F04D68" w:rsidP="00A30E14">
      <w:pPr>
        <w:pStyle w:val="ListParagraph"/>
        <w:numPr>
          <w:ilvl w:val="0"/>
          <w:numId w:val="10"/>
        </w:numPr>
        <w:spacing w:line="360" w:lineRule="auto"/>
        <w:rPr>
          <w:rFonts w:ascii="Arial" w:hAnsi="Arial" w:cs="Arial"/>
        </w:rPr>
      </w:pPr>
      <w:r w:rsidRPr="00DE4ADE">
        <w:rPr>
          <w:rFonts w:ascii="Arial" w:hAnsi="Arial" w:cs="Arial"/>
        </w:rPr>
        <w:t>Johnston, C. and Pratt, G., 2024. Automating adult social care in the UK: Extracting value from a crisis. </w:t>
      </w:r>
      <w:proofErr w:type="spellStart"/>
      <w:r w:rsidRPr="00DE4ADE">
        <w:rPr>
          <w:rFonts w:ascii="Arial" w:hAnsi="Arial" w:cs="Arial"/>
        </w:rPr>
        <w:t>Geoforum</w:t>
      </w:r>
      <w:proofErr w:type="spellEnd"/>
      <w:r w:rsidRPr="00DE4ADE">
        <w:rPr>
          <w:rFonts w:ascii="Arial" w:hAnsi="Arial" w:cs="Arial"/>
        </w:rPr>
        <w:t>, 151, p.103997.</w:t>
      </w:r>
    </w:p>
    <w:p w:rsidR="00D35F79" w:rsidRPr="00DE4ADE" w:rsidRDefault="00826748" w:rsidP="00A30E14">
      <w:pPr>
        <w:pStyle w:val="ListParagraph"/>
        <w:numPr>
          <w:ilvl w:val="0"/>
          <w:numId w:val="10"/>
        </w:numPr>
        <w:spacing w:line="360" w:lineRule="auto"/>
        <w:rPr>
          <w:rFonts w:ascii="Arial" w:hAnsi="Arial" w:cs="Arial"/>
        </w:rPr>
      </w:pPr>
      <w:r w:rsidRPr="00DE4ADE">
        <w:rPr>
          <w:rFonts w:ascii="Arial" w:hAnsi="Arial" w:cs="Arial"/>
        </w:rPr>
        <w:t xml:space="preserve">NHS England Digital (2022) Expanding online consultations in the NHS App. Available at: </w:t>
      </w:r>
      <w:hyperlink r:id="rId22" w:history="1">
        <w:r w:rsidR="00575ED0" w:rsidRPr="00DE4ADE">
          <w:rPr>
            <w:rStyle w:val="Hyperlink"/>
            <w:rFonts w:ascii="Arial" w:hAnsi="Arial" w:cs="Arial"/>
          </w:rPr>
          <w:t>https://digital.nhs.uk/blog/transformation-blog/2022/expanding-online-consultations-in-the-nhs-app</w:t>
        </w:r>
      </w:hyperlink>
      <w:r w:rsidR="00575ED0" w:rsidRPr="00DE4ADE">
        <w:rPr>
          <w:rFonts w:ascii="Arial" w:hAnsi="Arial" w:cs="Arial"/>
        </w:rPr>
        <w:t xml:space="preserve"> </w:t>
      </w:r>
      <w:r w:rsidRPr="00DE4ADE">
        <w:rPr>
          <w:rFonts w:ascii="Arial" w:hAnsi="Arial" w:cs="Arial"/>
        </w:rPr>
        <w:t>(Accessed: 6 Feb 2026).</w:t>
      </w:r>
    </w:p>
    <w:p w:rsidR="00D35F79" w:rsidRPr="00DE4ADE" w:rsidRDefault="00826748" w:rsidP="00A30E14">
      <w:pPr>
        <w:pStyle w:val="ListParagraph"/>
        <w:numPr>
          <w:ilvl w:val="0"/>
          <w:numId w:val="10"/>
        </w:numPr>
        <w:spacing w:line="360" w:lineRule="auto"/>
        <w:rPr>
          <w:rFonts w:ascii="Arial" w:hAnsi="Arial" w:cs="Arial"/>
        </w:rPr>
      </w:pPr>
      <w:r w:rsidRPr="00DE4ADE">
        <w:rPr>
          <w:rFonts w:ascii="Arial" w:hAnsi="Arial" w:cs="Arial"/>
        </w:rPr>
        <w:t xml:space="preserve">Tandem Health (2025) Tandem has teamed up with Accurx to deliver AI medical scribe to NHS staff. Available at: </w:t>
      </w:r>
      <w:hyperlink r:id="rId23" w:history="1">
        <w:r w:rsidR="007719DD" w:rsidRPr="00DE4ADE">
          <w:rPr>
            <w:rStyle w:val="Hyperlink"/>
            <w:rFonts w:ascii="Arial" w:hAnsi="Arial" w:cs="Arial"/>
          </w:rPr>
          <w:t>https://www.tandemhealth.ai/news-articles/tandem-has-teamed-up-with-accurx-to-deliver-our-ai-medical-scribe-to-200-000-nhs-staff</w:t>
        </w:r>
      </w:hyperlink>
      <w:r w:rsidR="007719DD" w:rsidRPr="00DE4ADE">
        <w:rPr>
          <w:rFonts w:ascii="Arial" w:hAnsi="Arial" w:cs="Arial"/>
        </w:rPr>
        <w:t xml:space="preserve"> </w:t>
      </w:r>
      <w:r w:rsidRPr="00DE4ADE">
        <w:rPr>
          <w:rFonts w:ascii="Arial" w:hAnsi="Arial" w:cs="Arial"/>
        </w:rPr>
        <w:t>(Accessed: 6 Feb 2026).</w:t>
      </w:r>
    </w:p>
    <w:p w:rsidR="00D35F79" w:rsidRPr="00DE4ADE" w:rsidRDefault="00826748" w:rsidP="00A30E14">
      <w:pPr>
        <w:pStyle w:val="ListParagraph"/>
        <w:numPr>
          <w:ilvl w:val="0"/>
          <w:numId w:val="10"/>
        </w:numPr>
        <w:spacing w:line="360" w:lineRule="auto"/>
        <w:rPr>
          <w:rFonts w:ascii="Arial" w:hAnsi="Arial" w:cs="Arial"/>
        </w:rPr>
      </w:pPr>
      <w:r w:rsidRPr="00DE4ADE">
        <w:rPr>
          <w:rFonts w:ascii="Arial" w:hAnsi="Arial" w:cs="Arial"/>
        </w:rPr>
        <w:t xml:space="preserve">Turner, B. (2021) 'Unintended consequences of online consultations in primary care', BMJ Health &amp; Care Informatics, 28(1), e100234. </w:t>
      </w:r>
      <w:proofErr w:type="gramStart"/>
      <w:r w:rsidRPr="00DE4ADE">
        <w:rPr>
          <w:rFonts w:ascii="Arial" w:hAnsi="Arial" w:cs="Arial"/>
        </w:rPr>
        <w:t>do</w:t>
      </w:r>
      <w:r w:rsidRPr="00DE4ADE">
        <w:rPr>
          <w:rFonts w:ascii="Arial" w:hAnsi="Arial" w:cs="Arial"/>
        </w:rPr>
        <w:t>i:</w:t>
      </w:r>
      <w:proofErr w:type="gramEnd"/>
      <w:r w:rsidRPr="00DE4ADE">
        <w:rPr>
          <w:rFonts w:ascii="Arial" w:hAnsi="Arial" w:cs="Arial"/>
        </w:rPr>
        <w:t>10.1136/bmjhci-2021-100234.</w:t>
      </w:r>
    </w:p>
    <w:p w:rsidR="00D35F79" w:rsidRPr="00DE4ADE" w:rsidRDefault="00826748" w:rsidP="00A30E14">
      <w:pPr>
        <w:pStyle w:val="ListParagraph"/>
        <w:numPr>
          <w:ilvl w:val="0"/>
          <w:numId w:val="10"/>
        </w:numPr>
        <w:spacing w:line="360" w:lineRule="auto"/>
        <w:rPr>
          <w:rFonts w:ascii="Arial" w:hAnsi="Arial" w:cs="Arial"/>
        </w:rPr>
      </w:pPr>
      <w:r w:rsidRPr="00DE4ADE">
        <w:rPr>
          <w:rFonts w:ascii="Arial" w:hAnsi="Arial" w:cs="Arial"/>
        </w:rPr>
        <w:t>Winward, M., Singh, A. and Patel, V. (2021) 'Digital-first NHS primary care: workforce and cost impact', International Journal of Medical Informatics, 150, 104452. doi:10.1016/j.ijmedinf.2021.104452.</w:t>
      </w:r>
    </w:p>
    <w:p w:rsidR="00E26C4D" w:rsidRPr="00DE4ADE" w:rsidRDefault="00E26C4D" w:rsidP="00A30E14">
      <w:pPr>
        <w:pStyle w:val="ListParagraph"/>
        <w:numPr>
          <w:ilvl w:val="0"/>
          <w:numId w:val="10"/>
        </w:numPr>
        <w:spacing w:line="360" w:lineRule="auto"/>
        <w:rPr>
          <w:rFonts w:ascii="Arial" w:hAnsi="Arial" w:cs="Arial"/>
        </w:rPr>
      </w:pPr>
      <w:r w:rsidRPr="00DE4ADE">
        <w:rPr>
          <w:rFonts w:ascii="Arial" w:hAnsi="Arial" w:cs="Arial"/>
        </w:rPr>
        <w:t xml:space="preserve">Whitfield G, Hamblin K. Technology in social care: spotlight on the English policy landscape, 2019-2022. Centre for Care. URL: https://centreforcare. </w:t>
      </w:r>
      <w:proofErr w:type="gramStart"/>
      <w:r w:rsidRPr="00DE4ADE">
        <w:rPr>
          <w:rFonts w:ascii="Arial" w:hAnsi="Arial" w:cs="Arial"/>
        </w:rPr>
        <w:t>ac</w:t>
      </w:r>
      <w:proofErr w:type="gramEnd"/>
      <w:r w:rsidRPr="00DE4ADE">
        <w:rPr>
          <w:rFonts w:ascii="Arial" w:hAnsi="Arial" w:cs="Arial"/>
        </w:rPr>
        <w:t xml:space="preserve">. uk/wp-content/uploads/2022/12/Technology-in-social-care-report-Dec-2022_FINAL. </w:t>
      </w:r>
      <w:proofErr w:type="gramStart"/>
      <w:r w:rsidRPr="00DE4ADE">
        <w:rPr>
          <w:rFonts w:ascii="Arial" w:hAnsi="Arial" w:cs="Arial"/>
        </w:rPr>
        <w:t>pdf</w:t>
      </w:r>
      <w:proofErr w:type="gramEnd"/>
      <w:r w:rsidRPr="00DE4ADE">
        <w:rPr>
          <w:rFonts w:ascii="Arial" w:hAnsi="Arial" w:cs="Arial"/>
        </w:rPr>
        <w:t xml:space="preserve"> [accessed 2024-04-29]. 2022.</w:t>
      </w:r>
    </w:p>
    <w:p w:rsidR="00E26C4D" w:rsidRPr="00DE4ADE" w:rsidRDefault="00E26C4D" w:rsidP="00A30E14">
      <w:pPr>
        <w:pStyle w:val="ListParagraph"/>
        <w:spacing w:line="360" w:lineRule="auto"/>
        <w:rPr>
          <w:rFonts w:ascii="Arial" w:hAnsi="Arial" w:cs="Arial"/>
        </w:rPr>
      </w:pPr>
    </w:p>
    <w:sectPr w:rsidR="00E26C4D" w:rsidRPr="00DE4ADE" w:rsidSect="00534CC8">
      <w:pgSz w:w="12240" w:h="15840"/>
      <w:pgMar w:top="1440" w:right="1800" w:bottom="1440" w:left="180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26748" w:rsidRDefault="00826748" w:rsidP="00534CC8">
      <w:pPr>
        <w:spacing w:after="0" w:line="240" w:lineRule="auto"/>
      </w:pPr>
      <w:r>
        <w:separator/>
      </w:r>
    </w:p>
  </w:endnote>
  <w:endnote w:type="continuationSeparator" w:id="0">
    <w:p w:rsidR="00826748" w:rsidRDefault="00826748" w:rsidP="00534C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91142325"/>
      <w:docPartObj>
        <w:docPartGallery w:val="Page Numbers (Bottom of Page)"/>
        <w:docPartUnique/>
      </w:docPartObj>
    </w:sdtPr>
    <w:sdtEndPr>
      <w:rPr>
        <w:noProof/>
      </w:rPr>
    </w:sdtEndPr>
    <w:sdtContent>
      <w:p w:rsidR="00534CC8" w:rsidRDefault="00534CC8">
        <w:pPr>
          <w:pStyle w:val="Footer"/>
          <w:jc w:val="center"/>
        </w:pPr>
        <w:r>
          <w:fldChar w:fldCharType="begin"/>
        </w:r>
        <w:r>
          <w:instrText xml:space="preserve"> PAGE   \* MERGEFORMAT </w:instrText>
        </w:r>
        <w:r>
          <w:fldChar w:fldCharType="separate"/>
        </w:r>
        <w:r w:rsidR="000F6DCD">
          <w:rPr>
            <w:noProof/>
          </w:rPr>
          <w:t>1</w:t>
        </w:r>
        <w:r>
          <w:rPr>
            <w:noProof/>
          </w:rPr>
          <w:fldChar w:fldCharType="end"/>
        </w:r>
      </w:p>
    </w:sdtContent>
  </w:sdt>
  <w:p w:rsidR="00534CC8" w:rsidRDefault="00534CC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26748" w:rsidRDefault="00826748" w:rsidP="00534CC8">
      <w:pPr>
        <w:spacing w:after="0" w:line="240" w:lineRule="auto"/>
      </w:pPr>
      <w:r>
        <w:separator/>
      </w:r>
    </w:p>
  </w:footnote>
  <w:footnote w:type="continuationSeparator" w:id="0">
    <w:p w:rsidR="00826748" w:rsidRDefault="00826748" w:rsidP="00534CC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nsid w:val="0DB220F9"/>
    <w:multiLevelType w:val="hybridMultilevel"/>
    <w:tmpl w:val="5394AF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719365F4"/>
    <w:multiLevelType w:val="hybridMultilevel"/>
    <w:tmpl w:val="92D8E5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13A4"/>
    <w:rsid w:val="00034616"/>
    <w:rsid w:val="0006063C"/>
    <w:rsid w:val="000857AD"/>
    <w:rsid w:val="00094730"/>
    <w:rsid w:val="00095426"/>
    <w:rsid w:val="000F6DCD"/>
    <w:rsid w:val="00100BDA"/>
    <w:rsid w:val="0015074B"/>
    <w:rsid w:val="001C29FE"/>
    <w:rsid w:val="00215E9E"/>
    <w:rsid w:val="002843B1"/>
    <w:rsid w:val="0029639D"/>
    <w:rsid w:val="002A60F1"/>
    <w:rsid w:val="002F52A8"/>
    <w:rsid w:val="00326F90"/>
    <w:rsid w:val="003A0D02"/>
    <w:rsid w:val="003B0523"/>
    <w:rsid w:val="00434908"/>
    <w:rsid w:val="00456EBD"/>
    <w:rsid w:val="004734E0"/>
    <w:rsid w:val="004A30E3"/>
    <w:rsid w:val="004A5E05"/>
    <w:rsid w:val="004E7071"/>
    <w:rsid w:val="00504DE2"/>
    <w:rsid w:val="00534CC8"/>
    <w:rsid w:val="00575ED0"/>
    <w:rsid w:val="00583B4A"/>
    <w:rsid w:val="005967A9"/>
    <w:rsid w:val="005F1B4C"/>
    <w:rsid w:val="00620517"/>
    <w:rsid w:val="0072052C"/>
    <w:rsid w:val="007719DD"/>
    <w:rsid w:val="007F2B6D"/>
    <w:rsid w:val="00826748"/>
    <w:rsid w:val="008302E0"/>
    <w:rsid w:val="00831264"/>
    <w:rsid w:val="0083427F"/>
    <w:rsid w:val="00875E17"/>
    <w:rsid w:val="008D421C"/>
    <w:rsid w:val="00912613"/>
    <w:rsid w:val="00947935"/>
    <w:rsid w:val="009521F3"/>
    <w:rsid w:val="009733AE"/>
    <w:rsid w:val="00993902"/>
    <w:rsid w:val="00A30E14"/>
    <w:rsid w:val="00A42B68"/>
    <w:rsid w:val="00AA1D8D"/>
    <w:rsid w:val="00AB4092"/>
    <w:rsid w:val="00B04A90"/>
    <w:rsid w:val="00B24CAD"/>
    <w:rsid w:val="00B44817"/>
    <w:rsid w:val="00B47730"/>
    <w:rsid w:val="00BD4D82"/>
    <w:rsid w:val="00C20FD7"/>
    <w:rsid w:val="00C8558F"/>
    <w:rsid w:val="00CB0664"/>
    <w:rsid w:val="00CF4949"/>
    <w:rsid w:val="00D33415"/>
    <w:rsid w:val="00D35F79"/>
    <w:rsid w:val="00D90768"/>
    <w:rsid w:val="00D9308A"/>
    <w:rsid w:val="00D96E30"/>
    <w:rsid w:val="00DE4ADE"/>
    <w:rsid w:val="00DE65B5"/>
    <w:rsid w:val="00E26C4D"/>
    <w:rsid w:val="00E36A9C"/>
    <w:rsid w:val="00E64139"/>
    <w:rsid w:val="00E7377B"/>
    <w:rsid w:val="00F04D68"/>
    <w:rsid w:val="00F6608F"/>
    <w:rsid w:val="00F85774"/>
    <w:rsid w:val="00F9333C"/>
    <w:rsid w:val="00FC693F"/>
    <w:rsid w:val="00FD0DEA"/>
    <w:rsid w:val="00FD2FF1"/>
    <w:rsid w:val="00FE06B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BalloonText">
    <w:name w:val="Balloon Text"/>
    <w:basedOn w:val="Normal"/>
    <w:link w:val="BalloonTextChar"/>
    <w:uiPriority w:val="99"/>
    <w:semiHidden/>
    <w:unhideWhenUsed/>
    <w:rsid w:val="00D334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3415"/>
    <w:rPr>
      <w:rFonts w:ascii="Tahoma" w:hAnsi="Tahoma" w:cs="Tahoma"/>
      <w:sz w:val="16"/>
      <w:szCs w:val="16"/>
    </w:rPr>
  </w:style>
  <w:style w:type="paragraph" w:styleId="TOC1">
    <w:name w:val="toc 1"/>
    <w:basedOn w:val="Normal"/>
    <w:next w:val="Normal"/>
    <w:autoRedefine/>
    <w:uiPriority w:val="39"/>
    <w:unhideWhenUsed/>
    <w:rsid w:val="00534CC8"/>
    <w:pPr>
      <w:spacing w:after="100"/>
    </w:pPr>
  </w:style>
  <w:style w:type="character" w:styleId="Hyperlink">
    <w:name w:val="Hyperlink"/>
    <w:basedOn w:val="DefaultParagraphFont"/>
    <w:uiPriority w:val="99"/>
    <w:unhideWhenUsed/>
    <w:rsid w:val="00534CC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BalloonText">
    <w:name w:val="Balloon Text"/>
    <w:basedOn w:val="Normal"/>
    <w:link w:val="BalloonTextChar"/>
    <w:uiPriority w:val="99"/>
    <w:semiHidden/>
    <w:unhideWhenUsed/>
    <w:rsid w:val="00D334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3415"/>
    <w:rPr>
      <w:rFonts w:ascii="Tahoma" w:hAnsi="Tahoma" w:cs="Tahoma"/>
      <w:sz w:val="16"/>
      <w:szCs w:val="16"/>
    </w:rPr>
  </w:style>
  <w:style w:type="paragraph" w:styleId="TOC1">
    <w:name w:val="toc 1"/>
    <w:basedOn w:val="Normal"/>
    <w:next w:val="Normal"/>
    <w:autoRedefine/>
    <w:uiPriority w:val="39"/>
    <w:unhideWhenUsed/>
    <w:rsid w:val="00534CC8"/>
    <w:pPr>
      <w:spacing w:after="100"/>
    </w:pPr>
  </w:style>
  <w:style w:type="character" w:styleId="Hyperlink">
    <w:name w:val="Hyperlink"/>
    <w:basedOn w:val="DefaultParagraphFont"/>
    <w:uiPriority w:val="99"/>
    <w:unhideWhenUsed/>
    <w:rsid w:val="00534CC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139049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hyperlink" Target="https://www.frontiersin.org/journals/digital-health/articles/10.3389/fdgth.2023.1264780/full" TargetMode="External"/><Relationship Id="rId3" Type="http://schemas.openxmlformats.org/officeDocument/2006/relationships/styles" Target="styles.xml"/><Relationship Id="rId21" Type="http://schemas.openxmlformats.org/officeDocument/2006/relationships/hyperlink" Target="https://www.healthcare.digital/single-post/accurx-communication-platform-uk-market-share-competitive-landscape-unique-selling-points-and-di"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digitalhealth.net/2024/08/humber-teaching-nhs-ft-deploys-patient-communication-platfor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accurx.com/post/5-ways-your-service-could-use-digital-questionnaires-to-deliver-productivity-gains" TargetMode="External"/><Relationship Id="rId20" Type="http://schemas.openxmlformats.org/officeDocument/2006/relationships/hyperlink" Target="https://www.gov.uk/government/publications/a-plan-for-digital-health-and-social-care/a-plan-for-digital-health-and-social-car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accurx.com/case-study/patient-messaging" TargetMode="External"/><Relationship Id="rId23" Type="http://schemas.openxmlformats.org/officeDocument/2006/relationships/hyperlink" Target="https://www.tandemhealth.ai/news-articles/tandem-has-teamed-up-with-accurx-to-deliver-our-ai-medical-scribe-to-200-000-nhs-staff" TargetMode="External"/><Relationship Id="rId10" Type="http://schemas.openxmlformats.org/officeDocument/2006/relationships/image" Target="cid:image001.png@01D0EA4A.2BD679A0" TargetMode="External"/><Relationship Id="rId19" Type="http://schemas.openxmlformats.org/officeDocument/2006/relationships/hyperlink" Target="https://www.jmir.org/2024/1/e51272/"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accurx.com/press" TargetMode="External"/><Relationship Id="rId22" Type="http://schemas.openxmlformats.org/officeDocument/2006/relationships/hyperlink" Target="https://digital.nhs.uk/blog/transformation-blog/2022/expanding-online-consultations-in-the-nhs-ap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4B2E0A-57DC-4810-A97B-93F237BFB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11</Pages>
  <Words>2991</Words>
  <Characters>17054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20005</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dc:description>generated by python-docx</dc:description>
  <cp:lastModifiedBy>Windows User</cp:lastModifiedBy>
  <cp:revision>10</cp:revision>
  <dcterms:created xsi:type="dcterms:W3CDTF">2026-02-07T08:30:00Z</dcterms:created>
  <dcterms:modified xsi:type="dcterms:W3CDTF">2026-02-07T09:47:00Z</dcterms:modified>
</cp:coreProperties>
</file>