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62409B" w14:textId="0C752469" w:rsidR="001535A9" w:rsidRPr="00EA4208" w:rsidRDefault="001535A9" w:rsidP="00461EB9">
      <w:pPr>
        <w:spacing w:line="480" w:lineRule="auto"/>
        <w:rPr>
          <w:rFonts w:cstheme="minorHAnsi"/>
          <w:b/>
          <w:bCs/>
          <w:lang w:val="en-GB"/>
        </w:rPr>
      </w:pPr>
      <w:r w:rsidRPr="00EA4208">
        <w:rPr>
          <w:rFonts w:cstheme="minorHAnsi"/>
          <w:b/>
          <w:bCs/>
          <w:lang w:val="en-GB"/>
        </w:rPr>
        <w:t xml:space="preserve">Q2 To what extent do response officers have a role in counter-terrorism policing? </w:t>
      </w:r>
    </w:p>
    <w:p w14:paraId="4C512B25" w14:textId="56D25A08" w:rsidR="00E17613" w:rsidRPr="005C5B30" w:rsidRDefault="00E17613" w:rsidP="00EA140E">
      <w:pPr>
        <w:spacing w:line="360" w:lineRule="auto"/>
        <w:jc w:val="both"/>
        <w:rPr>
          <w:rFonts w:ascii="Helvetica" w:hAnsi="Helvetica" w:cs="Helvetica"/>
          <w:color w:val="FF0000"/>
          <w:lang w:val="en-GB"/>
        </w:rPr>
      </w:pPr>
      <w:r w:rsidRPr="005C5B30">
        <w:rPr>
          <w:rFonts w:cstheme="minorHAnsi"/>
          <w:lang w:val="en-GB"/>
        </w:rPr>
        <w:t>The current state of affairs has forced the government officials to modify their strategies in response to the prevalence of terrorism. Significantly, reaction officers, who typically undertake a range of law enforcement responsibilities, have progressively taken on a crucial role in counter-terrorism endeavours</w:t>
      </w:r>
      <w:r w:rsidR="005C5B30" w:rsidRPr="005C5B30">
        <w:rPr>
          <w:rFonts w:cstheme="minorHAnsi"/>
          <w:lang w:val="en-GB"/>
        </w:rPr>
        <w:t xml:space="preserve"> (Dunn et al., 2016)</w:t>
      </w:r>
      <w:r w:rsidRPr="005C5B30">
        <w:rPr>
          <w:rFonts w:cstheme="minorHAnsi"/>
          <w:lang w:val="en-GB"/>
        </w:rPr>
        <w:t xml:space="preserve">. The objective of this study is to evaluate the degree of involvement exhibited by response officers within the domain of counter-terrorism policing. This </w:t>
      </w:r>
      <w:r w:rsidR="005C5B30" w:rsidRPr="005C5B30">
        <w:rPr>
          <w:rFonts w:cstheme="minorHAnsi"/>
          <w:lang w:val="en-GB"/>
        </w:rPr>
        <w:t xml:space="preserve">essay </w:t>
      </w:r>
      <w:r w:rsidRPr="005C5B30">
        <w:rPr>
          <w:rFonts w:cstheme="minorHAnsi"/>
          <w:lang w:val="en-GB"/>
        </w:rPr>
        <w:t>aims to gain a comprehensive understanding of the growth of the responsibilities and contributions of individuals in the context of counter-terrorism efforts. It does so by examining their training, problems faced, and the influence they have had.</w:t>
      </w:r>
      <w:r w:rsidR="00DB576F" w:rsidRPr="005C5B30">
        <w:rPr>
          <w:rFonts w:cstheme="minorHAnsi"/>
          <w:lang w:val="en-GB"/>
        </w:rPr>
        <w:t xml:space="preserve"> </w:t>
      </w:r>
    </w:p>
    <w:p w14:paraId="592DC662" w14:textId="160ED872" w:rsidR="001535A9" w:rsidRPr="005C5B30" w:rsidRDefault="00E17613" w:rsidP="00EA140E">
      <w:pPr>
        <w:spacing w:line="360" w:lineRule="auto"/>
        <w:jc w:val="both"/>
        <w:rPr>
          <w:rFonts w:cstheme="minorHAnsi"/>
          <w:color w:val="FF0000"/>
          <w:lang w:val="en-GB"/>
        </w:rPr>
      </w:pPr>
      <w:r w:rsidRPr="005C5B30">
        <w:rPr>
          <w:rFonts w:cstheme="minorHAnsi"/>
          <w:lang w:val="en-GB"/>
        </w:rPr>
        <w:t>Following the events that transpired on</w:t>
      </w:r>
      <w:r w:rsidR="005C5B30">
        <w:rPr>
          <w:rFonts w:cstheme="minorHAnsi"/>
          <w:lang w:val="en-GB"/>
        </w:rPr>
        <w:t xml:space="preserve"> the</w:t>
      </w:r>
      <w:r w:rsidRPr="005C5B30">
        <w:rPr>
          <w:rFonts w:cstheme="minorHAnsi"/>
          <w:lang w:val="en-GB"/>
        </w:rPr>
        <w:t xml:space="preserve"> September 11</w:t>
      </w:r>
      <w:r w:rsidR="005C5B30" w:rsidRPr="00461EB9">
        <w:rPr>
          <w:rFonts w:cstheme="minorHAnsi"/>
          <w:vertAlign w:val="superscript"/>
          <w:lang w:val="en-GB"/>
        </w:rPr>
        <w:t>th</w:t>
      </w:r>
      <w:r w:rsidR="00461EB9" w:rsidRPr="005C5B30">
        <w:rPr>
          <w:rFonts w:cstheme="minorHAnsi"/>
          <w:lang w:val="en-GB"/>
        </w:rPr>
        <w:t>, 2001</w:t>
      </w:r>
      <w:r w:rsidRPr="005C5B30">
        <w:rPr>
          <w:rFonts w:cstheme="minorHAnsi"/>
          <w:lang w:val="en-GB"/>
        </w:rPr>
        <w:t>, occurrences of terrorism have been promptly confronted by concerted endeavours aimed at minimising their impact. Over the course of time, there has been an increasing emphasis on the issue of terrorism, which has been accompanied by the development of legislative measures designed to address and counteract it. The level of attention has significantly increased in the aftermath of each subsequent act of terrorism in the 21st century. The growing apprehension can be partially ascribed to the involvement in the Afghanistan and Iraq War, which has exerted a significant influence on the trajectory of historical events</w:t>
      </w:r>
      <w:r w:rsidR="00E14A40">
        <w:rPr>
          <w:rFonts w:cstheme="minorHAnsi"/>
          <w:lang w:val="en-GB"/>
        </w:rPr>
        <w:t xml:space="preserve"> (Law, 2016)</w:t>
      </w:r>
      <w:r w:rsidRPr="005C5B30">
        <w:rPr>
          <w:rFonts w:cstheme="minorHAnsi"/>
          <w:lang w:val="en-GB"/>
        </w:rPr>
        <w:t xml:space="preserve">. </w:t>
      </w:r>
    </w:p>
    <w:p w14:paraId="3B3A40D9" w14:textId="508A5C80" w:rsidR="00C4363E" w:rsidRPr="005C5B30" w:rsidRDefault="00C4363E" w:rsidP="00EA140E">
      <w:pPr>
        <w:spacing w:line="360" w:lineRule="auto"/>
        <w:jc w:val="both"/>
        <w:rPr>
          <w:rFonts w:cstheme="minorHAnsi"/>
          <w:lang w:val="en-GB"/>
        </w:rPr>
      </w:pPr>
      <w:r w:rsidRPr="005C5B30">
        <w:rPr>
          <w:rFonts w:cstheme="minorHAnsi"/>
          <w:lang w:val="en-GB"/>
        </w:rPr>
        <w:t xml:space="preserve">Since the events of the 7th of July bombings in 2005, the United Kingdom has encountered an internal threat of terrorism originating from a minority subset of youthful individuals adhering to the Muslim faith. As a response, the United Kingdom implemented the 'Prevent' programme, which serves as a proactive initiative aimed at countering terrorism. Expanding upon prior criticisms of the Prevent programme within a wider framework, this piece aims to underscore and subject to critical analysis the tactics deployed by Prevent in its engagements with young Muslims and the educational establishments they attend. </w:t>
      </w:r>
      <w:r w:rsidR="00E14A40">
        <w:rPr>
          <w:rFonts w:cstheme="minorHAnsi"/>
          <w:lang w:val="en-GB"/>
        </w:rPr>
        <w:t xml:space="preserve"> Van de Vyver et al. (2016) </w:t>
      </w:r>
      <w:r w:rsidRPr="005C5B30">
        <w:rPr>
          <w:rFonts w:cstheme="minorHAnsi"/>
          <w:lang w:val="en-GB"/>
        </w:rPr>
        <w:t>argues that instead of employing inclusive and non-stigmatizing approaches to anti-extremist teaching, the Prevent programme, directed by the police, has opted to "engage" with and monitor young Muslims.</w:t>
      </w:r>
    </w:p>
    <w:p w14:paraId="40DDA22E" w14:textId="5D218B1B" w:rsidR="00C4363E" w:rsidRPr="005C5B30" w:rsidRDefault="00C4363E" w:rsidP="00EA140E">
      <w:pPr>
        <w:spacing w:line="360" w:lineRule="auto"/>
        <w:jc w:val="both"/>
        <w:rPr>
          <w:rFonts w:cstheme="minorHAnsi"/>
          <w:color w:val="FF0000"/>
          <w:lang w:val="en-GB"/>
        </w:rPr>
      </w:pPr>
      <w:r w:rsidRPr="005C5B30">
        <w:rPr>
          <w:rFonts w:cstheme="minorHAnsi"/>
          <w:lang w:val="en-GB"/>
        </w:rPr>
        <w:t>A significant limitation of the Prevent programme is the lack of sufficient scientific proof concerning educational strategies that effectively develop resilience in young individuals, therefore decreasing the risk of vulnerability to extremist influences. In modern society, Muslim teenagers are commonly viewed as a potential societal risk and as individuals who may be prone to embracing extremist views. This viewpoint is based on the contested notion of 'radicali</w:t>
      </w:r>
      <w:r w:rsidR="00E14A40">
        <w:rPr>
          <w:rFonts w:cstheme="minorHAnsi"/>
          <w:lang w:val="en-GB"/>
        </w:rPr>
        <w:t>s</w:t>
      </w:r>
      <w:r w:rsidRPr="005C5B30">
        <w:rPr>
          <w:rFonts w:cstheme="minorHAnsi"/>
          <w:lang w:val="en-GB"/>
        </w:rPr>
        <w:t xml:space="preserve">ation' and the principles of child protection, which are utilised </w:t>
      </w:r>
      <w:r w:rsidRPr="005C5B30">
        <w:rPr>
          <w:rFonts w:cstheme="minorHAnsi"/>
          <w:lang w:val="en-GB"/>
        </w:rPr>
        <w:lastRenderedPageBreak/>
        <w:t>to demonstrate possible vulnerability to manipulation by Islamist extremists. As a result, this argument supports a heightened surveillance strategy using educational means. The article examines various approaches to the Prevent strategy, taking into account previous challenges encountered in anti-racist education aimed towards white young people.</w:t>
      </w:r>
      <w:r w:rsidR="00E14A40">
        <w:rPr>
          <w:rFonts w:cstheme="minorHAnsi"/>
          <w:lang w:val="en-GB"/>
        </w:rPr>
        <w:t xml:space="preserve"> Thomas (2016)</w:t>
      </w:r>
      <w:r w:rsidRPr="005C5B30">
        <w:rPr>
          <w:rFonts w:cstheme="minorHAnsi"/>
          <w:lang w:val="en-GB"/>
        </w:rPr>
        <w:t xml:space="preserve"> promotes the endorsement of citizenship education that prioritises human rights, recognising the presence of intrinsic disagreements, with the goal of reaching all young individuals. According to the article, this approach provides the most efficient means for encouraging individual</w:t>
      </w:r>
      <w:r w:rsidR="00E14A40">
        <w:rPr>
          <w:rFonts w:cstheme="minorHAnsi"/>
          <w:lang w:val="en-GB"/>
        </w:rPr>
        <w:t>s</w:t>
      </w:r>
      <w:r w:rsidRPr="005C5B30">
        <w:rPr>
          <w:rFonts w:cstheme="minorHAnsi"/>
          <w:lang w:val="en-GB"/>
        </w:rPr>
        <w:t xml:space="preserve"> and collective resistance against terrorist ideology.</w:t>
      </w:r>
    </w:p>
    <w:p w14:paraId="566175E4" w14:textId="0C6520F7" w:rsidR="00BC667C" w:rsidRPr="005C5B30" w:rsidRDefault="00BC667C" w:rsidP="00EA140E">
      <w:pPr>
        <w:spacing w:line="360" w:lineRule="auto"/>
        <w:jc w:val="both"/>
        <w:rPr>
          <w:rFonts w:cstheme="minorHAnsi"/>
          <w:lang w:val="en-GB"/>
        </w:rPr>
      </w:pPr>
      <w:r w:rsidRPr="005C5B30">
        <w:rPr>
          <w:rFonts w:cstheme="minorHAnsi"/>
          <w:lang w:val="en-GB"/>
        </w:rPr>
        <w:t>In the United Kingdom, the management of vulnerability is regulated by many statutory partners under a programme commonly referred to as Channel. This initiative entails a synergistic endeavour across educational, healthcare, and social welfare sectors to provide tailored assistance and safeguard against radicali</w:t>
      </w:r>
      <w:r w:rsidR="00E14A40">
        <w:rPr>
          <w:rFonts w:cstheme="minorHAnsi"/>
          <w:lang w:val="en-GB"/>
        </w:rPr>
        <w:t>s</w:t>
      </w:r>
      <w:r w:rsidRPr="005C5B30">
        <w:rPr>
          <w:rFonts w:cstheme="minorHAnsi"/>
          <w:lang w:val="en-GB"/>
        </w:rPr>
        <w:t xml:space="preserve">ation. Engagement in Channel is characterised by voluntariness, confidentiality, and the absence of any severe consequences. </w:t>
      </w:r>
      <w:r w:rsidR="00AE4584">
        <w:rPr>
          <w:rFonts w:cstheme="minorHAnsi"/>
          <w:lang w:val="en-GB"/>
        </w:rPr>
        <w:t xml:space="preserve"> The Wales Extremism and Counter Terrorism Unit has established an additional key strategy aimed at addressing vulnerability among neurodivergent individuals where professionals employ a person-centred approach to deliver support and communication to individuals diagnosed with autism (Gill et al., 2021).</w:t>
      </w:r>
      <w:r w:rsidR="00AE4584">
        <w:rPr>
          <w:rFonts w:ascii="Helvetica" w:hAnsi="Helvetica" w:cs="Helvetica"/>
          <w:color w:val="FF0000"/>
          <w:lang w:val="en-GB"/>
        </w:rPr>
        <w:t xml:space="preserve"> </w:t>
      </w:r>
    </w:p>
    <w:p w14:paraId="7C10D92E" w14:textId="4E650EC5" w:rsidR="00887270" w:rsidRPr="005C5B30" w:rsidRDefault="00BC667C" w:rsidP="00EA140E">
      <w:pPr>
        <w:spacing w:line="360" w:lineRule="auto"/>
        <w:jc w:val="both"/>
        <w:rPr>
          <w:rFonts w:ascii="Helvetica" w:hAnsi="Helvetica" w:cs="Helvetica"/>
          <w:color w:val="FF0000"/>
          <w:lang w:val="en-GB"/>
        </w:rPr>
      </w:pPr>
      <w:r w:rsidRPr="005C5B30">
        <w:rPr>
          <w:rFonts w:cstheme="minorHAnsi"/>
          <w:lang w:val="en-GB"/>
        </w:rPr>
        <w:t xml:space="preserve">The previously mentioned method has resulted in extremely beneficial results, resulting in diminished rates of </w:t>
      </w:r>
      <w:r w:rsidR="00461EB9" w:rsidRPr="005C5B30">
        <w:rPr>
          <w:rFonts w:cstheme="minorHAnsi"/>
          <w:lang w:val="en-GB"/>
        </w:rPr>
        <w:t>reoffending,</w:t>
      </w:r>
      <w:r w:rsidRPr="005C5B30">
        <w:rPr>
          <w:rFonts w:cstheme="minorHAnsi"/>
          <w:lang w:val="en-GB"/>
        </w:rPr>
        <w:t xml:space="preserve"> and diverting these persons from radicali</w:t>
      </w:r>
      <w:r w:rsidR="002B64AD">
        <w:rPr>
          <w:rFonts w:cstheme="minorHAnsi"/>
          <w:lang w:val="en-GB"/>
        </w:rPr>
        <w:t>s</w:t>
      </w:r>
      <w:r w:rsidRPr="005C5B30">
        <w:rPr>
          <w:rFonts w:cstheme="minorHAnsi"/>
          <w:lang w:val="en-GB"/>
        </w:rPr>
        <w:t>ation, thereby facilitating their pursuit of satisfying and meaningful existences. Furthermore, it is worth noting that in the United Kingdom, all secondary schools are provided with educational sessions on the topic of extremism. Police officers</w:t>
      </w:r>
      <w:r w:rsidR="002B64AD">
        <w:rPr>
          <w:rFonts w:cstheme="minorHAnsi"/>
          <w:lang w:val="en-GB"/>
        </w:rPr>
        <w:t>,</w:t>
      </w:r>
      <w:r w:rsidRPr="005C5B30">
        <w:rPr>
          <w:rFonts w:cstheme="minorHAnsi"/>
          <w:lang w:val="en-GB"/>
        </w:rPr>
        <w:t xml:space="preserve"> who have received specialised training</w:t>
      </w:r>
      <w:r w:rsidR="002B64AD">
        <w:rPr>
          <w:rFonts w:cstheme="minorHAnsi"/>
          <w:lang w:val="en-GB"/>
        </w:rPr>
        <w:t>,</w:t>
      </w:r>
      <w:r w:rsidRPr="005C5B30">
        <w:rPr>
          <w:rFonts w:cstheme="minorHAnsi"/>
          <w:lang w:val="en-GB"/>
        </w:rPr>
        <w:t xml:space="preserve"> are responsible for leading discussions on various topics such as behaviours, internet activities, and vulnerabilities that have the potential to contribute to the process of radicali</w:t>
      </w:r>
      <w:r w:rsidR="002B64AD">
        <w:rPr>
          <w:rFonts w:cstheme="minorHAnsi"/>
          <w:lang w:val="en-GB"/>
        </w:rPr>
        <w:t>s</w:t>
      </w:r>
      <w:r w:rsidRPr="005C5B30">
        <w:rPr>
          <w:rFonts w:cstheme="minorHAnsi"/>
          <w:lang w:val="en-GB"/>
        </w:rPr>
        <w:t>ation</w:t>
      </w:r>
      <w:r w:rsidR="00461EB9">
        <w:rPr>
          <w:rFonts w:cstheme="minorHAnsi"/>
          <w:lang w:val="en-GB"/>
        </w:rPr>
        <w:t xml:space="preserve"> </w:t>
      </w:r>
      <w:r w:rsidR="00461EB9" w:rsidRPr="00461EB9">
        <w:rPr>
          <w:rFonts w:cstheme="minorHAnsi"/>
          <w:lang w:val="en-GB"/>
        </w:rPr>
        <w:t>(View of combatting terrorism and extremism in Wales: Operational policing, n.d.)</w:t>
      </w:r>
      <w:r w:rsidRPr="005C5B30">
        <w:rPr>
          <w:rFonts w:cstheme="minorHAnsi"/>
          <w:lang w:val="en-GB"/>
        </w:rPr>
        <w:t xml:space="preserve">. </w:t>
      </w:r>
    </w:p>
    <w:p w14:paraId="75F7C0E4" w14:textId="7A8C22A6" w:rsidR="00BC667C" w:rsidRPr="00461EB9" w:rsidRDefault="00461EB9" w:rsidP="00EA140E">
      <w:pPr>
        <w:spacing w:line="360" w:lineRule="auto"/>
        <w:jc w:val="both"/>
        <w:rPr>
          <w:rFonts w:cstheme="minorHAnsi"/>
          <w:lang w:val="en-GB"/>
        </w:rPr>
      </w:pPr>
      <w:r w:rsidRPr="00461EB9">
        <w:rPr>
          <w:rFonts w:cstheme="minorHAnsi"/>
          <w:lang w:val="en-GB"/>
        </w:rPr>
        <w:t>Spalek</w:t>
      </w:r>
      <w:r>
        <w:rPr>
          <w:rFonts w:cstheme="minorHAnsi"/>
          <w:lang w:val="en-GB"/>
        </w:rPr>
        <w:t xml:space="preserve"> (</w:t>
      </w:r>
      <w:r w:rsidRPr="00461EB9">
        <w:rPr>
          <w:rFonts w:cstheme="minorHAnsi"/>
          <w:lang w:val="en-GB"/>
        </w:rPr>
        <w:t>2010</w:t>
      </w:r>
      <w:r>
        <w:rPr>
          <w:rFonts w:cstheme="minorHAnsi"/>
          <w:lang w:val="en-GB"/>
        </w:rPr>
        <w:t xml:space="preserve">) </w:t>
      </w:r>
      <w:r w:rsidR="007A33CE" w:rsidRPr="005C5B30">
        <w:rPr>
          <w:rFonts w:cstheme="minorHAnsi"/>
          <w:lang w:val="en-GB"/>
        </w:rPr>
        <w:t>examines the significance of trust in the relationships between police and communities, specifically in the context of "new terrorism." This study utilises data</w:t>
      </w:r>
      <w:r w:rsidR="002B64AD">
        <w:rPr>
          <w:rFonts w:cstheme="minorHAnsi"/>
          <w:lang w:val="en-GB"/>
        </w:rPr>
        <w:t xml:space="preserve"> to</w:t>
      </w:r>
      <w:r w:rsidR="007A33CE" w:rsidRPr="005C5B30">
        <w:rPr>
          <w:rFonts w:cstheme="minorHAnsi"/>
          <w:lang w:val="en-GB"/>
        </w:rPr>
        <w:t xml:space="preserve"> investigate the nature of engagement and collaboration between communities and police within this particular context. One noteworthy discovery is that in contexts marked by diminished trust, such as those observed in instances of "new terrorism," law enforcement personnel should prioritise the establishment of provisional confidence by engaging in behaviours that demonstrate their reliability and credibility. Partnerships established between law enforcement agencies and Muslim communities, specifically in interventions targeting those deemed susceptible to terrorism, appear to be predicated upon a fundamental basis of trust. These partnerships place a high emphasis on long-term objectives, with individuals demonstrating </w:t>
      </w:r>
      <w:r w:rsidR="007A33CE" w:rsidRPr="005C5B30">
        <w:rPr>
          <w:rFonts w:cstheme="minorHAnsi"/>
          <w:lang w:val="en-GB"/>
        </w:rPr>
        <w:lastRenderedPageBreak/>
        <w:t>a strong commitment to fostering these connections. As a result, a sense of implicit confidence is established between</w:t>
      </w:r>
      <w:r w:rsidR="002B64AD">
        <w:rPr>
          <w:rFonts w:cstheme="minorHAnsi"/>
          <w:lang w:val="en-GB"/>
        </w:rPr>
        <w:t xml:space="preserve"> the</w:t>
      </w:r>
      <w:r w:rsidR="007A33CE" w:rsidRPr="005C5B30">
        <w:rPr>
          <w:rFonts w:cstheme="minorHAnsi"/>
          <w:lang w:val="en-GB"/>
        </w:rPr>
        <w:t xml:space="preserve"> law enforcement officials and</w:t>
      </w:r>
      <w:r w:rsidR="002B64AD">
        <w:rPr>
          <w:rFonts w:cstheme="minorHAnsi"/>
          <w:lang w:val="en-GB"/>
        </w:rPr>
        <w:t xml:space="preserve"> the</w:t>
      </w:r>
      <w:r w:rsidR="007A33CE" w:rsidRPr="005C5B30">
        <w:rPr>
          <w:rFonts w:cstheme="minorHAnsi"/>
          <w:lang w:val="en-GB"/>
        </w:rPr>
        <w:t xml:space="preserve"> members of the Muslim community. This suggests that the utilisation of specialised counter-terrorism units that adhere to community policing principles can effectively support prolonged engagement and the establishment of trust, which is crucial for fostering sensitive partnership initiatives. Ultimately, this approach enables a move from trust that is conditional to trust that is inherent.</w:t>
      </w:r>
    </w:p>
    <w:p w14:paraId="3C81345E" w14:textId="03979B31" w:rsidR="00F10504" w:rsidRPr="005C5B30" w:rsidRDefault="00F10504" w:rsidP="00EA140E">
      <w:pPr>
        <w:spacing w:line="360" w:lineRule="auto"/>
        <w:jc w:val="both"/>
        <w:rPr>
          <w:rFonts w:cstheme="minorHAnsi"/>
          <w:lang w:val="en-GB"/>
        </w:rPr>
      </w:pPr>
      <w:r w:rsidRPr="005C5B30">
        <w:rPr>
          <w:rFonts w:cstheme="minorHAnsi"/>
          <w:lang w:val="en-GB"/>
        </w:rPr>
        <w:t xml:space="preserve">Following the conclusion of the "war on terror," there has been a notable increase in the significance of security and the roles performed by </w:t>
      </w:r>
      <w:r w:rsidR="004B0473">
        <w:rPr>
          <w:rFonts w:cstheme="minorHAnsi"/>
          <w:lang w:val="en-GB"/>
        </w:rPr>
        <w:t xml:space="preserve">the </w:t>
      </w:r>
      <w:r w:rsidRPr="005C5B30">
        <w:rPr>
          <w:rFonts w:cstheme="minorHAnsi"/>
          <w:lang w:val="en-GB"/>
        </w:rPr>
        <w:t>police departments. In the United Kingdom, local communities have taken on a prominent role in combating the issues of extremism and terrorism. In the current context characterised by increased security concerns, the implementation of community-oriented policing methods has been</w:t>
      </w:r>
      <w:r w:rsidR="004B0473">
        <w:rPr>
          <w:rFonts w:cstheme="minorHAnsi"/>
          <w:lang w:val="en-GB"/>
        </w:rPr>
        <w:t xml:space="preserve"> effectively developed</w:t>
      </w:r>
      <w:r w:rsidRPr="005C5B30">
        <w:rPr>
          <w:rFonts w:cstheme="minorHAnsi"/>
          <w:lang w:val="en-GB"/>
        </w:rPr>
        <w:t xml:space="preserve"> as a strategy for counter-terrorism efforts.</w:t>
      </w:r>
      <w:r w:rsidR="004B0473">
        <w:rPr>
          <w:rFonts w:cstheme="minorHAnsi"/>
          <w:lang w:val="en-GB"/>
        </w:rPr>
        <w:t xml:space="preserve"> However</w:t>
      </w:r>
      <w:r w:rsidRPr="005C5B30">
        <w:rPr>
          <w:rFonts w:cstheme="minorHAnsi"/>
          <w:lang w:val="en-GB"/>
        </w:rPr>
        <w:t xml:space="preserve">, </w:t>
      </w:r>
      <w:r w:rsidR="00166D26">
        <w:rPr>
          <w:rFonts w:cstheme="minorHAnsi"/>
          <w:lang w:val="en-GB"/>
        </w:rPr>
        <w:t>a balance between security and intrusion should be taken into account as disproportional use of surveillance may diminish the community relations</w:t>
      </w:r>
      <w:r w:rsidR="00DE5989">
        <w:rPr>
          <w:rFonts w:cstheme="minorHAnsi"/>
          <w:lang w:val="en-GB"/>
        </w:rPr>
        <w:t xml:space="preserve"> and trust</w:t>
      </w:r>
      <w:r w:rsidR="00166D26">
        <w:rPr>
          <w:rFonts w:cstheme="minorHAnsi"/>
          <w:lang w:val="en-GB"/>
        </w:rPr>
        <w:t xml:space="preserve">. For example, </w:t>
      </w:r>
      <w:r w:rsidRPr="005C5B30">
        <w:rPr>
          <w:rFonts w:cstheme="minorHAnsi"/>
          <w:lang w:val="en-GB"/>
        </w:rPr>
        <w:t>the unintended deployment of overt and covert cameras by a local police department located in Birmingham has inadvertently exacerbated the possibility for perceived bias between British Muslims and the police, particularly in primarily Muslim neighbourhoods</w:t>
      </w:r>
      <w:r w:rsidR="00DE5989">
        <w:rPr>
          <w:rFonts w:cstheme="minorHAnsi"/>
          <w:lang w:val="en-GB"/>
        </w:rPr>
        <w:t xml:space="preserve"> (Awan, 2011)</w:t>
      </w:r>
      <w:r w:rsidRPr="005C5B30">
        <w:rPr>
          <w:rFonts w:cstheme="minorHAnsi"/>
          <w:lang w:val="en-GB"/>
        </w:rPr>
        <w:t>. This research examines the various aspects related to racial profiling, surveillance strategies, dynamics of trust, community policing, and policing approaches focused on counter-terrorism.</w:t>
      </w:r>
    </w:p>
    <w:p w14:paraId="48EA6A3D" w14:textId="7040FAFE" w:rsidR="00F10504" w:rsidRPr="005C5B30" w:rsidRDefault="00461EB9" w:rsidP="00EA140E">
      <w:pPr>
        <w:spacing w:line="360" w:lineRule="auto"/>
        <w:jc w:val="both"/>
        <w:rPr>
          <w:rFonts w:cstheme="minorHAnsi"/>
          <w:lang w:val="en-GB"/>
        </w:rPr>
      </w:pPr>
      <w:r w:rsidRPr="00461EB9">
        <w:rPr>
          <w:rFonts w:cstheme="minorHAnsi"/>
          <w:lang w:val="en-GB"/>
        </w:rPr>
        <w:t>Awan, 2012</w:t>
      </w:r>
      <w:r>
        <w:rPr>
          <w:rFonts w:cstheme="minorHAnsi"/>
          <w:lang w:val="en-GB"/>
        </w:rPr>
        <w:t xml:space="preserve"> </w:t>
      </w:r>
      <w:r w:rsidR="00F10504" w:rsidRPr="005C5B30">
        <w:rPr>
          <w:rFonts w:cstheme="minorHAnsi"/>
          <w:lang w:val="en-GB"/>
        </w:rPr>
        <w:t xml:space="preserve">employs a qualitative research technique to give a concise case study centred on participants residing in the Birmingham area, where the aforementioned cameras were deployed. The aim of the study was to gain an understanding of the perspectives held by the participants and their viewpoints regarding the use of closed circuit television (CCTV) cameras. The research provided insight into the experiences of British Muslims, highlighting the significance of addressing the concerns specific to this particular community in order to understand the implications of mass surveillance. </w:t>
      </w:r>
      <w:r w:rsidR="00DE5989">
        <w:rPr>
          <w:rFonts w:cstheme="minorHAnsi"/>
          <w:lang w:val="en-GB"/>
        </w:rPr>
        <w:t xml:space="preserve">It was showed </w:t>
      </w:r>
      <w:r w:rsidR="00F10504" w:rsidRPr="005C5B30">
        <w:rPr>
          <w:rFonts w:cstheme="minorHAnsi"/>
          <w:lang w:val="en-GB"/>
        </w:rPr>
        <w:t>that the</w:t>
      </w:r>
      <w:r w:rsidR="00DE5989">
        <w:rPr>
          <w:rFonts w:cstheme="minorHAnsi"/>
          <w:lang w:val="en-GB"/>
        </w:rPr>
        <w:t xml:space="preserve"> use</w:t>
      </w:r>
      <w:r w:rsidR="00F10504" w:rsidRPr="005C5B30">
        <w:rPr>
          <w:rFonts w:cstheme="minorHAnsi"/>
          <w:lang w:val="en-GB"/>
        </w:rPr>
        <w:t xml:space="preserve"> of monitoring measures in </w:t>
      </w:r>
      <w:r w:rsidR="00DE5989">
        <w:rPr>
          <w:rFonts w:cstheme="minorHAnsi"/>
          <w:lang w:val="en-GB"/>
        </w:rPr>
        <w:t xml:space="preserve">the </w:t>
      </w:r>
      <w:r w:rsidR="00F10504" w:rsidRPr="005C5B30">
        <w:rPr>
          <w:rFonts w:cstheme="minorHAnsi"/>
          <w:lang w:val="en-GB"/>
        </w:rPr>
        <w:t>Muslim communities located in the West Midlands region of the United Kingdom has not yielded the desired results.</w:t>
      </w:r>
      <w:r w:rsidR="00F10504" w:rsidRPr="005C5B30">
        <w:rPr>
          <w:rFonts w:ascii="Helvetica" w:hAnsi="Helvetica" w:cs="Helvetica"/>
          <w:color w:val="000000"/>
          <w:lang w:val="en-GB"/>
        </w:rPr>
        <w:t xml:space="preserve"> </w:t>
      </w:r>
    </w:p>
    <w:p w14:paraId="76FB5670" w14:textId="022EFDC1" w:rsidR="00127D86" w:rsidRPr="005C5B30" w:rsidRDefault="00127D86" w:rsidP="00EA140E">
      <w:pPr>
        <w:spacing w:line="360" w:lineRule="auto"/>
        <w:jc w:val="both"/>
        <w:rPr>
          <w:rFonts w:cstheme="minorHAnsi"/>
          <w:lang w:val="en-GB"/>
        </w:rPr>
      </w:pPr>
      <w:r w:rsidRPr="005C5B30">
        <w:rPr>
          <w:rFonts w:cstheme="minorHAnsi"/>
          <w:lang w:val="en-GB"/>
        </w:rPr>
        <w:t xml:space="preserve">The main intention of the notion of 'reasonable suspicion' is to mitigate the potential abuse of police power, namely in instances such as stops, searches, and arrests, with the aim of promoting increased accountability. The lack of a 'reasonable suspicion' prerequisite in relation to stop and search operations conducted under Section 44 of the Terrorism Act 2000 has sparked debates and demands for legislative revision. These talks have prompted substantial apprehensions over the effectiveness of counter-terrorist </w:t>
      </w:r>
      <w:r w:rsidRPr="005C5B30">
        <w:rPr>
          <w:rFonts w:cstheme="minorHAnsi"/>
          <w:lang w:val="en-GB"/>
        </w:rPr>
        <w:lastRenderedPageBreak/>
        <w:t>policing endeavours within this domain – whether they truly enhance security or, conversely, infringe upon human freedoms and promote 'ethnic profiling.'</w:t>
      </w:r>
    </w:p>
    <w:p w14:paraId="155B0881" w14:textId="62E28814" w:rsidR="00F10504" w:rsidRPr="005C5B30" w:rsidRDefault="00461EB9" w:rsidP="00EA140E">
      <w:pPr>
        <w:spacing w:line="360" w:lineRule="auto"/>
        <w:jc w:val="both"/>
        <w:rPr>
          <w:rFonts w:cstheme="minorHAnsi"/>
          <w:lang w:val="en-GB"/>
        </w:rPr>
      </w:pPr>
      <w:r w:rsidRPr="00461EB9">
        <w:rPr>
          <w:rFonts w:cstheme="minorHAnsi"/>
          <w:lang w:val="en-GB"/>
        </w:rPr>
        <w:t xml:space="preserve">Parmar </w:t>
      </w:r>
      <w:r>
        <w:rPr>
          <w:rFonts w:cstheme="minorHAnsi"/>
          <w:lang w:val="en-GB"/>
        </w:rPr>
        <w:t>(</w:t>
      </w:r>
      <w:r w:rsidRPr="00461EB9">
        <w:rPr>
          <w:rFonts w:cstheme="minorHAnsi"/>
          <w:lang w:val="en-GB"/>
        </w:rPr>
        <w:t>2011</w:t>
      </w:r>
      <w:r>
        <w:rPr>
          <w:rFonts w:cstheme="minorHAnsi"/>
          <w:lang w:val="en-GB"/>
        </w:rPr>
        <w:t xml:space="preserve">) </w:t>
      </w:r>
      <w:r w:rsidR="00127D86" w:rsidRPr="005C5B30">
        <w:rPr>
          <w:rFonts w:cstheme="minorHAnsi"/>
          <w:lang w:val="en-GB"/>
        </w:rPr>
        <w:t>examines the practical implementation, lived experiences, and perceptions of Section 44</w:t>
      </w:r>
      <w:r w:rsidR="00703DEB" w:rsidRPr="005C5B30">
        <w:rPr>
          <w:rFonts w:cstheme="minorHAnsi"/>
          <w:lang w:val="en-GB"/>
        </w:rPr>
        <w:t xml:space="preserve"> of </w:t>
      </w:r>
      <w:proofErr w:type="spellStart"/>
      <w:r w:rsidR="00703DEB" w:rsidRPr="005C5B30">
        <w:rPr>
          <w:rFonts w:cstheme="minorHAnsi"/>
          <w:lang w:val="en-GB"/>
        </w:rPr>
        <w:t>Terrisom</w:t>
      </w:r>
      <w:proofErr w:type="spellEnd"/>
      <w:r w:rsidR="00703DEB" w:rsidRPr="005C5B30">
        <w:rPr>
          <w:rFonts w:cstheme="minorHAnsi"/>
          <w:lang w:val="en-GB"/>
        </w:rPr>
        <w:t xml:space="preserve"> Act 2000</w:t>
      </w:r>
      <w:r w:rsidR="00127D86" w:rsidRPr="005C5B30">
        <w:rPr>
          <w:rFonts w:cstheme="minorHAnsi"/>
          <w:lang w:val="en-GB"/>
        </w:rPr>
        <w:t xml:space="preserve"> through the analysis of stop and search actions, as well as interviews conducted with police officers and persons in London. The aim is to gain insights from both the police force and the </w:t>
      </w:r>
      <w:r w:rsidR="00703DEB" w:rsidRPr="005C5B30">
        <w:rPr>
          <w:rFonts w:cstheme="minorHAnsi"/>
          <w:lang w:val="en-GB"/>
        </w:rPr>
        <w:t>police</w:t>
      </w:r>
      <w:r w:rsidR="00127D86" w:rsidRPr="005C5B30">
        <w:rPr>
          <w:rFonts w:cstheme="minorHAnsi"/>
          <w:lang w:val="en-GB"/>
        </w:rPr>
        <w:t xml:space="preserve"> regarding their opinions on this matter. The research highlights the unfortunate consequence of the imminent terrorism danger, which has resulted in the acceptance of unfair policing methods, both in theory and in implementation. As a result, ethnic minority communities have been subjected to suspicion and are often perceived as possible sources of intelligence. The current circumstances give rise to a problematic structure of anticipated outcomes characterised by vagueness and incongruity, ultimately compromising the endeavour to achieve human security. As a result, ethnic minority populations have been subjected to unjust stigmatisation, wherein they are primarily defined by their religion affiliations, hence intensifying internal ethnic conflicts and uncertainties. The situation in question demonstrates a concerning trend in policing methodologies, which has significant ramifications for the trust, cohesion, and effectiveness of law enforcement endeavours.</w:t>
      </w:r>
      <w:r w:rsidR="00127D86" w:rsidRPr="005C5B30">
        <w:rPr>
          <w:rFonts w:cstheme="minorHAnsi"/>
          <w:color w:val="000000"/>
          <w:lang w:val="en-GB"/>
        </w:rPr>
        <w:t xml:space="preserve"> </w:t>
      </w:r>
    </w:p>
    <w:p w14:paraId="129F7A61" w14:textId="0683EEB2" w:rsidR="00CC1435" w:rsidRPr="005C5B30" w:rsidRDefault="00CC1435" w:rsidP="00EA140E">
      <w:pPr>
        <w:spacing w:line="360" w:lineRule="auto"/>
        <w:jc w:val="both"/>
        <w:rPr>
          <w:rFonts w:cstheme="minorHAnsi"/>
          <w:lang w:val="en-GB"/>
        </w:rPr>
      </w:pPr>
      <w:r w:rsidRPr="005C5B30">
        <w:rPr>
          <w:rFonts w:cstheme="minorHAnsi"/>
          <w:lang w:val="en-GB"/>
        </w:rPr>
        <w:t>Response police</w:t>
      </w:r>
      <w:r w:rsidR="00AB086B">
        <w:rPr>
          <w:rFonts w:cstheme="minorHAnsi"/>
          <w:lang w:val="en-GB"/>
        </w:rPr>
        <w:t>s</w:t>
      </w:r>
      <w:r w:rsidRPr="005C5B30">
        <w:rPr>
          <w:rFonts w:cstheme="minorHAnsi"/>
          <w:lang w:val="en-GB"/>
        </w:rPr>
        <w:t xml:space="preserve"> in the United Kingdom have devised a comprehensive and collaborative approach to information sharing in the field of anti-terrorism. </w:t>
      </w:r>
      <w:r w:rsidR="00356C0E" w:rsidRPr="005C5B30">
        <w:rPr>
          <w:rFonts w:cstheme="minorHAnsi"/>
          <w:lang w:val="en-GB"/>
        </w:rPr>
        <w:t>This strategy entails a variety of methods and partnerships aimed at identifying, assessing, and addressing potential threats both within and outside of national borders.</w:t>
      </w:r>
      <w:r w:rsidR="00AB086B">
        <w:rPr>
          <w:rFonts w:cstheme="minorHAnsi"/>
          <w:lang w:val="en-GB"/>
        </w:rPr>
        <w:t xml:space="preserve"> The</w:t>
      </w:r>
      <w:r w:rsidR="00356C0E" w:rsidRPr="005C5B30">
        <w:rPr>
          <w:rFonts w:cstheme="minorHAnsi"/>
          <w:lang w:val="en-GB"/>
        </w:rPr>
        <w:t xml:space="preserve"> core of this strategy is a complex network of cooperation between various agencies, intelligence organisations, and government entities that enables responsive law enforcement units to collaborate</w:t>
      </w:r>
      <w:r w:rsidR="00461EB9">
        <w:rPr>
          <w:rFonts w:cstheme="minorHAnsi"/>
          <w:lang w:val="en-GB"/>
        </w:rPr>
        <w:t xml:space="preserve"> </w:t>
      </w:r>
      <w:r w:rsidR="00461EB9" w:rsidRPr="00461EB9">
        <w:rPr>
          <w:rFonts w:cstheme="minorHAnsi"/>
          <w:lang w:val="en-GB"/>
        </w:rPr>
        <w:t xml:space="preserve">(Quinlan &amp; </w:t>
      </w:r>
      <w:proofErr w:type="spellStart"/>
      <w:r w:rsidR="00461EB9" w:rsidRPr="00461EB9">
        <w:rPr>
          <w:rFonts w:cstheme="minorHAnsi"/>
          <w:lang w:val="en-GB"/>
        </w:rPr>
        <w:t>Derfoufi</w:t>
      </w:r>
      <w:proofErr w:type="spellEnd"/>
      <w:r w:rsidR="00461EB9" w:rsidRPr="00461EB9">
        <w:rPr>
          <w:rFonts w:cstheme="minorHAnsi"/>
          <w:lang w:val="en-GB"/>
        </w:rPr>
        <w:t>, 2015)</w:t>
      </w:r>
      <w:r w:rsidR="00356C0E" w:rsidRPr="005C5B30">
        <w:rPr>
          <w:rFonts w:cstheme="minorHAnsi"/>
          <w:lang w:val="en-GB"/>
        </w:rPr>
        <w:t>. This collaboration ensures that vital information and insights are promptly and seamlessly shared between all parties involved. National Counter Terrorism Policing (NCTP), a central hub that facilitates the interchange of vital information between responding law enforcement, specialised divisions, and other relevant parties, plays a crucial role in this coordination. This centralised mechanism improves communication, minimises duplication of effort, and optimises the collaborative response to counter-terrorism challenges.</w:t>
      </w:r>
      <w:r w:rsidR="007F1121" w:rsidRPr="005C5B30">
        <w:rPr>
          <w:rFonts w:cstheme="minorHAnsi"/>
          <w:lang w:val="en-GB"/>
        </w:rPr>
        <w:t xml:space="preserve"> </w:t>
      </w:r>
    </w:p>
    <w:p w14:paraId="0B269C81" w14:textId="3EB05A14" w:rsidR="00CC1435" w:rsidRPr="005C5B30" w:rsidRDefault="00CC1435" w:rsidP="00EA140E">
      <w:pPr>
        <w:spacing w:line="360" w:lineRule="auto"/>
        <w:jc w:val="both"/>
        <w:rPr>
          <w:rFonts w:cstheme="minorHAnsi"/>
          <w:lang w:val="en-GB"/>
        </w:rPr>
      </w:pPr>
      <w:r w:rsidRPr="005C5B30">
        <w:rPr>
          <w:rFonts w:cstheme="minorHAnsi"/>
          <w:lang w:val="en-GB"/>
        </w:rPr>
        <w:t xml:space="preserve">Moreover, the participation of local communities is essential for collecting nuanced information that would otherwise be inaccessible. Community-based policing in the United Kingdom encourages engagement and dialogue, allowing officers to obtain valuable insights into potential threats and </w:t>
      </w:r>
      <w:r w:rsidR="00461EB9" w:rsidRPr="005C5B30">
        <w:rPr>
          <w:rFonts w:cstheme="minorHAnsi"/>
          <w:lang w:val="en-GB"/>
        </w:rPr>
        <w:t>vulnerabilities</w:t>
      </w:r>
      <w:r w:rsidR="00461EB9">
        <w:rPr>
          <w:rFonts w:cstheme="minorHAnsi"/>
          <w:lang w:val="en-GB"/>
        </w:rPr>
        <w:t xml:space="preserve"> </w:t>
      </w:r>
      <w:r w:rsidR="00461EB9" w:rsidRPr="00461EB9">
        <w:rPr>
          <w:rFonts w:cstheme="minorHAnsi"/>
          <w:lang w:val="en-GB"/>
        </w:rPr>
        <w:t>(Lambert &amp; Parsons, 2017)</w:t>
      </w:r>
      <w:r w:rsidRPr="005C5B30">
        <w:rPr>
          <w:rFonts w:cstheme="minorHAnsi"/>
          <w:lang w:val="en-GB"/>
        </w:rPr>
        <w:t>. This grassroots participation increases situational awareness and contributes to a more comprehensive understanding of terrorist activities.</w:t>
      </w:r>
    </w:p>
    <w:p w14:paraId="5C353EFE" w14:textId="07BD3700" w:rsidR="00CC1435" w:rsidRPr="005C5B30" w:rsidRDefault="00AB086B" w:rsidP="00EA140E">
      <w:pPr>
        <w:spacing w:line="360" w:lineRule="auto"/>
        <w:jc w:val="both"/>
        <w:rPr>
          <w:rFonts w:cstheme="minorHAnsi"/>
          <w:lang w:val="en-GB"/>
        </w:rPr>
      </w:pPr>
      <w:r>
        <w:rPr>
          <w:rFonts w:cstheme="minorHAnsi"/>
          <w:lang w:val="en-GB"/>
        </w:rPr>
        <w:lastRenderedPageBreak/>
        <w:t>R</w:t>
      </w:r>
      <w:r w:rsidR="00CC1435" w:rsidRPr="005C5B30">
        <w:rPr>
          <w:rFonts w:cstheme="minorHAnsi"/>
          <w:lang w:val="en-GB"/>
        </w:rPr>
        <w:t>esponse police</w:t>
      </w:r>
      <w:r>
        <w:rPr>
          <w:rFonts w:cstheme="minorHAnsi"/>
          <w:lang w:val="en-GB"/>
        </w:rPr>
        <w:t xml:space="preserve"> officers</w:t>
      </w:r>
      <w:r w:rsidR="00CC1435" w:rsidRPr="005C5B30">
        <w:rPr>
          <w:rFonts w:cstheme="minorHAnsi"/>
          <w:lang w:val="en-GB"/>
        </w:rPr>
        <w:t xml:space="preserve"> in the United Kingdom are acutely aware of the need to safeguard the rights and privacy of individuals when sharing sensitive information. They operate within legal frameworks that protect data and guarantee adherence to data protection laws and regulations</w:t>
      </w:r>
      <w:r w:rsidR="00461EB9">
        <w:rPr>
          <w:rFonts w:cstheme="minorHAnsi"/>
          <w:lang w:val="en-GB"/>
        </w:rPr>
        <w:t xml:space="preserve"> </w:t>
      </w:r>
      <w:r w:rsidR="00461EB9" w:rsidRPr="00461EB9">
        <w:rPr>
          <w:rFonts w:cstheme="minorHAnsi"/>
          <w:lang w:val="en-GB"/>
        </w:rPr>
        <w:t>(Dove &amp; Phillips, 2015)</w:t>
      </w:r>
      <w:r w:rsidR="00CC1435" w:rsidRPr="005C5B30">
        <w:rPr>
          <w:rFonts w:cstheme="minorHAnsi"/>
          <w:lang w:val="en-GB"/>
        </w:rPr>
        <w:t>. This commitment to balancing security and privacy exemplifies their ethical and responsible approach to information exchange</w:t>
      </w:r>
      <w:r>
        <w:rPr>
          <w:rFonts w:cstheme="minorHAnsi"/>
          <w:lang w:val="en-GB"/>
        </w:rPr>
        <w:t xml:space="preserve">. In addition, </w:t>
      </w:r>
      <w:r w:rsidR="00CC1435" w:rsidRPr="005C5B30">
        <w:rPr>
          <w:rFonts w:cstheme="minorHAnsi"/>
          <w:lang w:val="en-GB"/>
        </w:rPr>
        <w:t>response police</w:t>
      </w:r>
      <w:r>
        <w:rPr>
          <w:rFonts w:cstheme="minorHAnsi"/>
          <w:lang w:val="en-GB"/>
        </w:rPr>
        <w:t xml:space="preserve"> force has effectively</w:t>
      </w:r>
      <w:r w:rsidR="00CC1435" w:rsidRPr="005C5B30">
        <w:rPr>
          <w:rFonts w:cstheme="minorHAnsi"/>
          <w:lang w:val="en-GB"/>
        </w:rPr>
        <w:t xml:space="preserve"> maintain</w:t>
      </w:r>
      <w:r>
        <w:rPr>
          <w:rFonts w:cstheme="minorHAnsi"/>
          <w:lang w:val="en-GB"/>
        </w:rPr>
        <w:t>ed</w:t>
      </w:r>
      <w:r w:rsidR="00CC1435" w:rsidRPr="005C5B30">
        <w:rPr>
          <w:rFonts w:cstheme="minorHAnsi"/>
          <w:lang w:val="en-GB"/>
        </w:rPr>
        <w:t xml:space="preserve"> partnerships with their international counterparts, extending collaboration beyond national borders</w:t>
      </w:r>
      <w:r w:rsidR="00461EB9">
        <w:rPr>
          <w:rFonts w:cstheme="minorHAnsi"/>
          <w:lang w:val="en-GB"/>
        </w:rPr>
        <w:t xml:space="preserve"> </w:t>
      </w:r>
      <w:r w:rsidR="00461EB9" w:rsidRPr="00461EB9">
        <w:rPr>
          <w:rFonts w:cstheme="minorHAnsi"/>
          <w:lang w:val="en-GB"/>
        </w:rPr>
        <w:t>(Hufnagel &amp; McCartney, 2017)</w:t>
      </w:r>
      <w:r w:rsidR="00CC1435" w:rsidRPr="005C5B30">
        <w:rPr>
          <w:rFonts w:cstheme="minorHAnsi"/>
          <w:lang w:val="en-GB"/>
        </w:rPr>
        <w:t>. These global collaborations</w:t>
      </w:r>
      <w:r>
        <w:rPr>
          <w:rFonts w:cstheme="minorHAnsi"/>
          <w:lang w:val="en-GB"/>
        </w:rPr>
        <w:t xml:space="preserve"> have</w:t>
      </w:r>
      <w:r w:rsidR="00CC1435" w:rsidRPr="005C5B30">
        <w:rPr>
          <w:rFonts w:cstheme="minorHAnsi"/>
          <w:lang w:val="en-GB"/>
        </w:rPr>
        <w:t xml:space="preserve"> enable</w:t>
      </w:r>
      <w:r>
        <w:rPr>
          <w:rFonts w:cstheme="minorHAnsi"/>
          <w:lang w:val="en-GB"/>
        </w:rPr>
        <w:t>d</w:t>
      </w:r>
      <w:r w:rsidR="00CC1435" w:rsidRPr="005C5B30">
        <w:rPr>
          <w:rFonts w:cstheme="minorHAnsi"/>
          <w:lang w:val="en-GB"/>
        </w:rPr>
        <w:t xml:space="preserve"> a unified response to activities</w:t>
      </w:r>
      <w:r>
        <w:rPr>
          <w:rFonts w:cstheme="minorHAnsi"/>
          <w:lang w:val="en-GB"/>
        </w:rPr>
        <w:t xml:space="preserve">, which may </w:t>
      </w:r>
      <w:r w:rsidR="00CC1435" w:rsidRPr="005C5B30">
        <w:rPr>
          <w:rFonts w:cstheme="minorHAnsi"/>
          <w:lang w:val="en-GB"/>
        </w:rPr>
        <w:t>have the potential to cross borders</w:t>
      </w:r>
      <w:r>
        <w:rPr>
          <w:rFonts w:cstheme="minorHAnsi"/>
          <w:lang w:val="en-GB"/>
        </w:rPr>
        <w:t>,</w:t>
      </w:r>
      <w:r w:rsidR="00CC1435" w:rsidRPr="005C5B30">
        <w:rPr>
          <w:rFonts w:cstheme="minorHAnsi"/>
          <w:lang w:val="en-GB"/>
        </w:rPr>
        <w:t xml:space="preserve"> by facilitating the exchange of information on transnational terrorist threats. The timely dissemination of information via</w:t>
      </w:r>
      <w:r w:rsidR="002975AA">
        <w:rPr>
          <w:rFonts w:cstheme="minorHAnsi"/>
          <w:lang w:val="en-GB"/>
        </w:rPr>
        <w:t xml:space="preserve"> utilising</w:t>
      </w:r>
      <w:r w:rsidR="00CC1435" w:rsidRPr="005C5B30">
        <w:rPr>
          <w:rFonts w:cstheme="minorHAnsi"/>
          <w:lang w:val="en-GB"/>
        </w:rPr>
        <w:t xml:space="preserve"> modern communication tools and secure platforms </w:t>
      </w:r>
      <w:r w:rsidR="002975AA">
        <w:rPr>
          <w:rFonts w:cstheme="minorHAnsi"/>
          <w:lang w:val="en-GB"/>
        </w:rPr>
        <w:t xml:space="preserve">is powerful to </w:t>
      </w:r>
      <w:r w:rsidR="00CC1435" w:rsidRPr="005C5B30">
        <w:rPr>
          <w:rFonts w:cstheme="minorHAnsi"/>
          <w:lang w:val="en-GB"/>
        </w:rPr>
        <w:t xml:space="preserve">ensure that all relevant parties are kept </w:t>
      </w:r>
      <w:r w:rsidR="00461EB9" w:rsidRPr="005C5B30">
        <w:rPr>
          <w:rFonts w:cstheme="minorHAnsi"/>
          <w:lang w:val="en-GB"/>
        </w:rPr>
        <w:t>up to date</w:t>
      </w:r>
      <w:r w:rsidR="00CC1435" w:rsidRPr="005C5B30">
        <w:rPr>
          <w:rFonts w:cstheme="minorHAnsi"/>
          <w:lang w:val="en-GB"/>
        </w:rPr>
        <w:t>, enabling well-informed decision-making.</w:t>
      </w:r>
    </w:p>
    <w:p w14:paraId="43E9FD02" w14:textId="3DEB8F50" w:rsidR="00BC667C" w:rsidRPr="005C5B30" w:rsidRDefault="00CC1435" w:rsidP="00EA140E">
      <w:pPr>
        <w:spacing w:line="360" w:lineRule="auto"/>
        <w:jc w:val="both"/>
        <w:rPr>
          <w:rFonts w:cstheme="minorHAnsi"/>
          <w:lang w:val="en-GB"/>
        </w:rPr>
      </w:pPr>
      <w:r w:rsidRPr="005C5B30">
        <w:rPr>
          <w:rFonts w:cstheme="minorHAnsi"/>
          <w:lang w:val="en-GB"/>
        </w:rPr>
        <w:t>In times of crisis,</w:t>
      </w:r>
      <w:r w:rsidR="002975AA">
        <w:rPr>
          <w:rFonts w:cstheme="minorHAnsi"/>
          <w:lang w:val="en-GB"/>
        </w:rPr>
        <w:t xml:space="preserve"> a</w:t>
      </w:r>
      <w:r w:rsidRPr="005C5B30">
        <w:rPr>
          <w:rFonts w:cstheme="minorHAnsi"/>
          <w:lang w:val="en-GB"/>
        </w:rPr>
        <w:t xml:space="preserve"> well-coordinated approach of the response police </w:t>
      </w:r>
      <w:r w:rsidR="002975AA">
        <w:rPr>
          <w:rFonts w:cstheme="minorHAnsi"/>
          <w:lang w:val="en-GB"/>
        </w:rPr>
        <w:t xml:space="preserve">force </w:t>
      </w:r>
      <w:r w:rsidRPr="005C5B30">
        <w:rPr>
          <w:rFonts w:cstheme="minorHAnsi"/>
          <w:lang w:val="en-GB"/>
        </w:rPr>
        <w:t xml:space="preserve">emerges. They collaborate with multiple agencies to respond to emergencies with an integrated strategy. The sharing of real-time information during such incidents </w:t>
      </w:r>
      <w:r w:rsidR="002975AA">
        <w:rPr>
          <w:rFonts w:cstheme="minorHAnsi"/>
          <w:lang w:val="en-GB"/>
        </w:rPr>
        <w:t xml:space="preserve">has been showed to </w:t>
      </w:r>
      <w:r w:rsidRPr="005C5B30">
        <w:rPr>
          <w:rFonts w:cstheme="minorHAnsi"/>
          <w:lang w:val="en-GB"/>
        </w:rPr>
        <w:t>improve the efficacy of crisis management efforts</w:t>
      </w:r>
      <w:r w:rsidR="002975AA">
        <w:rPr>
          <w:rFonts w:cstheme="minorHAnsi"/>
          <w:lang w:val="en-GB"/>
        </w:rPr>
        <w:t xml:space="preserve"> (</w:t>
      </w:r>
      <w:proofErr w:type="spellStart"/>
      <w:r w:rsidR="002975AA">
        <w:rPr>
          <w:rFonts w:cstheme="minorHAnsi"/>
          <w:lang w:val="en-GB"/>
        </w:rPr>
        <w:t>Laufs</w:t>
      </w:r>
      <w:proofErr w:type="spellEnd"/>
      <w:r w:rsidR="002975AA">
        <w:rPr>
          <w:rFonts w:cstheme="minorHAnsi"/>
          <w:lang w:val="en-GB"/>
        </w:rPr>
        <w:t xml:space="preserve"> &amp; Waseen, 2020)</w:t>
      </w:r>
      <w:r w:rsidRPr="005C5B30">
        <w:rPr>
          <w:rFonts w:cstheme="minorHAnsi"/>
          <w:lang w:val="en-GB"/>
        </w:rPr>
        <w:t>, thereby mitigating the effects of terrorist attacks and assuring public safety.</w:t>
      </w:r>
    </w:p>
    <w:p w14:paraId="41C53BB3" w14:textId="77777777" w:rsidR="00CA68BE" w:rsidRDefault="00CA68BE" w:rsidP="00EA140E">
      <w:pPr>
        <w:spacing w:line="360" w:lineRule="auto"/>
        <w:jc w:val="both"/>
        <w:rPr>
          <w:rFonts w:cstheme="minorHAnsi"/>
          <w:lang w:val="en-GB"/>
        </w:rPr>
      </w:pPr>
    </w:p>
    <w:p w14:paraId="7846EE13" w14:textId="7F217653" w:rsidR="00CC1435" w:rsidRPr="00461EB9" w:rsidRDefault="004F4948" w:rsidP="00EA140E">
      <w:pPr>
        <w:spacing w:line="360" w:lineRule="auto"/>
        <w:jc w:val="both"/>
        <w:rPr>
          <w:rFonts w:cstheme="minorHAnsi"/>
          <w:b/>
          <w:bCs/>
          <w:u w:val="single"/>
          <w:lang w:val="en-GB"/>
        </w:rPr>
      </w:pPr>
      <w:r w:rsidRPr="005C5B30">
        <w:rPr>
          <w:rFonts w:cstheme="minorHAnsi"/>
          <w:lang w:val="en-GB"/>
        </w:rPr>
        <w:t xml:space="preserve"> </w:t>
      </w:r>
      <w:r w:rsidRPr="00461EB9">
        <w:rPr>
          <w:rFonts w:cstheme="minorHAnsi"/>
          <w:b/>
          <w:bCs/>
          <w:u w:val="single"/>
          <w:lang w:val="en-GB"/>
        </w:rPr>
        <w:t xml:space="preserve">Conclusion </w:t>
      </w:r>
    </w:p>
    <w:p w14:paraId="513402A1" w14:textId="7A9E149F" w:rsidR="004F4948" w:rsidRPr="005C5B30" w:rsidRDefault="00DB70B0" w:rsidP="00EA140E">
      <w:pPr>
        <w:spacing w:line="360" w:lineRule="auto"/>
        <w:jc w:val="both"/>
        <w:rPr>
          <w:rFonts w:eastAsia="Times New Roman" w:cstheme="minorHAnsi"/>
          <w:kern w:val="0"/>
          <w:lang w:val="en-GB"/>
          <w14:ligatures w14:val="none"/>
        </w:rPr>
      </w:pPr>
      <w:r w:rsidRPr="005C5B30">
        <w:rPr>
          <w:rFonts w:eastAsia="Times New Roman" w:cstheme="minorHAnsi"/>
          <w:kern w:val="0"/>
          <w:lang w:val="en-GB"/>
          <w14:ligatures w14:val="none"/>
        </w:rPr>
        <w:t>In response to evolving terrorist threats, the response polic</w:t>
      </w:r>
      <w:r w:rsidR="002975AA">
        <w:rPr>
          <w:rFonts w:eastAsia="Times New Roman" w:cstheme="minorHAnsi"/>
          <w:kern w:val="0"/>
          <w:lang w:val="en-GB"/>
          <w14:ligatures w14:val="none"/>
        </w:rPr>
        <w:t>e force</w:t>
      </w:r>
      <w:r w:rsidRPr="005C5B30">
        <w:rPr>
          <w:rFonts w:eastAsia="Times New Roman" w:cstheme="minorHAnsi"/>
          <w:kern w:val="0"/>
          <w:lang w:val="en-GB"/>
          <w14:ligatures w14:val="none"/>
        </w:rPr>
        <w:t xml:space="preserve"> in the United </w:t>
      </w:r>
      <w:r w:rsidR="00461EB9" w:rsidRPr="005C5B30">
        <w:rPr>
          <w:rFonts w:eastAsia="Times New Roman" w:cstheme="minorHAnsi"/>
          <w:kern w:val="0"/>
          <w:lang w:val="en-GB"/>
          <w14:ligatures w14:val="none"/>
        </w:rPr>
        <w:t>Kingdom has</w:t>
      </w:r>
      <w:r w:rsidR="002975AA">
        <w:rPr>
          <w:rFonts w:eastAsia="Times New Roman" w:cstheme="minorHAnsi"/>
          <w:kern w:val="0"/>
          <w:lang w:val="en-GB"/>
          <w14:ligatures w14:val="none"/>
        </w:rPr>
        <w:t xml:space="preserve"> </w:t>
      </w:r>
      <w:r w:rsidRPr="005C5B30">
        <w:rPr>
          <w:rFonts w:eastAsia="Times New Roman" w:cstheme="minorHAnsi"/>
          <w:kern w:val="0"/>
          <w:lang w:val="en-GB"/>
          <w14:ligatures w14:val="none"/>
        </w:rPr>
        <w:t>demonstrated adaptability, dedication, and ethical vigilance. Contemporary counter-terrorism efforts are characterised by the expanded duties of response officers, the scrutiny of programmes like Prevent, and the intricate interplay between security and civil liberties. The pursuance of community trust, the necessity of inclusiveness, and the ethics of information exchange have emerged as major concerns.</w:t>
      </w:r>
      <w:r w:rsidR="002975AA">
        <w:rPr>
          <w:rFonts w:eastAsia="Times New Roman" w:cstheme="minorHAnsi"/>
          <w:kern w:val="0"/>
          <w:lang w:val="en-GB"/>
          <w14:ligatures w14:val="none"/>
        </w:rPr>
        <w:t xml:space="preserve"> </w:t>
      </w:r>
      <w:r w:rsidRPr="005C5B30">
        <w:rPr>
          <w:rFonts w:eastAsia="Times New Roman" w:cstheme="minorHAnsi"/>
          <w:kern w:val="0"/>
          <w:lang w:val="en-GB"/>
          <w14:ligatures w14:val="none"/>
        </w:rPr>
        <w:t xml:space="preserve">By engaging response officers in a variety of roles, </w:t>
      </w:r>
      <w:r w:rsidR="002975AA">
        <w:rPr>
          <w:rFonts w:eastAsia="Times New Roman" w:cstheme="minorHAnsi"/>
          <w:kern w:val="0"/>
          <w:lang w:val="en-GB"/>
          <w14:ligatures w14:val="none"/>
        </w:rPr>
        <w:t xml:space="preserve">such as </w:t>
      </w:r>
      <w:r w:rsidRPr="005C5B30">
        <w:rPr>
          <w:rFonts w:eastAsia="Times New Roman" w:cstheme="minorHAnsi"/>
          <w:kern w:val="0"/>
          <w:lang w:val="en-GB"/>
          <w14:ligatures w14:val="none"/>
        </w:rPr>
        <w:t xml:space="preserve">addressing community stigmatization concerns, fostering trust through sustained partnerships, and ensuring ethical information sharing, </w:t>
      </w:r>
      <w:r w:rsidR="00461EB9" w:rsidRPr="005C5B30">
        <w:rPr>
          <w:rFonts w:eastAsia="Times New Roman" w:cstheme="minorHAnsi"/>
          <w:kern w:val="0"/>
          <w:lang w:val="en-GB"/>
          <w14:ligatures w14:val="none"/>
        </w:rPr>
        <w:t>the United</w:t>
      </w:r>
      <w:r w:rsidR="002975AA">
        <w:rPr>
          <w:rFonts w:eastAsia="Times New Roman" w:cstheme="minorHAnsi"/>
          <w:kern w:val="0"/>
          <w:lang w:val="en-GB"/>
          <w14:ligatures w14:val="none"/>
        </w:rPr>
        <w:t xml:space="preserve"> Kingdom </w:t>
      </w:r>
      <w:r w:rsidRPr="005C5B30">
        <w:rPr>
          <w:rFonts w:eastAsia="Times New Roman" w:cstheme="minorHAnsi"/>
          <w:kern w:val="0"/>
          <w:lang w:val="en-GB"/>
          <w14:ligatures w14:val="none"/>
        </w:rPr>
        <w:t xml:space="preserve">response police serve as a model for effective anti-terrorism. </w:t>
      </w:r>
      <w:r w:rsidR="002975AA">
        <w:rPr>
          <w:rFonts w:eastAsia="Times New Roman" w:cstheme="minorHAnsi"/>
          <w:kern w:val="0"/>
          <w:lang w:val="en-GB"/>
          <w14:ligatures w14:val="none"/>
        </w:rPr>
        <w:t xml:space="preserve">Additionally, not only </w:t>
      </w:r>
      <w:r w:rsidRPr="005C5B30">
        <w:rPr>
          <w:rFonts w:eastAsia="Times New Roman" w:cstheme="minorHAnsi"/>
          <w:kern w:val="0"/>
          <w:lang w:val="en-GB"/>
          <w14:ligatures w14:val="none"/>
        </w:rPr>
        <w:t>protecting citizens, their proactive strategies</w:t>
      </w:r>
      <w:r w:rsidR="002975AA">
        <w:rPr>
          <w:rFonts w:eastAsia="Times New Roman" w:cstheme="minorHAnsi"/>
          <w:kern w:val="0"/>
          <w:lang w:val="en-GB"/>
          <w14:ligatures w14:val="none"/>
        </w:rPr>
        <w:t xml:space="preserve"> also</w:t>
      </w:r>
      <w:r w:rsidRPr="005C5B30">
        <w:rPr>
          <w:rFonts w:eastAsia="Times New Roman" w:cstheme="minorHAnsi"/>
          <w:kern w:val="0"/>
          <w:lang w:val="en-GB"/>
          <w14:ligatures w14:val="none"/>
        </w:rPr>
        <w:t xml:space="preserve"> preserve the delicate balance between security and individual liberties. In this continuous fight against terrorism, the </w:t>
      </w:r>
      <w:r w:rsidR="00461EB9" w:rsidRPr="005C5B30">
        <w:rPr>
          <w:rFonts w:eastAsia="Times New Roman" w:cstheme="minorHAnsi"/>
          <w:kern w:val="0"/>
          <w:lang w:val="en-GB"/>
          <w14:ligatures w14:val="none"/>
        </w:rPr>
        <w:t xml:space="preserve">response </w:t>
      </w:r>
      <w:r w:rsidR="00461EB9">
        <w:rPr>
          <w:rFonts w:eastAsia="Times New Roman" w:cstheme="minorHAnsi"/>
          <w:kern w:val="0"/>
          <w:lang w:val="en-GB"/>
          <w14:ligatures w14:val="none"/>
        </w:rPr>
        <w:t>policing</w:t>
      </w:r>
      <w:r w:rsidRPr="005C5B30">
        <w:rPr>
          <w:rFonts w:eastAsia="Times New Roman" w:cstheme="minorHAnsi"/>
          <w:kern w:val="0"/>
          <w:lang w:val="en-GB"/>
          <w14:ligatures w14:val="none"/>
        </w:rPr>
        <w:t xml:space="preserve"> play</w:t>
      </w:r>
      <w:r w:rsidR="002975AA">
        <w:rPr>
          <w:rFonts w:eastAsia="Times New Roman" w:cstheme="minorHAnsi"/>
          <w:kern w:val="0"/>
          <w:lang w:val="en-GB"/>
          <w14:ligatures w14:val="none"/>
        </w:rPr>
        <w:t>s</w:t>
      </w:r>
      <w:r w:rsidRPr="005C5B30">
        <w:rPr>
          <w:rFonts w:eastAsia="Times New Roman" w:cstheme="minorHAnsi"/>
          <w:kern w:val="0"/>
          <w:lang w:val="en-GB"/>
          <w14:ligatures w14:val="none"/>
        </w:rPr>
        <w:t xml:space="preserve"> an essential role in upholding the values of a safe, diverse, and harmonious society.</w:t>
      </w:r>
      <w:r w:rsidR="004F4948" w:rsidRPr="005C5B30">
        <w:rPr>
          <w:rFonts w:eastAsia="Times New Roman" w:cstheme="minorHAnsi"/>
          <w:vanish/>
          <w:kern w:val="0"/>
          <w:lang w:val="en-GB"/>
          <w14:ligatures w14:val="none"/>
        </w:rPr>
        <w:t>Top of Form</w:t>
      </w:r>
    </w:p>
    <w:p w14:paraId="7C143289" w14:textId="77777777" w:rsidR="00DB70B0" w:rsidRDefault="00DB70B0" w:rsidP="00B2365B">
      <w:pPr>
        <w:spacing w:after="0" w:line="480" w:lineRule="auto"/>
        <w:rPr>
          <w:rFonts w:eastAsia="Times New Roman" w:cstheme="minorHAnsi"/>
          <w:kern w:val="0"/>
          <w:lang w:val="en-GB"/>
          <w14:ligatures w14:val="none"/>
        </w:rPr>
      </w:pPr>
    </w:p>
    <w:p w14:paraId="2BB765FA" w14:textId="77777777" w:rsidR="00B2365B" w:rsidRDefault="00B2365B" w:rsidP="00B2365B">
      <w:pPr>
        <w:spacing w:after="0" w:line="480" w:lineRule="auto"/>
        <w:rPr>
          <w:rFonts w:eastAsia="Times New Roman" w:cstheme="minorHAnsi"/>
          <w:kern w:val="0"/>
          <w:lang w:val="en-GB"/>
          <w14:ligatures w14:val="none"/>
        </w:rPr>
      </w:pPr>
    </w:p>
    <w:p w14:paraId="733EA302" w14:textId="77777777" w:rsidR="00DB70B0" w:rsidRPr="00B2365B" w:rsidRDefault="00DB70B0" w:rsidP="00B2365B">
      <w:pPr>
        <w:spacing w:after="0" w:line="480" w:lineRule="auto"/>
        <w:rPr>
          <w:rFonts w:eastAsia="Times New Roman" w:cstheme="minorHAnsi"/>
          <w:vanish/>
          <w:kern w:val="0"/>
          <w:lang w:val="en-GB"/>
          <w14:ligatures w14:val="none"/>
        </w:rPr>
      </w:pPr>
    </w:p>
    <w:p w14:paraId="1A0E4341" w14:textId="77777777" w:rsidR="007B620C" w:rsidRDefault="00EA140E" w:rsidP="007B620C">
      <w:pPr>
        <w:spacing w:line="480" w:lineRule="auto"/>
        <w:rPr>
          <w:b/>
          <w:bCs/>
          <w:lang w:val="en-GB"/>
        </w:rPr>
      </w:pPr>
      <w:r>
        <w:rPr>
          <w:b/>
          <w:bCs/>
          <w:lang w:val="en-GB"/>
        </w:rPr>
        <w:t>References</w:t>
      </w:r>
    </w:p>
    <w:p w14:paraId="0A377B29" w14:textId="1FD71A07" w:rsidR="00461EB9" w:rsidRPr="007B620C" w:rsidRDefault="00461EB9" w:rsidP="007B620C">
      <w:pPr>
        <w:spacing w:line="480" w:lineRule="auto"/>
        <w:rPr>
          <w:b/>
          <w:bCs/>
          <w:lang w:val="en-GB"/>
        </w:rPr>
      </w:pPr>
      <w:r w:rsidRPr="00461EB9">
        <w:rPr>
          <w:rFonts w:cstheme="minorHAnsi"/>
          <w:shd w:val="clear" w:color="auto" w:fill="FFFFFF"/>
        </w:rPr>
        <w:t>Awan, I., 2011. A lesson in how not to spy on your community? Imran Awan discusses how the balance between security and intrusion has undermined community relations. </w:t>
      </w:r>
      <w:r w:rsidRPr="00461EB9">
        <w:rPr>
          <w:rFonts w:cstheme="minorHAnsi"/>
          <w:i/>
          <w:iCs/>
          <w:shd w:val="clear" w:color="auto" w:fill="FFFFFF"/>
        </w:rPr>
        <w:t>Criminal Justice Matters</w:t>
      </w:r>
      <w:r w:rsidRPr="00461EB9">
        <w:rPr>
          <w:rFonts w:cstheme="minorHAnsi"/>
          <w:shd w:val="clear" w:color="auto" w:fill="FFFFFF"/>
        </w:rPr>
        <w:t>, </w:t>
      </w:r>
      <w:r w:rsidRPr="00461EB9">
        <w:rPr>
          <w:rFonts w:cstheme="minorHAnsi"/>
          <w:i/>
          <w:iCs/>
          <w:shd w:val="clear" w:color="auto" w:fill="FFFFFF"/>
        </w:rPr>
        <w:t>83</w:t>
      </w:r>
      <w:r w:rsidRPr="00461EB9">
        <w:rPr>
          <w:rFonts w:cstheme="minorHAnsi"/>
          <w:shd w:val="clear" w:color="auto" w:fill="FFFFFF"/>
        </w:rPr>
        <w:t>(1), pp.10-11.</w:t>
      </w:r>
      <w:r w:rsidR="007B620C">
        <w:rPr>
          <w:rFonts w:cstheme="minorHAnsi"/>
          <w:shd w:val="clear" w:color="auto" w:fill="FFFFFF"/>
        </w:rPr>
        <w:t xml:space="preserve"> </w:t>
      </w:r>
    </w:p>
    <w:p w14:paraId="68E3E870" w14:textId="53F3D343" w:rsidR="00461EB9" w:rsidRPr="00461EB9" w:rsidRDefault="00DB576F" w:rsidP="007B620C">
      <w:pPr>
        <w:spacing w:before="100" w:beforeAutospacing="1" w:after="0" w:line="480" w:lineRule="auto"/>
        <w:rPr>
          <w:rFonts w:eastAsia="Times New Roman" w:cstheme="minorHAnsi"/>
          <w:kern w:val="0"/>
          <w:lang w:val="en-GB"/>
          <w14:ligatures w14:val="none"/>
        </w:rPr>
      </w:pPr>
      <w:r w:rsidRPr="00461EB9">
        <w:rPr>
          <w:rFonts w:eastAsia="Times New Roman" w:cstheme="minorHAnsi"/>
          <w:kern w:val="0"/>
          <w:lang w:val="en-GB"/>
          <w14:ligatures w14:val="none"/>
        </w:rPr>
        <w:t>Awan, I. (2012). The impact of policing British Muslims: a qualitative exploration. </w:t>
      </w:r>
      <w:r w:rsidRPr="00461EB9">
        <w:rPr>
          <w:rFonts w:eastAsia="Times New Roman" w:cstheme="minorHAnsi"/>
          <w:i/>
          <w:iCs/>
          <w:kern w:val="0"/>
          <w:lang w:val="en-GB"/>
          <w14:ligatures w14:val="none"/>
        </w:rPr>
        <w:t>Journal of Policing Intelligence and Counter Terrorism</w:t>
      </w:r>
      <w:r w:rsidRPr="00461EB9">
        <w:rPr>
          <w:rFonts w:eastAsia="Times New Roman" w:cstheme="minorHAnsi"/>
          <w:kern w:val="0"/>
          <w:lang w:val="en-GB"/>
          <w14:ligatures w14:val="none"/>
        </w:rPr>
        <w:t>, </w:t>
      </w:r>
      <w:r w:rsidRPr="00461EB9">
        <w:rPr>
          <w:rFonts w:eastAsia="Times New Roman" w:cstheme="minorHAnsi"/>
          <w:i/>
          <w:iCs/>
          <w:kern w:val="0"/>
          <w:lang w:val="en-GB"/>
          <w14:ligatures w14:val="none"/>
        </w:rPr>
        <w:t>7</w:t>
      </w:r>
      <w:r w:rsidRPr="00461EB9">
        <w:rPr>
          <w:rFonts w:eastAsia="Times New Roman" w:cstheme="minorHAnsi"/>
          <w:kern w:val="0"/>
          <w:lang w:val="en-GB"/>
          <w14:ligatures w14:val="none"/>
        </w:rPr>
        <w:t>(1), 22–35.</w:t>
      </w:r>
      <w:bookmarkStart w:id="0" w:name="_Hlk144797750"/>
      <w:r w:rsidR="007B620C">
        <w:rPr>
          <w:rFonts w:eastAsia="Times New Roman" w:cstheme="minorHAnsi"/>
          <w:kern w:val="0"/>
          <w:lang w:val="en-GB"/>
          <w14:ligatures w14:val="none"/>
        </w:rPr>
        <w:t xml:space="preserve"> </w:t>
      </w:r>
      <w:hyperlink r:id="rId8" w:history="1">
        <w:r w:rsidR="00EA140E" w:rsidRPr="004E5BA8">
          <w:rPr>
            <w:rStyle w:val="Hyperlink"/>
            <w:rFonts w:eastAsia="Times New Roman" w:cstheme="minorHAnsi"/>
            <w:kern w:val="0"/>
            <w:lang w:val="en-GB"/>
            <w14:ligatures w14:val="none"/>
          </w:rPr>
          <w:t>https://doi.org/10.1080/18335330.2012.653193</w:t>
        </w:r>
      </w:hyperlink>
      <w:bookmarkEnd w:id="0"/>
      <w:r w:rsidR="007B620C">
        <w:rPr>
          <w:rFonts w:eastAsia="Times New Roman" w:cstheme="minorHAnsi"/>
          <w:kern w:val="0"/>
          <w:lang w:val="en-GB"/>
          <w14:ligatures w14:val="none"/>
        </w:rPr>
        <w:t xml:space="preserve"> </w:t>
      </w:r>
      <w:bookmarkStart w:id="1" w:name="_Hlk144797832"/>
      <w:r w:rsidR="007B620C">
        <w:rPr>
          <w:rFonts w:eastAsia="Times New Roman" w:cstheme="minorHAnsi"/>
          <w:kern w:val="0"/>
          <w:lang w:val="en-GB"/>
          <w14:ligatures w14:val="none"/>
        </w:rPr>
        <w:t>(Accessed: 1</w:t>
      </w:r>
      <w:r w:rsidR="007B620C" w:rsidRPr="007B620C">
        <w:rPr>
          <w:rFonts w:eastAsia="Times New Roman" w:cstheme="minorHAnsi"/>
          <w:kern w:val="0"/>
          <w:vertAlign w:val="superscript"/>
          <w:lang w:val="en-GB"/>
          <w14:ligatures w14:val="none"/>
        </w:rPr>
        <w:t>st</w:t>
      </w:r>
      <w:r w:rsidR="007B620C">
        <w:rPr>
          <w:rFonts w:eastAsia="Times New Roman" w:cstheme="minorHAnsi"/>
          <w:kern w:val="0"/>
          <w:lang w:val="en-GB"/>
          <w14:ligatures w14:val="none"/>
        </w:rPr>
        <w:t xml:space="preserve"> September 2023).  </w:t>
      </w:r>
      <w:bookmarkEnd w:id="1"/>
    </w:p>
    <w:p w14:paraId="7B4D1341" w14:textId="327D5615" w:rsidR="00DB576F" w:rsidRPr="00461EB9" w:rsidRDefault="00DB576F" w:rsidP="007B620C">
      <w:pPr>
        <w:spacing w:before="100" w:beforeAutospacing="1" w:after="0" w:line="480" w:lineRule="auto"/>
        <w:rPr>
          <w:rFonts w:eastAsia="Times New Roman" w:cstheme="minorHAnsi"/>
          <w:kern w:val="0"/>
          <w:lang w:val="en-GB"/>
          <w14:ligatures w14:val="none"/>
        </w:rPr>
      </w:pPr>
      <w:r w:rsidRPr="00461EB9">
        <w:rPr>
          <w:rFonts w:eastAsia="Times New Roman" w:cstheme="minorHAnsi"/>
          <w:kern w:val="0"/>
          <w:lang w:val="en-GB"/>
          <w14:ligatures w14:val="none"/>
        </w:rPr>
        <w:t>Dove, E. S., &amp; Phillips, M. (2015). Privacy law, data sharing policies, and medical data: A comparative perspective. In </w:t>
      </w:r>
      <w:r w:rsidRPr="00461EB9">
        <w:rPr>
          <w:rFonts w:eastAsia="Times New Roman" w:cstheme="minorHAnsi"/>
          <w:i/>
          <w:iCs/>
          <w:kern w:val="0"/>
          <w:lang w:val="en-GB"/>
          <w14:ligatures w14:val="none"/>
        </w:rPr>
        <w:t>Medical Data Privacy Handbook</w:t>
      </w:r>
      <w:r w:rsidRPr="00461EB9">
        <w:rPr>
          <w:rFonts w:eastAsia="Times New Roman" w:cstheme="minorHAnsi"/>
          <w:kern w:val="0"/>
          <w:lang w:val="en-GB"/>
          <w14:ligatures w14:val="none"/>
        </w:rPr>
        <w:t> (pp. 639–678). Springer International Publishing.</w:t>
      </w:r>
    </w:p>
    <w:p w14:paraId="482CA4F8" w14:textId="222599D4" w:rsidR="00461EB9" w:rsidRPr="007B620C" w:rsidRDefault="00DB576F" w:rsidP="007B620C">
      <w:pPr>
        <w:spacing w:before="100" w:beforeAutospacing="1" w:after="0" w:line="480" w:lineRule="auto"/>
        <w:rPr>
          <w:rFonts w:eastAsia="Times New Roman" w:cstheme="minorHAnsi"/>
          <w:kern w:val="0"/>
          <w:lang w:val="en-GB"/>
          <w14:ligatures w14:val="none"/>
        </w:rPr>
      </w:pPr>
      <w:r w:rsidRPr="00461EB9">
        <w:rPr>
          <w:rFonts w:eastAsia="Times New Roman" w:cstheme="minorHAnsi"/>
          <w:kern w:val="0"/>
          <w:lang w:val="en-GB"/>
          <w14:ligatures w14:val="none"/>
        </w:rPr>
        <w:t>Dunn, K. M., Atie, R., Kennedy, M., Ali, J. A., O’Reilly, J., &amp; Rogerson, L. (2016). Can you use community policing for counter terrorism? Evidence from NSW, Australia. </w:t>
      </w:r>
      <w:r w:rsidRPr="00461EB9">
        <w:rPr>
          <w:rFonts w:eastAsia="Times New Roman" w:cstheme="minorHAnsi"/>
          <w:i/>
          <w:iCs/>
          <w:kern w:val="0"/>
          <w:lang w:val="en-GB"/>
          <w14:ligatures w14:val="none"/>
        </w:rPr>
        <w:t>Police Practice &amp; Research: An International Journal</w:t>
      </w:r>
      <w:r w:rsidRPr="00461EB9">
        <w:rPr>
          <w:rFonts w:eastAsia="Times New Roman" w:cstheme="minorHAnsi"/>
          <w:kern w:val="0"/>
          <w:lang w:val="en-GB"/>
          <w14:ligatures w14:val="none"/>
        </w:rPr>
        <w:t>, </w:t>
      </w:r>
      <w:r w:rsidRPr="00461EB9">
        <w:rPr>
          <w:rFonts w:eastAsia="Times New Roman" w:cstheme="minorHAnsi"/>
          <w:i/>
          <w:iCs/>
          <w:kern w:val="0"/>
          <w:lang w:val="en-GB"/>
          <w14:ligatures w14:val="none"/>
        </w:rPr>
        <w:t>17</w:t>
      </w:r>
      <w:r w:rsidRPr="00461EB9">
        <w:rPr>
          <w:rFonts w:eastAsia="Times New Roman" w:cstheme="minorHAnsi"/>
          <w:kern w:val="0"/>
          <w:lang w:val="en-GB"/>
          <w14:ligatures w14:val="none"/>
        </w:rPr>
        <w:t xml:space="preserve">(3), 196–211. </w:t>
      </w:r>
      <w:hyperlink r:id="rId9" w:history="1">
        <w:r w:rsidR="00EA140E" w:rsidRPr="004E5BA8">
          <w:rPr>
            <w:rStyle w:val="Hyperlink"/>
            <w:rFonts w:eastAsia="Times New Roman" w:cstheme="minorHAnsi"/>
            <w:kern w:val="0"/>
            <w:lang w:val="en-GB"/>
            <w14:ligatures w14:val="none"/>
          </w:rPr>
          <w:t>https://doi.org/10.1080/15614263.2015.1015126</w:t>
        </w:r>
      </w:hyperlink>
      <w:r w:rsidR="00EA140E">
        <w:rPr>
          <w:rFonts w:eastAsia="Times New Roman" w:cstheme="minorHAnsi"/>
          <w:kern w:val="0"/>
          <w:lang w:val="en-GB"/>
          <w14:ligatures w14:val="none"/>
        </w:rPr>
        <w:t xml:space="preserve"> </w:t>
      </w:r>
      <w:r w:rsidR="00EA140E">
        <w:rPr>
          <w:rStyle w:val="Hyperlink"/>
          <w:rFonts w:eastAsia="Times New Roman" w:cstheme="minorHAnsi"/>
          <w:color w:val="auto"/>
          <w:kern w:val="0"/>
          <w:lang w:val="en-GB"/>
          <w14:ligatures w14:val="none"/>
        </w:rPr>
        <w:t xml:space="preserve"> </w:t>
      </w:r>
      <w:r w:rsidR="007B620C" w:rsidRPr="007B620C">
        <w:rPr>
          <w:rStyle w:val="Hyperlink"/>
          <w:rFonts w:eastAsia="Times New Roman" w:cstheme="minorHAnsi"/>
          <w:color w:val="auto"/>
          <w:kern w:val="0"/>
          <w:u w:val="none"/>
          <w:lang w:val="en-GB"/>
          <w14:ligatures w14:val="none"/>
        </w:rPr>
        <w:t xml:space="preserve">(Accessed: 1st September 2023).  </w:t>
      </w:r>
    </w:p>
    <w:p w14:paraId="29313718" w14:textId="42B56FA0" w:rsidR="00461EB9" w:rsidRPr="00461EB9" w:rsidRDefault="00DB576F" w:rsidP="007B620C">
      <w:pPr>
        <w:spacing w:before="100" w:beforeAutospacing="1" w:after="0" w:line="480" w:lineRule="auto"/>
        <w:rPr>
          <w:rFonts w:eastAsia="Times New Roman" w:cstheme="minorHAnsi"/>
          <w:kern w:val="0"/>
          <w:lang w:val="en-GB"/>
          <w14:ligatures w14:val="none"/>
        </w:rPr>
      </w:pPr>
      <w:r w:rsidRPr="00461EB9">
        <w:rPr>
          <w:rFonts w:eastAsia="Times New Roman" w:cstheme="minorHAnsi"/>
          <w:kern w:val="0"/>
          <w:lang w:val="en-GB"/>
          <w14:ligatures w14:val="none"/>
        </w:rPr>
        <w:t xml:space="preserve">Gill, P., </w:t>
      </w:r>
      <w:proofErr w:type="spellStart"/>
      <w:r w:rsidRPr="00461EB9">
        <w:rPr>
          <w:rFonts w:eastAsia="Times New Roman" w:cstheme="minorHAnsi"/>
          <w:kern w:val="0"/>
          <w:lang w:val="en-GB"/>
          <w14:ligatures w14:val="none"/>
        </w:rPr>
        <w:t>Clemmow</w:t>
      </w:r>
      <w:proofErr w:type="spellEnd"/>
      <w:r w:rsidRPr="00461EB9">
        <w:rPr>
          <w:rFonts w:eastAsia="Times New Roman" w:cstheme="minorHAnsi"/>
          <w:kern w:val="0"/>
          <w:lang w:val="en-GB"/>
          <w14:ligatures w14:val="none"/>
        </w:rPr>
        <w:t xml:space="preserve">, C., Hetzel, F., Rottweiler, B., Salman, N., Van Der </w:t>
      </w:r>
      <w:proofErr w:type="spellStart"/>
      <w:r w:rsidRPr="00461EB9">
        <w:rPr>
          <w:rFonts w:eastAsia="Times New Roman" w:cstheme="minorHAnsi"/>
          <w:kern w:val="0"/>
          <w:lang w:val="en-GB"/>
          <w14:ligatures w14:val="none"/>
        </w:rPr>
        <w:t>Vegt</w:t>
      </w:r>
      <w:proofErr w:type="spellEnd"/>
      <w:r w:rsidRPr="00461EB9">
        <w:rPr>
          <w:rFonts w:eastAsia="Times New Roman" w:cstheme="minorHAnsi"/>
          <w:kern w:val="0"/>
          <w:lang w:val="en-GB"/>
          <w14:ligatures w14:val="none"/>
        </w:rPr>
        <w:t xml:space="preserve">, I., </w:t>
      </w:r>
      <w:proofErr w:type="spellStart"/>
      <w:r w:rsidRPr="00461EB9">
        <w:rPr>
          <w:rFonts w:eastAsia="Times New Roman" w:cstheme="minorHAnsi"/>
          <w:kern w:val="0"/>
          <w:lang w:val="en-GB"/>
          <w14:ligatures w14:val="none"/>
        </w:rPr>
        <w:t>Marchment</w:t>
      </w:r>
      <w:proofErr w:type="spellEnd"/>
      <w:r w:rsidRPr="00461EB9">
        <w:rPr>
          <w:rFonts w:eastAsia="Times New Roman" w:cstheme="minorHAnsi"/>
          <w:kern w:val="0"/>
          <w:lang w:val="en-GB"/>
          <w14:ligatures w14:val="none"/>
        </w:rPr>
        <w:t xml:space="preserve">, Z., Schumann, S., </w:t>
      </w:r>
      <w:proofErr w:type="spellStart"/>
      <w:r w:rsidRPr="00461EB9">
        <w:rPr>
          <w:rFonts w:eastAsia="Times New Roman" w:cstheme="minorHAnsi"/>
          <w:kern w:val="0"/>
          <w:lang w:val="en-GB"/>
          <w14:ligatures w14:val="none"/>
        </w:rPr>
        <w:t>Zolghadriha</w:t>
      </w:r>
      <w:proofErr w:type="spellEnd"/>
      <w:r w:rsidRPr="00461EB9">
        <w:rPr>
          <w:rFonts w:eastAsia="Times New Roman" w:cstheme="minorHAnsi"/>
          <w:kern w:val="0"/>
          <w:lang w:val="en-GB"/>
          <w14:ligatures w14:val="none"/>
        </w:rPr>
        <w:t>, S., Schulten, N., Taylor, H., &amp; Corner, E. (2021). Systematic review of mental health problems and violent extremism. </w:t>
      </w:r>
      <w:r w:rsidRPr="00461EB9">
        <w:rPr>
          <w:rFonts w:eastAsia="Times New Roman" w:cstheme="minorHAnsi"/>
          <w:i/>
          <w:iCs/>
          <w:kern w:val="0"/>
          <w:lang w:val="en-GB"/>
          <w14:ligatures w14:val="none"/>
        </w:rPr>
        <w:t>The Journal of Forensic Psychiatry &amp; Psychology</w:t>
      </w:r>
      <w:r w:rsidRPr="00461EB9">
        <w:rPr>
          <w:rFonts w:eastAsia="Times New Roman" w:cstheme="minorHAnsi"/>
          <w:kern w:val="0"/>
          <w:lang w:val="en-GB"/>
          <w14:ligatures w14:val="none"/>
        </w:rPr>
        <w:t>, </w:t>
      </w:r>
      <w:r w:rsidRPr="00461EB9">
        <w:rPr>
          <w:rFonts w:eastAsia="Times New Roman" w:cstheme="minorHAnsi"/>
          <w:i/>
          <w:iCs/>
          <w:kern w:val="0"/>
          <w:lang w:val="en-GB"/>
          <w14:ligatures w14:val="none"/>
        </w:rPr>
        <w:t>32</w:t>
      </w:r>
      <w:r w:rsidRPr="00461EB9">
        <w:rPr>
          <w:rFonts w:eastAsia="Times New Roman" w:cstheme="minorHAnsi"/>
          <w:kern w:val="0"/>
          <w:lang w:val="en-GB"/>
          <w14:ligatures w14:val="none"/>
        </w:rPr>
        <w:t xml:space="preserve">(1), 51–78. </w:t>
      </w:r>
      <w:hyperlink r:id="rId10" w:history="1">
        <w:r w:rsidR="00EA140E" w:rsidRPr="004E5BA8">
          <w:rPr>
            <w:rStyle w:val="Hyperlink"/>
            <w:rFonts w:eastAsia="Times New Roman" w:cstheme="minorHAnsi"/>
            <w:kern w:val="0"/>
            <w:lang w:val="en-GB"/>
            <w14:ligatures w14:val="none"/>
          </w:rPr>
          <w:t>https://doi.org/10.1080/14789949.2020.1820067</w:t>
        </w:r>
      </w:hyperlink>
      <w:r w:rsidR="00EA140E">
        <w:rPr>
          <w:rFonts w:eastAsia="Times New Roman" w:cstheme="minorHAnsi"/>
          <w:kern w:val="0"/>
          <w:lang w:val="en-GB"/>
          <w14:ligatures w14:val="none"/>
        </w:rPr>
        <w:t xml:space="preserve"> </w:t>
      </w:r>
      <w:r w:rsidR="007B620C" w:rsidRPr="007B620C">
        <w:rPr>
          <w:rFonts w:eastAsia="Times New Roman" w:cstheme="minorHAnsi"/>
          <w:kern w:val="0"/>
          <w:lang w:val="en-GB"/>
          <w14:ligatures w14:val="none"/>
        </w:rPr>
        <w:t xml:space="preserve">(Accessed: 1st September 2023).  </w:t>
      </w:r>
    </w:p>
    <w:p w14:paraId="73CCDA48" w14:textId="77777777" w:rsidR="00EA140E" w:rsidRDefault="00DB576F" w:rsidP="007B620C">
      <w:pPr>
        <w:spacing w:before="100" w:beforeAutospacing="1" w:after="0" w:line="480" w:lineRule="auto"/>
        <w:rPr>
          <w:rFonts w:eastAsia="Times New Roman" w:cstheme="minorHAnsi"/>
          <w:kern w:val="0"/>
          <w:lang w:val="en-GB"/>
          <w14:ligatures w14:val="none"/>
        </w:rPr>
      </w:pPr>
      <w:r w:rsidRPr="00461EB9">
        <w:rPr>
          <w:rFonts w:eastAsia="Times New Roman" w:cstheme="minorHAnsi"/>
          <w:kern w:val="0"/>
          <w:lang w:val="en-GB"/>
          <w14:ligatures w14:val="none"/>
        </w:rPr>
        <w:t>Hufnagel, S., &amp; McCartney, C. (2017). </w:t>
      </w:r>
      <w:r w:rsidRPr="00461EB9">
        <w:rPr>
          <w:rFonts w:eastAsia="Times New Roman" w:cstheme="minorHAnsi"/>
          <w:i/>
          <w:iCs/>
          <w:kern w:val="0"/>
          <w:lang w:val="en-GB"/>
          <w14:ligatures w14:val="none"/>
        </w:rPr>
        <w:t>Trust in international police and justice cooperation</w:t>
      </w:r>
      <w:r w:rsidRPr="00461EB9">
        <w:rPr>
          <w:rFonts w:eastAsia="Times New Roman" w:cstheme="minorHAnsi"/>
          <w:kern w:val="0"/>
          <w:lang w:val="en-GB"/>
          <w14:ligatures w14:val="none"/>
        </w:rPr>
        <w:t>. Bloomsbury Publishing.</w:t>
      </w:r>
    </w:p>
    <w:p w14:paraId="7E932DE9" w14:textId="1255DAE8" w:rsidR="00461EB9" w:rsidRPr="00461EB9" w:rsidRDefault="00DB576F" w:rsidP="007B620C">
      <w:pPr>
        <w:spacing w:before="100" w:beforeAutospacing="1" w:after="0" w:line="480" w:lineRule="auto"/>
        <w:rPr>
          <w:rFonts w:eastAsia="Times New Roman" w:cstheme="minorHAnsi"/>
          <w:kern w:val="0"/>
          <w:lang w:val="en-GB"/>
          <w14:ligatures w14:val="none"/>
        </w:rPr>
      </w:pPr>
      <w:r w:rsidRPr="00461EB9">
        <w:rPr>
          <w:rFonts w:eastAsia="Times New Roman" w:cstheme="minorHAnsi"/>
          <w:kern w:val="0"/>
          <w:lang w:val="en-GB"/>
          <w14:ligatures w14:val="none"/>
        </w:rPr>
        <w:t>Lambert, R., &amp; Parsons, T. (2017). Community-based counterterrorism policing: Recommendations for practitioners. </w:t>
      </w:r>
      <w:r w:rsidRPr="00461EB9">
        <w:rPr>
          <w:rFonts w:eastAsia="Times New Roman" w:cstheme="minorHAnsi"/>
          <w:i/>
          <w:iCs/>
          <w:kern w:val="0"/>
          <w:lang w:val="en-GB"/>
          <w14:ligatures w14:val="none"/>
        </w:rPr>
        <w:t>Studies in Conflict and Terrorism</w:t>
      </w:r>
      <w:r w:rsidRPr="00461EB9">
        <w:rPr>
          <w:rFonts w:eastAsia="Times New Roman" w:cstheme="minorHAnsi"/>
          <w:kern w:val="0"/>
          <w:lang w:val="en-GB"/>
          <w14:ligatures w14:val="none"/>
        </w:rPr>
        <w:t>, </w:t>
      </w:r>
      <w:r w:rsidRPr="00461EB9">
        <w:rPr>
          <w:rFonts w:eastAsia="Times New Roman" w:cstheme="minorHAnsi"/>
          <w:i/>
          <w:iCs/>
          <w:kern w:val="0"/>
          <w:lang w:val="en-GB"/>
          <w14:ligatures w14:val="none"/>
        </w:rPr>
        <w:t>40</w:t>
      </w:r>
      <w:r w:rsidRPr="00461EB9">
        <w:rPr>
          <w:rFonts w:eastAsia="Times New Roman" w:cstheme="minorHAnsi"/>
          <w:kern w:val="0"/>
          <w:lang w:val="en-GB"/>
          <w14:ligatures w14:val="none"/>
        </w:rPr>
        <w:t>(12), 1054–1071.</w:t>
      </w:r>
    </w:p>
    <w:p w14:paraId="01153415" w14:textId="77828EA5" w:rsidR="00DB576F" w:rsidRPr="00461EB9" w:rsidRDefault="00DB576F" w:rsidP="007B620C">
      <w:pPr>
        <w:spacing w:before="100" w:beforeAutospacing="1" w:after="0" w:line="480" w:lineRule="auto"/>
        <w:rPr>
          <w:rFonts w:eastAsia="Times New Roman" w:cstheme="minorHAnsi"/>
          <w:kern w:val="0"/>
          <w:lang w:val="en-GB"/>
          <w14:ligatures w14:val="none"/>
        </w:rPr>
      </w:pPr>
      <w:proofErr w:type="spellStart"/>
      <w:r w:rsidRPr="00461EB9">
        <w:rPr>
          <w:rFonts w:eastAsia="Times New Roman" w:cstheme="minorHAnsi"/>
          <w:kern w:val="0"/>
          <w:lang w:val="en-GB"/>
          <w14:ligatures w14:val="none"/>
        </w:rPr>
        <w:lastRenderedPageBreak/>
        <w:t>Laufs</w:t>
      </w:r>
      <w:proofErr w:type="spellEnd"/>
      <w:r w:rsidRPr="00461EB9">
        <w:rPr>
          <w:rFonts w:eastAsia="Times New Roman" w:cstheme="minorHAnsi"/>
          <w:kern w:val="0"/>
          <w:lang w:val="en-GB"/>
          <w14:ligatures w14:val="none"/>
        </w:rPr>
        <w:t>, J., &amp; Waseem, Z. (2020). Policing in pandemics: A systematic review and best practices for police response to COVID-19. </w:t>
      </w:r>
      <w:r w:rsidRPr="00461EB9">
        <w:rPr>
          <w:rFonts w:eastAsia="Times New Roman" w:cstheme="minorHAnsi"/>
          <w:i/>
          <w:iCs/>
          <w:kern w:val="0"/>
          <w:lang w:val="en-GB"/>
          <w14:ligatures w14:val="none"/>
        </w:rPr>
        <w:t>International Journal of Disaster Risk Reduction: IJDRR</w:t>
      </w:r>
      <w:r w:rsidRPr="00461EB9">
        <w:rPr>
          <w:rFonts w:eastAsia="Times New Roman" w:cstheme="minorHAnsi"/>
          <w:kern w:val="0"/>
          <w:lang w:val="en-GB"/>
          <w14:ligatures w14:val="none"/>
        </w:rPr>
        <w:t>, </w:t>
      </w:r>
      <w:r w:rsidRPr="00461EB9">
        <w:rPr>
          <w:rFonts w:eastAsia="Times New Roman" w:cstheme="minorHAnsi"/>
          <w:i/>
          <w:iCs/>
          <w:kern w:val="0"/>
          <w:lang w:val="en-GB"/>
          <w14:ligatures w14:val="none"/>
        </w:rPr>
        <w:t>51</w:t>
      </w:r>
      <w:r w:rsidRPr="00461EB9">
        <w:rPr>
          <w:rFonts w:eastAsia="Times New Roman" w:cstheme="minorHAnsi"/>
          <w:kern w:val="0"/>
          <w:lang w:val="en-GB"/>
          <w14:ligatures w14:val="none"/>
        </w:rPr>
        <w:t xml:space="preserve">(101812), 101812. </w:t>
      </w:r>
      <w:hyperlink r:id="rId11" w:history="1">
        <w:r w:rsidR="00EA140E" w:rsidRPr="004E5BA8">
          <w:rPr>
            <w:rStyle w:val="Hyperlink"/>
            <w:rFonts w:eastAsia="Times New Roman" w:cstheme="minorHAnsi"/>
            <w:kern w:val="0"/>
            <w:lang w:val="en-GB"/>
            <w14:ligatures w14:val="none"/>
          </w:rPr>
          <w:t>https://doi.org/10.1016/j.ijdrr.2020.101812</w:t>
        </w:r>
      </w:hyperlink>
      <w:r w:rsidR="00EA140E">
        <w:rPr>
          <w:rFonts w:eastAsia="Times New Roman" w:cstheme="minorHAnsi"/>
          <w:kern w:val="0"/>
          <w:lang w:val="en-GB"/>
          <w14:ligatures w14:val="none"/>
        </w:rPr>
        <w:t xml:space="preserve">  </w:t>
      </w:r>
      <w:r w:rsidR="007B620C" w:rsidRPr="007B620C">
        <w:rPr>
          <w:rFonts w:eastAsia="Times New Roman" w:cstheme="minorHAnsi"/>
          <w:kern w:val="0"/>
          <w:lang w:val="en-GB"/>
          <w14:ligatures w14:val="none"/>
        </w:rPr>
        <w:t xml:space="preserve">(Accessed: 1st September 2023).  </w:t>
      </w:r>
    </w:p>
    <w:p w14:paraId="2383BA66" w14:textId="77777777" w:rsidR="007B620C" w:rsidRDefault="00DB576F" w:rsidP="007B620C">
      <w:pPr>
        <w:spacing w:before="100" w:beforeAutospacing="1" w:after="0" w:line="480" w:lineRule="auto"/>
        <w:ind w:left="720" w:hanging="720"/>
        <w:rPr>
          <w:rFonts w:eastAsia="Times New Roman" w:cstheme="minorHAnsi"/>
          <w:kern w:val="0"/>
          <w:lang w:val="en-GB"/>
          <w14:ligatures w14:val="none"/>
        </w:rPr>
      </w:pPr>
      <w:r w:rsidRPr="00461EB9">
        <w:rPr>
          <w:rFonts w:eastAsia="Times New Roman" w:cstheme="minorHAnsi"/>
          <w:kern w:val="0"/>
          <w:lang w:val="en-GB"/>
          <w14:ligatures w14:val="none"/>
        </w:rPr>
        <w:t>Law, R. D. (2016). </w:t>
      </w:r>
      <w:r w:rsidRPr="00461EB9">
        <w:rPr>
          <w:rFonts w:eastAsia="Times New Roman" w:cstheme="minorHAnsi"/>
          <w:i/>
          <w:iCs/>
          <w:kern w:val="0"/>
          <w:lang w:val="en-GB"/>
          <w14:ligatures w14:val="none"/>
        </w:rPr>
        <w:t>Terrorism: A history</w:t>
      </w:r>
      <w:r w:rsidRPr="00461EB9">
        <w:rPr>
          <w:rFonts w:eastAsia="Times New Roman" w:cstheme="minorHAnsi"/>
          <w:kern w:val="0"/>
          <w:lang w:val="en-GB"/>
          <w14:ligatures w14:val="none"/>
        </w:rPr>
        <w:t>. John Wiley &amp; Sons.</w:t>
      </w:r>
    </w:p>
    <w:p w14:paraId="1B49DEF0" w14:textId="4A2B97F6" w:rsidR="00461EB9" w:rsidRPr="00461EB9" w:rsidRDefault="00DB576F" w:rsidP="007B620C">
      <w:pPr>
        <w:spacing w:before="100" w:beforeAutospacing="1" w:after="0" w:line="480" w:lineRule="auto"/>
        <w:rPr>
          <w:rFonts w:eastAsia="Times New Roman" w:cstheme="minorHAnsi"/>
          <w:kern w:val="0"/>
          <w:lang w:val="en-GB"/>
          <w14:ligatures w14:val="none"/>
        </w:rPr>
      </w:pPr>
      <w:r w:rsidRPr="00461EB9">
        <w:rPr>
          <w:rFonts w:eastAsia="Times New Roman" w:cstheme="minorHAnsi"/>
          <w:kern w:val="0"/>
          <w:lang w:val="en-GB"/>
          <w14:ligatures w14:val="none"/>
        </w:rPr>
        <w:t>Parmar, A. (2011). Stop and search in London: counter-terrorist or counter-productive? </w:t>
      </w:r>
      <w:r w:rsidRPr="00461EB9">
        <w:rPr>
          <w:rFonts w:eastAsia="Times New Roman" w:cstheme="minorHAnsi"/>
          <w:i/>
          <w:iCs/>
          <w:kern w:val="0"/>
          <w:lang w:val="en-GB"/>
          <w14:ligatures w14:val="none"/>
        </w:rPr>
        <w:t>Policing &amp; Society</w:t>
      </w:r>
      <w:r w:rsidRPr="00461EB9">
        <w:rPr>
          <w:rFonts w:eastAsia="Times New Roman" w:cstheme="minorHAnsi"/>
          <w:kern w:val="0"/>
          <w:lang w:val="en-GB"/>
          <w14:ligatures w14:val="none"/>
        </w:rPr>
        <w:t>, </w:t>
      </w:r>
      <w:r w:rsidRPr="00461EB9">
        <w:rPr>
          <w:rFonts w:eastAsia="Times New Roman" w:cstheme="minorHAnsi"/>
          <w:i/>
          <w:iCs/>
          <w:kern w:val="0"/>
          <w:lang w:val="en-GB"/>
          <w14:ligatures w14:val="none"/>
        </w:rPr>
        <w:t>21</w:t>
      </w:r>
      <w:r w:rsidRPr="00461EB9">
        <w:rPr>
          <w:rFonts w:eastAsia="Times New Roman" w:cstheme="minorHAnsi"/>
          <w:kern w:val="0"/>
          <w:lang w:val="en-GB"/>
          <w14:ligatures w14:val="none"/>
        </w:rPr>
        <w:t xml:space="preserve">(4), 369–382. </w:t>
      </w:r>
      <w:hyperlink r:id="rId12" w:history="1">
        <w:r w:rsidR="00EA140E" w:rsidRPr="004E5BA8">
          <w:rPr>
            <w:rStyle w:val="Hyperlink"/>
            <w:rFonts w:eastAsia="Times New Roman" w:cstheme="minorHAnsi"/>
            <w:kern w:val="0"/>
            <w:lang w:val="en-GB"/>
            <w14:ligatures w14:val="none"/>
          </w:rPr>
          <w:t>https://doi.org/10.1080/10439463.2011.617984</w:t>
        </w:r>
      </w:hyperlink>
      <w:r w:rsidR="007B620C">
        <w:rPr>
          <w:rFonts w:eastAsia="Times New Roman" w:cstheme="minorHAnsi"/>
          <w:kern w:val="0"/>
          <w:lang w:val="en-GB"/>
          <w14:ligatures w14:val="none"/>
        </w:rPr>
        <w:t xml:space="preserve"> </w:t>
      </w:r>
      <w:r w:rsidR="007B620C" w:rsidRPr="007B620C">
        <w:rPr>
          <w:rFonts w:eastAsia="Times New Roman" w:cstheme="minorHAnsi"/>
          <w:kern w:val="0"/>
          <w:lang w:val="en-GB"/>
          <w14:ligatures w14:val="none"/>
        </w:rPr>
        <w:t xml:space="preserve">(Accessed: 1st September 2023).  </w:t>
      </w:r>
    </w:p>
    <w:p w14:paraId="7D6A62FF" w14:textId="77777777" w:rsidR="00461EB9" w:rsidRPr="00461EB9" w:rsidRDefault="00DB576F" w:rsidP="007B620C">
      <w:pPr>
        <w:spacing w:before="100" w:beforeAutospacing="1" w:after="0" w:line="480" w:lineRule="auto"/>
        <w:rPr>
          <w:rFonts w:eastAsia="Times New Roman" w:cstheme="minorHAnsi"/>
          <w:kern w:val="0"/>
          <w:lang w:val="en-GB"/>
          <w14:ligatures w14:val="none"/>
        </w:rPr>
      </w:pPr>
      <w:r w:rsidRPr="00461EB9">
        <w:rPr>
          <w:rFonts w:eastAsia="Times New Roman" w:cstheme="minorHAnsi"/>
          <w:kern w:val="0"/>
          <w:lang w:val="en-GB"/>
          <w14:ligatures w14:val="none"/>
        </w:rPr>
        <w:t xml:space="preserve">Quinlan, T. L., &amp; </w:t>
      </w:r>
      <w:proofErr w:type="spellStart"/>
      <w:r w:rsidRPr="00461EB9">
        <w:rPr>
          <w:rFonts w:eastAsia="Times New Roman" w:cstheme="minorHAnsi"/>
          <w:kern w:val="0"/>
          <w:lang w:val="en-GB"/>
          <w14:ligatures w14:val="none"/>
        </w:rPr>
        <w:t>Derfoufi</w:t>
      </w:r>
      <w:proofErr w:type="spellEnd"/>
      <w:r w:rsidRPr="00461EB9">
        <w:rPr>
          <w:rFonts w:eastAsia="Times New Roman" w:cstheme="minorHAnsi"/>
          <w:kern w:val="0"/>
          <w:lang w:val="en-GB"/>
          <w14:ligatures w14:val="none"/>
        </w:rPr>
        <w:t>, Z. (2015). Counter-terrorism policing. In </w:t>
      </w:r>
      <w:r w:rsidRPr="00461EB9">
        <w:rPr>
          <w:rFonts w:eastAsia="Times New Roman" w:cstheme="minorHAnsi"/>
          <w:i/>
          <w:iCs/>
          <w:kern w:val="0"/>
          <w:lang w:val="en-GB"/>
          <w14:ligatures w14:val="none"/>
        </w:rPr>
        <w:t>Stop and Search</w:t>
      </w:r>
      <w:r w:rsidRPr="00461EB9">
        <w:rPr>
          <w:rFonts w:eastAsia="Times New Roman" w:cstheme="minorHAnsi"/>
          <w:kern w:val="0"/>
          <w:lang w:val="en-GB"/>
          <w14:ligatures w14:val="none"/>
        </w:rPr>
        <w:t> (pp. 123–145). Palgrave Macmillan UK.</w:t>
      </w:r>
    </w:p>
    <w:p w14:paraId="784529E3" w14:textId="58C2FB2B" w:rsidR="00461EB9" w:rsidRPr="00461EB9" w:rsidRDefault="00DB576F" w:rsidP="007B620C">
      <w:pPr>
        <w:spacing w:before="100" w:beforeAutospacing="1" w:after="0" w:line="480" w:lineRule="auto"/>
        <w:rPr>
          <w:rFonts w:eastAsia="Times New Roman" w:cstheme="minorHAnsi"/>
          <w:kern w:val="0"/>
          <w:lang w:val="en-GB"/>
          <w14:ligatures w14:val="none"/>
        </w:rPr>
      </w:pPr>
      <w:r w:rsidRPr="00461EB9">
        <w:rPr>
          <w:rFonts w:eastAsia="Times New Roman" w:cstheme="minorHAnsi"/>
          <w:kern w:val="0"/>
          <w:lang w:val="en-GB"/>
          <w14:ligatures w14:val="none"/>
        </w:rPr>
        <w:t>Qurashi, F. (2018). The Prevent strategy and the UK ‘war on terror’: embedding infrastructures of surveillance in Muslim communities. </w:t>
      </w:r>
      <w:r w:rsidRPr="00461EB9">
        <w:rPr>
          <w:rFonts w:eastAsia="Times New Roman" w:cstheme="minorHAnsi"/>
          <w:i/>
          <w:iCs/>
          <w:kern w:val="0"/>
          <w:lang w:val="en-GB"/>
          <w14:ligatures w14:val="none"/>
        </w:rPr>
        <w:t>Palgrave Communications</w:t>
      </w:r>
      <w:r w:rsidRPr="00461EB9">
        <w:rPr>
          <w:rFonts w:eastAsia="Times New Roman" w:cstheme="minorHAnsi"/>
          <w:kern w:val="0"/>
          <w:lang w:val="en-GB"/>
          <w14:ligatures w14:val="none"/>
        </w:rPr>
        <w:t>, </w:t>
      </w:r>
      <w:r w:rsidRPr="00461EB9">
        <w:rPr>
          <w:rFonts w:eastAsia="Times New Roman" w:cstheme="minorHAnsi"/>
          <w:i/>
          <w:iCs/>
          <w:kern w:val="0"/>
          <w:lang w:val="en-GB"/>
          <w14:ligatures w14:val="none"/>
        </w:rPr>
        <w:t>4</w:t>
      </w:r>
      <w:r w:rsidRPr="00461EB9">
        <w:rPr>
          <w:rFonts w:eastAsia="Times New Roman" w:cstheme="minorHAnsi"/>
          <w:kern w:val="0"/>
          <w:lang w:val="en-GB"/>
          <w14:ligatures w14:val="none"/>
        </w:rPr>
        <w:t xml:space="preserve">(1), 1–13. </w:t>
      </w:r>
      <w:hyperlink r:id="rId13" w:history="1">
        <w:r w:rsidR="00EA140E" w:rsidRPr="004E5BA8">
          <w:rPr>
            <w:rStyle w:val="Hyperlink"/>
            <w:rFonts w:eastAsia="Times New Roman" w:cstheme="minorHAnsi"/>
            <w:kern w:val="0"/>
            <w:lang w:val="en-GB"/>
            <w14:ligatures w14:val="none"/>
          </w:rPr>
          <w:t>https://doi.org/10.1057/s41599-017-00619</w:t>
        </w:r>
      </w:hyperlink>
      <w:r w:rsidR="00EA140E">
        <w:rPr>
          <w:rFonts w:eastAsia="Times New Roman" w:cstheme="minorHAnsi"/>
          <w:kern w:val="0"/>
          <w:lang w:val="en-GB"/>
          <w14:ligatures w14:val="none"/>
        </w:rPr>
        <w:t xml:space="preserve"> </w:t>
      </w:r>
      <w:r w:rsidR="007B620C" w:rsidRPr="007B620C">
        <w:rPr>
          <w:rFonts w:eastAsia="Times New Roman" w:cstheme="minorHAnsi"/>
          <w:kern w:val="0"/>
          <w:lang w:val="en-GB"/>
          <w14:ligatures w14:val="none"/>
        </w:rPr>
        <w:t xml:space="preserve">(Accessed: 1st September 2023).  </w:t>
      </w:r>
    </w:p>
    <w:p w14:paraId="6BE0C16E" w14:textId="5C1FCD13" w:rsidR="00461EB9" w:rsidRPr="00461EB9" w:rsidRDefault="00DB576F" w:rsidP="007B620C">
      <w:pPr>
        <w:spacing w:before="100" w:beforeAutospacing="1" w:after="0" w:line="480" w:lineRule="auto"/>
        <w:rPr>
          <w:rFonts w:eastAsia="Times New Roman" w:cstheme="minorHAnsi"/>
          <w:kern w:val="0"/>
          <w:lang w:val="en-GB"/>
          <w14:ligatures w14:val="none"/>
        </w:rPr>
      </w:pPr>
      <w:r w:rsidRPr="00461EB9">
        <w:rPr>
          <w:rFonts w:eastAsia="Times New Roman" w:cstheme="minorHAnsi"/>
          <w:kern w:val="0"/>
          <w:lang w:val="en-GB"/>
          <w14:ligatures w14:val="none"/>
        </w:rPr>
        <w:t>Spalek, B. (2010). Community policing, trust, and Muslim communities in relation to “new terrorism”: Spalek / COMMUNITY POLICING IN A COUNTER-TERRORISM CONTEXT. </w:t>
      </w:r>
      <w:r w:rsidRPr="00461EB9">
        <w:rPr>
          <w:rFonts w:eastAsia="Times New Roman" w:cstheme="minorHAnsi"/>
          <w:i/>
          <w:iCs/>
          <w:kern w:val="0"/>
          <w:lang w:val="en-GB"/>
          <w14:ligatures w14:val="none"/>
        </w:rPr>
        <w:t>Politics &amp; Policy (Statesboro, Ga.)</w:t>
      </w:r>
      <w:r w:rsidRPr="00461EB9">
        <w:rPr>
          <w:rFonts w:eastAsia="Times New Roman" w:cstheme="minorHAnsi"/>
          <w:kern w:val="0"/>
          <w:lang w:val="en-GB"/>
          <w14:ligatures w14:val="none"/>
        </w:rPr>
        <w:t>, </w:t>
      </w:r>
      <w:r w:rsidRPr="00461EB9">
        <w:rPr>
          <w:rFonts w:eastAsia="Times New Roman" w:cstheme="minorHAnsi"/>
          <w:i/>
          <w:iCs/>
          <w:kern w:val="0"/>
          <w:lang w:val="en-GB"/>
          <w14:ligatures w14:val="none"/>
        </w:rPr>
        <w:t>38</w:t>
      </w:r>
      <w:r w:rsidRPr="00461EB9">
        <w:rPr>
          <w:rFonts w:eastAsia="Times New Roman" w:cstheme="minorHAnsi"/>
          <w:kern w:val="0"/>
          <w:lang w:val="en-GB"/>
          <w14:ligatures w14:val="none"/>
        </w:rPr>
        <w:t xml:space="preserve">(4), 789–815. </w:t>
      </w:r>
      <w:hyperlink r:id="rId14" w:history="1">
        <w:r w:rsidR="00EA140E" w:rsidRPr="004E5BA8">
          <w:rPr>
            <w:rStyle w:val="Hyperlink"/>
            <w:rFonts w:eastAsia="Times New Roman" w:cstheme="minorHAnsi"/>
            <w:kern w:val="0"/>
            <w:lang w:val="en-GB"/>
            <w14:ligatures w14:val="none"/>
          </w:rPr>
          <w:t>https://doi.org/10.1111/j.1747-1346.2010.00258x</w:t>
        </w:r>
      </w:hyperlink>
      <w:r w:rsidR="007B620C">
        <w:rPr>
          <w:rFonts w:eastAsia="Times New Roman" w:cstheme="minorHAnsi"/>
          <w:kern w:val="0"/>
          <w:lang w:val="en-GB"/>
          <w14:ligatures w14:val="none"/>
        </w:rPr>
        <w:t xml:space="preserve"> </w:t>
      </w:r>
      <w:r w:rsidR="007B620C" w:rsidRPr="007B620C">
        <w:rPr>
          <w:rFonts w:eastAsia="Times New Roman" w:cstheme="minorHAnsi"/>
          <w:kern w:val="0"/>
          <w:lang w:val="en-GB"/>
          <w14:ligatures w14:val="none"/>
        </w:rPr>
        <w:t xml:space="preserve">(Accessed: 1st September 2023).  </w:t>
      </w:r>
    </w:p>
    <w:p w14:paraId="2A7A69FA" w14:textId="7893BC71" w:rsidR="00461EB9" w:rsidRPr="00461EB9" w:rsidRDefault="00DB576F" w:rsidP="007B620C">
      <w:pPr>
        <w:spacing w:before="100" w:beforeAutospacing="1" w:after="0" w:line="480" w:lineRule="auto"/>
        <w:rPr>
          <w:rFonts w:eastAsia="Times New Roman" w:cstheme="minorHAnsi"/>
          <w:kern w:val="0"/>
          <w:lang w:val="en-GB"/>
          <w14:ligatures w14:val="none"/>
        </w:rPr>
      </w:pPr>
      <w:r w:rsidRPr="00461EB9">
        <w:rPr>
          <w:rFonts w:eastAsia="Times New Roman" w:cstheme="minorHAnsi"/>
          <w:kern w:val="0"/>
          <w:lang w:val="en-GB"/>
          <w14:ligatures w14:val="none"/>
        </w:rPr>
        <w:t>Thomas, P. (2016). Youth, terrorism and education: Britain’s Prevent programme. </w:t>
      </w:r>
      <w:r w:rsidRPr="00461EB9">
        <w:rPr>
          <w:rFonts w:eastAsia="Times New Roman" w:cstheme="minorHAnsi"/>
          <w:i/>
          <w:iCs/>
          <w:kern w:val="0"/>
          <w:lang w:val="en-GB"/>
          <w14:ligatures w14:val="none"/>
        </w:rPr>
        <w:t>International Journal of Lifelong Education</w:t>
      </w:r>
      <w:r w:rsidRPr="00461EB9">
        <w:rPr>
          <w:rFonts w:eastAsia="Times New Roman" w:cstheme="minorHAnsi"/>
          <w:kern w:val="0"/>
          <w:lang w:val="en-GB"/>
          <w14:ligatures w14:val="none"/>
        </w:rPr>
        <w:t>, </w:t>
      </w:r>
      <w:r w:rsidRPr="00461EB9">
        <w:rPr>
          <w:rFonts w:eastAsia="Times New Roman" w:cstheme="minorHAnsi"/>
          <w:i/>
          <w:iCs/>
          <w:kern w:val="0"/>
          <w:lang w:val="en-GB"/>
          <w14:ligatures w14:val="none"/>
        </w:rPr>
        <w:t>35</w:t>
      </w:r>
      <w:r w:rsidRPr="00461EB9">
        <w:rPr>
          <w:rFonts w:eastAsia="Times New Roman" w:cstheme="minorHAnsi"/>
          <w:kern w:val="0"/>
          <w:lang w:val="en-GB"/>
          <w14:ligatures w14:val="none"/>
        </w:rPr>
        <w:t xml:space="preserve">(2), 171–187. </w:t>
      </w:r>
      <w:hyperlink r:id="rId15" w:history="1">
        <w:r w:rsidR="00EA140E" w:rsidRPr="004E5BA8">
          <w:rPr>
            <w:rStyle w:val="Hyperlink"/>
            <w:rFonts w:eastAsia="Times New Roman" w:cstheme="minorHAnsi"/>
            <w:kern w:val="0"/>
            <w:lang w:val="en-GB"/>
            <w14:ligatures w14:val="none"/>
          </w:rPr>
          <w:t>https://doi.org/10.1080/02601370.2016.1164469</w:t>
        </w:r>
      </w:hyperlink>
      <w:r w:rsidR="007B620C">
        <w:rPr>
          <w:rFonts w:eastAsia="Times New Roman" w:cstheme="minorHAnsi"/>
          <w:kern w:val="0"/>
          <w:lang w:val="en-GB"/>
          <w14:ligatures w14:val="none"/>
        </w:rPr>
        <w:t xml:space="preserve"> </w:t>
      </w:r>
      <w:r w:rsidR="007B620C" w:rsidRPr="007B620C">
        <w:rPr>
          <w:rFonts w:eastAsia="Times New Roman" w:cstheme="minorHAnsi"/>
          <w:kern w:val="0"/>
          <w:lang w:val="en-GB"/>
          <w14:ligatures w14:val="none"/>
        </w:rPr>
        <w:t xml:space="preserve">(Accessed: 1st September 2023).  </w:t>
      </w:r>
    </w:p>
    <w:p w14:paraId="274943C9" w14:textId="58749B88" w:rsidR="00461EB9" w:rsidRPr="00461EB9" w:rsidRDefault="00DB576F" w:rsidP="007B620C">
      <w:pPr>
        <w:spacing w:before="100" w:beforeAutospacing="1" w:after="0" w:line="480" w:lineRule="auto"/>
        <w:rPr>
          <w:rFonts w:eastAsia="Times New Roman" w:cstheme="minorHAnsi"/>
          <w:kern w:val="0"/>
          <w:lang w:val="en-GB"/>
          <w14:ligatures w14:val="none"/>
        </w:rPr>
      </w:pPr>
      <w:r w:rsidRPr="00461EB9">
        <w:rPr>
          <w:rFonts w:eastAsia="Times New Roman" w:cstheme="minorHAnsi"/>
          <w:kern w:val="0"/>
          <w:lang w:val="en-GB"/>
          <w14:ligatures w14:val="none"/>
        </w:rPr>
        <w:lastRenderedPageBreak/>
        <w:t>Van de Vyver, J., Houston, D. M., Abrams, D., &amp; Vasiljevic, M. (2016). Boosting belligerence: How the July 7, 2005, London bombings affected liberals’ moral foundations and prejudice. </w:t>
      </w:r>
      <w:r w:rsidRPr="00461EB9">
        <w:rPr>
          <w:rFonts w:eastAsia="Times New Roman" w:cstheme="minorHAnsi"/>
          <w:i/>
          <w:iCs/>
          <w:kern w:val="0"/>
          <w:lang w:val="en-GB"/>
          <w14:ligatures w14:val="none"/>
        </w:rPr>
        <w:t>Psychological Science</w:t>
      </w:r>
      <w:r w:rsidRPr="00461EB9">
        <w:rPr>
          <w:rFonts w:eastAsia="Times New Roman" w:cstheme="minorHAnsi"/>
          <w:kern w:val="0"/>
          <w:lang w:val="en-GB"/>
          <w14:ligatures w14:val="none"/>
        </w:rPr>
        <w:t>, </w:t>
      </w:r>
      <w:r w:rsidRPr="00461EB9">
        <w:rPr>
          <w:rFonts w:eastAsia="Times New Roman" w:cstheme="minorHAnsi"/>
          <w:i/>
          <w:iCs/>
          <w:kern w:val="0"/>
          <w:lang w:val="en-GB"/>
          <w14:ligatures w14:val="none"/>
        </w:rPr>
        <w:t>27</w:t>
      </w:r>
      <w:r w:rsidRPr="00461EB9">
        <w:rPr>
          <w:rFonts w:eastAsia="Times New Roman" w:cstheme="minorHAnsi"/>
          <w:kern w:val="0"/>
          <w:lang w:val="en-GB"/>
          <w14:ligatures w14:val="none"/>
        </w:rPr>
        <w:t xml:space="preserve">(2), 169–177. </w:t>
      </w:r>
      <w:hyperlink r:id="rId16" w:history="1">
        <w:r w:rsidR="00EA140E" w:rsidRPr="004E5BA8">
          <w:rPr>
            <w:rStyle w:val="Hyperlink"/>
            <w:rFonts w:eastAsia="Times New Roman" w:cstheme="minorHAnsi"/>
            <w:kern w:val="0"/>
            <w:lang w:val="en-GB"/>
            <w14:ligatures w14:val="none"/>
          </w:rPr>
          <w:t>https://doi.org/10.1177/0956797615615584</w:t>
        </w:r>
      </w:hyperlink>
      <w:r w:rsidR="007B620C">
        <w:rPr>
          <w:rFonts w:eastAsia="Times New Roman" w:cstheme="minorHAnsi"/>
          <w:kern w:val="0"/>
          <w:lang w:val="en-GB"/>
          <w14:ligatures w14:val="none"/>
        </w:rPr>
        <w:t xml:space="preserve"> </w:t>
      </w:r>
      <w:r w:rsidR="007B620C" w:rsidRPr="007B620C">
        <w:rPr>
          <w:rFonts w:eastAsia="Times New Roman" w:cstheme="minorHAnsi"/>
          <w:kern w:val="0"/>
          <w:lang w:val="en-GB"/>
          <w14:ligatures w14:val="none"/>
        </w:rPr>
        <w:t xml:space="preserve">(Accessed: 1st September 2023).  </w:t>
      </w:r>
    </w:p>
    <w:p w14:paraId="0E867206" w14:textId="32B0DD7A" w:rsidR="00DB576F" w:rsidRPr="00461EB9" w:rsidRDefault="00DB576F" w:rsidP="007B620C">
      <w:pPr>
        <w:spacing w:before="100" w:beforeAutospacing="1" w:after="0" w:line="480" w:lineRule="auto"/>
        <w:rPr>
          <w:rFonts w:eastAsia="Times New Roman" w:cstheme="minorHAnsi"/>
          <w:kern w:val="0"/>
          <w:lang w:val="en-GB"/>
          <w14:ligatures w14:val="none"/>
        </w:rPr>
      </w:pPr>
      <w:r w:rsidRPr="00461EB9">
        <w:rPr>
          <w:rFonts w:eastAsia="Times New Roman" w:cstheme="minorHAnsi"/>
          <w:i/>
          <w:iCs/>
          <w:kern w:val="0"/>
          <w:lang w:val="en-GB"/>
          <w14:ligatures w14:val="none"/>
        </w:rPr>
        <w:t xml:space="preserve">View of combatting terrorism and extremism in </w:t>
      </w:r>
      <w:proofErr w:type="spellStart"/>
      <w:r w:rsidRPr="00461EB9">
        <w:rPr>
          <w:rFonts w:eastAsia="Times New Roman" w:cstheme="minorHAnsi"/>
          <w:i/>
          <w:iCs/>
          <w:kern w:val="0"/>
          <w:lang w:val="en-GB"/>
          <w14:ligatures w14:val="none"/>
        </w:rPr>
        <w:t>wales</w:t>
      </w:r>
      <w:proofErr w:type="spellEnd"/>
      <w:r w:rsidRPr="00461EB9">
        <w:rPr>
          <w:rFonts w:eastAsia="Times New Roman" w:cstheme="minorHAnsi"/>
          <w:i/>
          <w:iCs/>
          <w:kern w:val="0"/>
          <w:lang w:val="en-GB"/>
          <w14:ligatures w14:val="none"/>
        </w:rPr>
        <w:t>: Operational policing</w:t>
      </w:r>
      <w:r w:rsidRPr="00461EB9">
        <w:rPr>
          <w:rFonts w:eastAsia="Times New Roman" w:cstheme="minorHAnsi"/>
          <w:kern w:val="0"/>
          <w:lang w:val="en-GB"/>
          <w14:ligatures w14:val="none"/>
        </w:rPr>
        <w:t xml:space="preserve">. (n.d.). Sfu.Ca. Retrieved 17 August 2023, from </w:t>
      </w:r>
      <w:hyperlink r:id="rId17" w:history="1">
        <w:r w:rsidR="00EA140E" w:rsidRPr="004E5BA8">
          <w:rPr>
            <w:rStyle w:val="Hyperlink"/>
            <w:rFonts w:eastAsia="Times New Roman" w:cstheme="minorHAnsi"/>
            <w:kern w:val="0"/>
            <w:lang w:val="en-GB"/>
            <w14:ligatures w14:val="none"/>
          </w:rPr>
          <w:t>https://journals.lib.sfu.ca/index.php/jicw/article/view/2819/2061</w:t>
        </w:r>
      </w:hyperlink>
      <w:r w:rsidR="00461EB9" w:rsidRPr="00461EB9">
        <w:rPr>
          <w:rFonts w:eastAsia="Times New Roman" w:cstheme="minorHAnsi"/>
          <w:kern w:val="0"/>
          <w:lang w:val="en-GB"/>
          <w14:ligatures w14:val="none"/>
        </w:rPr>
        <w:t xml:space="preserve"> </w:t>
      </w:r>
      <w:r w:rsidR="007B620C" w:rsidRPr="007B620C">
        <w:rPr>
          <w:rFonts w:eastAsia="Times New Roman" w:cstheme="minorHAnsi"/>
          <w:kern w:val="0"/>
          <w:lang w:val="en-GB"/>
          <w14:ligatures w14:val="none"/>
        </w:rPr>
        <w:t xml:space="preserve">(Accessed: 1st September 2023).  </w:t>
      </w:r>
    </w:p>
    <w:p w14:paraId="39C8FFCC" w14:textId="0ED7431C" w:rsidR="001D1A83" w:rsidRDefault="001D1A83" w:rsidP="00461EB9">
      <w:pPr>
        <w:pStyle w:val="ListParagraph"/>
        <w:spacing w:line="480" w:lineRule="auto"/>
        <w:rPr>
          <w:rFonts w:cstheme="minorHAnsi"/>
          <w:lang w:val="en-GB"/>
        </w:rPr>
      </w:pPr>
    </w:p>
    <w:p w14:paraId="453F2F59" w14:textId="77777777" w:rsidR="00EA4208" w:rsidRDefault="00EA4208" w:rsidP="00461EB9">
      <w:pPr>
        <w:pStyle w:val="ListParagraph"/>
        <w:spacing w:line="480" w:lineRule="auto"/>
        <w:rPr>
          <w:rFonts w:cstheme="minorHAnsi"/>
          <w:lang w:val="en-GB"/>
        </w:rPr>
      </w:pPr>
    </w:p>
    <w:p w14:paraId="138FBD63" w14:textId="77777777" w:rsidR="00EA4208" w:rsidRDefault="00EA4208" w:rsidP="00461EB9">
      <w:pPr>
        <w:pStyle w:val="ListParagraph"/>
        <w:spacing w:line="480" w:lineRule="auto"/>
        <w:rPr>
          <w:rFonts w:cstheme="minorHAnsi"/>
          <w:lang w:val="en-GB"/>
        </w:rPr>
      </w:pPr>
    </w:p>
    <w:p w14:paraId="09EF92AC" w14:textId="77777777" w:rsidR="00EA4208" w:rsidRDefault="00EA4208" w:rsidP="00461EB9">
      <w:pPr>
        <w:pStyle w:val="ListParagraph"/>
        <w:spacing w:line="480" w:lineRule="auto"/>
        <w:rPr>
          <w:rFonts w:cstheme="minorHAnsi"/>
          <w:lang w:val="en-GB"/>
        </w:rPr>
      </w:pPr>
    </w:p>
    <w:p w14:paraId="4810C586" w14:textId="77777777" w:rsidR="00EA4208" w:rsidRDefault="00EA4208" w:rsidP="00461EB9">
      <w:pPr>
        <w:pStyle w:val="ListParagraph"/>
        <w:spacing w:line="480" w:lineRule="auto"/>
        <w:rPr>
          <w:rFonts w:cstheme="minorHAnsi"/>
          <w:lang w:val="en-GB"/>
        </w:rPr>
      </w:pPr>
    </w:p>
    <w:p w14:paraId="487D4037" w14:textId="77777777" w:rsidR="00EA4208" w:rsidRDefault="00EA4208" w:rsidP="00461EB9">
      <w:pPr>
        <w:pStyle w:val="ListParagraph"/>
        <w:spacing w:line="480" w:lineRule="auto"/>
        <w:rPr>
          <w:rFonts w:cstheme="minorHAnsi"/>
          <w:lang w:val="en-GB"/>
        </w:rPr>
      </w:pPr>
    </w:p>
    <w:p w14:paraId="375DD360" w14:textId="77777777" w:rsidR="00EA4208" w:rsidRDefault="00EA4208" w:rsidP="00461EB9">
      <w:pPr>
        <w:pStyle w:val="ListParagraph"/>
        <w:spacing w:line="480" w:lineRule="auto"/>
        <w:rPr>
          <w:rFonts w:cstheme="minorHAnsi"/>
          <w:lang w:val="en-GB"/>
        </w:rPr>
      </w:pPr>
    </w:p>
    <w:p w14:paraId="25D49E48" w14:textId="77777777" w:rsidR="00EA4208" w:rsidRDefault="00EA4208" w:rsidP="00461EB9">
      <w:pPr>
        <w:pStyle w:val="ListParagraph"/>
        <w:spacing w:line="480" w:lineRule="auto"/>
        <w:rPr>
          <w:rFonts w:cstheme="minorHAnsi"/>
          <w:lang w:val="en-GB"/>
        </w:rPr>
      </w:pPr>
    </w:p>
    <w:p w14:paraId="7E2DB699" w14:textId="77777777" w:rsidR="00EA4208" w:rsidRPr="00EA140E" w:rsidRDefault="00EA4208" w:rsidP="00EA140E">
      <w:pPr>
        <w:spacing w:line="480" w:lineRule="auto"/>
        <w:rPr>
          <w:rFonts w:cstheme="minorHAnsi"/>
          <w:lang w:val="en-GB"/>
        </w:rPr>
      </w:pPr>
    </w:p>
    <w:p w14:paraId="568EDFE9" w14:textId="77777777" w:rsidR="007B620C" w:rsidRDefault="007B620C" w:rsidP="00EA4208">
      <w:pPr>
        <w:rPr>
          <w:rFonts w:cstheme="minorHAnsi"/>
          <w:b/>
          <w:bCs/>
          <w:lang w:val="en-GB"/>
        </w:rPr>
      </w:pPr>
    </w:p>
    <w:p w14:paraId="67BA4B2D" w14:textId="77777777" w:rsidR="007B620C" w:rsidRDefault="007B620C" w:rsidP="00EA4208">
      <w:pPr>
        <w:rPr>
          <w:rFonts w:cstheme="minorHAnsi"/>
          <w:b/>
          <w:bCs/>
          <w:lang w:val="en-GB"/>
        </w:rPr>
      </w:pPr>
    </w:p>
    <w:p w14:paraId="4F035D72" w14:textId="77777777" w:rsidR="007B620C" w:rsidRDefault="007B620C" w:rsidP="00EA4208">
      <w:pPr>
        <w:rPr>
          <w:rFonts w:cstheme="minorHAnsi"/>
          <w:b/>
          <w:bCs/>
          <w:lang w:val="en-GB"/>
        </w:rPr>
      </w:pPr>
    </w:p>
    <w:p w14:paraId="505B54A9" w14:textId="77777777" w:rsidR="007B620C" w:rsidRDefault="007B620C" w:rsidP="00EA4208">
      <w:pPr>
        <w:rPr>
          <w:rFonts w:cstheme="minorHAnsi"/>
          <w:b/>
          <w:bCs/>
          <w:lang w:val="en-GB"/>
        </w:rPr>
      </w:pPr>
    </w:p>
    <w:p w14:paraId="5657BA11" w14:textId="77777777" w:rsidR="007B620C" w:rsidRDefault="007B620C" w:rsidP="00EA4208">
      <w:pPr>
        <w:rPr>
          <w:rFonts w:cstheme="minorHAnsi"/>
          <w:b/>
          <w:bCs/>
          <w:lang w:val="en-GB"/>
        </w:rPr>
      </w:pPr>
    </w:p>
    <w:p w14:paraId="105DE7B6" w14:textId="77777777" w:rsidR="007B620C" w:rsidRDefault="007B620C" w:rsidP="00EA4208">
      <w:pPr>
        <w:rPr>
          <w:rFonts w:cstheme="minorHAnsi"/>
          <w:b/>
          <w:bCs/>
          <w:lang w:val="en-GB"/>
        </w:rPr>
      </w:pPr>
    </w:p>
    <w:p w14:paraId="6F265E67" w14:textId="77777777" w:rsidR="007B620C" w:rsidRDefault="007B620C" w:rsidP="00EA4208">
      <w:pPr>
        <w:rPr>
          <w:rFonts w:cstheme="minorHAnsi"/>
          <w:b/>
          <w:bCs/>
          <w:lang w:val="en-GB"/>
        </w:rPr>
      </w:pPr>
    </w:p>
    <w:p w14:paraId="673F4918" w14:textId="77777777" w:rsidR="007B620C" w:rsidRDefault="007B620C" w:rsidP="00EA4208">
      <w:pPr>
        <w:rPr>
          <w:rFonts w:cstheme="minorHAnsi"/>
          <w:b/>
          <w:bCs/>
          <w:lang w:val="en-GB"/>
        </w:rPr>
      </w:pPr>
    </w:p>
    <w:p w14:paraId="2371858B" w14:textId="77777777" w:rsidR="007B620C" w:rsidRDefault="007B620C" w:rsidP="00EA4208">
      <w:pPr>
        <w:rPr>
          <w:rFonts w:cstheme="minorHAnsi"/>
          <w:b/>
          <w:bCs/>
          <w:lang w:val="en-GB"/>
        </w:rPr>
      </w:pPr>
    </w:p>
    <w:p w14:paraId="25B3C3C9" w14:textId="551CEB55" w:rsidR="00EA4208" w:rsidRPr="005377D5" w:rsidRDefault="00EA4208" w:rsidP="00EA4208">
      <w:pPr>
        <w:rPr>
          <w:rFonts w:cstheme="minorHAnsi"/>
          <w:b/>
          <w:bCs/>
          <w:lang w:val="en-GB"/>
        </w:rPr>
      </w:pPr>
      <w:r>
        <w:rPr>
          <w:rFonts w:cstheme="minorHAnsi"/>
          <w:b/>
          <w:bCs/>
          <w:lang w:val="en-GB"/>
        </w:rPr>
        <w:lastRenderedPageBreak/>
        <w:t>Q</w:t>
      </w:r>
      <w:r w:rsidRPr="005377D5">
        <w:rPr>
          <w:rFonts w:cstheme="minorHAnsi"/>
          <w:b/>
          <w:bCs/>
          <w:lang w:val="en-GB"/>
        </w:rPr>
        <w:t xml:space="preserve">3. “The concept of diversity consists of the complete understanding and acceptance of all various and different human characteristics existing in the wider community” What challenges and complexities does diversity add to operational policing? Your answer must be based on academic research rather than personal experience. </w:t>
      </w:r>
    </w:p>
    <w:p w14:paraId="7C6AC571" w14:textId="77777777" w:rsidR="00EA4208" w:rsidRPr="00E821FA" w:rsidRDefault="00EA4208" w:rsidP="00EA140E">
      <w:pPr>
        <w:spacing w:line="360" w:lineRule="auto"/>
        <w:jc w:val="both"/>
        <w:rPr>
          <w:rFonts w:cstheme="minorHAnsi"/>
          <w:lang w:val="en-GB"/>
        </w:rPr>
      </w:pPr>
    </w:p>
    <w:p w14:paraId="27256E92" w14:textId="77777777" w:rsidR="00EA4208" w:rsidRPr="00EA4208" w:rsidRDefault="00EA4208" w:rsidP="00EA140E">
      <w:pPr>
        <w:spacing w:line="360" w:lineRule="auto"/>
        <w:jc w:val="both"/>
        <w:rPr>
          <w:rFonts w:cstheme="minorHAnsi"/>
          <w:lang w:val="en-GB"/>
        </w:rPr>
      </w:pPr>
      <w:r w:rsidRPr="00EA4208">
        <w:rPr>
          <w:rFonts w:cstheme="minorHAnsi"/>
          <w:lang w:val="en-GB"/>
        </w:rPr>
        <w:t>Diversity, which refers to the inclusion of people from a range of different social and ethnic backgrounds and of different gender or sexual orientation, has emerged as an essential element of contemporary society (Silvestri, 2017). Within the realm of operational policing responsible for maintaining peace and justice, the presence of diversity gives rise to various prospects as well as significant obstacles. This essay explores the complex issues and complications that arise from diversity in operational policing, drawing extensively from research evidence.</w:t>
      </w:r>
    </w:p>
    <w:p w14:paraId="620FADE1" w14:textId="77777777" w:rsidR="00EA4208" w:rsidRPr="00EA4208" w:rsidRDefault="00EA4208" w:rsidP="00EA140E">
      <w:pPr>
        <w:spacing w:line="360" w:lineRule="auto"/>
        <w:jc w:val="both"/>
        <w:rPr>
          <w:rFonts w:cstheme="minorHAnsi"/>
          <w:lang w:val="en-GB"/>
        </w:rPr>
      </w:pPr>
      <w:r w:rsidRPr="00EA4208">
        <w:rPr>
          <w:rFonts w:cstheme="minorHAnsi"/>
          <w:lang w:val="en-GB"/>
        </w:rPr>
        <w:t>Modern police functions with an ever-expanding range of ethnic and multicultural settings, which entail disparities in language, cultural practices, and unique belief systems. These transformations necessitate a thorough examination of the complex difficulties that arise from diversity (Sparrow, 2015).</w:t>
      </w:r>
    </w:p>
    <w:p w14:paraId="0E8E7E96" w14:textId="77777777" w:rsidR="00EA4208" w:rsidRPr="00EA4208" w:rsidRDefault="00EA4208" w:rsidP="00EA140E">
      <w:pPr>
        <w:spacing w:line="360" w:lineRule="auto"/>
        <w:jc w:val="both"/>
        <w:rPr>
          <w:rFonts w:cstheme="minorHAnsi"/>
          <w:lang w:val="en-GB"/>
        </w:rPr>
      </w:pPr>
      <w:r w:rsidRPr="00EA4208">
        <w:rPr>
          <w:rFonts w:cstheme="minorHAnsi"/>
          <w:lang w:val="en-GB"/>
        </w:rPr>
        <w:t>It is important to be aware of the diversity within the police profession, as it plays a crucial role in fostering trust and improving the relationship between the police and the communities that they are tasked with serving. The establishment of a police force whose demographic composition mirrors that of the adjacent community contributes to the development of a sense of shared belonging and comprehension. Consequently, this facilitates law enforcement officials' ability to interact effectively with a diverse range of community members, thereby augmenting the effectiveness of crime prevention and problem-solving efforts. In order to achieve success in the field of criminal justice, trust is essential, and the promotion of diversity is essential to this process (Kappeler et al., 2020).</w:t>
      </w:r>
    </w:p>
    <w:p w14:paraId="0B9AFEE9" w14:textId="77777777" w:rsidR="00EA4208" w:rsidRPr="00EA4208" w:rsidRDefault="00EA4208" w:rsidP="00EA140E">
      <w:pPr>
        <w:spacing w:line="360" w:lineRule="auto"/>
        <w:jc w:val="both"/>
        <w:rPr>
          <w:rFonts w:cstheme="minorHAnsi"/>
          <w:lang w:val="en-GB"/>
        </w:rPr>
      </w:pPr>
      <w:r w:rsidRPr="00EA4208">
        <w:rPr>
          <w:rFonts w:cstheme="minorHAnsi"/>
          <w:lang w:val="en-GB"/>
        </w:rPr>
        <w:t>The convergence of diversity concerns and policing occurs within a larger societal framework characterised by structural and long-standing disparities. Frequently, the practise of policing reflects and aggravates these social inequalities. Minority groups have experienced a disproportionate presence of authorities, discriminatory targeting based on ethnicity, and an excessive use of physical coercion, resulting in heightened tensions between these communities and the police. Understanding this specific context is crucial for effectively addressing the fundamental issues that impact policing and for fostering the growth of the police practises that are characterised by fairness and justice. (Quinton, 2014)</w:t>
      </w:r>
    </w:p>
    <w:p w14:paraId="5431EFE2" w14:textId="77777777" w:rsidR="00EA4208" w:rsidRPr="00EA4208" w:rsidRDefault="00EA4208" w:rsidP="00EA140E">
      <w:pPr>
        <w:spacing w:line="360" w:lineRule="auto"/>
        <w:jc w:val="both"/>
        <w:rPr>
          <w:rFonts w:cstheme="minorHAnsi"/>
          <w:lang w:val="en-GB"/>
        </w:rPr>
      </w:pPr>
      <w:r w:rsidRPr="00EA4208">
        <w:rPr>
          <w:rFonts w:cstheme="minorHAnsi"/>
          <w:lang w:val="en-GB"/>
        </w:rPr>
        <w:t xml:space="preserve">The comprehension of diversity should not be viewed as a trivial task, but rather as a necessary condition for the effective implementation of police practices. Minimising prejudice and discrimination within police </w:t>
      </w:r>
      <w:r w:rsidRPr="00EA4208">
        <w:rPr>
          <w:rFonts w:cstheme="minorHAnsi"/>
          <w:lang w:val="en-GB"/>
        </w:rPr>
        <w:lastRenderedPageBreak/>
        <w:t>departments promotes equitable and fair policing practises. Officers of diverse origins are able to provide unique perspectives on cultural norms and community dynamics, thereby enabling the customisation of policing techniques to meet specific needs. By implementing this strategy, police agencies have the potential to improve public safety outcomes and cultivate stronger, more trustworthy relationships with the communities they are tasked with protecting. Understanding diversity is of the utmost importance because it enhances the credibility, validity, and efficacy of the police while simultaneously promoting justice and equality throughout society (Kite et al., 2022).</w:t>
      </w:r>
    </w:p>
    <w:p w14:paraId="1ACC96A2" w14:textId="77777777" w:rsidR="00EA4208" w:rsidRPr="00EA4208" w:rsidRDefault="00EA4208" w:rsidP="00EA140E">
      <w:pPr>
        <w:spacing w:line="360" w:lineRule="auto"/>
        <w:jc w:val="both"/>
        <w:rPr>
          <w:rFonts w:cstheme="minorHAnsi"/>
          <w:lang w:val="en-GB"/>
        </w:rPr>
      </w:pPr>
      <w:r w:rsidRPr="00EA4208">
        <w:rPr>
          <w:rFonts w:cstheme="minorHAnsi"/>
          <w:lang w:val="en-GB"/>
        </w:rPr>
        <w:t>The police department's Equal Opportunities record garners significant media attention, and research indicates that the organisational culture within police departments significantly impedes the advancement of women. The article has investigated the cultural aspects of a police force, concentrating specifically on performance value judgements and the underlying knowledge that guides them.</w:t>
      </w:r>
    </w:p>
    <w:p w14:paraId="35BB7D0C" w14:textId="77777777" w:rsidR="00EA4208" w:rsidRPr="00EA4208" w:rsidRDefault="00EA4208" w:rsidP="00EA140E">
      <w:pPr>
        <w:spacing w:line="360" w:lineRule="auto"/>
        <w:jc w:val="both"/>
        <w:rPr>
          <w:rFonts w:cstheme="minorHAnsi"/>
          <w:lang w:val="en-GB"/>
        </w:rPr>
      </w:pPr>
      <w:r w:rsidRPr="00EA4208">
        <w:rPr>
          <w:rFonts w:cstheme="minorHAnsi"/>
          <w:lang w:val="en-GB"/>
        </w:rPr>
        <w:t>The urgent need for innovative responses to hate crimes has become increasingly apparent, especially as the rate of such crimes has reached record highs in the United Kingdom and around the world. Despite advances in scholarship and policy development, the increasing rates of hate crimes, accompanied by a rise in tensions, scapegoating, and targeted hostility, raise concerns about the efficacy of current measures to address the needs of hate crime victims. Chakraborti (2018) uses extensive field research involving more than 2,000 victims of hate crimes to demonstrate deficiencies in several key areas, including removing reporting barriers, prioritising meaningful engagement with diverse communities, and delivering effective criminal justice interventions. It emphasises the need for immediate action to close the divide between state-level narratives and the lived experiences of hate crime victims.</w:t>
      </w:r>
    </w:p>
    <w:p w14:paraId="74B91809" w14:textId="77777777" w:rsidR="00EA4208" w:rsidRPr="00EA4208" w:rsidRDefault="00EA4208" w:rsidP="00EA140E">
      <w:pPr>
        <w:spacing w:line="360" w:lineRule="auto"/>
        <w:jc w:val="both"/>
        <w:rPr>
          <w:rFonts w:cstheme="minorHAnsi"/>
          <w:lang w:val="en-GB"/>
        </w:rPr>
      </w:pPr>
      <w:r w:rsidRPr="00EA4208">
        <w:rPr>
          <w:rFonts w:cstheme="minorHAnsi"/>
          <w:lang w:val="en-GB"/>
        </w:rPr>
        <w:t xml:space="preserve">In diversified communities in the United Kingdom, language barriers pose significant obstacles to effective policing. These obstacles can impede straightforward and accurate communication between law enforcement officers and community members who do not speak English fluently, impeding the collection of vital information and resulting in a lack of trust and cooperation. For instance, research conducted by organisations such as Tell MAMA has revealed that language barriers discourage victims of hate crimes from reporting incidents to the police, resulting in an underreporting of hate crimes and disrupting police investigations. Furthermore, limited access to police services for individuals who do not speak English exacerbates feelings of isolation and vulnerability in these communities. To address these issues, police departments in the United Kingdom can recruit foreign officers, utilise professional interpreters or translation services, engage in community outreach and cultural awareness programmes, provide language training for officers, and utilise translation applications. These strategies can bridge </w:t>
      </w:r>
      <w:r w:rsidRPr="00EA4208">
        <w:rPr>
          <w:rFonts w:cstheme="minorHAnsi"/>
          <w:lang w:val="en-GB"/>
        </w:rPr>
        <w:lastRenderedPageBreak/>
        <w:t>communication gaps, increase trust, and ensure equitable access to the police services, fostering a stronger relationship between police agencies and the diverse communities they serve (Evans et al., 2019).</w:t>
      </w:r>
    </w:p>
    <w:p w14:paraId="7BDC19EF" w14:textId="77777777" w:rsidR="00EA4208" w:rsidRPr="00EA4208" w:rsidRDefault="00EA4208" w:rsidP="00EA140E">
      <w:pPr>
        <w:spacing w:line="360" w:lineRule="auto"/>
        <w:jc w:val="both"/>
        <w:rPr>
          <w:rFonts w:cstheme="minorHAnsi"/>
          <w:lang w:val="en-GB"/>
        </w:rPr>
      </w:pPr>
      <w:r w:rsidRPr="00EA4208">
        <w:rPr>
          <w:rFonts w:cstheme="minorHAnsi"/>
          <w:lang w:val="en-GB"/>
        </w:rPr>
        <w:t xml:space="preserve">The argument establishes that rank, not gender, exerts the greatest influence on the composition of performance value judgements (Dick &amp; </w:t>
      </w:r>
      <w:proofErr w:type="spellStart"/>
      <w:r w:rsidRPr="00EA4208">
        <w:rPr>
          <w:rFonts w:cstheme="minorHAnsi"/>
          <w:lang w:val="en-GB"/>
        </w:rPr>
        <w:t>Jankowicz</w:t>
      </w:r>
      <w:proofErr w:type="spellEnd"/>
      <w:r w:rsidRPr="00EA4208">
        <w:rPr>
          <w:rFonts w:cstheme="minorHAnsi"/>
          <w:lang w:val="en-GB"/>
        </w:rPr>
        <w:t xml:space="preserve">, 2017). This effect can be attributed to the manner in which organisational structure shapes the perception of grassroots roles. Dick &amp; </w:t>
      </w:r>
      <w:proofErr w:type="spellStart"/>
      <w:r w:rsidRPr="00EA4208">
        <w:rPr>
          <w:rFonts w:cstheme="minorHAnsi"/>
          <w:lang w:val="en-GB"/>
        </w:rPr>
        <w:t>Jankowicz</w:t>
      </w:r>
      <w:proofErr w:type="spellEnd"/>
      <w:r w:rsidRPr="00EA4208">
        <w:rPr>
          <w:rFonts w:cstheme="minorHAnsi"/>
          <w:lang w:val="en-GB"/>
        </w:rPr>
        <w:t xml:space="preserve"> (2017) also highlighted that that the impediment to women's advancement is not primarily the result of prevalent definitions of their roles, but rather the intersection of these definitions with broader sociocultural expectations regarding women's domestic responsibilities. The study further examines whether the implementation of ambitious objectives to increase the presence of ethnic minority officers in English and Welsh police forces between 2000 and 2010 has resulted in an improvement in organisational integrity. The findings reveal a correlation between an increase in ethnic minority representation within police forces and a subsequent decline in police malfeasance. In addition, a rise in representativeness is associated with a decline in the proportion of black complainants, but it does not appear to influence the ethnicity of those who are the subject of complaints. </w:t>
      </w:r>
    </w:p>
    <w:p w14:paraId="45DBF204" w14:textId="77777777" w:rsidR="00EA4208" w:rsidRPr="00EA4208" w:rsidRDefault="00EA4208" w:rsidP="00EA140E">
      <w:pPr>
        <w:spacing w:line="360" w:lineRule="auto"/>
        <w:jc w:val="both"/>
        <w:rPr>
          <w:rFonts w:cstheme="minorHAnsi"/>
          <w:lang w:val="en-GB"/>
        </w:rPr>
      </w:pPr>
      <w:r w:rsidRPr="00EA4208">
        <w:rPr>
          <w:rFonts w:cstheme="minorHAnsi"/>
          <w:lang w:val="en-GB"/>
        </w:rPr>
        <w:t xml:space="preserve">This empirical evidence suggests that diversifying a bureaucratic workforce to reflect the demographics of the community it serves could be a powerful catalyst for enhancing bureaucratic integrity (Hong, 2017). Consequently, enhanced organisational integrity can influence the attitudes and behaviour of bureaucrats towards minority citizens, ultimately resulting in greater satisfaction among minority constituents. Therefore, the concept of representative bureaucracy may serve as an effective internal mechanism for controlling administrative power, ultimately to the advantage of the populace. The relationship between police confidence and neighbourhood characteristics is a well-established phenomenon. It is generally acknowledged that people tend to have more faith in the authorities when they perceive their community to be orderly, cohesive, and functioning well. In contrast, trust tends to erode when order and cohesion are disrupted or appear to be at risk. Surprisingly, little research has been conducted on the relationship between neighbourhood diversity and police trust. Allport's contact hypothesis posits that by nurturing intergroup contact and a sense of cohesion, diversity may potentially increase public confidence in the law enforcement. </w:t>
      </w:r>
    </w:p>
    <w:p w14:paraId="21E0579A" w14:textId="77777777" w:rsidR="00EA4208" w:rsidRPr="00EA4208" w:rsidRDefault="00EA4208" w:rsidP="00EA140E">
      <w:pPr>
        <w:spacing w:line="360" w:lineRule="auto"/>
        <w:jc w:val="both"/>
        <w:rPr>
          <w:rFonts w:cstheme="minorHAnsi"/>
          <w:lang w:val="en-GB"/>
        </w:rPr>
      </w:pPr>
      <w:r w:rsidRPr="00EA4208">
        <w:rPr>
          <w:rFonts w:cstheme="minorHAnsi"/>
          <w:lang w:val="en-GB"/>
        </w:rPr>
        <w:t xml:space="preserve">To investigate this, Bradford et al. (2019) analysed data from a 2014 nationally representative survey, along with Statistics and other local-area data. This research investigated the relationship between ethno-religious diversity and trust in the Northern Ireland Police Service. The results indicated that trust levels were substantially higher in areas with greater diversity, driven primarily by significantly higher levels of </w:t>
      </w:r>
      <w:r w:rsidRPr="00EA4208">
        <w:rPr>
          <w:rFonts w:cstheme="minorHAnsi"/>
          <w:lang w:val="en-GB"/>
        </w:rPr>
        <w:lastRenderedPageBreak/>
        <w:t>trust reported by Catholics residing in these diverse communities compared to their counterparts residing in less diverse areas. These findings were interpreted within the context of contemporary policing in the Northern Ireland, where significant reforms have been undertaken for nearly two decades, shedding light on the evolving dynamics of public trust in police.</w:t>
      </w:r>
    </w:p>
    <w:p w14:paraId="368D61BF" w14:textId="77777777" w:rsidR="00EA4208" w:rsidRPr="00EA4208" w:rsidRDefault="00EA4208" w:rsidP="00EA140E">
      <w:pPr>
        <w:spacing w:line="360" w:lineRule="auto"/>
        <w:jc w:val="both"/>
        <w:rPr>
          <w:rFonts w:cstheme="minorHAnsi"/>
          <w:lang w:val="en-GB"/>
        </w:rPr>
      </w:pPr>
      <w:r w:rsidRPr="00EA4208">
        <w:rPr>
          <w:rFonts w:cstheme="minorHAnsi"/>
          <w:lang w:val="en-GB"/>
        </w:rPr>
        <w:t>Mark Burke has conducted a groundbreaking research on the intersection of homosexuality and policing two decades ago, revealing pervasive prejudice and hostility towards lesbian, gay, and bisexual (LGB) police officers in nine police forces in England and Wales. At the time, these officers were perceived by their heterosexual counterparts as a threat to the British Police Service's integrity and as a form of contamination. Twenty years later, one of the largest-ever surveys of LGB police officers in England and Wales (n = 836 respondents) reveals that slightly fewer than one-fifth of respondents experienced discrimination. Notably, those in both small and large forces, senior ranks and non-uniformed positions, as well as homosexual men and members of Black, Minority Ethnic groups, reported the highest levels of victimisation in training, deployment, and promotion.</w:t>
      </w:r>
    </w:p>
    <w:p w14:paraId="68EBBC11" w14:textId="77777777" w:rsidR="00EA4208" w:rsidRPr="00EA4208" w:rsidRDefault="00EA4208" w:rsidP="00EA140E">
      <w:pPr>
        <w:spacing w:line="360" w:lineRule="auto"/>
        <w:jc w:val="both"/>
        <w:rPr>
          <w:rFonts w:cstheme="minorHAnsi"/>
          <w:lang w:val="en-GB"/>
        </w:rPr>
      </w:pPr>
      <w:r w:rsidRPr="00EA4208">
        <w:rPr>
          <w:rFonts w:cstheme="minorHAnsi"/>
          <w:lang w:val="en-GB"/>
        </w:rPr>
        <w:t>Consistent with the findings of Brown and Woolfenden, the authors contend that a revaluation of the psychological contract between staff and the organisation should be a central objective of the diversity reform agenda. This necessitates the establishment of a relational framework in which both parties have exchange expectations. Furthermore, efforts should be focused on creating a supportive work environment that leverages and invests in the subjective and intersubjective identity characteristics of LGB police officers, thereby developing a more inclusive and equitable policing environment (Jones &amp; Williams, 2015). Trust is essential for authorities to effectively interact with diverse communities. The study also examined how police officers viewed and trusted people from various backgrounds, which has not yet been studied much in Australia. During their training, 1609 Police Officers were surveyed to gain insight into this phenomenon. The results indicated that trust in diverse groups was influenced by the amount of time and positive interactions that officers spent with these communities. Age also contributed to the formation of these trust perceptions.</w:t>
      </w:r>
    </w:p>
    <w:p w14:paraId="369AD6A8" w14:textId="77777777" w:rsidR="00EA4208" w:rsidRPr="00EA4208" w:rsidRDefault="00EA4208" w:rsidP="00EA140E">
      <w:pPr>
        <w:pStyle w:val="NormalWeb"/>
        <w:spacing w:after="300" w:line="360" w:lineRule="auto"/>
        <w:jc w:val="both"/>
        <w:rPr>
          <w:rFonts w:asciiTheme="minorHAnsi" w:hAnsiTheme="minorHAnsi" w:cstheme="minorHAnsi"/>
          <w:sz w:val="22"/>
          <w:szCs w:val="22"/>
          <w:lang w:val="en-GB"/>
        </w:rPr>
      </w:pPr>
      <w:r w:rsidRPr="00EA4208">
        <w:rPr>
          <w:rFonts w:asciiTheme="minorHAnsi" w:hAnsiTheme="minorHAnsi" w:cstheme="minorHAnsi"/>
          <w:lang w:val="en-GB"/>
        </w:rPr>
        <w:t xml:space="preserve">If police officers have positive experiences and spend time with people from diverse backgrounds, they are more likely to trust them. Building positive relationships between the enforcement and the community requires this trust. </w:t>
      </w:r>
      <w:r w:rsidRPr="00EA4208">
        <w:rPr>
          <w:rFonts w:cstheme="minorHAnsi"/>
          <w:lang w:val="en-GB"/>
        </w:rPr>
        <w:t>As</w:t>
      </w:r>
      <w:r w:rsidRPr="00EA4208">
        <w:rPr>
          <w:rFonts w:asciiTheme="minorHAnsi" w:hAnsiTheme="minorHAnsi" w:cstheme="minorHAnsi"/>
          <w:lang w:val="en-GB"/>
        </w:rPr>
        <w:t xml:space="preserve"> a result, in police-community interactions, trust is crucial, particularly with diverse populations. This study demonstrates that spending time with and interacting positively with diverse communities can increase trust (Miles-</w:t>
      </w:r>
      <w:r w:rsidRPr="00EA4208">
        <w:rPr>
          <w:rFonts w:asciiTheme="minorHAnsi" w:hAnsiTheme="minorHAnsi" w:cstheme="minorHAnsi"/>
          <w:lang w:val="en-GB"/>
        </w:rPr>
        <w:lastRenderedPageBreak/>
        <w:t>Johnson &amp; Pickering, 2018).</w:t>
      </w:r>
      <w:r w:rsidRPr="00EA4208">
        <w:rPr>
          <w:rFonts w:cstheme="minorHAnsi"/>
          <w:lang w:val="en-GB"/>
        </w:rPr>
        <w:t xml:space="preserve"> </w:t>
      </w:r>
      <w:r w:rsidRPr="00EA4208">
        <w:rPr>
          <w:rFonts w:asciiTheme="minorHAnsi" w:hAnsiTheme="minorHAnsi" w:cstheme="minorHAnsi"/>
          <w:sz w:val="22"/>
          <w:szCs w:val="22"/>
          <w:lang w:val="en-GB"/>
        </w:rPr>
        <w:t>Recognising the diversity of police departments is essential for fostering trust and improving relations with the communities they serve. A police force reflecting the demographics of its community fosters a sense of shared belonging, thereby facilitating effective interactions and bolstering crime prevention efforts. Promoting diversity is linked to the promotion of trust, which is essential for the success of criminal justice.</w:t>
      </w:r>
    </w:p>
    <w:p w14:paraId="6D29B5E2" w14:textId="77777777" w:rsidR="00EA4208" w:rsidRPr="00EA4208" w:rsidRDefault="00EA4208" w:rsidP="00EA140E">
      <w:pPr>
        <w:pStyle w:val="NormalWeb"/>
        <w:spacing w:after="300" w:line="360" w:lineRule="auto"/>
        <w:jc w:val="both"/>
        <w:rPr>
          <w:rFonts w:asciiTheme="minorHAnsi" w:hAnsiTheme="minorHAnsi" w:cstheme="minorHAnsi"/>
          <w:sz w:val="22"/>
          <w:szCs w:val="22"/>
          <w:lang w:val="en-GB"/>
        </w:rPr>
      </w:pPr>
      <w:r w:rsidRPr="00EA4208">
        <w:rPr>
          <w:rFonts w:asciiTheme="minorHAnsi" w:hAnsiTheme="minorHAnsi" w:cstheme="minorHAnsi"/>
          <w:sz w:val="22"/>
          <w:szCs w:val="22"/>
          <w:lang w:val="en-GB"/>
        </w:rPr>
        <w:t>However, diversity in policing intersects with entrenched societal disparities, which policing can either worsen or reduce. Minority communities are frequently subjected to discriminatory practises, resulting in tensions between these communities and law enforcement. This context must be acknowledged in order to address systemic issues and promote fairness and justice in policing. Understanding diversity therefore requires more than surface-level efforts; it is a precondition for equitable policing. Diverse officers provide distinct insights into cultural norms and community dynamics, allowing for the customization of police tactics. Implementing these strategies can improve public safety outcomes and foster stronger, more reliable relationships with the communities they serve.</w:t>
      </w:r>
    </w:p>
    <w:p w14:paraId="74338A8C" w14:textId="77777777" w:rsidR="00EA4208" w:rsidRPr="00EA4208" w:rsidRDefault="00EA4208" w:rsidP="00EA140E">
      <w:pPr>
        <w:pStyle w:val="NormalWeb"/>
        <w:spacing w:before="0" w:beforeAutospacing="0" w:after="300" w:afterAutospacing="0" w:line="360" w:lineRule="auto"/>
        <w:jc w:val="both"/>
        <w:rPr>
          <w:rFonts w:asciiTheme="minorHAnsi" w:hAnsiTheme="minorHAnsi" w:cstheme="minorHAnsi"/>
          <w:sz w:val="22"/>
          <w:szCs w:val="22"/>
          <w:lang w:val="en-GB"/>
        </w:rPr>
      </w:pPr>
      <w:r w:rsidRPr="00EA4208">
        <w:rPr>
          <w:rFonts w:asciiTheme="minorHAnsi" w:hAnsiTheme="minorHAnsi" w:cstheme="minorHAnsi"/>
          <w:sz w:val="22"/>
          <w:szCs w:val="22"/>
          <w:lang w:val="en-GB"/>
        </w:rPr>
        <w:t>In conclusion, the role of diversity in policing is complex yet essential, necessitating continuous efforts to ensure equal, just, and effective law enforcement that reflects the contemporary society's diverse fabric. This essay has explored into the various aspects of diversity in operational policing, addressing its opportunities and challenges through extensive research. Diversity is undoubtedly an indispensable aspect of modern society and policing, influencing numerous facets of law enforcement. Modern policing operating in communities that are becoming increasingly diverse would offer both opportunities and complexities. Ethnic and multicultural contexts introduce disparities in language, cultural practises, and beliefs, necessitating a more in-depth examination of the associated difficulties. In addition, it should be emphasised that the imperative need for innovative responses to hate crimes, especially considering the rise in global incidents. Frequently, victims of hate crimes encounter barriers to reporting, necessitating measures to bridge the gap between official narratives and victims' lived experiences. Given that language barriers hinder effective policing in the United Kingdom's diverse communities, impeding communication, trust, and information gathering, it is crucial to recruit multilingual officers, professional interpreters, and implementing cultural awareness programmes to overcome these obstacles.</w:t>
      </w:r>
    </w:p>
    <w:p w14:paraId="785708FA" w14:textId="77777777" w:rsidR="00EA4208" w:rsidRDefault="00EA4208" w:rsidP="00EA4208">
      <w:pPr>
        <w:pStyle w:val="NormalWeb"/>
        <w:spacing w:before="0" w:beforeAutospacing="0" w:after="300" w:afterAutospacing="0"/>
        <w:jc w:val="both"/>
        <w:rPr>
          <w:rFonts w:asciiTheme="minorHAnsi" w:hAnsiTheme="minorHAnsi" w:cstheme="minorHAnsi"/>
          <w:sz w:val="22"/>
          <w:szCs w:val="22"/>
          <w:lang w:val="en-GB"/>
        </w:rPr>
      </w:pPr>
    </w:p>
    <w:p w14:paraId="0A1C81D8" w14:textId="77777777" w:rsidR="00EA4208" w:rsidRDefault="00EA4208" w:rsidP="00EA4208">
      <w:pPr>
        <w:spacing w:line="480" w:lineRule="auto"/>
        <w:rPr>
          <w:b/>
          <w:bCs/>
          <w:lang w:val="en-GB"/>
        </w:rPr>
      </w:pPr>
    </w:p>
    <w:p w14:paraId="41C6C0D5" w14:textId="77777777" w:rsidR="007B620C" w:rsidRDefault="007B620C" w:rsidP="007B620C">
      <w:pPr>
        <w:spacing w:line="480" w:lineRule="auto"/>
        <w:rPr>
          <w:b/>
          <w:bCs/>
          <w:lang w:val="en-GB"/>
        </w:rPr>
      </w:pPr>
      <w:r>
        <w:rPr>
          <w:b/>
          <w:bCs/>
          <w:lang w:val="en-GB"/>
        </w:rPr>
        <w:lastRenderedPageBreak/>
        <w:t xml:space="preserve">References </w:t>
      </w:r>
      <w:r w:rsidR="00EA4208" w:rsidRPr="005C5B30">
        <w:rPr>
          <w:b/>
          <w:bCs/>
          <w:lang w:val="en-GB"/>
        </w:rPr>
        <w:t xml:space="preserve"> </w:t>
      </w:r>
    </w:p>
    <w:p w14:paraId="2FEB33AF" w14:textId="48020023" w:rsidR="00EA4208" w:rsidRPr="007B620C" w:rsidRDefault="00EA4208" w:rsidP="007B620C">
      <w:pPr>
        <w:spacing w:line="480" w:lineRule="auto"/>
        <w:rPr>
          <w:b/>
          <w:bCs/>
          <w:lang w:val="en-GB"/>
        </w:rPr>
      </w:pPr>
      <w:r w:rsidRPr="00E821FA">
        <w:rPr>
          <w:rFonts w:eastAsia="Times New Roman" w:cstheme="minorHAnsi"/>
          <w:color w:val="000000"/>
          <w:kern w:val="0"/>
          <w:lang w:val="en-GB"/>
          <w14:ligatures w14:val="none"/>
        </w:rPr>
        <w:t>Bradford, B., Topping, J., Martin, R., &amp; Jackson, J. (2019). Can diversity promote trust? Neighbourhood context and trust in the police in Northern Ireland. </w:t>
      </w:r>
      <w:r w:rsidRPr="00E821FA">
        <w:rPr>
          <w:rFonts w:eastAsia="Times New Roman" w:cstheme="minorHAnsi"/>
          <w:i/>
          <w:iCs/>
          <w:color w:val="000000"/>
          <w:kern w:val="0"/>
          <w:lang w:val="en-GB"/>
          <w14:ligatures w14:val="none"/>
        </w:rPr>
        <w:t>Policing &amp; Society</w:t>
      </w:r>
      <w:r w:rsidRPr="00E821FA">
        <w:rPr>
          <w:rFonts w:eastAsia="Times New Roman" w:cstheme="minorHAnsi"/>
          <w:color w:val="000000"/>
          <w:kern w:val="0"/>
          <w:lang w:val="en-GB"/>
          <w14:ligatures w14:val="none"/>
        </w:rPr>
        <w:t>, </w:t>
      </w:r>
      <w:r w:rsidRPr="00E821FA">
        <w:rPr>
          <w:rFonts w:eastAsia="Times New Roman" w:cstheme="minorHAnsi"/>
          <w:i/>
          <w:iCs/>
          <w:color w:val="000000"/>
          <w:kern w:val="0"/>
          <w:lang w:val="en-GB"/>
          <w14:ligatures w14:val="none"/>
        </w:rPr>
        <w:t>29</w:t>
      </w:r>
      <w:r w:rsidRPr="00E821FA">
        <w:rPr>
          <w:rFonts w:eastAsia="Times New Roman" w:cstheme="minorHAnsi"/>
          <w:color w:val="000000"/>
          <w:kern w:val="0"/>
          <w:lang w:val="en-GB"/>
          <w14:ligatures w14:val="none"/>
        </w:rPr>
        <w:t xml:space="preserve">(9), 1022–1041. </w:t>
      </w:r>
      <w:hyperlink r:id="rId18" w:history="1">
        <w:r w:rsidRPr="00503281">
          <w:rPr>
            <w:rStyle w:val="Hyperlink"/>
            <w:rFonts w:eastAsia="Times New Roman" w:cstheme="minorHAnsi"/>
            <w:kern w:val="0"/>
            <w:lang w:val="en-GB"/>
            <w14:ligatures w14:val="none"/>
          </w:rPr>
          <w:t>https://doi.org/10.1080/10439463.2018.1479409</w:t>
        </w:r>
      </w:hyperlink>
      <w:r w:rsidR="007B620C">
        <w:rPr>
          <w:rStyle w:val="Hyperlink"/>
          <w:rFonts w:eastAsia="Times New Roman" w:cstheme="minorHAnsi"/>
          <w:kern w:val="0"/>
          <w:lang w:val="en-GB"/>
          <w14:ligatures w14:val="none"/>
        </w:rPr>
        <w:t xml:space="preserve"> </w:t>
      </w:r>
      <w:r w:rsidR="007B620C" w:rsidRPr="007B620C">
        <w:rPr>
          <w:rStyle w:val="Hyperlink"/>
          <w:rFonts w:eastAsia="Times New Roman" w:cstheme="minorHAnsi"/>
          <w:color w:val="auto"/>
          <w:kern w:val="0"/>
          <w:u w:val="none"/>
          <w:lang w:val="en-GB"/>
          <w14:ligatures w14:val="none"/>
        </w:rPr>
        <w:t>(Accessed: 1st September 2023).</w:t>
      </w:r>
      <w:r w:rsidR="007B620C" w:rsidRPr="007B620C">
        <w:rPr>
          <w:rStyle w:val="Hyperlink"/>
          <w:rFonts w:eastAsia="Times New Roman" w:cstheme="minorHAnsi"/>
          <w:color w:val="auto"/>
          <w:kern w:val="0"/>
          <w:lang w:val="en-GB"/>
          <w14:ligatures w14:val="none"/>
        </w:rPr>
        <w:t xml:space="preserve">  </w:t>
      </w:r>
    </w:p>
    <w:p w14:paraId="6D2AA055" w14:textId="7E427FCD" w:rsidR="00EA4208" w:rsidRDefault="00EA4208" w:rsidP="00EA4208">
      <w:pPr>
        <w:spacing w:before="240" w:line="360" w:lineRule="auto"/>
        <w:rPr>
          <w:rFonts w:eastAsia="Times New Roman" w:cstheme="minorHAnsi"/>
          <w:color w:val="000000"/>
          <w:kern w:val="0"/>
          <w:lang w:val="en-GB"/>
          <w14:ligatures w14:val="none"/>
        </w:rPr>
      </w:pPr>
      <w:r w:rsidRPr="00E821FA">
        <w:rPr>
          <w:rFonts w:eastAsia="Times New Roman" w:cstheme="minorHAnsi"/>
          <w:color w:val="000000"/>
          <w:kern w:val="0"/>
          <w:lang w:val="en-GB"/>
          <w14:ligatures w14:val="none"/>
        </w:rPr>
        <w:t>Chakraborti, N. (2018). Responding to hate crime: Escalating problems, continued failings. </w:t>
      </w:r>
      <w:r w:rsidRPr="00E821FA">
        <w:rPr>
          <w:rFonts w:eastAsia="Times New Roman" w:cstheme="minorHAnsi"/>
          <w:i/>
          <w:iCs/>
          <w:color w:val="000000"/>
          <w:kern w:val="0"/>
          <w:lang w:val="en-GB"/>
          <w14:ligatures w14:val="none"/>
        </w:rPr>
        <w:t>Criminology &amp; Criminal Justice: The International Journal of Policy and Practice</w:t>
      </w:r>
      <w:r w:rsidRPr="00E821FA">
        <w:rPr>
          <w:rFonts w:eastAsia="Times New Roman" w:cstheme="minorHAnsi"/>
          <w:color w:val="000000"/>
          <w:kern w:val="0"/>
          <w:lang w:val="en-GB"/>
          <w14:ligatures w14:val="none"/>
        </w:rPr>
        <w:t>, </w:t>
      </w:r>
      <w:r w:rsidRPr="00E821FA">
        <w:rPr>
          <w:rFonts w:eastAsia="Times New Roman" w:cstheme="minorHAnsi"/>
          <w:i/>
          <w:iCs/>
          <w:color w:val="000000"/>
          <w:kern w:val="0"/>
          <w:lang w:val="en-GB"/>
          <w14:ligatures w14:val="none"/>
        </w:rPr>
        <w:t>18</w:t>
      </w:r>
      <w:r w:rsidRPr="00E821FA">
        <w:rPr>
          <w:rFonts w:eastAsia="Times New Roman" w:cstheme="minorHAnsi"/>
          <w:color w:val="000000"/>
          <w:kern w:val="0"/>
          <w:lang w:val="en-GB"/>
          <w14:ligatures w14:val="none"/>
        </w:rPr>
        <w:t xml:space="preserve">(4), 387–404. </w:t>
      </w:r>
      <w:hyperlink r:id="rId19" w:history="1">
        <w:r w:rsidRPr="00503281">
          <w:rPr>
            <w:rStyle w:val="Hyperlink"/>
            <w:rFonts w:eastAsia="Times New Roman" w:cstheme="minorHAnsi"/>
            <w:kern w:val="0"/>
            <w:lang w:val="en-GB"/>
            <w14:ligatures w14:val="none"/>
          </w:rPr>
          <w:t>https://doi.org/10.1177/1748895817736096</w:t>
        </w:r>
      </w:hyperlink>
      <w:r w:rsidR="007B620C">
        <w:rPr>
          <w:rStyle w:val="Hyperlink"/>
          <w:rFonts w:eastAsia="Times New Roman" w:cstheme="minorHAnsi"/>
          <w:kern w:val="0"/>
          <w:lang w:val="en-GB"/>
          <w14:ligatures w14:val="none"/>
        </w:rPr>
        <w:t xml:space="preserve"> </w:t>
      </w:r>
      <w:r w:rsidR="007B620C" w:rsidRPr="007B620C">
        <w:rPr>
          <w:rStyle w:val="Hyperlink"/>
          <w:rFonts w:eastAsia="Times New Roman" w:cstheme="minorHAnsi"/>
          <w:color w:val="auto"/>
          <w:kern w:val="0"/>
          <w:u w:val="none"/>
          <w:lang w:val="en-GB"/>
          <w14:ligatures w14:val="none"/>
        </w:rPr>
        <w:t>(Accessed: 1st September 2023).</w:t>
      </w:r>
      <w:r w:rsidR="007B620C" w:rsidRPr="007B620C">
        <w:rPr>
          <w:rStyle w:val="Hyperlink"/>
          <w:rFonts w:eastAsia="Times New Roman" w:cstheme="minorHAnsi"/>
          <w:color w:val="auto"/>
          <w:kern w:val="0"/>
          <w:lang w:val="en-GB"/>
          <w14:ligatures w14:val="none"/>
        </w:rPr>
        <w:t xml:space="preserve">  </w:t>
      </w:r>
    </w:p>
    <w:p w14:paraId="1755BBF7" w14:textId="77777777" w:rsidR="00EA4208" w:rsidRDefault="00EA4208" w:rsidP="00EA4208">
      <w:pPr>
        <w:spacing w:before="240" w:line="360" w:lineRule="auto"/>
        <w:rPr>
          <w:rFonts w:eastAsia="Times New Roman" w:cstheme="minorHAnsi"/>
          <w:color w:val="000000"/>
          <w:kern w:val="0"/>
          <w:lang w:val="en-GB"/>
          <w14:ligatures w14:val="none"/>
        </w:rPr>
      </w:pPr>
      <w:r w:rsidRPr="00E821FA">
        <w:rPr>
          <w:rFonts w:eastAsia="Times New Roman" w:cstheme="minorHAnsi"/>
          <w:color w:val="000000"/>
          <w:kern w:val="0"/>
          <w:lang w:val="en-GB"/>
          <w14:ligatures w14:val="none"/>
        </w:rPr>
        <w:t xml:space="preserve">Dick, P., &amp; </w:t>
      </w:r>
      <w:proofErr w:type="spellStart"/>
      <w:r w:rsidRPr="00E821FA">
        <w:rPr>
          <w:rFonts w:eastAsia="Times New Roman" w:cstheme="minorHAnsi"/>
          <w:color w:val="000000"/>
          <w:kern w:val="0"/>
          <w:lang w:val="en-GB"/>
          <w14:ligatures w14:val="none"/>
        </w:rPr>
        <w:t>Jankowicz</w:t>
      </w:r>
      <w:proofErr w:type="spellEnd"/>
      <w:r w:rsidRPr="00E821FA">
        <w:rPr>
          <w:rFonts w:eastAsia="Times New Roman" w:cstheme="minorHAnsi"/>
          <w:color w:val="000000"/>
          <w:kern w:val="0"/>
          <w:lang w:val="en-GB"/>
          <w14:ligatures w14:val="none"/>
        </w:rPr>
        <w:t>, D. (2017). A social constructionist account of police culture and its influence on the representation and progression of female officers. In </w:t>
      </w:r>
      <w:r w:rsidRPr="00E821FA">
        <w:rPr>
          <w:rFonts w:eastAsia="Times New Roman" w:cstheme="minorHAnsi"/>
          <w:i/>
          <w:iCs/>
          <w:color w:val="000000"/>
          <w:kern w:val="0"/>
          <w:lang w:val="en-GB"/>
          <w14:ligatures w14:val="none"/>
        </w:rPr>
        <w:t>Women Police</w:t>
      </w:r>
      <w:r w:rsidRPr="00E821FA">
        <w:rPr>
          <w:rFonts w:eastAsia="Times New Roman" w:cstheme="minorHAnsi"/>
          <w:color w:val="000000"/>
          <w:kern w:val="0"/>
          <w:lang w:val="en-GB"/>
          <w14:ligatures w14:val="none"/>
        </w:rPr>
        <w:t> (1st Edition, pp. 213–231). Routledge.</w:t>
      </w:r>
    </w:p>
    <w:p w14:paraId="0292AF90" w14:textId="58A79FEC" w:rsidR="00EA4208" w:rsidRPr="007B620C" w:rsidRDefault="00EA4208" w:rsidP="007B620C">
      <w:pPr>
        <w:spacing w:before="240" w:line="360" w:lineRule="auto"/>
        <w:rPr>
          <w:rFonts w:eastAsia="Times New Roman" w:cstheme="minorHAnsi"/>
          <w:kern w:val="0"/>
          <w:lang w:val="en-GB"/>
          <w14:ligatures w14:val="none"/>
        </w:rPr>
      </w:pPr>
      <w:r w:rsidRPr="00E821FA">
        <w:rPr>
          <w:rFonts w:eastAsia="Times New Roman" w:cstheme="minorHAnsi"/>
          <w:color w:val="000000"/>
          <w:kern w:val="0"/>
          <w:lang w:val="en-GB"/>
          <w14:ligatures w14:val="none"/>
        </w:rPr>
        <w:t>Evans, M., Jeffries, L., &amp; O’Driscoll, J. (2019). </w:t>
      </w:r>
      <w:r w:rsidRPr="00E821FA">
        <w:rPr>
          <w:rFonts w:eastAsia="Times New Roman" w:cstheme="minorHAnsi"/>
          <w:i/>
          <w:iCs/>
          <w:color w:val="000000"/>
          <w:kern w:val="0"/>
          <w:lang w:val="en-GB"/>
          <w14:ligatures w14:val="none"/>
        </w:rPr>
        <w:t>The Routledge Handbook of language in conflict</w:t>
      </w:r>
      <w:r w:rsidRPr="00E821FA">
        <w:rPr>
          <w:rFonts w:eastAsia="Times New Roman" w:cstheme="minorHAnsi"/>
          <w:color w:val="000000"/>
          <w:kern w:val="0"/>
          <w:lang w:val="en-GB"/>
          <w14:ligatures w14:val="none"/>
        </w:rPr>
        <w:t>. Routledge.</w:t>
      </w:r>
      <w:r w:rsidRPr="00E821FA">
        <w:rPr>
          <w:rFonts w:eastAsia="Times New Roman" w:cstheme="minorHAnsi"/>
          <w:color w:val="000000"/>
          <w:kern w:val="0"/>
          <w:lang w:val="en-GB"/>
          <w14:ligatures w14:val="none"/>
        </w:rPr>
        <w:br/>
        <w:t>Hong, S. (2017). Does increasing ethnic representativeness reduce police misconduct? </w:t>
      </w:r>
      <w:r w:rsidRPr="00E821FA">
        <w:rPr>
          <w:rFonts w:eastAsia="Times New Roman" w:cstheme="minorHAnsi"/>
          <w:i/>
          <w:iCs/>
          <w:color w:val="000000"/>
          <w:kern w:val="0"/>
          <w:lang w:val="en-GB"/>
          <w14:ligatures w14:val="none"/>
        </w:rPr>
        <w:t>Public Administration Review</w:t>
      </w:r>
      <w:r w:rsidRPr="00E821FA">
        <w:rPr>
          <w:rFonts w:eastAsia="Times New Roman" w:cstheme="minorHAnsi"/>
          <w:color w:val="000000"/>
          <w:kern w:val="0"/>
          <w:lang w:val="en-GB"/>
          <w14:ligatures w14:val="none"/>
        </w:rPr>
        <w:t>, </w:t>
      </w:r>
      <w:r w:rsidRPr="00E821FA">
        <w:rPr>
          <w:rFonts w:eastAsia="Times New Roman" w:cstheme="minorHAnsi"/>
          <w:i/>
          <w:iCs/>
          <w:color w:val="000000"/>
          <w:kern w:val="0"/>
          <w:lang w:val="en-GB"/>
          <w14:ligatures w14:val="none"/>
        </w:rPr>
        <w:t>77</w:t>
      </w:r>
      <w:r w:rsidRPr="00E821FA">
        <w:rPr>
          <w:rFonts w:eastAsia="Times New Roman" w:cstheme="minorHAnsi"/>
          <w:color w:val="000000"/>
          <w:kern w:val="0"/>
          <w:lang w:val="en-GB"/>
          <w14:ligatures w14:val="none"/>
        </w:rPr>
        <w:t xml:space="preserve">(2), 195–205. </w:t>
      </w:r>
      <w:hyperlink r:id="rId20" w:history="1">
        <w:r w:rsidRPr="00503281">
          <w:rPr>
            <w:rStyle w:val="Hyperlink"/>
            <w:rFonts w:eastAsia="Times New Roman" w:cstheme="minorHAnsi"/>
            <w:kern w:val="0"/>
            <w:lang w:val="en-GB"/>
            <w14:ligatures w14:val="none"/>
          </w:rPr>
          <w:t>https://doi.org/10.1111/puar.12629</w:t>
        </w:r>
      </w:hyperlink>
      <w:r w:rsidR="007B620C">
        <w:rPr>
          <w:rStyle w:val="Hyperlink"/>
          <w:rFonts w:eastAsia="Times New Roman" w:cstheme="minorHAnsi"/>
          <w:kern w:val="0"/>
          <w:lang w:val="en-GB"/>
          <w14:ligatures w14:val="none"/>
        </w:rPr>
        <w:t xml:space="preserve"> </w:t>
      </w:r>
      <w:r w:rsidR="007B620C" w:rsidRPr="007B620C">
        <w:rPr>
          <w:rStyle w:val="Hyperlink"/>
          <w:rFonts w:eastAsia="Times New Roman" w:cstheme="minorHAnsi"/>
          <w:color w:val="auto"/>
          <w:kern w:val="0"/>
          <w:u w:val="none"/>
          <w:lang w:val="en-GB"/>
          <w14:ligatures w14:val="none"/>
        </w:rPr>
        <w:t xml:space="preserve">(Accessed: 1st September 2023).  </w:t>
      </w:r>
      <w:r w:rsidRPr="00E821FA">
        <w:rPr>
          <w:rFonts w:eastAsia="Times New Roman" w:cstheme="minorHAnsi"/>
          <w:color w:val="000000"/>
          <w:kern w:val="0"/>
          <w:lang w:val="en-GB"/>
          <w14:ligatures w14:val="none"/>
        </w:rPr>
        <w:br/>
        <w:t>Jones, M., &amp; Williams, M. L. (2015). Twenty years on: lesbian, gay and bisexual police officers’ experiences of workplace discrimination in England and Wales. </w:t>
      </w:r>
      <w:r w:rsidRPr="00E821FA">
        <w:rPr>
          <w:rFonts w:eastAsia="Times New Roman" w:cstheme="minorHAnsi"/>
          <w:i/>
          <w:iCs/>
          <w:color w:val="000000"/>
          <w:kern w:val="0"/>
          <w:lang w:val="en-GB"/>
          <w14:ligatures w14:val="none"/>
        </w:rPr>
        <w:t>Policing &amp; Society</w:t>
      </w:r>
      <w:r w:rsidRPr="00E821FA">
        <w:rPr>
          <w:rFonts w:eastAsia="Times New Roman" w:cstheme="minorHAnsi"/>
          <w:color w:val="000000"/>
          <w:kern w:val="0"/>
          <w:lang w:val="en-GB"/>
          <w14:ligatures w14:val="none"/>
        </w:rPr>
        <w:t>, </w:t>
      </w:r>
      <w:r w:rsidRPr="00E821FA">
        <w:rPr>
          <w:rFonts w:eastAsia="Times New Roman" w:cstheme="minorHAnsi"/>
          <w:i/>
          <w:iCs/>
          <w:color w:val="000000"/>
          <w:kern w:val="0"/>
          <w:lang w:val="en-GB"/>
          <w14:ligatures w14:val="none"/>
        </w:rPr>
        <w:t>25</w:t>
      </w:r>
      <w:r w:rsidRPr="00E821FA">
        <w:rPr>
          <w:rFonts w:eastAsia="Times New Roman" w:cstheme="minorHAnsi"/>
          <w:color w:val="000000"/>
          <w:kern w:val="0"/>
          <w:lang w:val="en-GB"/>
          <w14:ligatures w14:val="none"/>
        </w:rPr>
        <w:t xml:space="preserve">(2), 188–211. </w:t>
      </w:r>
      <w:hyperlink r:id="rId21" w:history="1">
        <w:r w:rsidRPr="00503281">
          <w:rPr>
            <w:rStyle w:val="Hyperlink"/>
            <w:rFonts w:eastAsia="Times New Roman" w:cstheme="minorHAnsi"/>
            <w:kern w:val="0"/>
            <w:lang w:val="en-GB"/>
            <w14:ligatures w14:val="none"/>
          </w:rPr>
          <w:t>https://doi.org/10.1080/10439463.2013.817998</w:t>
        </w:r>
      </w:hyperlink>
      <w:r w:rsidR="007B620C">
        <w:rPr>
          <w:rStyle w:val="Hyperlink"/>
          <w:rFonts w:eastAsia="Times New Roman" w:cstheme="minorHAnsi"/>
          <w:kern w:val="0"/>
          <w:lang w:val="en-GB"/>
          <w14:ligatures w14:val="none"/>
        </w:rPr>
        <w:t xml:space="preserve"> </w:t>
      </w:r>
      <w:r w:rsidR="007B620C" w:rsidRPr="007B620C">
        <w:rPr>
          <w:rStyle w:val="Hyperlink"/>
          <w:rFonts w:eastAsia="Times New Roman" w:cstheme="minorHAnsi"/>
          <w:color w:val="auto"/>
          <w:kern w:val="0"/>
          <w:u w:val="none"/>
          <w:lang w:val="en-GB"/>
          <w14:ligatures w14:val="none"/>
        </w:rPr>
        <w:t>(Accessed: 1st September 2023).</w:t>
      </w:r>
      <w:r w:rsidR="007B620C" w:rsidRPr="007B620C">
        <w:rPr>
          <w:rStyle w:val="Hyperlink"/>
          <w:rFonts w:eastAsia="Times New Roman" w:cstheme="minorHAnsi"/>
          <w:color w:val="auto"/>
          <w:kern w:val="0"/>
          <w:lang w:val="en-GB"/>
          <w14:ligatures w14:val="none"/>
        </w:rPr>
        <w:t xml:space="preserve">  </w:t>
      </w:r>
    </w:p>
    <w:p w14:paraId="5065E547" w14:textId="77777777" w:rsidR="00EA4208" w:rsidRDefault="00EA4208" w:rsidP="00EA4208">
      <w:pPr>
        <w:spacing w:before="240" w:after="240" w:line="360" w:lineRule="auto"/>
        <w:rPr>
          <w:rFonts w:eastAsia="Times New Roman" w:cstheme="minorHAnsi"/>
          <w:color w:val="000000"/>
          <w:kern w:val="0"/>
          <w:lang w:val="en-GB"/>
          <w14:ligatures w14:val="none"/>
        </w:rPr>
      </w:pPr>
      <w:r w:rsidRPr="00E821FA">
        <w:rPr>
          <w:rFonts w:eastAsia="Times New Roman" w:cstheme="minorHAnsi"/>
          <w:color w:val="000000"/>
          <w:kern w:val="0"/>
          <w:lang w:val="en-GB"/>
          <w14:ligatures w14:val="none"/>
        </w:rPr>
        <w:t>Kappeler, V. E., Gaines, L. K., &amp; Schaefer, B. P. (2020). </w:t>
      </w:r>
      <w:r w:rsidRPr="00E821FA">
        <w:rPr>
          <w:rFonts w:eastAsia="Times New Roman" w:cstheme="minorHAnsi"/>
          <w:i/>
          <w:iCs/>
          <w:color w:val="000000"/>
          <w:kern w:val="0"/>
          <w:lang w:val="en-GB"/>
          <w14:ligatures w14:val="none"/>
        </w:rPr>
        <w:t>Community policing: A contemporary perspective</w:t>
      </w:r>
      <w:r w:rsidRPr="00E821FA">
        <w:rPr>
          <w:rFonts w:eastAsia="Times New Roman" w:cstheme="minorHAnsi"/>
          <w:color w:val="000000"/>
          <w:kern w:val="0"/>
          <w:lang w:val="en-GB"/>
          <w14:ligatures w14:val="none"/>
        </w:rPr>
        <w:t> (8th Edition). Routledge.</w:t>
      </w:r>
    </w:p>
    <w:p w14:paraId="1EA40B74" w14:textId="77777777" w:rsidR="007B620C" w:rsidRDefault="00EA4208" w:rsidP="00EA4208">
      <w:pPr>
        <w:spacing w:before="240" w:after="240" w:line="360" w:lineRule="auto"/>
        <w:rPr>
          <w:rFonts w:eastAsia="Times New Roman" w:cstheme="minorHAnsi"/>
          <w:color w:val="000000"/>
          <w:kern w:val="0"/>
          <w:lang w:val="en-GB"/>
          <w14:ligatures w14:val="none"/>
        </w:rPr>
      </w:pPr>
      <w:r w:rsidRPr="00E821FA">
        <w:rPr>
          <w:rFonts w:eastAsia="Times New Roman" w:cstheme="minorHAnsi"/>
          <w:color w:val="000000"/>
          <w:kern w:val="0"/>
          <w:lang w:val="en-GB"/>
          <w14:ligatures w14:val="none"/>
        </w:rPr>
        <w:t>Kite, M. E., Whitley, B. E., Jr, &amp; Wagner, L. S. (2022). </w:t>
      </w:r>
      <w:r w:rsidRPr="00E821FA">
        <w:rPr>
          <w:rFonts w:eastAsia="Times New Roman" w:cstheme="minorHAnsi"/>
          <w:i/>
          <w:iCs/>
          <w:color w:val="000000"/>
          <w:kern w:val="0"/>
          <w:lang w:val="en-GB"/>
          <w14:ligatures w14:val="none"/>
        </w:rPr>
        <w:t>Psychology of prejudice and discrimination</w:t>
      </w:r>
      <w:r w:rsidRPr="00E821FA">
        <w:rPr>
          <w:rFonts w:eastAsia="Times New Roman" w:cstheme="minorHAnsi"/>
          <w:color w:val="000000"/>
          <w:kern w:val="0"/>
          <w:lang w:val="en-GB"/>
          <w14:ligatures w14:val="none"/>
        </w:rPr>
        <w:t>. Taylor &amp; Francis.</w:t>
      </w:r>
    </w:p>
    <w:p w14:paraId="258C772C" w14:textId="7CE334E2" w:rsidR="00EA4208" w:rsidRDefault="00EA4208" w:rsidP="00EA4208">
      <w:pPr>
        <w:spacing w:before="240" w:after="240" w:line="360" w:lineRule="auto"/>
        <w:rPr>
          <w:rFonts w:eastAsia="Times New Roman" w:cstheme="minorHAnsi"/>
          <w:color w:val="000000"/>
          <w:kern w:val="0"/>
          <w:lang w:val="en-GB"/>
          <w14:ligatures w14:val="none"/>
        </w:rPr>
      </w:pPr>
      <w:r w:rsidRPr="00E821FA">
        <w:rPr>
          <w:rFonts w:eastAsia="Times New Roman" w:cstheme="minorHAnsi"/>
          <w:color w:val="000000"/>
          <w:kern w:val="0"/>
          <w:lang w:val="en-GB"/>
          <w14:ligatures w14:val="none"/>
        </w:rPr>
        <w:t>Miles-Johnson, T., &amp; Pickering, S. (2018). Police recruits and perceptions of trust in diverse groups. </w:t>
      </w:r>
      <w:r w:rsidRPr="00E821FA">
        <w:rPr>
          <w:rFonts w:eastAsia="Times New Roman" w:cstheme="minorHAnsi"/>
          <w:i/>
          <w:iCs/>
          <w:color w:val="000000"/>
          <w:kern w:val="0"/>
          <w:lang w:val="en-GB"/>
          <w14:ligatures w14:val="none"/>
        </w:rPr>
        <w:t>Police Practice &amp; Research: An International Journal</w:t>
      </w:r>
      <w:r w:rsidRPr="00E821FA">
        <w:rPr>
          <w:rFonts w:eastAsia="Times New Roman" w:cstheme="minorHAnsi"/>
          <w:color w:val="000000"/>
          <w:kern w:val="0"/>
          <w:lang w:val="en-GB"/>
          <w14:ligatures w14:val="none"/>
        </w:rPr>
        <w:t>, </w:t>
      </w:r>
      <w:r w:rsidRPr="00E821FA">
        <w:rPr>
          <w:rFonts w:eastAsia="Times New Roman" w:cstheme="minorHAnsi"/>
          <w:i/>
          <w:iCs/>
          <w:color w:val="000000"/>
          <w:kern w:val="0"/>
          <w:lang w:val="en-GB"/>
          <w14:ligatures w14:val="none"/>
        </w:rPr>
        <w:t>19</w:t>
      </w:r>
      <w:r w:rsidRPr="00E821FA">
        <w:rPr>
          <w:rFonts w:eastAsia="Times New Roman" w:cstheme="minorHAnsi"/>
          <w:color w:val="000000"/>
          <w:kern w:val="0"/>
          <w:lang w:val="en-GB"/>
          <w14:ligatures w14:val="none"/>
        </w:rPr>
        <w:t>(4), 311–328.</w:t>
      </w:r>
      <w:r>
        <w:rPr>
          <w:rFonts w:eastAsia="Times New Roman" w:cstheme="minorHAnsi"/>
          <w:color w:val="000000"/>
          <w:kern w:val="0"/>
          <w:lang w:val="en-GB"/>
          <w14:ligatures w14:val="none"/>
        </w:rPr>
        <w:t xml:space="preserve"> </w:t>
      </w:r>
      <w:hyperlink r:id="rId22" w:history="1">
        <w:r w:rsidRPr="00503281">
          <w:rPr>
            <w:rStyle w:val="Hyperlink"/>
            <w:rFonts w:eastAsia="Times New Roman" w:cstheme="minorHAnsi"/>
            <w:kern w:val="0"/>
            <w:lang w:val="en-GB"/>
            <w14:ligatures w14:val="none"/>
          </w:rPr>
          <w:t>https://doi.org/10.1080/15614263.2017.1364162</w:t>
        </w:r>
      </w:hyperlink>
      <w:r>
        <w:rPr>
          <w:rFonts w:eastAsia="Times New Roman" w:cstheme="minorHAnsi"/>
          <w:color w:val="000000"/>
          <w:kern w:val="0"/>
          <w:lang w:val="en-GB"/>
          <w14:ligatures w14:val="none"/>
        </w:rPr>
        <w:t xml:space="preserve"> </w:t>
      </w:r>
      <w:r w:rsidR="007B620C" w:rsidRPr="007B620C">
        <w:rPr>
          <w:rFonts w:eastAsia="Times New Roman" w:cstheme="minorHAnsi"/>
          <w:color w:val="000000"/>
          <w:kern w:val="0"/>
          <w:lang w:val="en-GB"/>
          <w14:ligatures w14:val="none"/>
        </w:rPr>
        <w:t xml:space="preserve">(Accessed: 1st September 2023).  </w:t>
      </w:r>
    </w:p>
    <w:p w14:paraId="18C4A63C" w14:textId="3CB450D6" w:rsidR="00EA4208" w:rsidRPr="007B620C" w:rsidRDefault="00EA4208" w:rsidP="00EA4208">
      <w:pPr>
        <w:spacing w:before="240" w:line="360" w:lineRule="auto"/>
        <w:rPr>
          <w:rFonts w:eastAsia="Times New Roman" w:cstheme="minorHAnsi"/>
          <w:kern w:val="0"/>
          <w:lang w:val="en-GB"/>
          <w14:ligatures w14:val="none"/>
        </w:rPr>
      </w:pPr>
      <w:r w:rsidRPr="00E821FA">
        <w:rPr>
          <w:rFonts w:eastAsia="Times New Roman" w:cstheme="minorHAnsi"/>
          <w:color w:val="000000"/>
          <w:kern w:val="0"/>
          <w:lang w:val="en-GB"/>
          <w14:ligatures w14:val="none"/>
        </w:rPr>
        <w:t>Quinton, P. (2014). The formation of suspicions: police stop and search practices in England and Wales. In </w:t>
      </w:r>
      <w:r w:rsidRPr="00E821FA">
        <w:rPr>
          <w:rFonts w:eastAsia="Times New Roman" w:cstheme="minorHAnsi"/>
          <w:i/>
          <w:iCs/>
          <w:color w:val="000000"/>
          <w:kern w:val="0"/>
          <w:lang w:val="en-GB"/>
          <w14:ligatures w14:val="none"/>
        </w:rPr>
        <w:t>Stop and Search</w:t>
      </w:r>
      <w:r w:rsidRPr="00E821FA">
        <w:rPr>
          <w:rFonts w:eastAsia="Times New Roman" w:cstheme="minorHAnsi"/>
          <w:color w:val="000000"/>
          <w:kern w:val="0"/>
          <w:lang w:val="en-GB"/>
          <w14:ligatures w14:val="none"/>
        </w:rPr>
        <w:t> (1st Edition, pp. 5–16). Routledge.</w:t>
      </w:r>
      <w:r w:rsidRPr="00E821FA">
        <w:rPr>
          <w:rFonts w:eastAsia="Times New Roman" w:cstheme="minorHAnsi"/>
          <w:color w:val="000000"/>
          <w:kern w:val="0"/>
          <w:lang w:val="en-GB"/>
          <w14:ligatures w14:val="none"/>
        </w:rPr>
        <w:br/>
      </w:r>
      <w:r w:rsidRPr="00E821FA">
        <w:rPr>
          <w:rFonts w:eastAsia="Times New Roman" w:cstheme="minorHAnsi"/>
          <w:color w:val="000000"/>
          <w:kern w:val="0"/>
          <w:lang w:val="en-GB"/>
          <w14:ligatures w14:val="none"/>
        </w:rPr>
        <w:lastRenderedPageBreak/>
        <w:t>Silvestri, M. (2017). Police culture and gender: Revisiting the ‘cult of masculinity’. </w:t>
      </w:r>
      <w:r w:rsidRPr="00E821FA">
        <w:rPr>
          <w:rFonts w:eastAsia="Times New Roman" w:cstheme="minorHAnsi"/>
          <w:i/>
          <w:iCs/>
          <w:color w:val="000000"/>
          <w:kern w:val="0"/>
          <w:lang w:val="en-GB"/>
          <w14:ligatures w14:val="none"/>
        </w:rPr>
        <w:t>Policing A Journal of Policy and Practice</w:t>
      </w:r>
      <w:r w:rsidRPr="00E821FA">
        <w:rPr>
          <w:rFonts w:eastAsia="Times New Roman" w:cstheme="minorHAnsi"/>
          <w:color w:val="000000"/>
          <w:kern w:val="0"/>
          <w:lang w:val="en-GB"/>
          <w14:ligatures w14:val="none"/>
        </w:rPr>
        <w:t>, </w:t>
      </w:r>
      <w:r w:rsidRPr="00E821FA">
        <w:rPr>
          <w:rFonts w:eastAsia="Times New Roman" w:cstheme="minorHAnsi"/>
          <w:i/>
          <w:iCs/>
          <w:color w:val="000000"/>
          <w:kern w:val="0"/>
          <w:lang w:val="en-GB"/>
          <w14:ligatures w14:val="none"/>
        </w:rPr>
        <w:t>11</w:t>
      </w:r>
      <w:r w:rsidRPr="00E821FA">
        <w:rPr>
          <w:rFonts w:eastAsia="Times New Roman" w:cstheme="minorHAnsi"/>
          <w:color w:val="000000"/>
          <w:kern w:val="0"/>
          <w:lang w:val="en-GB"/>
          <w14:ligatures w14:val="none"/>
        </w:rPr>
        <w:t xml:space="preserve">(3), 289–300. </w:t>
      </w:r>
      <w:hyperlink r:id="rId23" w:history="1">
        <w:r w:rsidRPr="00503281">
          <w:rPr>
            <w:rStyle w:val="Hyperlink"/>
            <w:rFonts w:eastAsia="Times New Roman" w:cstheme="minorHAnsi"/>
            <w:kern w:val="0"/>
            <w:lang w:val="en-GB"/>
            <w14:ligatures w14:val="none"/>
          </w:rPr>
          <w:t>https://doi.org/10.1093/police/paw052</w:t>
        </w:r>
      </w:hyperlink>
      <w:r w:rsidR="007B620C">
        <w:rPr>
          <w:rStyle w:val="Hyperlink"/>
          <w:rFonts w:eastAsia="Times New Roman" w:cstheme="minorHAnsi"/>
          <w:kern w:val="0"/>
          <w:lang w:val="en-GB"/>
          <w14:ligatures w14:val="none"/>
        </w:rPr>
        <w:t xml:space="preserve"> </w:t>
      </w:r>
      <w:r w:rsidR="007B620C" w:rsidRPr="007B620C">
        <w:rPr>
          <w:rStyle w:val="Hyperlink"/>
          <w:rFonts w:eastAsia="Times New Roman" w:cstheme="minorHAnsi"/>
          <w:color w:val="auto"/>
          <w:kern w:val="0"/>
          <w:u w:val="none"/>
          <w:lang w:val="en-GB"/>
          <w14:ligatures w14:val="none"/>
        </w:rPr>
        <w:t xml:space="preserve">(Accessed: 1st September 2023).  </w:t>
      </w:r>
    </w:p>
    <w:p w14:paraId="4B29F7B4" w14:textId="76ED2A1F" w:rsidR="00EA4208" w:rsidRPr="00E821FA" w:rsidRDefault="00EA4208" w:rsidP="00EA4208">
      <w:pPr>
        <w:spacing w:before="240" w:line="360" w:lineRule="auto"/>
        <w:rPr>
          <w:rFonts w:eastAsia="Times New Roman" w:cstheme="minorHAnsi"/>
          <w:color w:val="000000"/>
          <w:kern w:val="0"/>
          <w:lang w:val="en-GB"/>
          <w14:ligatures w14:val="none"/>
        </w:rPr>
      </w:pPr>
      <w:r w:rsidRPr="00E821FA">
        <w:rPr>
          <w:rFonts w:eastAsia="Times New Roman" w:cstheme="minorHAnsi"/>
          <w:color w:val="000000"/>
          <w:kern w:val="0"/>
          <w:lang w:val="en-GB"/>
          <w14:ligatures w14:val="none"/>
        </w:rPr>
        <w:t>Sparrow, M. K. (2015). Measuring performance in a modern police organization. </w:t>
      </w:r>
      <w:r w:rsidRPr="00E821FA">
        <w:rPr>
          <w:rFonts w:eastAsia="Times New Roman" w:cstheme="minorHAnsi"/>
          <w:i/>
          <w:iCs/>
          <w:color w:val="000000"/>
          <w:kern w:val="0"/>
          <w:lang w:val="en-GB"/>
          <w14:ligatures w14:val="none"/>
        </w:rPr>
        <w:t>Psychosociological Issues in Human Resource Management</w:t>
      </w:r>
      <w:r w:rsidRPr="00E821FA">
        <w:rPr>
          <w:rFonts w:eastAsia="Times New Roman" w:cstheme="minorHAnsi"/>
          <w:color w:val="000000"/>
          <w:kern w:val="0"/>
          <w:lang w:val="en-GB"/>
          <w14:ligatures w14:val="none"/>
        </w:rPr>
        <w:t>, </w:t>
      </w:r>
      <w:r w:rsidRPr="00E821FA">
        <w:rPr>
          <w:rFonts w:eastAsia="Times New Roman" w:cstheme="minorHAnsi"/>
          <w:i/>
          <w:iCs/>
          <w:color w:val="000000"/>
          <w:kern w:val="0"/>
          <w:lang w:val="en-GB"/>
          <w14:ligatures w14:val="none"/>
        </w:rPr>
        <w:t>3</w:t>
      </w:r>
      <w:r w:rsidRPr="00E821FA">
        <w:rPr>
          <w:rFonts w:eastAsia="Times New Roman" w:cstheme="minorHAnsi"/>
          <w:color w:val="000000"/>
          <w:kern w:val="0"/>
          <w:lang w:val="en-GB"/>
          <w14:ligatures w14:val="none"/>
        </w:rPr>
        <w:t xml:space="preserve">(2), 17–52. </w:t>
      </w:r>
      <w:hyperlink r:id="rId24" w:history="1">
        <w:r w:rsidRPr="00503281">
          <w:rPr>
            <w:rStyle w:val="Hyperlink"/>
            <w:rFonts w:eastAsia="Times New Roman" w:cstheme="minorHAnsi"/>
            <w:kern w:val="0"/>
            <w:lang w:val="en-GB"/>
            <w14:ligatures w14:val="none"/>
          </w:rPr>
          <w:t>https://www.ceeol.com/search/article-detail?id=419835</w:t>
        </w:r>
      </w:hyperlink>
      <w:r>
        <w:rPr>
          <w:rFonts w:eastAsia="Times New Roman" w:cstheme="minorHAnsi"/>
          <w:color w:val="000000"/>
          <w:kern w:val="0"/>
          <w:lang w:val="en-GB"/>
          <w14:ligatures w14:val="none"/>
        </w:rPr>
        <w:t xml:space="preserve"> </w:t>
      </w:r>
      <w:r w:rsidR="007B620C" w:rsidRPr="007B620C">
        <w:rPr>
          <w:rFonts w:eastAsia="Times New Roman" w:cstheme="minorHAnsi"/>
          <w:color w:val="000000"/>
          <w:kern w:val="0"/>
          <w:lang w:val="en-GB"/>
          <w14:ligatures w14:val="none"/>
        </w:rPr>
        <w:t xml:space="preserve">(Accessed: 1st September 2023).  </w:t>
      </w:r>
    </w:p>
    <w:p w14:paraId="24109F2A" w14:textId="77777777" w:rsidR="00EA4208" w:rsidRPr="00E821FA" w:rsidRDefault="00EA4208" w:rsidP="00EA4208">
      <w:pPr>
        <w:pStyle w:val="NormalWeb"/>
        <w:spacing w:before="0" w:beforeAutospacing="0" w:after="300" w:afterAutospacing="0"/>
        <w:jc w:val="both"/>
        <w:rPr>
          <w:rFonts w:asciiTheme="minorHAnsi" w:hAnsiTheme="minorHAnsi" w:cstheme="minorHAnsi"/>
          <w:sz w:val="22"/>
          <w:szCs w:val="22"/>
          <w:lang w:val="en-GB"/>
        </w:rPr>
      </w:pPr>
    </w:p>
    <w:p w14:paraId="350A96D0" w14:textId="77777777" w:rsidR="00EA4208" w:rsidRDefault="00EA4208" w:rsidP="00461EB9">
      <w:pPr>
        <w:pStyle w:val="ListParagraph"/>
        <w:spacing w:line="480" w:lineRule="auto"/>
        <w:rPr>
          <w:rFonts w:cstheme="minorHAnsi"/>
          <w:lang w:val="en-GB"/>
        </w:rPr>
      </w:pPr>
    </w:p>
    <w:p w14:paraId="6D8CAF11" w14:textId="77777777" w:rsidR="00EA4208" w:rsidRDefault="00EA4208" w:rsidP="00461EB9">
      <w:pPr>
        <w:pStyle w:val="ListParagraph"/>
        <w:spacing w:line="480" w:lineRule="auto"/>
        <w:rPr>
          <w:rFonts w:cstheme="minorHAnsi"/>
          <w:lang w:val="en-GB"/>
        </w:rPr>
      </w:pPr>
    </w:p>
    <w:p w14:paraId="2C9F871D" w14:textId="77777777" w:rsidR="00EA4208" w:rsidRDefault="00EA4208" w:rsidP="00461EB9">
      <w:pPr>
        <w:pStyle w:val="ListParagraph"/>
        <w:spacing w:line="480" w:lineRule="auto"/>
        <w:rPr>
          <w:rFonts w:cstheme="minorHAnsi"/>
          <w:lang w:val="en-GB"/>
        </w:rPr>
      </w:pPr>
    </w:p>
    <w:p w14:paraId="02D869E9" w14:textId="77777777" w:rsidR="00EA4208" w:rsidRDefault="00EA4208" w:rsidP="00461EB9">
      <w:pPr>
        <w:pStyle w:val="ListParagraph"/>
        <w:spacing w:line="480" w:lineRule="auto"/>
        <w:rPr>
          <w:rFonts w:cstheme="minorHAnsi"/>
          <w:lang w:val="en-GB"/>
        </w:rPr>
      </w:pPr>
    </w:p>
    <w:p w14:paraId="644FD8CC" w14:textId="77777777" w:rsidR="00EA4208" w:rsidRDefault="00EA4208" w:rsidP="00461EB9">
      <w:pPr>
        <w:pStyle w:val="ListParagraph"/>
        <w:spacing w:line="480" w:lineRule="auto"/>
        <w:rPr>
          <w:rFonts w:cstheme="minorHAnsi"/>
          <w:lang w:val="en-GB"/>
        </w:rPr>
      </w:pPr>
    </w:p>
    <w:p w14:paraId="4C856A78" w14:textId="77777777" w:rsidR="00EA4208" w:rsidRPr="00461EB9" w:rsidRDefault="00EA4208" w:rsidP="00461EB9">
      <w:pPr>
        <w:pStyle w:val="ListParagraph"/>
        <w:spacing w:line="480" w:lineRule="auto"/>
        <w:rPr>
          <w:rFonts w:cstheme="minorHAnsi"/>
          <w:lang w:val="en-GB"/>
        </w:rPr>
      </w:pPr>
    </w:p>
    <w:sectPr w:rsidR="00EA4208" w:rsidRPr="00461EB9">
      <w:headerReference w:type="default" r:id="rId2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C39D02" w14:textId="77777777" w:rsidR="006E782A" w:rsidRDefault="006E782A" w:rsidP="000E38E3">
      <w:pPr>
        <w:spacing w:after="0" w:line="240" w:lineRule="auto"/>
      </w:pPr>
      <w:r>
        <w:separator/>
      </w:r>
    </w:p>
  </w:endnote>
  <w:endnote w:type="continuationSeparator" w:id="0">
    <w:p w14:paraId="286BFD9D" w14:textId="77777777" w:rsidR="006E782A" w:rsidRDefault="006E782A" w:rsidP="000E38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A20FED" w14:textId="77777777" w:rsidR="006E782A" w:rsidRDefault="006E782A" w:rsidP="000E38E3">
      <w:pPr>
        <w:spacing w:after="0" w:line="240" w:lineRule="auto"/>
      </w:pPr>
      <w:r>
        <w:separator/>
      </w:r>
    </w:p>
  </w:footnote>
  <w:footnote w:type="continuationSeparator" w:id="0">
    <w:p w14:paraId="09995096" w14:textId="77777777" w:rsidR="006E782A" w:rsidRDefault="006E782A" w:rsidP="000E38E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22ECB0" w14:textId="1AF4C51B" w:rsidR="000E38E3" w:rsidRDefault="000E38E3">
    <w:pPr>
      <w:pStyle w:val="Header"/>
    </w:pPr>
    <w:r>
      <w:t>Amaar Ghafoor              2124684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08016B"/>
    <w:multiLevelType w:val="hybridMultilevel"/>
    <w:tmpl w:val="204EC0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4A91129"/>
    <w:multiLevelType w:val="hybridMultilevel"/>
    <w:tmpl w:val="03F4F7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84339887">
    <w:abstractNumId w:val="1"/>
  </w:num>
  <w:num w:numId="2" w16cid:durableId="15490286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35A9"/>
    <w:rsid w:val="000E38E3"/>
    <w:rsid w:val="00127D86"/>
    <w:rsid w:val="001535A9"/>
    <w:rsid w:val="00166D26"/>
    <w:rsid w:val="001D1A83"/>
    <w:rsid w:val="00252994"/>
    <w:rsid w:val="002975AA"/>
    <w:rsid w:val="002B64AD"/>
    <w:rsid w:val="003177E8"/>
    <w:rsid w:val="00356C0E"/>
    <w:rsid w:val="00461EB9"/>
    <w:rsid w:val="004B0473"/>
    <w:rsid w:val="004F4948"/>
    <w:rsid w:val="005C5B30"/>
    <w:rsid w:val="006B5205"/>
    <w:rsid w:val="006E782A"/>
    <w:rsid w:val="00703DEB"/>
    <w:rsid w:val="00770ED6"/>
    <w:rsid w:val="00792AAD"/>
    <w:rsid w:val="007A1153"/>
    <w:rsid w:val="007A33CE"/>
    <w:rsid w:val="007B620C"/>
    <w:rsid w:val="007F1121"/>
    <w:rsid w:val="0081272F"/>
    <w:rsid w:val="00886597"/>
    <w:rsid w:val="00887270"/>
    <w:rsid w:val="008C06D8"/>
    <w:rsid w:val="008C5A64"/>
    <w:rsid w:val="00AB086B"/>
    <w:rsid w:val="00AE4584"/>
    <w:rsid w:val="00B2365B"/>
    <w:rsid w:val="00B76BA3"/>
    <w:rsid w:val="00BC11B3"/>
    <w:rsid w:val="00BC2502"/>
    <w:rsid w:val="00BC667C"/>
    <w:rsid w:val="00C4363E"/>
    <w:rsid w:val="00C62126"/>
    <w:rsid w:val="00CA68BE"/>
    <w:rsid w:val="00CC1435"/>
    <w:rsid w:val="00DB576F"/>
    <w:rsid w:val="00DB70B0"/>
    <w:rsid w:val="00DE5989"/>
    <w:rsid w:val="00E14A40"/>
    <w:rsid w:val="00E17613"/>
    <w:rsid w:val="00EA140E"/>
    <w:rsid w:val="00EA4208"/>
    <w:rsid w:val="00F10504"/>
    <w:rsid w:val="00F25CE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EF257C"/>
  <w15:chartTrackingRefBased/>
  <w15:docId w15:val="{A904E0FE-02E3-4C7E-BB25-AE89EFB4C6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D1A83"/>
    <w:pPr>
      <w:ind w:left="720"/>
      <w:contextualSpacing/>
    </w:pPr>
  </w:style>
  <w:style w:type="paragraph" w:styleId="NormalWeb">
    <w:name w:val="Normal (Web)"/>
    <w:basedOn w:val="Normal"/>
    <w:uiPriority w:val="99"/>
    <w:unhideWhenUsed/>
    <w:rsid w:val="004F4948"/>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z-TopofForm">
    <w:name w:val="HTML Top of Form"/>
    <w:basedOn w:val="Normal"/>
    <w:next w:val="Normal"/>
    <w:link w:val="z-TopofFormChar"/>
    <w:hidden/>
    <w:uiPriority w:val="99"/>
    <w:semiHidden/>
    <w:unhideWhenUsed/>
    <w:rsid w:val="004F4948"/>
    <w:pPr>
      <w:pBdr>
        <w:bottom w:val="single" w:sz="6" w:space="1" w:color="auto"/>
      </w:pBdr>
      <w:spacing w:after="0" w:line="240" w:lineRule="auto"/>
      <w:jc w:val="center"/>
    </w:pPr>
    <w:rPr>
      <w:rFonts w:ascii="Arial" w:eastAsia="Times New Roman" w:hAnsi="Arial" w:cs="Arial"/>
      <w:vanish/>
      <w:kern w:val="0"/>
      <w:sz w:val="16"/>
      <w:szCs w:val="16"/>
      <w14:ligatures w14:val="none"/>
    </w:rPr>
  </w:style>
  <w:style w:type="character" w:customStyle="1" w:styleId="z-TopofFormChar">
    <w:name w:val="z-Top of Form Char"/>
    <w:basedOn w:val="DefaultParagraphFont"/>
    <w:link w:val="z-TopofForm"/>
    <w:uiPriority w:val="99"/>
    <w:semiHidden/>
    <w:rsid w:val="004F4948"/>
    <w:rPr>
      <w:rFonts w:ascii="Arial" w:eastAsia="Times New Roman" w:hAnsi="Arial" w:cs="Arial"/>
      <w:vanish/>
      <w:kern w:val="0"/>
      <w:sz w:val="16"/>
      <w:szCs w:val="16"/>
      <w14:ligatures w14:val="none"/>
    </w:rPr>
  </w:style>
  <w:style w:type="paragraph" w:styleId="Revision">
    <w:name w:val="Revision"/>
    <w:hidden/>
    <w:uiPriority w:val="99"/>
    <w:semiHidden/>
    <w:rsid w:val="005C5B30"/>
    <w:pPr>
      <w:spacing w:after="0" w:line="240" w:lineRule="auto"/>
    </w:pPr>
  </w:style>
  <w:style w:type="character" w:styleId="CommentReference">
    <w:name w:val="annotation reference"/>
    <w:basedOn w:val="DefaultParagraphFont"/>
    <w:uiPriority w:val="99"/>
    <w:semiHidden/>
    <w:unhideWhenUsed/>
    <w:rsid w:val="00AE4584"/>
    <w:rPr>
      <w:sz w:val="16"/>
      <w:szCs w:val="16"/>
    </w:rPr>
  </w:style>
  <w:style w:type="paragraph" w:styleId="CommentText">
    <w:name w:val="annotation text"/>
    <w:basedOn w:val="Normal"/>
    <w:link w:val="CommentTextChar"/>
    <w:uiPriority w:val="99"/>
    <w:unhideWhenUsed/>
    <w:rsid w:val="00AE4584"/>
    <w:pPr>
      <w:spacing w:line="240" w:lineRule="auto"/>
    </w:pPr>
    <w:rPr>
      <w:sz w:val="20"/>
      <w:szCs w:val="20"/>
    </w:rPr>
  </w:style>
  <w:style w:type="character" w:customStyle="1" w:styleId="CommentTextChar">
    <w:name w:val="Comment Text Char"/>
    <w:basedOn w:val="DefaultParagraphFont"/>
    <w:link w:val="CommentText"/>
    <w:uiPriority w:val="99"/>
    <w:rsid w:val="00AE4584"/>
    <w:rPr>
      <w:sz w:val="20"/>
      <w:szCs w:val="20"/>
    </w:rPr>
  </w:style>
  <w:style w:type="paragraph" w:styleId="CommentSubject">
    <w:name w:val="annotation subject"/>
    <w:basedOn w:val="CommentText"/>
    <w:next w:val="CommentText"/>
    <w:link w:val="CommentSubjectChar"/>
    <w:uiPriority w:val="99"/>
    <w:semiHidden/>
    <w:unhideWhenUsed/>
    <w:rsid w:val="00AE4584"/>
    <w:rPr>
      <w:b/>
      <w:bCs/>
    </w:rPr>
  </w:style>
  <w:style w:type="character" w:customStyle="1" w:styleId="CommentSubjectChar">
    <w:name w:val="Comment Subject Char"/>
    <w:basedOn w:val="CommentTextChar"/>
    <w:link w:val="CommentSubject"/>
    <w:uiPriority w:val="99"/>
    <w:semiHidden/>
    <w:rsid w:val="00AE4584"/>
    <w:rPr>
      <w:b/>
      <w:bCs/>
      <w:sz w:val="20"/>
      <w:szCs w:val="20"/>
    </w:rPr>
  </w:style>
  <w:style w:type="character" w:styleId="Hyperlink">
    <w:name w:val="Hyperlink"/>
    <w:basedOn w:val="DefaultParagraphFont"/>
    <w:uiPriority w:val="99"/>
    <w:unhideWhenUsed/>
    <w:rsid w:val="00461EB9"/>
    <w:rPr>
      <w:color w:val="0563C1" w:themeColor="hyperlink"/>
      <w:u w:val="single"/>
    </w:rPr>
  </w:style>
  <w:style w:type="character" w:styleId="UnresolvedMention">
    <w:name w:val="Unresolved Mention"/>
    <w:basedOn w:val="DefaultParagraphFont"/>
    <w:uiPriority w:val="99"/>
    <w:semiHidden/>
    <w:unhideWhenUsed/>
    <w:rsid w:val="00461EB9"/>
    <w:rPr>
      <w:color w:val="605E5C"/>
      <w:shd w:val="clear" w:color="auto" w:fill="E1DFDD"/>
    </w:rPr>
  </w:style>
  <w:style w:type="paragraph" w:styleId="Header">
    <w:name w:val="header"/>
    <w:basedOn w:val="Normal"/>
    <w:link w:val="HeaderChar"/>
    <w:uiPriority w:val="99"/>
    <w:unhideWhenUsed/>
    <w:rsid w:val="000E38E3"/>
    <w:pPr>
      <w:tabs>
        <w:tab w:val="center" w:pos="4680"/>
        <w:tab w:val="right" w:pos="9360"/>
      </w:tabs>
      <w:spacing w:after="0" w:line="240" w:lineRule="auto"/>
    </w:pPr>
  </w:style>
  <w:style w:type="character" w:customStyle="1" w:styleId="HeaderChar">
    <w:name w:val="Header Char"/>
    <w:basedOn w:val="DefaultParagraphFont"/>
    <w:link w:val="Header"/>
    <w:uiPriority w:val="99"/>
    <w:rsid w:val="000E38E3"/>
  </w:style>
  <w:style w:type="paragraph" w:styleId="Footer">
    <w:name w:val="footer"/>
    <w:basedOn w:val="Normal"/>
    <w:link w:val="FooterChar"/>
    <w:uiPriority w:val="99"/>
    <w:unhideWhenUsed/>
    <w:rsid w:val="000E38E3"/>
    <w:pPr>
      <w:tabs>
        <w:tab w:val="center" w:pos="4680"/>
        <w:tab w:val="right" w:pos="9360"/>
      </w:tabs>
      <w:spacing w:after="0" w:line="240" w:lineRule="auto"/>
    </w:pPr>
  </w:style>
  <w:style w:type="character" w:customStyle="1" w:styleId="FooterChar">
    <w:name w:val="Footer Char"/>
    <w:basedOn w:val="DefaultParagraphFont"/>
    <w:link w:val="Footer"/>
    <w:uiPriority w:val="99"/>
    <w:rsid w:val="000E38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5062975">
      <w:bodyDiv w:val="1"/>
      <w:marLeft w:val="0"/>
      <w:marRight w:val="0"/>
      <w:marTop w:val="0"/>
      <w:marBottom w:val="0"/>
      <w:divBdr>
        <w:top w:val="none" w:sz="0" w:space="0" w:color="auto"/>
        <w:left w:val="none" w:sz="0" w:space="0" w:color="auto"/>
        <w:bottom w:val="none" w:sz="0" w:space="0" w:color="auto"/>
        <w:right w:val="none" w:sz="0" w:space="0" w:color="auto"/>
      </w:divBdr>
      <w:divsChild>
        <w:div w:id="2049797055">
          <w:marLeft w:val="0"/>
          <w:marRight w:val="0"/>
          <w:marTop w:val="0"/>
          <w:marBottom w:val="0"/>
          <w:divBdr>
            <w:top w:val="single" w:sz="2" w:space="0" w:color="D9D9E3"/>
            <w:left w:val="single" w:sz="2" w:space="0" w:color="D9D9E3"/>
            <w:bottom w:val="single" w:sz="2" w:space="0" w:color="D9D9E3"/>
            <w:right w:val="single" w:sz="2" w:space="0" w:color="D9D9E3"/>
          </w:divBdr>
          <w:divsChild>
            <w:div w:id="692339199">
              <w:marLeft w:val="0"/>
              <w:marRight w:val="0"/>
              <w:marTop w:val="0"/>
              <w:marBottom w:val="0"/>
              <w:divBdr>
                <w:top w:val="single" w:sz="2" w:space="0" w:color="D9D9E3"/>
                <w:left w:val="single" w:sz="2" w:space="0" w:color="D9D9E3"/>
                <w:bottom w:val="single" w:sz="2" w:space="0" w:color="D9D9E3"/>
                <w:right w:val="single" w:sz="2" w:space="0" w:color="D9D9E3"/>
              </w:divBdr>
              <w:divsChild>
                <w:div w:id="2108499872">
                  <w:marLeft w:val="0"/>
                  <w:marRight w:val="0"/>
                  <w:marTop w:val="0"/>
                  <w:marBottom w:val="0"/>
                  <w:divBdr>
                    <w:top w:val="single" w:sz="2" w:space="0" w:color="D9D9E3"/>
                    <w:left w:val="single" w:sz="2" w:space="0" w:color="D9D9E3"/>
                    <w:bottom w:val="single" w:sz="2" w:space="0" w:color="D9D9E3"/>
                    <w:right w:val="single" w:sz="2" w:space="0" w:color="D9D9E3"/>
                  </w:divBdr>
                  <w:divsChild>
                    <w:div w:id="802693179">
                      <w:marLeft w:val="0"/>
                      <w:marRight w:val="0"/>
                      <w:marTop w:val="0"/>
                      <w:marBottom w:val="0"/>
                      <w:divBdr>
                        <w:top w:val="single" w:sz="2" w:space="0" w:color="D9D9E3"/>
                        <w:left w:val="single" w:sz="2" w:space="0" w:color="D9D9E3"/>
                        <w:bottom w:val="single" w:sz="2" w:space="0" w:color="D9D9E3"/>
                        <w:right w:val="single" w:sz="2" w:space="0" w:color="D9D9E3"/>
                      </w:divBdr>
                      <w:divsChild>
                        <w:div w:id="1234968409">
                          <w:marLeft w:val="0"/>
                          <w:marRight w:val="0"/>
                          <w:marTop w:val="0"/>
                          <w:marBottom w:val="0"/>
                          <w:divBdr>
                            <w:top w:val="single" w:sz="2" w:space="0" w:color="auto"/>
                            <w:left w:val="single" w:sz="2" w:space="0" w:color="auto"/>
                            <w:bottom w:val="single" w:sz="6" w:space="0" w:color="auto"/>
                            <w:right w:val="single" w:sz="2" w:space="0" w:color="auto"/>
                          </w:divBdr>
                          <w:divsChild>
                            <w:div w:id="1106002493">
                              <w:marLeft w:val="0"/>
                              <w:marRight w:val="0"/>
                              <w:marTop w:val="100"/>
                              <w:marBottom w:val="100"/>
                              <w:divBdr>
                                <w:top w:val="single" w:sz="2" w:space="0" w:color="D9D9E3"/>
                                <w:left w:val="single" w:sz="2" w:space="0" w:color="D9D9E3"/>
                                <w:bottom w:val="single" w:sz="2" w:space="0" w:color="D9D9E3"/>
                                <w:right w:val="single" w:sz="2" w:space="0" w:color="D9D9E3"/>
                              </w:divBdr>
                              <w:divsChild>
                                <w:div w:id="1482889009">
                                  <w:marLeft w:val="0"/>
                                  <w:marRight w:val="0"/>
                                  <w:marTop w:val="0"/>
                                  <w:marBottom w:val="0"/>
                                  <w:divBdr>
                                    <w:top w:val="single" w:sz="2" w:space="0" w:color="D9D9E3"/>
                                    <w:left w:val="single" w:sz="2" w:space="0" w:color="D9D9E3"/>
                                    <w:bottom w:val="single" w:sz="2" w:space="0" w:color="D9D9E3"/>
                                    <w:right w:val="single" w:sz="2" w:space="0" w:color="D9D9E3"/>
                                  </w:divBdr>
                                  <w:divsChild>
                                    <w:div w:id="789711041">
                                      <w:marLeft w:val="0"/>
                                      <w:marRight w:val="0"/>
                                      <w:marTop w:val="0"/>
                                      <w:marBottom w:val="0"/>
                                      <w:divBdr>
                                        <w:top w:val="single" w:sz="2" w:space="0" w:color="D9D9E3"/>
                                        <w:left w:val="single" w:sz="2" w:space="0" w:color="D9D9E3"/>
                                        <w:bottom w:val="single" w:sz="2" w:space="0" w:color="D9D9E3"/>
                                        <w:right w:val="single" w:sz="2" w:space="0" w:color="D9D9E3"/>
                                      </w:divBdr>
                                      <w:divsChild>
                                        <w:div w:id="768500964">
                                          <w:marLeft w:val="0"/>
                                          <w:marRight w:val="0"/>
                                          <w:marTop w:val="0"/>
                                          <w:marBottom w:val="0"/>
                                          <w:divBdr>
                                            <w:top w:val="single" w:sz="2" w:space="0" w:color="D9D9E3"/>
                                            <w:left w:val="single" w:sz="2" w:space="0" w:color="D9D9E3"/>
                                            <w:bottom w:val="single" w:sz="2" w:space="0" w:color="D9D9E3"/>
                                            <w:right w:val="single" w:sz="2" w:space="0" w:color="D9D9E3"/>
                                          </w:divBdr>
                                          <w:divsChild>
                                            <w:div w:id="16394156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54303828">
          <w:marLeft w:val="0"/>
          <w:marRight w:val="0"/>
          <w:marTop w:val="0"/>
          <w:marBottom w:val="0"/>
          <w:divBdr>
            <w:top w:val="none" w:sz="0" w:space="0" w:color="auto"/>
            <w:left w:val="none" w:sz="0" w:space="0" w:color="auto"/>
            <w:bottom w:val="none" w:sz="0" w:space="0" w:color="auto"/>
            <w:right w:val="none" w:sz="0" w:space="0" w:color="auto"/>
          </w:divBdr>
        </w:div>
      </w:divsChild>
    </w:div>
    <w:div w:id="1469592421">
      <w:bodyDiv w:val="1"/>
      <w:marLeft w:val="0"/>
      <w:marRight w:val="0"/>
      <w:marTop w:val="0"/>
      <w:marBottom w:val="0"/>
      <w:divBdr>
        <w:top w:val="none" w:sz="0" w:space="0" w:color="auto"/>
        <w:left w:val="none" w:sz="0" w:space="0" w:color="auto"/>
        <w:bottom w:val="none" w:sz="0" w:space="0" w:color="auto"/>
        <w:right w:val="none" w:sz="0" w:space="0" w:color="auto"/>
      </w:divBdr>
      <w:divsChild>
        <w:div w:id="26203212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8335330.2012.653193" TargetMode="External"/><Relationship Id="rId13" Type="http://schemas.openxmlformats.org/officeDocument/2006/relationships/hyperlink" Target="https://doi.org/10.1057/s41599-017-00619" TargetMode="External"/><Relationship Id="rId18" Type="http://schemas.openxmlformats.org/officeDocument/2006/relationships/hyperlink" Target="https://doi.org/10.1080/10439463.2018.1479409"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doi.org/10.1080/10439463.2013.817998" TargetMode="External"/><Relationship Id="rId7" Type="http://schemas.openxmlformats.org/officeDocument/2006/relationships/endnotes" Target="endnotes.xml"/><Relationship Id="rId12" Type="http://schemas.openxmlformats.org/officeDocument/2006/relationships/hyperlink" Target="https://doi.org/10.1080/10439463.2011.617984" TargetMode="External"/><Relationship Id="rId17" Type="http://schemas.openxmlformats.org/officeDocument/2006/relationships/hyperlink" Target="https://journals.lib.sfu.ca/index.php/jicw/article/view/2819/2061"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doi.org/10.1177/0956797615615584" TargetMode="External"/><Relationship Id="rId20" Type="http://schemas.openxmlformats.org/officeDocument/2006/relationships/hyperlink" Target="https://doi.org/10.1111/puar.1262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ijdrr.2020.101812" TargetMode="External"/><Relationship Id="rId24" Type="http://schemas.openxmlformats.org/officeDocument/2006/relationships/hyperlink" Target="https://www.ceeol.com/search/article-detail?id=419835" TargetMode="External"/><Relationship Id="rId5" Type="http://schemas.openxmlformats.org/officeDocument/2006/relationships/webSettings" Target="webSettings.xml"/><Relationship Id="rId15" Type="http://schemas.openxmlformats.org/officeDocument/2006/relationships/hyperlink" Target="https://doi.org/10.1080/02601370.2016.1164469" TargetMode="External"/><Relationship Id="rId23" Type="http://schemas.openxmlformats.org/officeDocument/2006/relationships/hyperlink" Target="https://doi.org/10.1093/police/paw052" TargetMode="External"/><Relationship Id="rId10" Type="http://schemas.openxmlformats.org/officeDocument/2006/relationships/hyperlink" Target="https://doi.org/10.1080/14789949.2020.1820067" TargetMode="External"/><Relationship Id="rId19" Type="http://schemas.openxmlformats.org/officeDocument/2006/relationships/hyperlink" Target="https://doi.org/10.1177/1748895817736096" TargetMode="External"/><Relationship Id="rId4" Type="http://schemas.openxmlformats.org/officeDocument/2006/relationships/settings" Target="settings.xml"/><Relationship Id="rId9" Type="http://schemas.openxmlformats.org/officeDocument/2006/relationships/hyperlink" Target="https://doi.org/10.1080/15614263.2015.1015126" TargetMode="External"/><Relationship Id="rId14" Type="http://schemas.openxmlformats.org/officeDocument/2006/relationships/hyperlink" Target="https://doi.org/10.1111/j.1747-1346.2010.00258x" TargetMode="External"/><Relationship Id="rId22" Type="http://schemas.openxmlformats.org/officeDocument/2006/relationships/hyperlink" Target="https://doi.org/10.1080/15614263.2017.1364162"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E3E1C0-F49B-4367-8362-076862AEA9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786</TotalTime>
  <Pages>15</Pages>
  <Words>5421</Words>
  <Characters>30904</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Amaar Ghafoor (2124684)</dc:creator>
  <cp:keywords/>
  <dc:description/>
  <cp:lastModifiedBy>Amaar Ghafoor (2124684)</cp:lastModifiedBy>
  <cp:revision>7</cp:revision>
  <dcterms:created xsi:type="dcterms:W3CDTF">2023-09-04T19:17:00Z</dcterms:created>
  <dcterms:modified xsi:type="dcterms:W3CDTF">2023-09-05T08:22:00Z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852c1c7e-e376-4f74-9dc5-0f40a38729fa</vt:lpwstr>
  </property>
</Properties>
</file>