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B627E12" w14:paraId="3C809FB8" wp14:textId="732A8FE5">
      <w:pPr>
        <w:pStyle w:val="Normal"/>
        <w:rPr>
          <w:vertAlign w:val="superscript"/>
        </w:rPr>
      </w:pPr>
      <w:r w:rsidR="2F16FF96">
        <w:drawing>
          <wp:anchor xmlns:wp14="http://schemas.microsoft.com/office/word/2010/wordprocessingDrawing" distT="0" distB="0" distL="114300" distR="114300" simplePos="0" relativeHeight="251658240" behindDoc="0" locked="0" layoutInCell="1" allowOverlap="1" wp14:editId="0CAF432A" wp14:anchorId="2A4F0C5B">
            <wp:simplePos x="0" y="0"/>
            <wp:positionH relativeFrom="column">
              <wp:align>left</wp:align>
            </wp:positionH>
            <wp:positionV relativeFrom="paragraph">
              <wp:posOffset>0</wp:posOffset>
            </wp:positionV>
            <wp:extent cx="2871788" cy="4114800"/>
            <wp:effectExtent l="0" t="0" r="0" b="0"/>
            <wp:wrapSquare wrapText="bothSides"/>
            <wp:docPr id="1141408265" name="" title=""/>
            <wp:cNvGraphicFramePr>
              <a:graphicFrameLocks noChangeAspect="1"/>
            </wp:cNvGraphicFramePr>
            <a:graphic>
              <a:graphicData uri="http://schemas.openxmlformats.org/drawingml/2006/picture">
                <pic:pic>
                  <pic:nvPicPr>
                    <pic:cNvPr id="0" name=""/>
                    <pic:cNvPicPr/>
                  </pic:nvPicPr>
                  <pic:blipFill>
                    <a:blip r:embed="Rfe60f9ea88664d1e">
                      <a:extLst>
                        <a:ext xmlns:a="http://schemas.openxmlformats.org/drawingml/2006/main" uri="{28A0092B-C50C-407E-A947-70E740481C1C}">
                          <a14:useLocalDpi val="0"/>
                        </a:ext>
                      </a:extLst>
                    </a:blip>
                    <a:stretch>
                      <a:fillRect/>
                    </a:stretch>
                  </pic:blipFill>
                  <pic:spPr>
                    <a:xfrm>
                      <a:off x="0" y="0"/>
                      <a:ext cx="2871788" cy="4114800"/>
                    </a:xfrm>
                    <a:prstGeom prst="rect">
                      <a:avLst/>
                    </a:prstGeom>
                  </pic:spPr>
                </pic:pic>
              </a:graphicData>
            </a:graphic>
            <wp14:sizeRelH relativeFrom="page">
              <wp14:pctWidth>0</wp14:pctWidth>
            </wp14:sizeRelH>
            <wp14:sizeRelV relativeFrom="page">
              <wp14:pctHeight>0</wp14:pctHeight>
            </wp14:sizeRelV>
          </wp:anchor>
        </w:drawing>
      </w:r>
      <w:r w:rsidRPr="0B627E12" w:rsidR="2F16FF96">
        <w:rPr>
          <w:sz w:val="24"/>
          <w:szCs w:val="24"/>
          <w:u w:val="single"/>
        </w:rPr>
        <w:t>Source analysis: Front page of the Guardian newspaper, documenting the events that took p</w:t>
      </w:r>
      <w:r w:rsidRPr="0B627E12" w:rsidR="6B657D5A">
        <w:rPr>
          <w:sz w:val="24"/>
          <w:szCs w:val="24"/>
          <w:u w:val="single"/>
        </w:rPr>
        <w:t>lace on January 31</w:t>
      </w:r>
      <w:r w:rsidRPr="0B627E12" w:rsidR="0E076BC1">
        <w:rPr>
          <w:sz w:val="24"/>
          <w:szCs w:val="24"/>
          <w:u w:val="single"/>
          <w:vertAlign w:val="superscript"/>
        </w:rPr>
        <w:t>st,</w:t>
      </w:r>
      <w:r w:rsidRPr="0B627E12" w:rsidR="6B657D5A">
        <w:rPr>
          <w:sz w:val="24"/>
          <w:szCs w:val="24"/>
          <w:u w:val="single"/>
        </w:rPr>
        <w:t xml:space="preserve"> also known as Bloody Sunda</w:t>
      </w:r>
      <w:r w:rsidRPr="0B627E12" w:rsidR="6B657D5A">
        <w:rPr>
          <w:sz w:val="24"/>
          <w:szCs w:val="24"/>
          <w:u w:val="single"/>
        </w:rPr>
        <w:t>y</w:t>
      </w:r>
      <w:r w:rsidRPr="0B627E12" w:rsidR="5F2B827F">
        <w:rPr>
          <w:sz w:val="24"/>
          <w:szCs w:val="24"/>
          <w:u w:val="single"/>
        </w:rPr>
        <w:t xml:space="preserve"> (TheGuardian.com (2012), accessed 14/12/22</w:t>
      </w:r>
      <w:r w:rsidRPr="0B627E12" w:rsidR="5F2B827F">
        <w:rPr>
          <w:sz w:val="24"/>
          <w:szCs w:val="24"/>
          <w:u w:val="single"/>
        </w:rPr>
        <w:t>)</w:t>
      </w:r>
    </w:p>
    <w:p xmlns:wp14="http://schemas.microsoft.com/office/word/2010/wordml" w:rsidP="2A581045" w14:paraId="7B95278F" wp14:textId="2369A255">
      <w:pPr>
        <w:pStyle w:val="Normal"/>
        <w:rPr>
          <w:u w:val="none"/>
        </w:rPr>
      </w:pPr>
    </w:p>
    <w:p xmlns:wp14="http://schemas.microsoft.com/office/word/2010/wordml" w:rsidP="0B627E12" w14:paraId="3B6222F3" wp14:textId="5D6DB964">
      <w:pPr>
        <w:pStyle w:val="Normal"/>
        <w:jc w:val="both"/>
        <w:rPr>
          <w:sz w:val="24"/>
          <w:szCs w:val="24"/>
          <w:u w:val="none"/>
        </w:rPr>
      </w:pPr>
      <w:r w:rsidRPr="0B627E12" w:rsidR="105FA3F1">
        <w:rPr>
          <w:sz w:val="24"/>
          <w:szCs w:val="24"/>
          <w:u w:val="none"/>
        </w:rPr>
        <w:t xml:space="preserve">This source was written by </w:t>
      </w:r>
      <w:r w:rsidRPr="0B627E12" w:rsidR="642F2B3A">
        <w:rPr>
          <w:sz w:val="24"/>
          <w:szCs w:val="24"/>
          <w:u w:val="none"/>
        </w:rPr>
        <w:t>the Guardian Newspaper in Manchester</w:t>
      </w:r>
      <w:r w:rsidRPr="0B627E12" w:rsidR="6CFDCA7E">
        <w:rPr>
          <w:sz w:val="24"/>
          <w:szCs w:val="24"/>
          <w:u w:val="none"/>
        </w:rPr>
        <w:t>, discussing what happened when paratroopers in Derry opened fire on Catholic protesters</w:t>
      </w:r>
      <w:r w:rsidRPr="0B627E12" w:rsidR="10D7868B">
        <w:rPr>
          <w:sz w:val="24"/>
          <w:szCs w:val="24"/>
          <w:u w:val="none"/>
        </w:rPr>
        <w:t xml:space="preserve">, and killed 13 of them, with a fourth protester passing away </w:t>
      </w:r>
      <w:bookmarkStart w:name="_Int_eQH8qtE6" w:id="1225064046"/>
      <w:r w:rsidRPr="0B627E12" w:rsidR="10D7868B">
        <w:rPr>
          <w:sz w:val="24"/>
          <w:szCs w:val="24"/>
          <w:u w:val="none"/>
        </w:rPr>
        <w:t>later on</w:t>
      </w:r>
      <w:bookmarkEnd w:id="1225064046"/>
      <w:r w:rsidRPr="0B627E12" w:rsidR="10D7868B">
        <w:rPr>
          <w:sz w:val="24"/>
          <w:szCs w:val="24"/>
          <w:u w:val="none"/>
        </w:rPr>
        <w:t xml:space="preserve">. </w:t>
      </w:r>
      <w:r w:rsidRPr="0B627E12" w:rsidR="01542426">
        <w:rPr>
          <w:sz w:val="24"/>
          <w:szCs w:val="24"/>
          <w:u w:val="none"/>
        </w:rPr>
        <w:t xml:space="preserve">The </w:t>
      </w:r>
      <w:r w:rsidRPr="0B627E12" w:rsidR="23C5A548">
        <w:rPr>
          <w:sz w:val="24"/>
          <w:szCs w:val="24"/>
          <w:u w:val="none"/>
        </w:rPr>
        <w:t>reporter who covered this is Simon Win</w:t>
      </w:r>
      <w:r w:rsidRPr="0B627E12" w:rsidR="7CC6EAF4">
        <w:rPr>
          <w:sz w:val="24"/>
          <w:szCs w:val="24"/>
          <w:u w:val="none"/>
        </w:rPr>
        <w:t xml:space="preserve">chester, a notable journalist </w:t>
      </w:r>
      <w:bookmarkStart w:name="_Int_ldT5fL6O" w:id="422071013"/>
      <w:r w:rsidRPr="0B627E12" w:rsidR="3561627E">
        <w:rPr>
          <w:sz w:val="24"/>
          <w:szCs w:val="24"/>
          <w:u w:val="none"/>
        </w:rPr>
        <w:t>mainly active</w:t>
      </w:r>
      <w:bookmarkEnd w:id="422071013"/>
      <w:r w:rsidRPr="0B627E12" w:rsidR="3561627E">
        <w:rPr>
          <w:sz w:val="24"/>
          <w:szCs w:val="24"/>
          <w:u w:val="none"/>
        </w:rPr>
        <w:t xml:space="preserve"> during the 1970’s, </w:t>
      </w:r>
      <w:r w:rsidRPr="0B627E12" w:rsidR="7CC6EAF4">
        <w:rPr>
          <w:sz w:val="24"/>
          <w:szCs w:val="24"/>
          <w:u w:val="none"/>
        </w:rPr>
        <w:t xml:space="preserve">who also happened to cover the Watergate </w:t>
      </w:r>
      <w:r w:rsidRPr="0B627E12" w:rsidR="7CC6EAF4">
        <w:rPr>
          <w:sz w:val="24"/>
          <w:szCs w:val="24"/>
          <w:u w:val="none"/>
        </w:rPr>
        <w:t>Sc</w:t>
      </w:r>
      <w:r w:rsidRPr="0B627E12" w:rsidR="20A0A701">
        <w:rPr>
          <w:sz w:val="24"/>
          <w:szCs w:val="24"/>
          <w:u w:val="none"/>
        </w:rPr>
        <w:t>andal</w:t>
      </w:r>
      <w:r w:rsidRPr="0B627E12" w:rsidR="73977F05">
        <w:rPr>
          <w:sz w:val="24"/>
          <w:szCs w:val="24"/>
          <w:u w:val="none"/>
        </w:rPr>
        <w:t xml:space="preserve"> of 1972. In terms of the source, this holds significant value</w:t>
      </w:r>
      <w:r w:rsidRPr="0B627E12" w:rsidR="3615C858">
        <w:rPr>
          <w:sz w:val="24"/>
          <w:szCs w:val="24"/>
          <w:u w:val="none"/>
        </w:rPr>
        <w:t xml:space="preserve"> as it shows Winchester has reported on </w:t>
      </w:r>
      <w:bookmarkStart w:name="_Int_TYlW9F1T" w:id="1247339523"/>
      <w:r w:rsidRPr="0B627E12" w:rsidR="5BC71F9F">
        <w:rPr>
          <w:sz w:val="24"/>
          <w:szCs w:val="24"/>
          <w:u w:val="none"/>
        </w:rPr>
        <w:t>remarkable events</w:t>
      </w:r>
      <w:bookmarkEnd w:id="1247339523"/>
      <w:r w:rsidRPr="0B627E12" w:rsidR="1946F7B1">
        <w:rPr>
          <w:sz w:val="24"/>
          <w:szCs w:val="24"/>
          <w:u w:val="none"/>
        </w:rPr>
        <w:t xml:space="preserve"> in the past, which in turn allows him to appear as more reliable. Furthermore</w:t>
      </w:r>
      <w:r w:rsidRPr="0B627E12" w:rsidR="42BDBA0F">
        <w:rPr>
          <w:sz w:val="24"/>
          <w:szCs w:val="24"/>
          <w:u w:val="none"/>
        </w:rPr>
        <w:t>, Winchester was present in Argentina during the</w:t>
      </w:r>
      <w:r w:rsidRPr="0B627E12" w:rsidR="1B8E6F1A">
        <w:rPr>
          <w:sz w:val="24"/>
          <w:szCs w:val="24"/>
          <w:u w:val="none"/>
        </w:rPr>
        <w:t xml:space="preserve"> 1982 invasion of the Falklands</w:t>
      </w:r>
      <w:r w:rsidRPr="0B627E12" w:rsidR="29D77715">
        <w:rPr>
          <w:sz w:val="24"/>
          <w:szCs w:val="24"/>
          <w:u w:val="none"/>
        </w:rPr>
        <w:t>. Winchester’s experiences in reporting on significant historical events that have taken place across the world lend them</w:t>
      </w:r>
      <w:r w:rsidRPr="0B627E12" w:rsidR="303E0D79">
        <w:rPr>
          <w:sz w:val="24"/>
          <w:szCs w:val="24"/>
          <w:u w:val="none"/>
        </w:rPr>
        <w:t xml:space="preserve">selves to the source’s reliability and usefulness, as it allows a historian to compare the nature of other sources to this </w:t>
      </w:r>
      <w:bookmarkStart w:name="_Int_Z3i0iScs" w:id="1421172841"/>
      <w:bookmarkStart w:name="_Int_AxUxRuaC" w:id="930747400"/>
      <w:r w:rsidRPr="0B627E12" w:rsidR="303E0D79">
        <w:rPr>
          <w:sz w:val="24"/>
          <w:szCs w:val="24"/>
          <w:u w:val="none"/>
        </w:rPr>
        <w:t>particular headline</w:t>
      </w:r>
      <w:bookmarkEnd w:id="930747400"/>
      <w:r w:rsidRPr="0B627E12" w:rsidR="54FF0028">
        <w:rPr>
          <w:sz w:val="24"/>
          <w:szCs w:val="24"/>
          <w:u w:val="none"/>
        </w:rPr>
        <w:t xml:space="preserve">, which in turn would allow them to </w:t>
      </w:r>
      <w:r w:rsidRPr="0B627E12" w:rsidR="35B8A096">
        <w:rPr>
          <w:sz w:val="24"/>
          <w:szCs w:val="24"/>
          <w:u w:val="none"/>
        </w:rPr>
        <w:t>make an informed decision</w:t>
      </w:r>
      <w:bookmarkStart w:name="_Int_qV0pjXV4" w:id="1540919563"/>
      <w:r w:rsidRPr="0B627E12" w:rsidR="54FF0028">
        <w:rPr>
          <w:sz w:val="24"/>
          <w:szCs w:val="24"/>
          <w:u w:val="none"/>
        </w:rPr>
        <w:t xml:space="preserve"> </w:t>
      </w:r>
      <w:bookmarkEnd w:id="1540919563"/>
      <w:r w:rsidRPr="0B627E12" w:rsidR="54FF0028">
        <w:rPr>
          <w:sz w:val="24"/>
          <w:szCs w:val="24"/>
          <w:u w:val="none"/>
        </w:rPr>
        <w:t>on the r</w:t>
      </w:r>
      <w:r w:rsidRPr="0B627E12" w:rsidR="32810E43">
        <w:rPr>
          <w:sz w:val="24"/>
          <w:szCs w:val="24"/>
          <w:u w:val="none"/>
        </w:rPr>
        <w:t>eliability of the source</w:t>
      </w:r>
      <w:r w:rsidRPr="0B627E12" w:rsidR="6721129C">
        <w:rPr>
          <w:sz w:val="24"/>
          <w:szCs w:val="24"/>
          <w:u w:val="none"/>
        </w:rPr>
        <w:t xml:space="preserve">. </w:t>
      </w:r>
      <w:r w:rsidRPr="0B627E12" w:rsidR="238D41AE">
        <w:rPr>
          <w:sz w:val="24"/>
          <w:szCs w:val="24"/>
          <w:u w:val="none"/>
        </w:rPr>
        <w:t xml:space="preserve">Winchester had been in Ireland before the events of bloody Sunday took place, as he was involved in a controversy the previous year, which was the shooting of </w:t>
      </w:r>
      <w:r w:rsidRPr="0B627E12" w:rsidR="0E9085FF">
        <w:rPr>
          <w:sz w:val="24"/>
          <w:szCs w:val="24"/>
          <w:u w:val="none"/>
        </w:rPr>
        <w:t xml:space="preserve">Barney </w:t>
      </w:r>
      <w:r w:rsidRPr="0B627E12" w:rsidR="3A85DA26">
        <w:rPr>
          <w:sz w:val="24"/>
          <w:szCs w:val="24"/>
          <w:u w:val="none"/>
        </w:rPr>
        <w:t xml:space="preserve">Watt in February of 1971, where he was accused of being partially responsible for the death taking place, as </w:t>
      </w:r>
      <w:r w:rsidRPr="0B627E12" w:rsidR="6AA890D8">
        <w:rPr>
          <w:sz w:val="24"/>
          <w:szCs w:val="24"/>
          <w:u w:val="none"/>
        </w:rPr>
        <w:t>the Mp for Mid Ulster at the time, Bernadette</w:t>
      </w:r>
      <w:r w:rsidRPr="0B627E12" w:rsidR="1DE86946">
        <w:rPr>
          <w:sz w:val="24"/>
          <w:szCs w:val="24"/>
          <w:u w:val="none"/>
        </w:rPr>
        <w:t xml:space="preserve"> Devlin, had accused Winchester and the BBC for simply standing around during the shootings. From this, it is clear to see the Winchester has experience </w:t>
      </w:r>
      <w:r w:rsidRPr="0B627E12" w:rsidR="49DDBD6D">
        <w:rPr>
          <w:sz w:val="24"/>
          <w:szCs w:val="24"/>
          <w:u w:val="none"/>
        </w:rPr>
        <w:t>in reporting on conflict in Ireland, which in turn suggests that his works are of value.</w:t>
      </w:r>
      <w:r w:rsidRPr="0B627E12" w:rsidR="317E7CA2">
        <w:rPr>
          <w:sz w:val="24"/>
          <w:szCs w:val="24"/>
          <w:u w:val="none"/>
        </w:rPr>
        <w:t xml:space="preserve"> Another point of note is that Winchester himself was the Northern Ireland correspondent for the Guardian, the paper in which the source is published</w:t>
      </w:r>
      <w:r w:rsidRPr="0B627E12" w:rsidR="1FA8DE14">
        <w:rPr>
          <w:sz w:val="24"/>
          <w:szCs w:val="24"/>
          <w:u w:val="none"/>
        </w:rPr>
        <w:t xml:space="preserve">. This would suggest that Winchester would provide as much necessary detail as possible, while remaining </w:t>
      </w:r>
      <w:r w:rsidRPr="0B627E12" w:rsidR="10CCB7DC">
        <w:rPr>
          <w:sz w:val="24"/>
          <w:szCs w:val="24"/>
          <w:u w:val="none"/>
        </w:rPr>
        <w:t>as neutral as possible.</w:t>
      </w:r>
      <w:r w:rsidRPr="0B627E12" w:rsidR="317E7CA2">
        <w:rPr>
          <w:sz w:val="24"/>
          <w:szCs w:val="24"/>
          <w:u w:val="none"/>
        </w:rPr>
        <w:t xml:space="preserve"> </w:t>
      </w:r>
      <w:bookmarkEnd w:id="1421172841"/>
    </w:p>
    <w:p xmlns:wp14="http://schemas.microsoft.com/office/word/2010/wordml" w:rsidP="0B627E12" w14:paraId="7D4B0632" wp14:textId="0E8DAE70">
      <w:pPr>
        <w:pStyle w:val="Normal"/>
        <w:jc w:val="both"/>
        <w:rPr>
          <w:sz w:val="24"/>
          <w:szCs w:val="24"/>
          <w:u w:val="none"/>
        </w:rPr>
      </w:pPr>
    </w:p>
    <w:p xmlns:wp14="http://schemas.microsoft.com/office/word/2010/wordml" w:rsidP="0B627E12" w14:paraId="3608B0A9" wp14:textId="2D4AFC4E">
      <w:pPr>
        <w:pStyle w:val="Normal"/>
        <w:jc w:val="both"/>
        <w:rPr>
          <w:sz w:val="24"/>
          <w:szCs w:val="24"/>
          <w:u w:val="none"/>
        </w:rPr>
      </w:pPr>
      <w:r w:rsidRPr="0B627E12" w:rsidR="2FC67B19">
        <w:rPr>
          <w:sz w:val="24"/>
          <w:szCs w:val="24"/>
          <w:u w:val="none"/>
        </w:rPr>
        <w:t xml:space="preserve">The source itself contains a detailed description of the events that took place during the actual Bloody Sunday, including a statement from the Premier of Derry/Londonderry at the time, Brian Faulkner, about what his opinions were as to what caused the events that took place. Faulkner stated that “now in one day, more deaths have been caused in a meaningless and futile terrorist exercise" (Faulkner, 1972). This highlights the fact that there was, in this instant, support for the British actions. Faulkner also highlights previous deaths that have been caused by the I.R.A, such as having witnessed “The funerals of two young Policemen in the Bogside area” (Faulkner, 1972). This highlights the fact that although it was the British Paratroopers that were directly responsible for the deaths that occurred </w:t>
      </w:r>
      <w:r w:rsidRPr="0B627E12" w:rsidR="6E6B604A">
        <w:rPr>
          <w:sz w:val="24"/>
          <w:szCs w:val="24"/>
          <w:u w:val="none"/>
        </w:rPr>
        <w:t>during the events off Bloody Sunday, the Government believed that it was the I.R.A that was responsible highlighting the views and standpoints of the Government at the time.</w:t>
      </w:r>
      <w:r w:rsidRPr="0B627E12" w:rsidR="3FBFD686">
        <w:rPr>
          <w:sz w:val="24"/>
          <w:szCs w:val="24"/>
          <w:u w:val="none"/>
        </w:rPr>
        <w:t xml:space="preserve"> </w:t>
      </w:r>
      <w:r w:rsidRPr="0B627E12" w:rsidR="516E33AA">
        <w:rPr>
          <w:sz w:val="24"/>
          <w:szCs w:val="24"/>
          <w:u w:val="none"/>
        </w:rPr>
        <w:t>Faulkner makes the point that those who were attacking the paratroopers were not actually part of the peaceful protest that was happening at the time</w:t>
      </w:r>
      <w:r w:rsidRPr="0B627E12" w:rsidR="23AAEFF6">
        <w:rPr>
          <w:sz w:val="24"/>
          <w:szCs w:val="24"/>
          <w:u w:val="none"/>
        </w:rPr>
        <w:t xml:space="preserve">, claiming that “after the Civil Rights </w:t>
      </w:r>
      <w:r w:rsidRPr="0B627E12" w:rsidR="3434B23F">
        <w:rPr>
          <w:sz w:val="24"/>
          <w:szCs w:val="24"/>
          <w:u w:val="none"/>
        </w:rPr>
        <w:t>Demonstrators had moved on past Rosswell Street, separate rioting crowds of 200-300 were heavily stoning troops manning a number of road barriers” (Winchester, 1972)</w:t>
      </w:r>
      <w:r w:rsidRPr="0B627E12" w:rsidR="2778BA05">
        <w:rPr>
          <w:sz w:val="24"/>
          <w:szCs w:val="24"/>
          <w:u w:val="none"/>
        </w:rPr>
        <w:t xml:space="preserve">. This hints at the fact that Faulkner may have been attempting to paint the British Paratroopers in a more positive light, making </w:t>
      </w:r>
      <w:r w:rsidRPr="0B627E12" w:rsidR="5ACD8F63">
        <w:rPr>
          <w:sz w:val="24"/>
          <w:szCs w:val="24"/>
          <w:u w:val="none"/>
        </w:rPr>
        <w:t>out that</w:t>
      </w:r>
      <w:r w:rsidRPr="0B627E12" w:rsidR="29AA8C96">
        <w:rPr>
          <w:sz w:val="24"/>
          <w:szCs w:val="24"/>
          <w:u w:val="none"/>
        </w:rPr>
        <w:t xml:space="preserve"> it was purely those </w:t>
      </w:r>
      <w:r w:rsidRPr="0B627E12" w:rsidR="70C21857">
        <w:rPr>
          <w:sz w:val="24"/>
          <w:szCs w:val="24"/>
          <w:u w:val="none"/>
        </w:rPr>
        <w:t>throwing</w:t>
      </w:r>
      <w:r w:rsidRPr="0B627E12" w:rsidR="29AA8C96">
        <w:rPr>
          <w:sz w:val="24"/>
          <w:szCs w:val="24"/>
          <w:u w:val="none"/>
        </w:rPr>
        <w:t xml:space="preserve"> stones at them that were shot at</w:t>
      </w:r>
      <w:r w:rsidRPr="0B627E12" w:rsidR="6D1BF856">
        <w:rPr>
          <w:sz w:val="24"/>
          <w:szCs w:val="24"/>
          <w:u w:val="none"/>
        </w:rPr>
        <w:t xml:space="preserve">, and that the Paratroopers were almost justified in their actions. </w:t>
      </w:r>
      <w:r w:rsidRPr="0B627E12" w:rsidR="7AE90DFA">
        <w:rPr>
          <w:sz w:val="24"/>
          <w:szCs w:val="24"/>
          <w:u w:val="none"/>
        </w:rPr>
        <w:t xml:space="preserve">More evidence of there being some defence for the actions of the paratroopers is present in the form of a statement from </w:t>
      </w:r>
      <w:r w:rsidRPr="0B627E12" w:rsidR="212045CD">
        <w:rPr>
          <w:sz w:val="24"/>
          <w:szCs w:val="24"/>
          <w:u w:val="none"/>
        </w:rPr>
        <w:t>the Major General for Northern Ireland, Robert Ford, who stated “My troops did not go in there sh</w:t>
      </w:r>
      <w:r w:rsidRPr="0B627E12" w:rsidR="0CBBB30C">
        <w:rPr>
          <w:sz w:val="24"/>
          <w:szCs w:val="24"/>
          <w:u w:val="none"/>
        </w:rPr>
        <w:t>ooting. They did not fire until they were fired upon”. This further highlights the fact that at the time, there was support for the actions of the Paratroopers, and that there was attempted justification of the shooting.</w:t>
      </w:r>
    </w:p>
    <w:p xmlns:wp14="http://schemas.microsoft.com/office/word/2010/wordml" w:rsidP="0B627E12" w14:paraId="0D021273" wp14:textId="6CC5638B">
      <w:pPr>
        <w:pStyle w:val="Normal"/>
        <w:rPr>
          <w:sz w:val="24"/>
          <w:szCs w:val="24"/>
          <w:u w:val="none"/>
        </w:rPr>
      </w:pPr>
    </w:p>
    <w:p xmlns:wp14="http://schemas.microsoft.com/office/word/2010/wordml" w:rsidP="0B627E12" w14:paraId="6B53F34F" wp14:textId="58B903B8">
      <w:pPr>
        <w:pStyle w:val="Normal"/>
        <w:jc w:val="both"/>
        <w:rPr>
          <w:sz w:val="24"/>
          <w:szCs w:val="24"/>
          <w:u w:val="none"/>
        </w:rPr>
      </w:pPr>
      <w:r w:rsidRPr="0B627E12" w:rsidR="32810E43">
        <w:rPr>
          <w:sz w:val="24"/>
          <w:szCs w:val="24"/>
          <w:u w:val="none"/>
        </w:rPr>
        <w:t xml:space="preserve">This source features in an issue of the Guardian, published </w:t>
      </w:r>
      <w:r w:rsidRPr="0B627E12" w:rsidR="113DCCDF">
        <w:rPr>
          <w:sz w:val="24"/>
          <w:szCs w:val="24"/>
          <w:u w:val="none"/>
        </w:rPr>
        <w:t>on the 31</w:t>
      </w:r>
      <w:r w:rsidRPr="0B627E12" w:rsidR="113DCCDF">
        <w:rPr>
          <w:sz w:val="24"/>
          <w:szCs w:val="24"/>
          <w:u w:val="none"/>
          <w:vertAlign w:val="superscript"/>
        </w:rPr>
        <w:t>st</w:t>
      </w:r>
      <w:r w:rsidRPr="0B627E12" w:rsidR="113DCCDF">
        <w:rPr>
          <w:sz w:val="24"/>
          <w:szCs w:val="24"/>
          <w:u w:val="none"/>
        </w:rPr>
        <w:t xml:space="preserve"> of January </w:t>
      </w:r>
      <w:r w:rsidRPr="0B627E12" w:rsidR="335E4980">
        <w:rPr>
          <w:sz w:val="24"/>
          <w:szCs w:val="24"/>
          <w:u w:val="none"/>
        </w:rPr>
        <w:t>1972, one day af</w:t>
      </w:r>
      <w:r w:rsidRPr="0B627E12" w:rsidR="29177B09">
        <w:rPr>
          <w:sz w:val="24"/>
          <w:szCs w:val="24"/>
          <w:u w:val="none"/>
        </w:rPr>
        <w:t xml:space="preserve">ter the events of Bloody Sunday took place. </w:t>
      </w:r>
      <w:r w:rsidRPr="0B627E12" w:rsidR="7528E64E">
        <w:rPr>
          <w:sz w:val="24"/>
          <w:szCs w:val="24"/>
          <w:u w:val="none"/>
        </w:rPr>
        <w:t xml:space="preserve">As this source is from a </w:t>
      </w:r>
      <w:r w:rsidRPr="0B627E12" w:rsidR="3DA21403">
        <w:rPr>
          <w:sz w:val="24"/>
          <w:szCs w:val="24"/>
          <w:u w:val="none"/>
        </w:rPr>
        <w:t>newspaper</w:t>
      </w:r>
      <w:r w:rsidRPr="0B627E12" w:rsidR="7528E64E">
        <w:rPr>
          <w:sz w:val="24"/>
          <w:szCs w:val="24"/>
          <w:u w:val="none"/>
        </w:rPr>
        <w:t xml:space="preserve"> article, t</w:t>
      </w:r>
      <w:r w:rsidRPr="0B627E12" w:rsidR="5D0EF1BC">
        <w:rPr>
          <w:sz w:val="24"/>
          <w:szCs w:val="24"/>
          <w:u w:val="none"/>
        </w:rPr>
        <w:t>his is expected to have as little bias as possible</w:t>
      </w:r>
      <w:r w:rsidRPr="0B627E12" w:rsidR="72373267">
        <w:rPr>
          <w:sz w:val="24"/>
          <w:szCs w:val="24"/>
          <w:u w:val="none"/>
        </w:rPr>
        <w:t>, as its main purpose is to look in on events that take place and then relay this information</w:t>
      </w:r>
      <w:r w:rsidRPr="0B627E12" w:rsidR="4743E5F6">
        <w:rPr>
          <w:sz w:val="24"/>
          <w:szCs w:val="24"/>
          <w:u w:val="none"/>
        </w:rPr>
        <w:t xml:space="preserve"> to the general public. The main target audience for this source is a significantly wide one, as unlike sources such as parliamentary notes from meetings, the information </w:t>
      </w:r>
      <w:r w:rsidRPr="0B627E12" w:rsidR="3F284DDB">
        <w:rPr>
          <w:sz w:val="24"/>
          <w:szCs w:val="24"/>
          <w:u w:val="none"/>
        </w:rPr>
        <w:t>within the source</w:t>
      </w:r>
      <w:r w:rsidRPr="0B627E12" w:rsidR="19297C64">
        <w:rPr>
          <w:sz w:val="24"/>
          <w:szCs w:val="24"/>
          <w:u w:val="none"/>
        </w:rPr>
        <w:t xml:space="preserve"> is destined to be read by the general </w:t>
      </w:r>
      <w:r w:rsidRPr="0B627E12" w:rsidR="70D0C810">
        <w:rPr>
          <w:sz w:val="24"/>
          <w:szCs w:val="24"/>
          <w:u w:val="none"/>
        </w:rPr>
        <w:t>public</w:t>
      </w:r>
      <w:r w:rsidRPr="0B627E12" w:rsidR="19297C64">
        <w:rPr>
          <w:sz w:val="24"/>
          <w:szCs w:val="24"/>
          <w:u w:val="none"/>
        </w:rPr>
        <w:t xml:space="preserve">. </w:t>
      </w:r>
      <w:r w:rsidRPr="0B627E12" w:rsidR="7274BC08">
        <w:rPr>
          <w:sz w:val="24"/>
          <w:szCs w:val="24"/>
          <w:u w:val="none"/>
        </w:rPr>
        <w:t xml:space="preserve">As a result of this, there would be little to no political bias within the article. However, due to the tragic nature of the events of Bloody Sunday, </w:t>
      </w:r>
      <w:r w:rsidRPr="0B627E12" w:rsidR="3D629BE0">
        <w:rPr>
          <w:sz w:val="24"/>
          <w:szCs w:val="24"/>
          <w:u w:val="none"/>
        </w:rPr>
        <w:t xml:space="preserve">care </w:t>
      </w:r>
      <w:bookmarkStart w:name="_Int_ivSsv9ju" w:id="811766608"/>
      <w:r w:rsidRPr="0B627E12" w:rsidR="3D629BE0">
        <w:rPr>
          <w:sz w:val="24"/>
          <w:szCs w:val="24"/>
          <w:u w:val="none"/>
        </w:rPr>
        <w:t>has to</w:t>
      </w:r>
      <w:bookmarkEnd w:id="811766608"/>
      <w:r w:rsidRPr="0B627E12" w:rsidR="3D629BE0">
        <w:rPr>
          <w:sz w:val="24"/>
          <w:szCs w:val="24"/>
          <w:u w:val="none"/>
        </w:rPr>
        <w:t xml:space="preserve"> be taken in the way the article is written, so there is </w:t>
      </w:r>
      <w:r w:rsidRPr="0B627E12" w:rsidR="1952ABFA">
        <w:rPr>
          <w:sz w:val="24"/>
          <w:szCs w:val="24"/>
          <w:u w:val="none"/>
        </w:rPr>
        <w:t xml:space="preserve">naturally wording that is sympathetic to those who have lost their lives, and the Paratroopers are portrayed in a neutral manner. </w:t>
      </w:r>
      <w:r w:rsidRPr="0B627E12" w:rsidR="19297C64">
        <w:rPr>
          <w:sz w:val="24"/>
          <w:szCs w:val="24"/>
          <w:u w:val="none"/>
        </w:rPr>
        <w:t>The newspaper itself, The Guardian</w:t>
      </w:r>
      <w:r w:rsidRPr="0B627E12" w:rsidR="47EDCA29">
        <w:rPr>
          <w:sz w:val="24"/>
          <w:szCs w:val="24"/>
          <w:u w:val="none"/>
        </w:rPr>
        <w:t xml:space="preserve">, is a considerably </w:t>
      </w:r>
      <w:r w:rsidRPr="0B627E12" w:rsidR="15D64F56">
        <w:rPr>
          <w:sz w:val="24"/>
          <w:szCs w:val="24"/>
          <w:u w:val="none"/>
        </w:rPr>
        <w:t>well-known</w:t>
      </w:r>
      <w:r w:rsidRPr="0B627E12" w:rsidR="47EDCA29">
        <w:rPr>
          <w:sz w:val="24"/>
          <w:szCs w:val="24"/>
          <w:u w:val="none"/>
        </w:rPr>
        <w:t xml:space="preserve"> newspaper</w:t>
      </w:r>
      <w:r w:rsidRPr="0B627E12" w:rsidR="099F1A9F">
        <w:rPr>
          <w:sz w:val="24"/>
          <w:szCs w:val="24"/>
          <w:u w:val="none"/>
        </w:rPr>
        <w:t xml:space="preserve"> based in Northern England. </w:t>
      </w:r>
      <w:r w:rsidRPr="0B627E12" w:rsidR="6ABC2A3C">
        <w:rPr>
          <w:sz w:val="24"/>
          <w:szCs w:val="24"/>
          <w:u w:val="none"/>
        </w:rPr>
        <w:t>The Guardian, although based in the North of England</w:t>
      </w:r>
      <w:r w:rsidRPr="0B627E12" w:rsidR="4101DF07">
        <w:rPr>
          <w:sz w:val="24"/>
          <w:szCs w:val="24"/>
          <w:u w:val="none"/>
        </w:rPr>
        <w:t>, was and still is sold around the country. This fact informs that the main purpose of the source is purely to inform the reader of events that had taken place in near real time.</w:t>
      </w:r>
      <w:r w:rsidRPr="0B627E12" w:rsidR="5D056822">
        <w:rPr>
          <w:sz w:val="24"/>
          <w:szCs w:val="24"/>
          <w:u w:val="none"/>
        </w:rPr>
        <w:t xml:space="preserve"> </w:t>
      </w:r>
    </w:p>
    <w:p xmlns:wp14="http://schemas.microsoft.com/office/word/2010/wordml" w:rsidP="0B627E12" w14:paraId="64556AB9" wp14:textId="385679BA">
      <w:pPr>
        <w:pStyle w:val="Normal"/>
        <w:rPr>
          <w:sz w:val="24"/>
          <w:szCs w:val="24"/>
          <w:u w:val="none"/>
        </w:rPr>
      </w:pPr>
    </w:p>
    <w:p xmlns:wp14="http://schemas.microsoft.com/office/word/2010/wordml" w:rsidP="0B627E12" w14:paraId="4DA2405E" wp14:textId="17FFB1CE">
      <w:pPr>
        <w:pStyle w:val="Normal"/>
        <w:jc w:val="both"/>
        <w:rPr>
          <w:sz w:val="24"/>
          <w:szCs w:val="24"/>
          <w:u w:val="none"/>
        </w:rPr>
      </w:pPr>
      <w:r w:rsidRPr="0B627E12" w:rsidR="47EDCA29">
        <w:rPr>
          <w:sz w:val="24"/>
          <w:szCs w:val="24"/>
          <w:u w:val="none"/>
        </w:rPr>
        <w:t>This newspaper was published in 1972, one day after the events of Bloody Sunday took place.</w:t>
      </w:r>
      <w:r w:rsidRPr="0B627E12" w:rsidR="0BC85B56">
        <w:rPr>
          <w:sz w:val="24"/>
          <w:szCs w:val="24"/>
          <w:u w:val="none"/>
        </w:rPr>
        <w:t xml:space="preserve"> 1972 was a turbulent time period in terms of conflict between the British and the I.R.A.</w:t>
      </w:r>
      <w:r w:rsidRPr="0B627E12" w:rsidR="0F50B366">
        <w:rPr>
          <w:sz w:val="24"/>
          <w:szCs w:val="24"/>
          <w:u w:val="none"/>
        </w:rPr>
        <w:t xml:space="preserve"> </w:t>
      </w:r>
      <w:r w:rsidRPr="0B627E12" w:rsidR="14CB9D45">
        <w:rPr>
          <w:sz w:val="24"/>
          <w:szCs w:val="24"/>
          <w:u w:val="none"/>
        </w:rPr>
        <w:t xml:space="preserve">As a result of this, </w:t>
      </w:r>
      <w:r w:rsidRPr="0B627E12" w:rsidR="24B55A14">
        <w:rPr>
          <w:sz w:val="24"/>
          <w:szCs w:val="24"/>
          <w:u w:val="none"/>
        </w:rPr>
        <w:t xml:space="preserve">the feelings of the </w:t>
      </w:r>
      <w:r w:rsidRPr="0B627E12" w:rsidR="456820A1">
        <w:rPr>
          <w:sz w:val="24"/>
          <w:szCs w:val="24"/>
          <w:u w:val="none"/>
        </w:rPr>
        <w:t>British public</w:t>
      </w:r>
      <w:r w:rsidRPr="0B627E12" w:rsidR="24B55A14">
        <w:rPr>
          <w:sz w:val="24"/>
          <w:szCs w:val="24"/>
          <w:u w:val="none"/>
        </w:rPr>
        <w:t xml:space="preserve"> would have been in Irish favour</w:t>
      </w:r>
      <w:r w:rsidRPr="0B627E12" w:rsidR="5CA6028F">
        <w:rPr>
          <w:sz w:val="24"/>
          <w:szCs w:val="24"/>
          <w:u w:val="none"/>
        </w:rPr>
        <w:t>.</w:t>
      </w:r>
      <w:r w:rsidRPr="0B627E12" w:rsidR="7B801BA3">
        <w:rPr>
          <w:sz w:val="24"/>
          <w:szCs w:val="24"/>
          <w:u w:val="none"/>
        </w:rPr>
        <w:t xml:space="preserve"> The significance of the article being published in 1972 </w:t>
      </w:r>
      <w:r w:rsidRPr="0B627E12" w:rsidR="200D34F0">
        <w:rPr>
          <w:sz w:val="24"/>
          <w:szCs w:val="24"/>
          <w:u w:val="none"/>
        </w:rPr>
        <w:t xml:space="preserve">is that the information, and views contained within would be completely original, IE they have not had any external influence put </w:t>
      </w:r>
      <w:r w:rsidRPr="0B627E12" w:rsidR="12E23CCD">
        <w:rPr>
          <w:sz w:val="24"/>
          <w:szCs w:val="24"/>
          <w:u w:val="none"/>
        </w:rPr>
        <w:t>into</w:t>
      </w:r>
      <w:r w:rsidRPr="0B627E12" w:rsidR="1D7900C4">
        <w:rPr>
          <w:sz w:val="24"/>
          <w:szCs w:val="24"/>
          <w:u w:val="none"/>
        </w:rPr>
        <w:t xml:space="preserve"> their views.</w:t>
      </w:r>
      <w:r w:rsidRPr="0B627E12" w:rsidR="2591CDD7">
        <w:rPr>
          <w:sz w:val="24"/>
          <w:szCs w:val="24"/>
          <w:u w:val="none"/>
        </w:rPr>
        <w:t xml:space="preserve"> The bias that is present in the source would have been of the time, and the statement from the Premier of Derry highlights this, talking about how </w:t>
      </w:r>
      <w:r w:rsidRPr="0B627E12" w:rsidR="3D228F3D">
        <w:rPr>
          <w:sz w:val="24"/>
          <w:szCs w:val="24"/>
          <w:u w:val="none"/>
        </w:rPr>
        <w:t>Londonderry “Is a city on which perhaps more than any other the I.R.A has sought to impose its will</w:t>
      </w:r>
      <w:r w:rsidRPr="0B627E12" w:rsidR="1A717023">
        <w:rPr>
          <w:sz w:val="24"/>
          <w:szCs w:val="24"/>
          <w:u w:val="none"/>
        </w:rPr>
        <w:t>”</w:t>
      </w:r>
      <w:r w:rsidRPr="0B627E12" w:rsidR="3D228F3D">
        <w:rPr>
          <w:sz w:val="24"/>
          <w:szCs w:val="24"/>
          <w:u w:val="none"/>
        </w:rPr>
        <w:t xml:space="preserve"> (Winchester, 197</w:t>
      </w:r>
      <w:r w:rsidRPr="0B627E12" w:rsidR="54B350A3">
        <w:rPr>
          <w:sz w:val="24"/>
          <w:szCs w:val="24"/>
          <w:u w:val="none"/>
        </w:rPr>
        <w:t>2)</w:t>
      </w:r>
      <w:r w:rsidRPr="0B627E12" w:rsidR="33DA11C7">
        <w:rPr>
          <w:sz w:val="24"/>
          <w:szCs w:val="24"/>
          <w:u w:val="none"/>
        </w:rPr>
        <w:t xml:space="preserve">. The distain of the </w:t>
      </w:r>
      <w:r w:rsidRPr="0B627E12" w:rsidR="07274D12">
        <w:rPr>
          <w:sz w:val="24"/>
          <w:szCs w:val="24"/>
          <w:u w:val="none"/>
        </w:rPr>
        <w:t>British</w:t>
      </w:r>
      <w:r w:rsidRPr="0B627E12" w:rsidR="33DA11C7">
        <w:rPr>
          <w:sz w:val="24"/>
          <w:szCs w:val="24"/>
          <w:u w:val="none"/>
        </w:rPr>
        <w:t xml:space="preserve"> Government towards the I.R.A comes through in several instances, which really </w:t>
      </w:r>
      <w:r w:rsidRPr="0B627E12" w:rsidR="1996D179">
        <w:rPr>
          <w:sz w:val="24"/>
          <w:szCs w:val="24"/>
          <w:u w:val="none"/>
        </w:rPr>
        <w:t>shows that</w:t>
      </w:r>
      <w:r w:rsidRPr="0B627E12" w:rsidR="33DA11C7">
        <w:rPr>
          <w:sz w:val="24"/>
          <w:szCs w:val="24"/>
          <w:u w:val="none"/>
        </w:rPr>
        <w:t xml:space="preserve"> the report can allow an histori</w:t>
      </w:r>
      <w:r w:rsidRPr="0B627E12" w:rsidR="2962674C">
        <w:rPr>
          <w:sz w:val="24"/>
          <w:szCs w:val="24"/>
          <w:u w:val="none"/>
        </w:rPr>
        <w:t>an to obtain a much greater understanding</w:t>
      </w:r>
      <w:r w:rsidRPr="0B627E12" w:rsidR="11F3DAD1">
        <w:rPr>
          <w:sz w:val="24"/>
          <w:szCs w:val="24"/>
          <w:u w:val="none"/>
        </w:rPr>
        <w:t xml:space="preserve">. </w:t>
      </w:r>
      <w:bookmarkStart w:name="_Int_SH1C8tO4" w:id="220392133"/>
      <w:r w:rsidRPr="0B627E12" w:rsidR="11F3DAD1">
        <w:rPr>
          <w:sz w:val="24"/>
          <w:szCs w:val="24"/>
          <w:u w:val="none"/>
        </w:rPr>
        <w:t>Later on</w:t>
      </w:r>
      <w:bookmarkEnd w:id="220392133"/>
      <w:r w:rsidRPr="0B627E12" w:rsidR="11F3DAD1">
        <w:rPr>
          <w:sz w:val="24"/>
          <w:szCs w:val="24"/>
          <w:u w:val="none"/>
        </w:rPr>
        <w:t xml:space="preserve"> </w:t>
      </w:r>
      <w:r w:rsidRPr="0B627E12" w:rsidR="5CE1BAA8">
        <w:rPr>
          <w:sz w:val="24"/>
          <w:szCs w:val="24"/>
          <w:u w:val="none"/>
        </w:rPr>
        <w:t>in</w:t>
      </w:r>
      <w:r w:rsidRPr="0B627E12" w:rsidR="11F3DAD1">
        <w:rPr>
          <w:sz w:val="24"/>
          <w:szCs w:val="24"/>
          <w:u w:val="none"/>
        </w:rPr>
        <w:t xml:space="preserve"> 1972, the I.R.A carried out a bombing at the </w:t>
      </w:r>
      <w:r w:rsidRPr="0B627E12" w:rsidR="24A36BDB">
        <w:rPr>
          <w:sz w:val="24"/>
          <w:szCs w:val="24"/>
          <w:u w:val="none"/>
        </w:rPr>
        <w:t>16</w:t>
      </w:r>
      <w:r w:rsidRPr="0B627E12" w:rsidR="24A36BDB">
        <w:rPr>
          <w:sz w:val="24"/>
          <w:szCs w:val="24"/>
          <w:u w:val="none"/>
          <w:vertAlign w:val="superscript"/>
        </w:rPr>
        <w:t>th</w:t>
      </w:r>
      <w:r w:rsidRPr="0B627E12" w:rsidR="24A36BDB">
        <w:rPr>
          <w:sz w:val="24"/>
          <w:szCs w:val="24"/>
          <w:u w:val="none"/>
        </w:rPr>
        <w:t xml:space="preserve"> Parachute regiment’s barracks in Aldershot</w:t>
      </w:r>
      <w:r w:rsidRPr="0B627E12" w:rsidR="425E1941">
        <w:rPr>
          <w:sz w:val="24"/>
          <w:szCs w:val="24"/>
          <w:u w:val="none"/>
        </w:rPr>
        <w:t xml:space="preserve">. The reason for this was because </w:t>
      </w:r>
      <w:r w:rsidRPr="0B627E12" w:rsidR="016B4F97">
        <w:rPr>
          <w:sz w:val="24"/>
          <w:szCs w:val="24"/>
          <w:u w:val="none"/>
        </w:rPr>
        <w:t>“</w:t>
      </w:r>
      <w:r w:rsidRPr="0B627E12" w:rsidR="4D237624">
        <w:rPr>
          <w:sz w:val="24"/>
          <w:szCs w:val="24"/>
          <w:u w:val="none"/>
        </w:rPr>
        <w:t>elements of the 16</w:t>
      </w:r>
      <w:r w:rsidRPr="0B627E12" w:rsidR="4D237624">
        <w:rPr>
          <w:sz w:val="24"/>
          <w:szCs w:val="24"/>
          <w:u w:val="none"/>
          <w:vertAlign w:val="superscript"/>
        </w:rPr>
        <w:t>th</w:t>
      </w:r>
      <w:r w:rsidRPr="0B627E12" w:rsidR="4D237624">
        <w:rPr>
          <w:sz w:val="24"/>
          <w:szCs w:val="24"/>
          <w:u w:val="none"/>
        </w:rPr>
        <w:t xml:space="preserve"> regiment had been present during the Bloody Sunday events” (Jones, 2015).  It could be said that the events of Bloody Sunday inspired the I</w:t>
      </w:r>
      <w:r w:rsidRPr="0B627E12" w:rsidR="2C75E8BD">
        <w:rPr>
          <w:sz w:val="24"/>
          <w:szCs w:val="24"/>
          <w:u w:val="none"/>
        </w:rPr>
        <w:t>.R.A to carry out the attack, which only increases the significance</w:t>
      </w:r>
      <w:r w:rsidRPr="0B627E12" w:rsidR="504FA4C9">
        <w:rPr>
          <w:sz w:val="24"/>
          <w:szCs w:val="24"/>
          <w:u w:val="none"/>
        </w:rPr>
        <w:t xml:space="preserve"> of the events that took place during Bloody Sunday</w:t>
      </w:r>
    </w:p>
    <w:p xmlns:wp14="http://schemas.microsoft.com/office/word/2010/wordml" w:rsidP="0B627E12" w14:paraId="37028856" wp14:textId="22320252">
      <w:pPr>
        <w:pStyle w:val="Normal"/>
        <w:rPr>
          <w:sz w:val="24"/>
          <w:szCs w:val="24"/>
          <w:u w:val="none"/>
        </w:rPr>
      </w:pPr>
    </w:p>
    <w:p xmlns:wp14="http://schemas.microsoft.com/office/word/2010/wordml" w:rsidP="0B627E12" w14:paraId="6DD73C8A" wp14:textId="2F14C6DB">
      <w:pPr>
        <w:pStyle w:val="Normal"/>
        <w:jc w:val="both"/>
        <w:rPr>
          <w:sz w:val="24"/>
          <w:szCs w:val="24"/>
          <w:u w:val="none"/>
        </w:rPr>
      </w:pPr>
      <w:r w:rsidRPr="0B627E12" w:rsidR="6A493184">
        <w:rPr>
          <w:sz w:val="24"/>
          <w:szCs w:val="24"/>
          <w:u w:val="none"/>
        </w:rPr>
        <w:t>Something interesting is that another Northern English based newspaper, namely “The Newcastle Journal” had covered</w:t>
      </w:r>
      <w:r w:rsidRPr="0B627E12" w:rsidR="3D52A977">
        <w:rPr>
          <w:sz w:val="24"/>
          <w:szCs w:val="24"/>
          <w:u w:val="none"/>
        </w:rPr>
        <w:t xml:space="preserve"> events in Ireland around the same time as the Guardian had written about the events of Bloody Sunday. </w:t>
      </w:r>
      <w:r w:rsidRPr="0B627E12" w:rsidR="15EF4982">
        <w:rPr>
          <w:sz w:val="24"/>
          <w:szCs w:val="24"/>
          <w:u w:val="none"/>
        </w:rPr>
        <w:t>On January the 1</w:t>
      </w:r>
      <w:r w:rsidRPr="0B627E12" w:rsidR="15EF4982">
        <w:rPr>
          <w:sz w:val="24"/>
          <w:szCs w:val="24"/>
          <w:u w:val="none"/>
          <w:vertAlign w:val="superscript"/>
        </w:rPr>
        <w:t>st</w:t>
      </w:r>
      <w:r w:rsidRPr="0B627E12" w:rsidR="15EF4982">
        <w:rPr>
          <w:sz w:val="24"/>
          <w:szCs w:val="24"/>
          <w:u w:val="none"/>
        </w:rPr>
        <w:t xml:space="preserve"> 1972, the Journal had covered a car bombing in a cinema in Derry. </w:t>
      </w:r>
      <w:r w:rsidRPr="0B627E12" w:rsidR="27DDFD88">
        <w:rPr>
          <w:sz w:val="24"/>
          <w:szCs w:val="24"/>
          <w:u w:val="none"/>
        </w:rPr>
        <w:t>While the image of the blown-up cinema takes the centre spot on the front cover of the paper, the bombing is not the main headline, unlike the Gua</w:t>
      </w:r>
      <w:r w:rsidRPr="0B627E12" w:rsidR="47E345AA">
        <w:rPr>
          <w:sz w:val="24"/>
          <w:szCs w:val="24"/>
          <w:u w:val="none"/>
        </w:rPr>
        <w:t>rdian</w:t>
      </w:r>
      <w:r w:rsidRPr="0B627E12" w:rsidR="206F37AA">
        <w:rPr>
          <w:sz w:val="24"/>
          <w:szCs w:val="24"/>
          <w:u w:val="none"/>
        </w:rPr>
        <w:t>. Instead, the main headline is about a sporting show</w:t>
      </w:r>
      <w:r w:rsidRPr="0B627E12" w:rsidR="32F39189">
        <w:rPr>
          <w:sz w:val="24"/>
          <w:szCs w:val="24"/>
          <w:u w:val="none"/>
        </w:rPr>
        <w:t>. It could be said that the reason for the different priorities in the headlines is the severity of</w:t>
      </w:r>
      <w:r w:rsidRPr="0B627E12" w:rsidR="395A27ED">
        <w:rPr>
          <w:sz w:val="24"/>
          <w:szCs w:val="24"/>
          <w:u w:val="none"/>
        </w:rPr>
        <w:t xml:space="preserve"> the events that took place. Comparing the two articles, </w:t>
      </w:r>
      <w:bookmarkStart w:name="_Int_uNme7vuS" w:id="1348532525"/>
      <w:r w:rsidRPr="0B627E12" w:rsidR="3858F407">
        <w:rPr>
          <w:sz w:val="24"/>
          <w:szCs w:val="24"/>
          <w:u w:val="none"/>
        </w:rPr>
        <w:t>it</w:t>
      </w:r>
      <w:r w:rsidRPr="0B627E12" w:rsidR="395A27ED">
        <w:rPr>
          <w:sz w:val="24"/>
          <w:szCs w:val="24"/>
          <w:u w:val="none"/>
        </w:rPr>
        <w:t xml:space="preserve"> can be seen that there</w:t>
      </w:r>
      <w:bookmarkEnd w:id="1348532525"/>
      <w:r w:rsidRPr="0B627E12" w:rsidR="395A27ED">
        <w:rPr>
          <w:sz w:val="24"/>
          <w:szCs w:val="24"/>
          <w:u w:val="none"/>
        </w:rPr>
        <w:t xml:space="preserve"> is a distinct difference between </w:t>
      </w:r>
      <w:r w:rsidRPr="0B627E12" w:rsidR="64B18E9F">
        <w:rPr>
          <w:sz w:val="24"/>
          <w:szCs w:val="24"/>
          <w:u w:val="none"/>
        </w:rPr>
        <w:t>the tone</w:t>
      </w:r>
      <w:r w:rsidRPr="0B627E12" w:rsidR="395A27ED">
        <w:rPr>
          <w:sz w:val="24"/>
          <w:szCs w:val="24"/>
          <w:u w:val="none"/>
        </w:rPr>
        <w:t xml:space="preserve"> of each, with the Newcastle Journal hardly </w:t>
      </w:r>
      <w:r w:rsidRPr="0B627E12" w:rsidR="40B08AD6">
        <w:rPr>
          <w:sz w:val="24"/>
          <w:szCs w:val="24"/>
          <w:u w:val="none"/>
        </w:rPr>
        <w:t>referring to the culprits as “raiders” and more simply as “two men”</w:t>
      </w:r>
      <w:r w:rsidRPr="0B627E12" w:rsidR="7C9485AE">
        <w:rPr>
          <w:sz w:val="24"/>
          <w:szCs w:val="24"/>
          <w:u w:val="none"/>
        </w:rPr>
        <w:t xml:space="preserve"> (Linford, 1972). In Winchester’s article, </w:t>
      </w:r>
      <w:r w:rsidRPr="0B627E12" w:rsidR="03D126F2">
        <w:rPr>
          <w:sz w:val="24"/>
          <w:szCs w:val="24"/>
          <w:u w:val="none"/>
        </w:rPr>
        <w:t>the blame is pushed onto the I.R.A, claiming that it was an act of terrorism</w:t>
      </w:r>
      <w:r w:rsidRPr="0B627E12" w:rsidR="0D8DE376">
        <w:rPr>
          <w:sz w:val="24"/>
          <w:szCs w:val="24"/>
          <w:u w:val="none"/>
        </w:rPr>
        <w:t xml:space="preserve"> that was </w:t>
      </w:r>
      <w:r w:rsidRPr="0B627E12" w:rsidR="0D8DE376">
        <w:rPr>
          <w:sz w:val="24"/>
          <w:szCs w:val="24"/>
          <w:u w:val="none"/>
        </w:rPr>
        <w:t>completely</w:t>
      </w:r>
      <w:r w:rsidRPr="0B627E12" w:rsidR="0D8DE376">
        <w:rPr>
          <w:sz w:val="24"/>
          <w:szCs w:val="24"/>
          <w:u w:val="none"/>
        </w:rPr>
        <w:t xml:space="preserve"> </w:t>
      </w:r>
      <w:r w:rsidRPr="0B627E12" w:rsidR="0D8DE376">
        <w:rPr>
          <w:sz w:val="24"/>
          <w:szCs w:val="24"/>
          <w:u w:val="none"/>
        </w:rPr>
        <w:t>unnecessary</w:t>
      </w:r>
      <w:r w:rsidRPr="0B627E12" w:rsidR="0D8DE376">
        <w:rPr>
          <w:sz w:val="24"/>
          <w:szCs w:val="24"/>
          <w:u w:val="none"/>
        </w:rPr>
        <w:t>.</w:t>
      </w:r>
    </w:p>
    <w:p xmlns:wp14="http://schemas.microsoft.com/office/word/2010/wordml" w:rsidP="0B627E12" w14:paraId="3F16416A" wp14:textId="65F55A88">
      <w:pPr>
        <w:pStyle w:val="Normal"/>
        <w:rPr>
          <w:sz w:val="24"/>
          <w:szCs w:val="24"/>
          <w:u w:val="none"/>
        </w:rPr>
      </w:pPr>
    </w:p>
    <w:p xmlns:wp14="http://schemas.microsoft.com/office/word/2010/wordml" w:rsidP="0B627E12" w14:paraId="27F8BFC1" wp14:textId="4E57D995">
      <w:pPr>
        <w:pStyle w:val="Normal"/>
        <w:jc w:val="both"/>
        <w:rPr>
          <w:sz w:val="24"/>
          <w:szCs w:val="24"/>
          <w:u w:val="none"/>
        </w:rPr>
      </w:pPr>
      <w:r w:rsidRPr="0B627E12" w:rsidR="13EBFC7F">
        <w:rPr>
          <w:sz w:val="24"/>
          <w:szCs w:val="24"/>
          <w:u w:val="none"/>
        </w:rPr>
        <w:t xml:space="preserve">From a </w:t>
      </w:r>
      <w:r w:rsidRPr="0B627E12" w:rsidR="5AAC79CB">
        <w:rPr>
          <w:sz w:val="24"/>
          <w:szCs w:val="24"/>
          <w:u w:val="none"/>
        </w:rPr>
        <w:t xml:space="preserve">historian's point of view, this source holds significant value, as it provides </w:t>
      </w:r>
      <w:r w:rsidRPr="0B627E12" w:rsidR="3849EAAD">
        <w:rPr>
          <w:sz w:val="24"/>
          <w:szCs w:val="24"/>
          <w:u w:val="none"/>
        </w:rPr>
        <w:t>a valuable insight into the events that took place. Th</w:t>
      </w:r>
      <w:r w:rsidRPr="0B627E12" w:rsidR="2FAF31F4">
        <w:rPr>
          <w:sz w:val="24"/>
          <w:szCs w:val="24"/>
          <w:u w:val="none"/>
        </w:rPr>
        <w:t>e fact that Simon Winchester was there to experience the bloodshed that</w:t>
      </w:r>
      <w:r w:rsidRPr="0B627E12" w:rsidR="03716EC2">
        <w:rPr>
          <w:sz w:val="24"/>
          <w:szCs w:val="24"/>
          <w:u w:val="none"/>
        </w:rPr>
        <w:t xml:space="preserve"> took place means that he was able to provide an almost first-hand account of the events</w:t>
      </w:r>
      <w:r w:rsidRPr="0B627E12" w:rsidR="71157F37">
        <w:rPr>
          <w:sz w:val="24"/>
          <w:szCs w:val="24"/>
          <w:u w:val="none"/>
        </w:rPr>
        <w:t>. It al</w:t>
      </w:r>
      <w:r w:rsidRPr="0B627E12" w:rsidR="56CE8834">
        <w:rPr>
          <w:sz w:val="24"/>
          <w:szCs w:val="24"/>
          <w:u w:val="none"/>
        </w:rPr>
        <w:t>so gives us an outlook on what the prem</w:t>
      </w:r>
      <w:r w:rsidRPr="0B627E12" w:rsidR="78153827">
        <w:rPr>
          <w:sz w:val="24"/>
          <w:szCs w:val="24"/>
          <w:u w:val="none"/>
        </w:rPr>
        <w:t xml:space="preserve">ier of Ireland at the time had to say about </w:t>
      </w:r>
      <w:r w:rsidRPr="0B627E12" w:rsidR="66E6795A">
        <w:rPr>
          <w:sz w:val="24"/>
          <w:szCs w:val="24"/>
          <w:u w:val="none"/>
        </w:rPr>
        <w:t>the</w:t>
      </w:r>
      <w:r w:rsidRPr="0B627E12" w:rsidR="78153827">
        <w:rPr>
          <w:sz w:val="24"/>
          <w:szCs w:val="24"/>
          <w:u w:val="none"/>
        </w:rPr>
        <w:t xml:space="preserve"> events that took place, which would allow a historian studying the Bloody Sunday events to view them from an entirely </w:t>
      </w:r>
      <w:bookmarkStart w:name="_Int_ipIDvm2a" w:id="1932232277"/>
      <w:r w:rsidRPr="0B627E12" w:rsidR="4D56C1E7">
        <w:rPr>
          <w:sz w:val="24"/>
          <w:szCs w:val="24"/>
          <w:u w:val="none"/>
        </w:rPr>
        <w:t>unique perspective</w:t>
      </w:r>
      <w:bookmarkEnd w:id="1932232277"/>
      <w:r w:rsidRPr="0B627E12" w:rsidR="19B8A6B0">
        <w:rPr>
          <w:sz w:val="24"/>
          <w:szCs w:val="24"/>
          <w:u w:val="none"/>
        </w:rPr>
        <w:t>, that of someone who was not directly involved, but the events had a significant impact upon.</w:t>
      </w:r>
      <w:r w:rsidRPr="0B627E12" w:rsidR="7E3DB714">
        <w:rPr>
          <w:sz w:val="24"/>
          <w:szCs w:val="24"/>
          <w:u w:val="none"/>
        </w:rPr>
        <w:t xml:space="preserve"> Also, the obvious fact that the source was written at the time, and by someone who was </w:t>
      </w:r>
      <w:bookmarkStart w:name="_Int_ToOGHWqu" w:id="342472999"/>
      <w:r w:rsidRPr="0B627E12" w:rsidR="7E3DB714">
        <w:rPr>
          <w:sz w:val="24"/>
          <w:szCs w:val="24"/>
          <w:u w:val="none"/>
        </w:rPr>
        <w:t>actually in</w:t>
      </w:r>
      <w:bookmarkEnd w:id="342472999"/>
      <w:r w:rsidRPr="0B627E12" w:rsidR="7E3DB714">
        <w:rPr>
          <w:sz w:val="24"/>
          <w:szCs w:val="24"/>
          <w:u w:val="none"/>
        </w:rPr>
        <w:t xml:space="preserve"> Derry at that specific </w:t>
      </w:r>
      <w:r w:rsidRPr="0B627E12" w:rsidR="06882ADC">
        <w:rPr>
          <w:sz w:val="24"/>
          <w:szCs w:val="24"/>
          <w:u w:val="none"/>
        </w:rPr>
        <w:t xml:space="preserve">moment in time, lends itself in terms of value to an historian studying </w:t>
      </w:r>
      <w:r w:rsidRPr="0B627E12" w:rsidR="7FF83433">
        <w:rPr>
          <w:sz w:val="24"/>
          <w:szCs w:val="24"/>
          <w:u w:val="none"/>
        </w:rPr>
        <w:t>the</w:t>
      </w:r>
      <w:r w:rsidRPr="0B627E12" w:rsidR="06882ADC">
        <w:rPr>
          <w:sz w:val="24"/>
          <w:szCs w:val="24"/>
          <w:u w:val="none"/>
        </w:rPr>
        <w:t xml:space="preserve"> conflict in Ireland during the 1970’s. This is </w:t>
      </w:r>
      <w:bookmarkStart w:name="_Int_gGVPBllf" w:id="934393718"/>
      <w:r w:rsidRPr="0B627E12" w:rsidR="06882ADC">
        <w:rPr>
          <w:sz w:val="24"/>
          <w:szCs w:val="24"/>
          <w:u w:val="none"/>
        </w:rPr>
        <w:t xml:space="preserve">due to </w:t>
      </w:r>
      <w:r w:rsidRPr="0B627E12" w:rsidR="5B901FEE">
        <w:rPr>
          <w:sz w:val="24"/>
          <w:szCs w:val="24"/>
          <w:u w:val="none"/>
        </w:rPr>
        <w:t>the fact that</w:t>
      </w:r>
      <w:bookmarkEnd w:id="934393718"/>
      <w:r w:rsidRPr="0B627E12" w:rsidR="5B901FEE">
        <w:rPr>
          <w:sz w:val="24"/>
          <w:szCs w:val="24"/>
          <w:u w:val="none"/>
        </w:rPr>
        <w:t xml:space="preserve"> the information contained within the source is untainted by any contrasting historical views</w:t>
      </w:r>
      <w:r w:rsidRPr="0B627E12" w:rsidR="2C17450B">
        <w:rPr>
          <w:sz w:val="24"/>
          <w:szCs w:val="24"/>
          <w:u w:val="none"/>
        </w:rPr>
        <w:t xml:space="preserve"> that may have arisen </w:t>
      </w:r>
      <w:r w:rsidRPr="0B627E12" w:rsidR="0B69B7A4">
        <w:rPr>
          <w:sz w:val="24"/>
          <w:szCs w:val="24"/>
          <w:u w:val="none"/>
        </w:rPr>
        <w:t>over the last 50 years.</w:t>
      </w:r>
      <w:r w:rsidRPr="0B627E12" w:rsidR="52152CE9">
        <w:rPr>
          <w:sz w:val="24"/>
          <w:szCs w:val="24"/>
          <w:u w:val="none"/>
        </w:rPr>
        <w:t xml:space="preserve"> </w:t>
      </w:r>
    </w:p>
    <w:p xmlns:wp14="http://schemas.microsoft.com/office/word/2010/wordml" w:rsidP="0B627E12" w14:paraId="058724DA" wp14:textId="252F3466">
      <w:pPr>
        <w:pStyle w:val="Normal"/>
        <w:jc w:val="both"/>
        <w:rPr>
          <w:sz w:val="24"/>
          <w:szCs w:val="24"/>
          <w:u w:val="none"/>
        </w:rPr>
      </w:pPr>
    </w:p>
    <w:p xmlns:wp14="http://schemas.microsoft.com/office/word/2010/wordml" w:rsidP="0B627E12" w14:paraId="5630394D" wp14:textId="4B1909B9">
      <w:pPr>
        <w:pStyle w:val="Normal"/>
        <w:jc w:val="both"/>
        <w:rPr>
          <w:sz w:val="24"/>
          <w:szCs w:val="24"/>
          <w:u w:val="none"/>
        </w:rPr>
      </w:pPr>
      <w:r w:rsidRPr="0B627E12" w:rsidR="52152CE9">
        <w:rPr>
          <w:sz w:val="24"/>
          <w:szCs w:val="24"/>
          <w:u w:val="none"/>
        </w:rPr>
        <w:t xml:space="preserve">The source holds significant interest to anyone studying, or even those that are just curious about the more modern side of the conflict within Ireland, as it highlights the key points </w:t>
      </w:r>
      <w:r w:rsidRPr="0B627E12" w:rsidR="587BC34D">
        <w:rPr>
          <w:sz w:val="24"/>
          <w:szCs w:val="24"/>
          <w:u w:val="none"/>
        </w:rPr>
        <w:t>of the event in detail, as well as providing some unique perspectives from those who were a key part in the undertakings.</w:t>
      </w:r>
      <w:r w:rsidRPr="0B627E12" w:rsidR="4160FAEF">
        <w:rPr>
          <w:sz w:val="24"/>
          <w:szCs w:val="24"/>
          <w:u w:val="none"/>
        </w:rPr>
        <w:t xml:space="preserve"> Simon Winchester has had experience in covering these significant events, </w:t>
      </w:r>
      <w:r w:rsidRPr="0B627E12" w:rsidR="4160FAEF">
        <w:rPr>
          <w:sz w:val="24"/>
          <w:szCs w:val="24"/>
          <w:u w:val="none"/>
        </w:rPr>
        <w:t>and</w:t>
      </w:r>
      <w:r w:rsidRPr="0B627E12" w:rsidR="4160FAEF">
        <w:rPr>
          <w:sz w:val="24"/>
          <w:szCs w:val="24"/>
          <w:u w:val="none"/>
        </w:rPr>
        <w:t xml:space="preserve"> as a result provides excellent coverage of the events that took place during Bloody Sunday.</w:t>
      </w:r>
      <w:r w:rsidRPr="0B627E12" w:rsidR="587BC34D">
        <w:rPr>
          <w:sz w:val="24"/>
          <w:szCs w:val="24"/>
          <w:u w:val="none"/>
        </w:rPr>
        <w:t xml:space="preserve"> However, although there is a negligible amount of bias in the source, </w:t>
      </w:r>
      <w:r w:rsidRPr="0B627E12" w:rsidR="2EB169E5">
        <w:rPr>
          <w:sz w:val="24"/>
          <w:szCs w:val="24"/>
          <w:u w:val="none"/>
        </w:rPr>
        <w:t>the individuals who</w:t>
      </w:r>
      <w:r w:rsidRPr="0B627E12" w:rsidR="587BC34D">
        <w:rPr>
          <w:sz w:val="24"/>
          <w:szCs w:val="24"/>
          <w:u w:val="none"/>
        </w:rPr>
        <w:t xml:space="preserve"> </w:t>
      </w:r>
      <w:r w:rsidRPr="0B627E12" w:rsidR="587BC34D">
        <w:rPr>
          <w:sz w:val="24"/>
          <w:szCs w:val="24"/>
          <w:u w:val="none"/>
        </w:rPr>
        <w:t xml:space="preserve">were </w:t>
      </w:r>
      <w:r w:rsidRPr="0B627E12" w:rsidR="089E7A00">
        <w:rPr>
          <w:sz w:val="24"/>
          <w:szCs w:val="24"/>
          <w:u w:val="none"/>
        </w:rPr>
        <w:t>interview</w:t>
      </w:r>
      <w:r w:rsidRPr="0B627E12" w:rsidR="089E7A00">
        <w:rPr>
          <w:sz w:val="24"/>
          <w:szCs w:val="24"/>
          <w:u w:val="none"/>
        </w:rPr>
        <w:t>ed were on the side of the paratroopers, and as a result it can appear as though those individuals are attempting to soften the blow of the proceedings by cla</w:t>
      </w:r>
      <w:r w:rsidRPr="0B627E12" w:rsidR="76731B17">
        <w:rPr>
          <w:sz w:val="24"/>
          <w:szCs w:val="24"/>
          <w:u w:val="none"/>
        </w:rPr>
        <w:t>iming that the troopers were not at fault, and as though</w:t>
      </w:r>
      <w:r w:rsidRPr="0B627E12" w:rsidR="3965CA9B">
        <w:rPr>
          <w:sz w:val="24"/>
          <w:szCs w:val="24"/>
          <w:u w:val="none"/>
        </w:rPr>
        <w:t xml:space="preserve"> they are almost trying to justify the actions.</w:t>
      </w:r>
    </w:p>
    <w:p xmlns:wp14="http://schemas.microsoft.com/office/word/2010/wordml" w:rsidP="0B627E12" w14:paraId="01096434" wp14:textId="544251F3">
      <w:pPr>
        <w:pStyle w:val="Normal"/>
        <w:rPr>
          <w:sz w:val="24"/>
          <w:szCs w:val="24"/>
          <w:u w:val="none"/>
        </w:rPr>
      </w:pPr>
    </w:p>
    <w:p xmlns:wp14="http://schemas.microsoft.com/office/word/2010/wordml" w:rsidP="0B627E12" w14:paraId="05BC1999" wp14:textId="3A0C75F6">
      <w:pPr>
        <w:pStyle w:val="Normal"/>
        <w:rPr>
          <w:sz w:val="24"/>
          <w:szCs w:val="24"/>
          <w:u w:val="none"/>
        </w:rPr>
      </w:pPr>
    </w:p>
    <w:p xmlns:wp14="http://schemas.microsoft.com/office/word/2010/wordml" w:rsidP="0B627E12" w14:paraId="036DA312" wp14:textId="540878C4">
      <w:pPr>
        <w:pStyle w:val="Normal"/>
        <w:rPr>
          <w:sz w:val="24"/>
          <w:szCs w:val="24"/>
          <w:u w:val="none"/>
        </w:rPr>
      </w:pPr>
    </w:p>
    <w:p xmlns:wp14="http://schemas.microsoft.com/office/word/2010/wordml" w:rsidP="0B627E12" w14:paraId="43EDB264" wp14:textId="7AFF7C74">
      <w:pPr>
        <w:pStyle w:val="Normal"/>
        <w:rPr>
          <w:sz w:val="24"/>
          <w:szCs w:val="24"/>
          <w:u w:val="single"/>
        </w:rPr>
      </w:pPr>
      <w:r w:rsidRPr="0B627E12" w:rsidR="2CC3FDCA">
        <w:rPr>
          <w:sz w:val="24"/>
          <w:szCs w:val="24"/>
          <w:u w:val="single"/>
        </w:rPr>
        <w:t>Bibliography</w:t>
      </w:r>
    </w:p>
    <w:p xmlns:wp14="http://schemas.microsoft.com/office/word/2010/wordml" w:rsidP="0B627E12" w14:paraId="32308CEE" wp14:textId="5CDA5E78">
      <w:pPr>
        <w:ind w:left="567" w:hanging="567"/>
        <w:jc w:val="left"/>
        <w:rPr>
          <w:rFonts w:ascii="Calibri" w:hAnsi="Calibri" w:eastAsia="Calibri" w:cs="Calibri"/>
          <w:noProof w:val="0"/>
          <w:sz w:val="24"/>
          <w:szCs w:val="24"/>
          <w:lang w:val="en-GB"/>
        </w:rPr>
      </w:pPr>
      <w:r w:rsidRPr="0B627E12" w:rsidR="04B86B3B">
        <w:rPr>
          <w:rFonts w:ascii="Calibri" w:hAnsi="Calibri" w:eastAsia="Calibri" w:cs="Calibri"/>
          <w:noProof w:val="0"/>
          <w:sz w:val="24"/>
          <w:szCs w:val="24"/>
          <w:lang w:val="en-GB"/>
        </w:rPr>
        <w:t xml:space="preserve">Winchester, S. (1972) “13 killed as paratroopers break Riot,” </w:t>
      </w:r>
      <w:r w:rsidRPr="0B627E12" w:rsidR="04B86B3B">
        <w:rPr>
          <w:rFonts w:ascii="Calibri" w:hAnsi="Calibri" w:eastAsia="Calibri" w:cs="Calibri"/>
          <w:i w:val="1"/>
          <w:iCs w:val="1"/>
          <w:noProof w:val="0"/>
          <w:sz w:val="24"/>
          <w:szCs w:val="24"/>
          <w:lang w:val="en-GB"/>
        </w:rPr>
        <w:t>The Guardian</w:t>
      </w:r>
      <w:r w:rsidRPr="0B627E12" w:rsidR="04B86B3B">
        <w:rPr>
          <w:rFonts w:ascii="Calibri" w:hAnsi="Calibri" w:eastAsia="Calibri" w:cs="Calibri"/>
          <w:noProof w:val="0"/>
          <w:sz w:val="24"/>
          <w:szCs w:val="24"/>
          <w:lang w:val="en-GB"/>
        </w:rPr>
        <w:t>, 31 January, p. 1.</w:t>
      </w:r>
    </w:p>
    <w:p xmlns:wp14="http://schemas.microsoft.com/office/word/2010/wordml" w:rsidP="0B627E12" w14:paraId="3CE0C860" wp14:textId="2B13883D">
      <w:pPr>
        <w:ind w:left="567" w:hanging="567"/>
        <w:jc w:val="left"/>
        <w:rPr>
          <w:rFonts w:ascii="Calibri" w:hAnsi="Calibri" w:eastAsia="Calibri" w:cs="Calibri"/>
          <w:noProof w:val="0"/>
          <w:sz w:val="24"/>
          <w:szCs w:val="24"/>
          <w:lang w:val="en-GB"/>
        </w:rPr>
      </w:pPr>
      <w:r w:rsidRPr="0B627E12" w:rsidR="2CC3FDCA">
        <w:rPr>
          <w:rFonts w:ascii="Calibri" w:hAnsi="Calibri" w:eastAsia="Calibri" w:cs="Calibri"/>
          <w:i w:val="1"/>
          <w:iCs w:val="1"/>
          <w:noProof w:val="0"/>
          <w:sz w:val="24"/>
          <w:szCs w:val="24"/>
          <w:lang w:val="en-GB"/>
        </w:rPr>
        <w:t>-Simon Winchester Bio</w:t>
      </w:r>
      <w:r w:rsidRPr="0B627E12" w:rsidR="2CC3FDCA">
        <w:rPr>
          <w:rFonts w:ascii="Calibri" w:hAnsi="Calibri" w:eastAsia="Calibri" w:cs="Calibri"/>
          <w:noProof w:val="0"/>
          <w:sz w:val="24"/>
          <w:szCs w:val="24"/>
          <w:lang w:val="en-GB"/>
        </w:rPr>
        <w:t xml:space="preserve"> (2010) </w:t>
      </w:r>
      <w:r w:rsidRPr="0B627E12" w:rsidR="2CC3FDCA">
        <w:rPr>
          <w:rFonts w:ascii="Calibri" w:hAnsi="Calibri" w:eastAsia="Calibri" w:cs="Calibri"/>
          <w:i w:val="1"/>
          <w:iCs w:val="1"/>
          <w:noProof w:val="0"/>
          <w:sz w:val="24"/>
          <w:szCs w:val="24"/>
          <w:lang w:val="en-GB"/>
        </w:rPr>
        <w:t>Simon Winchester's website</w:t>
      </w:r>
      <w:r w:rsidRPr="0B627E12" w:rsidR="2CC3FDCA">
        <w:rPr>
          <w:rFonts w:ascii="Calibri" w:hAnsi="Calibri" w:eastAsia="Calibri" w:cs="Calibri"/>
          <w:noProof w:val="0"/>
          <w:sz w:val="24"/>
          <w:szCs w:val="24"/>
          <w:lang w:val="en-GB"/>
        </w:rPr>
        <w:t xml:space="preserve">. </w:t>
      </w:r>
      <w:proofErr w:type="spellStart"/>
      <w:r w:rsidRPr="0B627E12" w:rsidR="2CC3FDCA">
        <w:rPr>
          <w:rFonts w:ascii="Calibri" w:hAnsi="Calibri" w:eastAsia="Calibri" w:cs="Calibri"/>
          <w:noProof w:val="0"/>
          <w:sz w:val="24"/>
          <w:szCs w:val="24"/>
          <w:lang w:val="en-GB"/>
        </w:rPr>
        <w:t>WaybackMachine</w:t>
      </w:r>
      <w:proofErr w:type="spellEnd"/>
      <w:r w:rsidRPr="0B627E12" w:rsidR="2CC3FDCA">
        <w:rPr>
          <w:rFonts w:ascii="Calibri" w:hAnsi="Calibri" w:eastAsia="Calibri" w:cs="Calibri"/>
          <w:noProof w:val="0"/>
          <w:sz w:val="24"/>
          <w:szCs w:val="24"/>
          <w:lang w:val="en-GB"/>
        </w:rPr>
        <w:t xml:space="preserve">. Available at: </w:t>
      </w:r>
      <w:hyperlink r:id="R3e7042b6c340455f">
        <w:r w:rsidRPr="0B627E12" w:rsidR="2CC3FDCA">
          <w:rPr>
            <w:rStyle w:val="Hyperlink"/>
            <w:rFonts w:ascii="Calibri" w:hAnsi="Calibri" w:eastAsia="Calibri" w:cs="Calibri"/>
            <w:noProof w:val="0"/>
            <w:sz w:val="24"/>
            <w:szCs w:val="24"/>
            <w:lang w:val="en-GB"/>
          </w:rPr>
          <w:t>http://www.simonwinchester.com/bio/</w:t>
        </w:r>
      </w:hyperlink>
      <w:r w:rsidRPr="0B627E12" w:rsidR="2CC3FDCA">
        <w:rPr>
          <w:rFonts w:ascii="Calibri" w:hAnsi="Calibri" w:eastAsia="Calibri" w:cs="Calibri"/>
          <w:noProof w:val="0"/>
          <w:sz w:val="24"/>
          <w:szCs w:val="24"/>
          <w:lang w:val="en-GB"/>
        </w:rPr>
        <w:t xml:space="preserve"> (Accessed: December 16, 2022).</w:t>
      </w:r>
    </w:p>
    <w:p xmlns:wp14="http://schemas.microsoft.com/office/word/2010/wordml" w:rsidP="0B627E12" w14:paraId="2A4E6F1C" wp14:textId="5ACD13CC">
      <w:pPr>
        <w:pStyle w:val="Normal"/>
        <w:ind w:left="567" w:hanging="567"/>
        <w:jc w:val="left"/>
        <w:rPr>
          <w:rFonts w:ascii="Calibri" w:hAnsi="Calibri" w:eastAsia="Calibri" w:cs="Calibri"/>
          <w:noProof w:val="0"/>
          <w:sz w:val="24"/>
          <w:szCs w:val="24"/>
          <w:lang w:val="en-GB"/>
        </w:rPr>
      </w:pPr>
      <w:r w:rsidRPr="0B627E12" w:rsidR="747AA429">
        <w:rPr>
          <w:rFonts w:ascii="Calibri" w:hAnsi="Calibri" w:eastAsia="Calibri" w:cs="Calibri"/>
          <w:noProof w:val="0"/>
          <w:sz w:val="24"/>
          <w:szCs w:val="24"/>
          <w:lang w:val="en-GB"/>
        </w:rPr>
        <w:t>-</w:t>
      </w:r>
      <w:r w:rsidRPr="0B627E12" w:rsidR="490C4F31">
        <w:rPr>
          <w:rFonts w:ascii="Calibri" w:hAnsi="Calibri" w:eastAsia="Calibri" w:cs="Calibri"/>
          <w:noProof w:val="0"/>
          <w:sz w:val="24"/>
          <w:szCs w:val="24"/>
          <w:lang w:val="en-GB"/>
        </w:rPr>
        <w:t xml:space="preserve"> Mc</w:t>
      </w:r>
      <w:r w:rsidRPr="0B627E12" w:rsidR="61DF37E2">
        <w:rPr>
          <w:rFonts w:ascii="Calibri" w:hAnsi="Calibri" w:eastAsia="Calibri" w:cs="Calibri"/>
          <w:noProof w:val="0"/>
          <w:sz w:val="24"/>
          <w:szCs w:val="24"/>
          <w:lang w:val="en-GB"/>
        </w:rPr>
        <w:t>C</w:t>
      </w:r>
      <w:r w:rsidRPr="0B627E12" w:rsidR="490C4F31">
        <w:rPr>
          <w:rFonts w:ascii="Calibri" w:hAnsi="Calibri" w:eastAsia="Calibri" w:cs="Calibri"/>
          <w:noProof w:val="0"/>
          <w:sz w:val="24"/>
          <w:szCs w:val="24"/>
          <w:lang w:val="en-GB"/>
        </w:rPr>
        <w:t xml:space="preserve">ann, E. (1972) </w:t>
      </w:r>
      <w:r w:rsidRPr="0B627E12" w:rsidR="490C4F31">
        <w:rPr>
          <w:rFonts w:ascii="Calibri" w:hAnsi="Calibri" w:eastAsia="Calibri" w:cs="Calibri"/>
          <w:i w:val="1"/>
          <w:iCs w:val="1"/>
          <w:noProof w:val="0"/>
          <w:sz w:val="24"/>
          <w:szCs w:val="24"/>
          <w:lang w:val="en-GB"/>
        </w:rPr>
        <w:t>The British Press and Northern Ireland</w:t>
      </w:r>
      <w:r w:rsidRPr="0B627E12" w:rsidR="490C4F31">
        <w:rPr>
          <w:rFonts w:ascii="Calibri" w:hAnsi="Calibri" w:eastAsia="Calibri" w:cs="Calibri"/>
          <w:noProof w:val="0"/>
          <w:sz w:val="24"/>
          <w:szCs w:val="24"/>
          <w:lang w:val="en-GB"/>
        </w:rPr>
        <w:t>. Derry: Northern Ireland Socialist Research Centre.</w:t>
      </w:r>
    </w:p>
    <w:p xmlns:wp14="http://schemas.microsoft.com/office/word/2010/wordml" w:rsidP="0B627E12" w14:paraId="33198414" wp14:textId="59AEDE4F">
      <w:pPr>
        <w:pStyle w:val="Normal"/>
        <w:ind w:left="567" w:hanging="567"/>
        <w:jc w:val="left"/>
        <w:rPr>
          <w:rFonts w:ascii="Calibri" w:hAnsi="Calibri" w:eastAsia="Calibri" w:cs="Calibri"/>
          <w:noProof w:val="0"/>
          <w:sz w:val="24"/>
          <w:szCs w:val="24"/>
          <w:lang w:val="en-GB"/>
        </w:rPr>
      </w:pPr>
      <w:r w:rsidRPr="0B627E12" w:rsidR="3AF857F0">
        <w:rPr>
          <w:rFonts w:ascii="Calibri" w:hAnsi="Calibri" w:eastAsia="Calibri" w:cs="Calibri"/>
          <w:noProof w:val="0"/>
          <w:sz w:val="24"/>
          <w:szCs w:val="24"/>
          <w:lang w:val="en-GB"/>
        </w:rPr>
        <w:t>-</w:t>
      </w:r>
      <w:r w:rsidRPr="0B627E12" w:rsidR="3AF857F0">
        <w:rPr>
          <w:rFonts w:ascii="Calibri" w:hAnsi="Calibri" w:eastAsia="Calibri" w:cs="Calibri"/>
          <w:i w:val="1"/>
          <w:iCs w:val="1"/>
          <w:noProof w:val="0"/>
          <w:sz w:val="24"/>
          <w:szCs w:val="24"/>
          <w:lang w:val="en-GB"/>
        </w:rPr>
        <w:t xml:space="preserve"> </w:t>
      </w:r>
      <w:r w:rsidRPr="0B627E12" w:rsidR="0E1367E1">
        <w:rPr>
          <w:rFonts w:ascii="Calibri" w:hAnsi="Calibri" w:eastAsia="Calibri" w:cs="Calibri"/>
          <w:noProof w:val="0"/>
          <w:sz w:val="24"/>
          <w:szCs w:val="24"/>
          <w:lang w:val="en-GB"/>
        </w:rPr>
        <w:t xml:space="preserve">O'Neill, J. (2015) “Barney Watt: Propaganda and Obstructing Justice in February 1971,” </w:t>
      </w:r>
      <w:r w:rsidRPr="0B627E12" w:rsidR="0E1367E1">
        <w:rPr>
          <w:rFonts w:ascii="Calibri" w:hAnsi="Calibri" w:eastAsia="Calibri" w:cs="Calibri"/>
          <w:i w:val="1"/>
          <w:iCs w:val="1"/>
          <w:noProof w:val="0"/>
          <w:sz w:val="24"/>
          <w:szCs w:val="24"/>
          <w:lang w:val="en-GB"/>
        </w:rPr>
        <w:t>The Treason Felony blog</w:t>
      </w:r>
      <w:r w:rsidRPr="0B627E12" w:rsidR="0E1367E1">
        <w:rPr>
          <w:rFonts w:ascii="Calibri" w:hAnsi="Calibri" w:eastAsia="Calibri" w:cs="Calibri"/>
          <w:noProof w:val="0"/>
          <w:sz w:val="24"/>
          <w:szCs w:val="24"/>
          <w:lang w:val="en-GB"/>
        </w:rPr>
        <w:t xml:space="preserve">, 7 February. Available at: </w:t>
      </w:r>
      <w:hyperlink r:id="R32b56060c18d41d1">
        <w:r w:rsidRPr="0B627E12" w:rsidR="0E1367E1">
          <w:rPr>
            <w:rStyle w:val="Hyperlink"/>
            <w:rFonts w:ascii="Calibri" w:hAnsi="Calibri" w:eastAsia="Calibri" w:cs="Calibri"/>
            <w:noProof w:val="0"/>
            <w:sz w:val="24"/>
            <w:szCs w:val="24"/>
            <w:lang w:val="en-GB"/>
          </w:rPr>
          <w:t>https://treasonfelony.wordpress.com/2017/04/24/barney-watt-propaganda-and-obstructing-justice-in-february-1971/</w:t>
        </w:r>
      </w:hyperlink>
      <w:r w:rsidRPr="0B627E12" w:rsidR="0E1367E1">
        <w:rPr>
          <w:rFonts w:ascii="Calibri" w:hAnsi="Calibri" w:eastAsia="Calibri" w:cs="Calibri"/>
          <w:noProof w:val="0"/>
          <w:sz w:val="24"/>
          <w:szCs w:val="24"/>
          <w:lang w:val="en-GB"/>
        </w:rPr>
        <w:t xml:space="preserve"> (Accessed: December 15, 2022).</w:t>
      </w:r>
    </w:p>
    <w:p xmlns:wp14="http://schemas.microsoft.com/office/word/2010/wordml" w:rsidP="0B627E12" w14:paraId="45569F8A" wp14:textId="7CFB8BB0">
      <w:pPr>
        <w:pStyle w:val="Normal"/>
        <w:ind w:left="567" w:hanging="567"/>
        <w:jc w:val="left"/>
        <w:rPr>
          <w:rFonts w:ascii="Calibri" w:hAnsi="Calibri" w:eastAsia="Calibri" w:cs="Calibri"/>
          <w:noProof w:val="0"/>
          <w:sz w:val="24"/>
          <w:szCs w:val="24"/>
          <w:lang w:val="en-GB"/>
        </w:rPr>
      </w:pPr>
      <w:r w:rsidRPr="0B627E12" w:rsidR="37255269">
        <w:rPr>
          <w:rFonts w:ascii="Calibri" w:hAnsi="Calibri" w:eastAsia="Calibri" w:cs="Calibri"/>
          <w:i w:val="1"/>
          <w:iCs w:val="1"/>
          <w:noProof w:val="0"/>
          <w:sz w:val="24"/>
          <w:szCs w:val="24"/>
          <w:lang w:val="en-GB"/>
        </w:rPr>
        <w:t xml:space="preserve">- </w:t>
      </w:r>
      <w:r w:rsidRPr="0B627E12" w:rsidR="37255269">
        <w:rPr>
          <w:rFonts w:ascii="Calibri" w:hAnsi="Calibri" w:eastAsia="Calibri" w:cs="Calibri"/>
          <w:noProof w:val="0"/>
          <w:sz w:val="24"/>
          <w:szCs w:val="24"/>
          <w:lang w:val="en-GB"/>
        </w:rPr>
        <w:t xml:space="preserve">McCann, E. (2006) </w:t>
      </w:r>
      <w:r w:rsidRPr="0B627E12" w:rsidR="37255269">
        <w:rPr>
          <w:rFonts w:ascii="Calibri" w:hAnsi="Calibri" w:eastAsia="Calibri" w:cs="Calibri"/>
          <w:i w:val="1"/>
          <w:iCs w:val="1"/>
          <w:noProof w:val="0"/>
          <w:sz w:val="24"/>
          <w:szCs w:val="24"/>
          <w:lang w:val="en-GB"/>
        </w:rPr>
        <w:t>The Bloody Sunday Inquiry: The families speak out</w:t>
      </w:r>
      <w:r w:rsidRPr="0B627E12" w:rsidR="37255269">
        <w:rPr>
          <w:rFonts w:ascii="Calibri" w:hAnsi="Calibri" w:eastAsia="Calibri" w:cs="Calibri"/>
          <w:noProof w:val="0"/>
          <w:sz w:val="24"/>
          <w:szCs w:val="24"/>
          <w:lang w:val="en-GB"/>
        </w:rPr>
        <w:t>. London: Pluto press.</w:t>
      </w:r>
    </w:p>
    <w:p xmlns:wp14="http://schemas.microsoft.com/office/word/2010/wordml" w:rsidP="0B627E12" w14:paraId="2E721B3F" wp14:textId="60C2BC35">
      <w:pPr>
        <w:pStyle w:val="Normal"/>
        <w:ind w:left="567" w:hanging="567"/>
        <w:jc w:val="left"/>
        <w:rPr>
          <w:rFonts w:ascii="Calibri" w:hAnsi="Calibri" w:eastAsia="Calibri" w:cs="Calibri"/>
          <w:noProof w:val="0"/>
          <w:sz w:val="24"/>
          <w:szCs w:val="24"/>
          <w:lang w:val="en-GB"/>
        </w:rPr>
      </w:pPr>
      <w:r w:rsidRPr="0B627E12" w:rsidR="01F4B2DC">
        <w:rPr>
          <w:rFonts w:ascii="Calibri" w:hAnsi="Calibri" w:eastAsia="Calibri" w:cs="Calibri"/>
          <w:noProof w:val="0"/>
          <w:sz w:val="24"/>
          <w:szCs w:val="24"/>
          <w:lang w:val="en-GB"/>
        </w:rPr>
        <w:t xml:space="preserve">- Linford, D. (1972) “300 escape ‘Love Bug’ blast,” </w:t>
      </w:r>
      <w:r w:rsidRPr="0B627E12" w:rsidR="01F4B2DC">
        <w:rPr>
          <w:rFonts w:ascii="Calibri" w:hAnsi="Calibri" w:eastAsia="Calibri" w:cs="Calibri"/>
          <w:i w:val="1"/>
          <w:iCs w:val="1"/>
          <w:noProof w:val="0"/>
          <w:sz w:val="24"/>
          <w:szCs w:val="24"/>
          <w:lang w:val="en-GB"/>
        </w:rPr>
        <w:t>The Newcastle Journal</w:t>
      </w:r>
      <w:r w:rsidRPr="0B627E12" w:rsidR="01F4B2DC">
        <w:rPr>
          <w:rFonts w:ascii="Calibri" w:hAnsi="Calibri" w:eastAsia="Calibri" w:cs="Calibri"/>
          <w:noProof w:val="0"/>
          <w:sz w:val="24"/>
          <w:szCs w:val="24"/>
          <w:lang w:val="en-GB"/>
        </w:rPr>
        <w:t>, 1 January, p. 1.</w:t>
      </w:r>
    </w:p>
    <w:p xmlns:wp14="http://schemas.microsoft.com/office/word/2010/wordml" w:rsidP="0B627E12" w14:paraId="69AC2022" wp14:textId="76721A5D">
      <w:pPr>
        <w:pStyle w:val="Normal"/>
        <w:ind w:left="567" w:hanging="567"/>
        <w:jc w:val="left"/>
        <w:rPr>
          <w:rFonts w:ascii="Calibri" w:hAnsi="Calibri" w:eastAsia="Calibri" w:cs="Calibri"/>
          <w:noProof w:val="0"/>
          <w:sz w:val="24"/>
          <w:szCs w:val="24"/>
          <w:lang w:val="en-GB"/>
        </w:rPr>
      </w:pPr>
      <w:r w:rsidRPr="0B627E12" w:rsidR="22D50B06">
        <w:rPr>
          <w:rFonts w:ascii="Calibri" w:hAnsi="Calibri" w:eastAsia="Calibri" w:cs="Calibri"/>
          <w:noProof w:val="0"/>
          <w:sz w:val="24"/>
          <w:szCs w:val="24"/>
          <w:lang w:val="en-GB"/>
        </w:rPr>
        <w:t xml:space="preserve">- Jones, N. (2016) </w:t>
      </w:r>
      <w:r w:rsidRPr="0B627E12" w:rsidR="22D50B06">
        <w:rPr>
          <w:rFonts w:ascii="Calibri" w:hAnsi="Calibri" w:eastAsia="Calibri" w:cs="Calibri"/>
          <w:i w:val="1"/>
          <w:iCs w:val="1"/>
          <w:noProof w:val="0"/>
          <w:sz w:val="24"/>
          <w:szCs w:val="24"/>
          <w:lang w:val="en-GB"/>
        </w:rPr>
        <w:t>Northern Ireland: Now Bloody Tuesday</w:t>
      </w:r>
      <w:r w:rsidRPr="0B627E12" w:rsidR="22D50B06">
        <w:rPr>
          <w:rFonts w:ascii="Calibri" w:hAnsi="Calibri" w:eastAsia="Calibri" w:cs="Calibri"/>
          <w:noProof w:val="0"/>
          <w:sz w:val="24"/>
          <w:szCs w:val="24"/>
          <w:lang w:val="en-GB"/>
        </w:rPr>
        <w:t xml:space="preserve">. </w:t>
      </w:r>
      <w:bookmarkStart w:name="_Int_a1sFKox5" w:id="1190462377"/>
      <w:bookmarkStart w:name="_Int_RGDL6TX1" w:id="1265459489"/>
      <w:r w:rsidRPr="0B627E12" w:rsidR="22D50B06">
        <w:rPr>
          <w:rFonts w:ascii="Calibri" w:hAnsi="Calibri" w:eastAsia="Calibri" w:cs="Calibri"/>
          <w:noProof w:val="0"/>
          <w:sz w:val="24"/>
          <w:szCs w:val="24"/>
          <w:lang w:val="en-GB"/>
        </w:rPr>
        <w:t>Time .</w:t>
      </w:r>
      <w:bookmarkEnd w:id="1265459489"/>
      <w:r w:rsidRPr="0B627E12" w:rsidR="22D50B06">
        <w:rPr>
          <w:rFonts w:ascii="Calibri" w:hAnsi="Calibri" w:eastAsia="Calibri" w:cs="Calibri"/>
          <w:noProof w:val="0"/>
          <w:sz w:val="24"/>
          <w:szCs w:val="24"/>
          <w:lang w:val="en-GB"/>
        </w:rPr>
        <w:t xml:space="preserve"> (Accessed: December 17</w:t>
      </w:r>
      <w:r w:rsidRPr="0B627E12" w:rsidR="22D50B06">
        <w:rPr>
          <w:rFonts w:ascii="Calibri" w:hAnsi="Calibri" w:eastAsia="Calibri" w:cs="Calibri"/>
          <w:noProof w:val="0"/>
          <w:sz w:val="24"/>
          <w:szCs w:val="24"/>
          <w:vertAlign w:val="superscript"/>
          <w:lang w:val="en-GB"/>
        </w:rPr>
        <w:t>th</w:t>
      </w:r>
      <w:r w:rsidRPr="0B627E12" w:rsidR="22D50B06">
        <w:rPr>
          <w:rFonts w:ascii="Calibri" w:hAnsi="Calibri" w:eastAsia="Calibri" w:cs="Calibri"/>
          <w:noProof w:val="0"/>
          <w:sz w:val="24"/>
          <w:szCs w:val="24"/>
          <w:lang w:val="en-GB"/>
        </w:rPr>
        <w:t>, 2022)</w:t>
      </w:r>
      <w:bookmarkEnd w:id="1190462377"/>
    </w:p>
    <w:p xmlns:wp14="http://schemas.microsoft.com/office/word/2010/wordml" w:rsidP="0B627E12" w14:paraId="58EAFFD5" wp14:textId="7AB6D689">
      <w:pPr>
        <w:pStyle w:val="Normal"/>
        <w:ind w:left="567" w:hanging="567"/>
        <w:jc w:val="left"/>
        <w:rPr>
          <w:rFonts w:ascii="Calibri" w:hAnsi="Calibri" w:eastAsia="Calibri" w:cs="Calibri"/>
          <w:noProof w:val="0"/>
          <w:sz w:val="22"/>
          <w:szCs w:val="22"/>
          <w:lang w:val="en-GB"/>
        </w:rPr>
      </w:pPr>
    </w:p>
    <w:p xmlns:wp14="http://schemas.microsoft.com/office/word/2010/wordml" w:rsidP="0B627E12" w14:paraId="4BE15C5C" wp14:textId="579500BE">
      <w:pPr>
        <w:pStyle w:val="Normal"/>
        <w:ind w:left="567" w:hanging="567"/>
        <w:jc w:val="left"/>
        <w:rPr>
          <w:rFonts w:ascii="Calibri" w:hAnsi="Calibri" w:eastAsia="Calibri" w:cs="Calibri"/>
          <w:noProof w:val="0"/>
          <w:sz w:val="22"/>
          <w:szCs w:val="22"/>
          <w:lang w:val="en-GB"/>
        </w:rPr>
      </w:pPr>
    </w:p>
    <w:p xmlns:wp14="http://schemas.microsoft.com/office/word/2010/wordml" w:rsidP="0B627E12" w14:paraId="06E9182F" wp14:textId="43EF6410">
      <w:pPr>
        <w:pStyle w:val="Normal"/>
        <w:ind w:left="567" w:hanging="567"/>
        <w:jc w:val="left"/>
        <w:rPr>
          <w:rFonts w:ascii="Calibri" w:hAnsi="Calibri" w:eastAsia="Calibri" w:cs="Calibri"/>
          <w:i w:val="1"/>
          <w:iCs w:val="1"/>
          <w:noProof w:val="0"/>
          <w:sz w:val="22"/>
          <w:szCs w:val="22"/>
          <w:lang w:val="en-GB"/>
        </w:rPr>
      </w:pPr>
    </w:p>
    <w:p xmlns:wp14="http://schemas.microsoft.com/office/word/2010/wordml" w:rsidP="0B627E12" w14:paraId="26D10154" wp14:textId="7C7BEBD7">
      <w:pPr>
        <w:pStyle w:val="Normal"/>
        <w:ind w:left="567" w:hanging="567"/>
        <w:jc w:val="left"/>
        <w:rPr>
          <w:rFonts w:ascii="Calibri" w:hAnsi="Calibri" w:eastAsia="Calibri" w:cs="Calibri"/>
          <w:noProof w:val="0"/>
          <w:sz w:val="22"/>
          <w:szCs w:val="22"/>
          <w:lang w:val="en-GB"/>
        </w:rPr>
      </w:pPr>
    </w:p>
    <w:p xmlns:wp14="http://schemas.microsoft.com/office/word/2010/wordml" w:rsidP="2A581045" w14:paraId="2B0C8C1B" wp14:textId="5BD2BBF0">
      <w:pPr>
        <w:pStyle w:val="Normal"/>
        <w:rPr>
          <w:u w:val="none"/>
        </w:rPr>
      </w:pPr>
    </w:p>
    <w:p xmlns:wp14="http://schemas.microsoft.com/office/word/2010/wordml" w:rsidP="2A581045" w14:paraId="65B3FE9C" wp14:textId="0DEFB1AC">
      <w:pPr>
        <w:pStyle w:val="Normal"/>
        <w:rPr>
          <w:u w:val="none"/>
        </w:rPr>
      </w:pPr>
    </w:p>
    <w:p xmlns:wp14="http://schemas.microsoft.com/office/word/2010/wordml" w:rsidP="2A581045" w14:paraId="6D26FB9F" wp14:textId="4BA9A70C">
      <w:pPr>
        <w:pStyle w:val="Normal"/>
        <w:rPr>
          <w:u w:val="none"/>
        </w:rPr>
      </w:pPr>
    </w:p>
    <w:p xmlns:wp14="http://schemas.microsoft.com/office/word/2010/wordml" w:rsidP="2A581045" w14:paraId="6FC260DA" wp14:textId="637F22B1">
      <w:pPr>
        <w:pStyle w:val="Normal"/>
        <w:rPr>
          <w:u w:val="none"/>
        </w:rPr>
      </w:pPr>
    </w:p>
    <w:p w:rsidR="0B627E12" w:rsidP="0B627E12" w:rsidRDefault="0B627E12" w14:paraId="1250C6BF" w14:textId="15DEA8B3">
      <w:pPr>
        <w:pStyle w:val="Normal"/>
      </w:pPr>
    </w:p>
    <w:sectPr>
      <w:pgSz w:w="11906" w:h="16838"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3oVbiVnPOQ8GA+" int2:id="NwrZEDvM">
      <int2:state int2:type="LegacyProofing" int2:value="Rejected"/>
    </int2:textHash>
    <int2:bookmark int2:bookmarkName="_Int_RGDL6TX1" int2:invalidationBookmarkName="" int2:hashCode="cuD6OuuHFngB7j" int2:id="fcj9JpSa">
      <int2:state int2:type="LegacyProofing" int2:value="Rejected"/>
    </int2:bookmark>
    <int2:bookmark int2:bookmarkName="_Int_a1sFKox5" int2:invalidationBookmarkName="" int2:hashCode="cuD6OuuHFngB7j" int2:id="29ObLGAw">
      <int2:state int2:type="LegacyProofing" int2:value="Rejected"/>
    </int2:bookmark>
    <int2:bookmark int2:bookmarkName="_Int_SH1C8tO4" int2:invalidationBookmarkName="" int2:hashCode="LJ7jbkmRxOiz/o" int2:id="IlKQzdmX">
      <int2:state int2:type="LegacyProofing" int2:value="Rejected"/>
    </int2:bookmark>
    <int2:bookmark int2:bookmarkName="_Int_ivSsv9ju" int2:invalidationBookmarkName="" int2:hashCode="3aKsP3YcWmO9eC" int2:id="dmNWeo2N">
      <int2:state int2:type="LegacyProofing" int2:value="Rejected"/>
    </int2:bookmark>
    <int2:bookmark int2:bookmarkName="_Int_uNme7vuS" int2:invalidationBookmarkName="" int2:hashCode="tPvO+hWkAexA9l" int2:id="HqZXxOwY">
      <int2:state int2:type="LegacyProofing" int2:value="Rejected"/>
    </int2:bookmark>
    <int2:bookmark int2:bookmarkName="_Int_gGVPBllf" int2:invalidationBookmarkName="" int2:hashCode="v9fu1ddnFE+IM7" int2:id="wibw7XeZ">
      <int2:state int2:type="LegacyProofing" int2:value="Rejected"/>
    </int2:bookmark>
    <int2:bookmark int2:bookmarkName="_Int_ToOGHWqu" int2:invalidationBookmarkName="" int2:hashCode="w/XQAHQHwcFSwj" int2:id="9WNbwxI9">
      <int2:state int2:type="LegacyProofing" int2:value="Rejected"/>
    </int2:bookmark>
    <int2:bookmark int2:bookmarkName="_Int_AxUxRuaC" int2:invalidationBookmarkName="" int2:hashCode="16sMMYTcwvniwn" int2:id="ZFR1xjNO">
      <int2:state int2:type="LegacyProofing" int2:value="Rejected"/>
      <int2:state int2:type="AugLoop_Text_Critique" int2:value="Rejected"/>
    </int2:bookmark>
    <int2:bookmark int2:bookmarkName="_Int_qV0pjXV4" int2:invalidationBookmarkName="" int2:hashCode="sJ0IuCSomVftAu" int2:id="e1t6XZY3">
      <int2:state int2:type="LegacyProofing" int2:value="Rejected"/>
      <int2:state int2:type="AugLoop_Text_Critique" int2:value="Rejected"/>
    </int2:bookmark>
    <int2:bookmark int2:bookmarkName="_Int_ipIDvm2a" int2:invalidationBookmarkName="" int2:hashCode="UoRxAP33rmSkMc" int2:id="NHs2EV5J"/>
    <int2:bookmark int2:bookmarkName="_Int_TYlW9F1T" int2:invalidationBookmarkName="" int2:hashCode="+Nk6eHdzcEcYlI" int2:id="Ym9YERow"/>
    <int2:bookmark int2:bookmarkName="_Int_ldT5fL6O" int2:invalidationBookmarkName="" int2:hashCode="EXgB9zJgdMwsoO" int2:id="gBbY5gNP">
      <int2:state int2:type="AugLoop_Text_Critique" int2:value="Rejected"/>
    </int2:bookmark>
    <int2:bookmark int2:bookmarkName="_Int_Z3i0iScs" int2:invalidationBookmarkName="" int2:hashCode="16sMMYTcwvniwn" int2:id="MqWcWpbV">
      <int2:state int2:type="AugLoop_Text_Critique" int2:value="Rejected"/>
      <int2:state int2:type="LegacyProofing" int2:value="Rejected"/>
    </int2:bookmark>
    <int2:bookmark int2:bookmarkName="_Int_eQH8qtE6" int2:invalidationBookmarkName="" int2:hashCode="l0FG8Fxy3Pg/nu" int2:id="63edYgFJ">
      <int2:state int2:type="AugLoop_Text_Critique" int2:value="Rejected"/>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FB0E42"/>
    <w:rsid w:val="0004E6BD"/>
    <w:rsid w:val="00658FC5"/>
    <w:rsid w:val="00A4525D"/>
    <w:rsid w:val="014946D1"/>
    <w:rsid w:val="01542426"/>
    <w:rsid w:val="016B4F97"/>
    <w:rsid w:val="01F4B2DC"/>
    <w:rsid w:val="02770CC2"/>
    <w:rsid w:val="02A463E3"/>
    <w:rsid w:val="03716EC2"/>
    <w:rsid w:val="03D126F2"/>
    <w:rsid w:val="0479B1D8"/>
    <w:rsid w:val="048FA7E4"/>
    <w:rsid w:val="04B86B3B"/>
    <w:rsid w:val="054AD337"/>
    <w:rsid w:val="05D6F6BC"/>
    <w:rsid w:val="06039612"/>
    <w:rsid w:val="062B7845"/>
    <w:rsid w:val="0680EB55"/>
    <w:rsid w:val="06882ADC"/>
    <w:rsid w:val="07274D12"/>
    <w:rsid w:val="07A1FB41"/>
    <w:rsid w:val="07C748A6"/>
    <w:rsid w:val="081269C1"/>
    <w:rsid w:val="081CBBB6"/>
    <w:rsid w:val="082ADD50"/>
    <w:rsid w:val="089E7A00"/>
    <w:rsid w:val="09326EED"/>
    <w:rsid w:val="099F1A9F"/>
    <w:rsid w:val="09C6ADB1"/>
    <w:rsid w:val="0AAA67DF"/>
    <w:rsid w:val="0ACE3F4E"/>
    <w:rsid w:val="0B627E12"/>
    <w:rsid w:val="0B69B7A4"/>
    <w:rsid w:val="0BB2A97D"/>
    <w:rsid w:val="0BC85B56"/>
    <w:rsid w:val="0C0BD4B8"/>
    <w:rsid w:val="0C12066E"/>
    <w:rsid w:val="0CA52755"/>
    <w:rsid w:val="0CBBB30C"/>
    <w:rsid w:val="0CC40AB3"/>
    <w:rsid w:val="0D06418F"/>
    <w:rsid w:val="0D552249"/>
    <w:rsid w:val="0D8DE376"/>
    <w:rsid w:val="0DA0F891"/>
    <w:rsid w:val="0DE6B8CE"/>
    <w:rsid w:val="0E076BC1"/>
    <w:rsid w:val="0E1367E1"/>
    <w:rsid w:val="0E73A5A1"/>
    <w:rsid w:val="0E8F0F62"/>
    <w:rsid w:val="0E9085FF"/>
    <w:rsid w:val="0F50B366"/>
    <w:rsid w:val="105FA3F1"/>
    <w:rsid w:val="10CCB7DC"/>
    <w:rsid w:val="10D7868B"/>
    <w:rsid w:val="111CC5F9"/>
    <w:rsid w:val="113DCCDF"/>
    <w:rsid w:val="11B1155C"/>
    <w:rsid w:val="11F3DAD1"/>
    <w:rsid w:val="12E23CCD"/>
    <w:rsid w:val="13EBFC7F"/>
    <w:rsid w:val="146D6D5A"/>
    <w:rsid w:val="14CB9D45"/>
    <w:rsid w:val="15283191"/>
    <w:rsid w:val="15D64F56"/>
    <w:rsid w:val="15EF4982"/>
    <w:rsid w:val="17B6FFB2"/>
    <w:rsid w:val="17EF369B"/>
    <w:rsid w:val="17EFC782"/>
    <w:rsid w:val="186835AA"/>
    <w:rsid w:val="19297C64"/>
    <w:rsid w:val="192CA8CE"/>
    <w:rsid w:val="1946F7B1"/>
    <w:rsid w:val="194EB35A"/>
    <w:rsid w:val="1952ABFA"/>
    <w:rsid w:val="197C6FF2"/>
    <w:rsid w:val="1996D179"/>
    <w:rsid w:val="19B8A6B0"/>
    <w:rsid w:val="19BA863E"/>
    <w:rsid w:val="1A110C82"/>
    <w:rsid w:val="1A717023"/>
    <w:rsid w:val="1AEEA074"/>
    <w:rsid w:val="1B8E6F1A"/>
    <w:rsid w:val="1C1112A2"/>
    <w:rsid w:val="1C91BE94"/>
    <w:rsid w:val="1D7900C4"/>
    <w:rsid w:val="1D8B1DAA"/>
    <w:rsid w:val="1DE86946"/>
    <w:rsid w:val="1E264136"/>
    <w:rsid w:val="1E2AD2CC"/>
    <w:rsid w:val="1E903967"/>
    <w:rsid w:val="1EB57333"/>
    <w:rsid w:val="1F5F616A"/>
    <w:rsid w:val="1FA8DE14"/>
    <w:rsid w:val="200D34F0"/>
    <w:rsid w:val="20260C7A"/>
    <w:rsid w:val="20366911"/>
    <w:rsid w:val="20667901"/>
    <w:rsid w:val="206F37AA"/>
    <w:rsid w:val="2073478F"/>
    <w:rsid w:val="20A0A701"/>
    <w:rsid w:val="20F2A08A"/>
    <w:rsid w:val="212045CD"/>
    <w:rsid w:val="220F17F0"/>
    <w:rsid w:val="2239A262"/>
    <w:rsid w:val="22D50B06"/>
    <w:rsid w:val="231B9D9E"/>
    <w:rsid w:val="238D41AE"/>
    <w:rsid w:val="23AAEFF6"/>
    <w:rsid w:val="23C5A548"/>
    <w:rsid w:val="24A36BDB"/>
    <w:rsid w:val="24B55A14"/>
    <w:rsid w:val="2500F875"/>
    <w:rsid w:val="2504B0A0"/>
    <w:rsid w:val="2508591B"/>
    <w:rsid w:val="2546B8B2"/>
    <w:rsid w:val="2591CDD7"/>
    <w:rsid w:val="2696E59C"/>
    <w:rsid w:val="26F3E4AD"/>
    <w:rsid w:val="27628A42"/>
    <w:rsid w:val="2778BA05"/>
    <w:rsid w:val="27DDFD88"/>
    <w:rsid w:val="27E45D0E"/>
    <w:rsid w:val="28457775"/>
    <w:rsid w:val="287E5974"/>
    <w:rsid w:val="288FB50E"/>
    <w:rsid w:val="29177B09"/>
    <w:rsid w:val="2962674C"/>
    <w:rsid w:val="29889350"/>
    <w:rsid w:val="298E988B"/>
    <w:rsid w:val="29AA8C96"/>
    <w:rsid w:val="29D77715"/>
    <w:rsid w:val="29E147D6"/>
    <w:rsid w:val="2A2B856F"/>
    <w:rsid w:val="2A581045"/>
    <w:rsid w:val="2B4D8AFF"/>
    <w:rsid w:val="2C17450B"/>
    <w:rsid w:val="2C2F23F2"/>
    <w:rsid w:val="2C75E8BD"/>
    <w:rsid w:val="2CC3FDCA"/>
    <w:rsid w:val="2CE54E25"/>
    <w:rsid w:val="2CF114AA"/>
    <w:rsid w:val="2E5C0473"/>
    <w:rsid w:val="2E6F0E7F"/>
    <w:rsid w:val="2EB169E5"/>
    <w:rsid w:val="2ED6B3D5"/>
    <w:rsid w:val="2EF5887E"/>
    <w:rsid w:val="2F16FF96"/>
    <w:rsid w:val="2FAF31F4"/>
    <w:rsid w:val="2FC67B19"/>
    <w:rsid w:val="302D7576"/>
    <w:rsid w:val="303E0D79"/>
    <w:rsid w:val="309158DF"/>
    <w:rsid w:val="317E7CA2"/>
    <w:rsid w:val="322D2940"/>
    <w:rsid w:val="32551869"/>
    <w:rsid w:val="32810E43"/>
    <w:rsid w:val="32840A22"/>
    <w:rsid w:val="32F39189"/>
    <w:rsid w:val="3339AEEE"/>
    <w:rsid w:val="335E4980"/>
    <w:rsid w:val="33DA11C7"/>
    <w:rsid w:val="3402D4F1"/>
    <w:rsid w:val="3418707E"/>
    <w:rsid w:val="3434B23F"/>
    <w:rsid w:val="349A6BAD"/>
    <w:rsid w:val="34B825A0"/>
    <w:rsid w:val="34D57F4F"/>
    <w:rsid w:val="34EEC0F9"/>
    <w:rsid w:val="3561627E"/>
    <w:rsid w:val="3575D5B5"/>
    <w:rsid w:val="35B8A096"/>
    <w:rsid w:val="3615C858"/>
    <w:rsid w:val="36FBEA36"/>
    <w:rsid w:val="37255269"/>
    <w:rsid w:val="3779BCA9"/>
    <w:rsid w:val="378BDA80"/>
    <w:rsid w:val="384483A9"/>
    <w:rsid w:val="3849EAAD"/>
    <w:rsid w:val="38564902"/>
    <w:rsid w:val="3858F407"/>
    <w:rsid w:val="386259D5"/>
    <w:rsid w:val="389C6AC4"/>
    <w:rsid w:val="38CAC291"/>
    <w:rsid w:val="38DA2349"/>
    <w:rsid w:val="39158D0A"/>
    <w:rsid w:val="395A27ED"/>
    <w:rsid w:val="3965CA9B"/>
    <w:rsid w:val="39A6A4A0"/>
    <w:rsid w:val="39A8F072"/>
    <w:rsid w:val="39EC97AE"/>
    <w:rsid w:val="3A85DA26"/>
    <w:rsid w:val="3AC527F8"/>
    <w:rsid w:val="3ADC62AF"/>
    <w:rsid w:val="3AF857F0"/>
    <w:rsid w:val="3B44C0D3"/>
    <w:rsid w:val="3C6E492F"/>
    <w:rsid w:val="3D228F3D"/>
    <w:rsid w:val="3D52A977"/>
    <w:rsid w:val="3D629BE0"/>
    <w:rsid w:val="3DA21403"/>
    <w:rsid w:val="3DC7D6C7"/>
    <w:rsid w:val="3DF956DA"/>
    <w:rsid w:val="3E0A1990"/>
    <w:rsid w:val="3EB872FC"/>
    <w:rsid w:val="3F240D0E"/>
    <w:rsid w:val="3F284DDB"/>
    <w:rsid w:val="3FA57759"/>
    <w:rsid w:val="3FA5E9F1"/>
    <w:rsid w:val="3FBFD686"/>
    <w:rsid w:val="400C619B"/>
    <w:rsid w:val="4015E624"/>
    <w:rsid w:val="40B08AD6"/>
    <w:rsid w:val="40C82F9C"/>
    <w:rsid w:val="4101DF07"/>
    <w:rsid w:val="4160FAEF"/>
    <w:rsid w:val="417161D2"/>
    <w:rsid w:val="41C22552"/>
    <w:rsid w:val="425E1941"/>
    <w:rsid w:val="427AF323"/>
    <w:rsid w:val="42A97DA8"/>
    <w:rsid w:val="42BDBA0F"/>
    <w:rsid w:val="430D3233"/>
    <w:rsid w:val="4335215C"/>
    <w:rsid w:val="435D18AB"/>
    <w:rsid w:val="43F95B34"/>
    <w:rsid w:val="456820A1"/>
    <w:rsid w:val="45E7376A"/>
    <w:rsid w:val="46C6C498"/>
    <w:rsid w:val="4743E5F6"/>
    <w:rsid w:val="47E345AA"/>
    <w:rsid w:val="47EDCA29"/>
    <w:rsid w:val="490C4F31"/>
    <w:rsid w:val="496E54EB"/>
    <w:rsid w:val="49AB750A"/>
    <w:rsid w:val="49DCA001"/>
    <w:rsid w:val="49DDBD6D"/>
    <w:rsid w:val="4A8F757A"/>
    <w:rsid w:val="4AC5161C"/>
    <w:rsid w:val="4B386507"/>
    <w:rsid w:val="4B9A35BB"/>
    <w:rsid w:val="4C1E0713"/>
    <w:rsid w:val="4C2FD55B"/>
    <w:rsid w:val="4CB5DAE1"/>
    <w:rsid w:val="4CC4C9E6"/>
    <w:rsid w:val="4CFED0ED"/>
    <w:rsid w:val="4D04681D"/>
    <w:rsid w:val="4D16A2ED"/>
    <w:rsid w:val="4D237624"/>
    <w:rsid w:val="4D56C1E7"/>
    <w:rsid w:val="4E6ECC3C"/>
    <w:rsid w:val="4EA0387E"/>
    <w:rsid w:val="4ED1D67D"/>
    <w:rsid w:val="4EF77C8E"/>
    <w:rsid w:val="502AC275"/>
    <w:rsid w:val="504FA4C9"/>
    <w:rsid w:val="508D90F3"/>
    <w:rsid w:val="50A9CE00"/>
    <w:rsid w:val="516E33AA"/>
    <w:rsid w:val="518C1923"/>
    <w:rsid w:val="52152CE9"/>
    <w:rsid w:val="5240919D"/>
    <w:rsid w:val="52A3F66E"/>
    <w:rsid w:val="5371C3EF"/>
    <w:rsid w:val="547EF8D5"/>
    <w:rsid w:val="54B350A3"/>
    <w:rsid w:val="54EF030D"/>
    <w:rsid w:val="54FF0028"/>
    <w:rsid w:val="550D9450"/>
    <w:rsid w:val="5545C5D0"/>
    <w:rsid w:val="55DA15A7"/>
    <w:rsid w:val="55DC6179"/>
    <w:rsid w:val="562008B5"/>
    <w:rsid w:val="56537FEE"/>
    <w:rsid w:val="56CE8834"/>
    <w:rsid w:val="56D1DCCA"/>
    <w:rsid w:val="587BC34D"/>
    <w:rsid w:val="59C27430"/>
    <w:rsid w:val="5A7692F5"/>
    <w:rsid w:val="5A96AA3F"/>
    <w:rsid w:val="5AAC79CB"/>
    <w:rsid w:val="5ACD8F63"/>
    <w:rsid w:val="5B901FEE"/>
    <w:rsid w:val="5BC71F9F"/>
    <w:rsid w:val="5C82E46F"/>
    <w:rsid w:val="5CA6028F"/>
    <w:rsid w:val="5CE1BAA8"/>
    <w:rsid w:val="5D056822"/>
    <w:rsid w:val="5D0EF1BC"/>
    <w:rsid w:val="5DE5278C"/>
    <w:rsid w:val="5F05EC48"/>
    <w:rsid w:val="5F2B827F"/>
    <w:rsid w:val="5F612725"/>
    <w:rsid w:val="5FD88A92"/>
    <w:rsid w:val="5FFB0E42"/>
    <w:rsid w:val="60C752E0"/>
    <w:rsid w:val="611CC84E"/>
    <w:rsid w:val="615E653E"/>
    <w:rsid w:val="61745AF3"/>
    <w:rsid w:val="61DF37E2"/>
    <w:rsid w:val="630194C9"/>
    <w:rsid w:val="63102B54"/>
    <w:rsid w:val="634D6C8D"/>
    <w:rsid w:val="642F2B3A"/>
    <w:rsid w:val="64852955"/>
    <w:rsid w:val="64B18E9F"/>
    <w:rsid w:val="64EAAAC0"/>
    <w:rsid w:val="654F7C14"/>
    <w:rsid w:val="66E6795A"/>
    <w:rsid w:val="6721129C"/>
    <w:rsid w:val="674D7B87"/>
    <w:rsid w:val="67DF6C1B"/>
    <w:rsid w:val="6820DDB0"/>
    <w:rsid w:val="6853E5AA"/>
    <w:rsid w:val="6867673B"/>
    <w:rsid w:val="68EA3D99"/>
    <w:rsid w:val="69483F1A"/>
    <w:rsid w:val="6A493184"/>
    <w:rsid w:val="6AA890D8"/>
    <w:rsid w:val="6ABBF3FC"/>
    <w:rsid w:val="6ABC2A3C"/>
    <w:rsid w:val="6B657D5A"/>
    <w:rsid w:val="6BB52AAD"/>
    <w:rsid w:val="6CFDCA7E"/>
    <w:rsid w:val="6D1BF856"/>
    <w:rsid w:val="6E6B604A"/>
    <w:rsid w:val="6E9D1E1C"/>
    <w:rsid w:val="6FDD6676"/>
    <w:rsid w:val="70194DFE"/>
    <w:rsid w:val="70C21857"/>
    <w:rsid w:val="70D0C810"/>
    <w:rsid w:val="71157F37"/>
    <w:rsid w:val="720C3EC5"/>
    <w:rsid w:val="72373267"/>
    <w:rsid w:val="7263F0DB"/>
    <w:rsid w:val="7274BC08"/>
    <w:rsid w:val="738862EA"/>
    <w:rsid w:val="73977F05"/>
    <w:rsid w:val="7405282B"/>
    <w:rsid w:val="745A14D6"/>
    <w:rsid w:val="747AA429"/>
    <w:rsid w:val="7528E64E"/>
    <w:rsid w:val="75705A83"/>
    <w:rsid w:val="7584B399"/>
    <w:rsid w:val="76337F9D"/>
    <w:rsid w:val="76731B17"/>
    <w:rsid w:val="78153827"/>
    <w:rsid w:val="7888B9E8"/>
    <w:rsid w:val="7913B4A1"/>
    <w:rsid w:val="7A920134"/>
    <w:rsid w:val="7AE90DFA"/>
    <w:rsid w:val="7B801BA3"/>
    <w:rsid w:val="7C8BA584"/>
    <w:rsid w:val="7C9485AE"/>
    <w:rsid w:val="7CC6EAF4"/>
    <w:rsid w:val="7E3DB714"/>
    <w:rsid w:val="7E5D6CA6"/>
    <w:rsid w:val="7FF834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B0E42"/>
  <w15:chartTrackingRefBased/>
  <w15:docId w15:val="{77AF0DC4-01EC-441D-A3ED-B8E4A13608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5816b1a93e3477b" /><Relationship Type="http://schemas.openxmlformats.org/officeDocument/2006/relationships/image" Target="/media/image2.png" Id="Rfe60f9ea88664d1e" /><Relationship Type="http://schemas.openxmlformats.org/officeDocument/2006/relationships/hyperlink" Target="http://www.simonwinchester.com/bio/" TargetMode="External" Id="R3e7042b6c340455f" /><Relationship Type="http://schemas.openxmlformats.org/officeDocument/2006/relationships/hyperlink" Target="https://treasonfelony.wordpress.com/2017/04/24/barney-watt-propaganda-and-obstructing-justice-in-february-1971/" TargetMode="External" Id="R32b56060c18d41d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Oliver Cook (2001030)</dc:creator>
  <keywords/>
  <dc:description/>
  <lastModifiedBy>Oliver Cook (2001030)</lastModifiedBy>
  <revision>5</revision>
  <dcterms:created xsi:type="dcterms:W3CDTF">2022-12-15T23:44:24.6498458Z</dcterms:created>
  <dcterms:modified xsi:type="dcterms:W3CDTF">2022-12-18T01:48:04.4425332Z</dcterms:modified>
</coreProperties>
</file>