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5B4796" w14:textId="77777777" w:rsidR="00053ABA" w:rsidRPr="00757AE1" w:rsidRDefault="00053ABA" w:rsidP="00757AE1">
      <w:pPr>
        <w:spacing w:line="360" w:lineRule="auto"/>
        <w:jc w:val="center"/>
        <w:rPr>
          <w:rFonts w:ascii="Arial" w:hAnsi="Arial" w:cs="Arial"/>
          <w:sz w:val="40"/>
          <w:szCs w:val="40"/>
        </w:rPr>
      </w:pPr>
      <w:r w:rsidRPr="00757AE1">
        <w:rPr>
          <w:rFonts w:ascii="Arial" w:hAnsi="Arial" w:cs="Arial"/>
          <w:sz w:val="40"/>
          <w:szCs w:val="40"/>
        </w:rPr>
        <w:t>Name: Ataf Rashid</w:t>
      </w:r>
    </w:p>
    <w:p w14:paraId="79D63EE0" w14:textId="77777777" w:rsidR="00053ABA" w:rsidRPr="00757AE1" w:rsidRDefault="00053ABA" w:rsidP="00757AE1">
      <w:pPr>
        <w:spacing w:line="360" w:lineRule="auto"/>
        <w:jc w:val="center"/>
        <w:rPr>
          <w:rFonts w:ascii="Arial" w:hAnsi="Arial" w:cs="Arial"/>
          <w:sz w:val="40"/>
          <w:szCs w:val="40"/>
        </w:rPr>
      </w:pPr>
      <w:r w:rsidRPr="00757AE1">
        <w:rPr>
          <w:rFonts w:ascii="Arial" w:hAnsi="Arial" w:cs="Arial"/>
          <w:sz w:val="40"/>
          <w:szCs w:val="40"/>
        </w:rPr>
        <w:t>Student Number: 2434316</w:t>
      </w:r>
    </w:p>
    <w:p w14:paraId="2B370692" w14:textId="509D38AC" w:rsidR="00053ABA" w:rsidRPr="00830C51" w:rsidRDefault="000618EA" w:rsidP="00757AE1">
      <w:pPr>
        <w:spacing w:line="360" w:lineRule="auto"/>
        <w:jc w:val="center"/>
        <w:rPr>
          <w:rFonts w:ascii="Arial" w:hAnsi="Arial" w:cs="Arial"/>
          <w:sz w:val="40"/>
          <w:szCs w:val="40"/>
        </w:rPr>
      </w:pPr>
      <w:r w:rsidRPr="00830C51">
        <w:rPr>
          <w:rFonts w:ascii="Arial" w:hAnsi="Arial" w:cs="Arial"/>
          <w:sz w:val="40"/>
          <w:szCs w:val="40"/>
        </w:rPr>
        <w:t>Lecturer</w:t>
      </w:r>
      <w:r w:rsidR="00053ABA" w:rsidRPr="00830C51">
        <w:rPr>
          <w:rFonts w:ascii="Arial" w:hAnsi="Arial" w:cs="Arial"/>
          <w:sz w:val="40"/>
          <w:szCs w:val="40"/>
        </w:rPr>
        <w:t>: Alice Clayton</w:t>
      </w:r>
    </w:p>
    <w:p w14:paraId="7903D7CB" w14:textId="353CFB1A" w:rsidR="00053ABA" w:rsidRPr="00757AE1" w:rsidRDefault="00053ABA" w:rsidP="00757AE1">
      <w:pPr>
        <w:spacing w:line="360" w:lineRule="auto"/>
        <w:jc w:val="center"/>
        <w:rPr>
          <w:rFonts w:ascii="Arial" w:hAnsi="Arial" w:cs="Arial"/>
          <w:spacing w:val="-4"/>
          <w:sz w:val="40"/>
          <w:szCs w:val="40"/>
        </w:rPr>
      </w:pPr>
      <w:r w:rsidRPr="00757AE1">
        <w:rPr>
          <w:rFonts w:ascii="Arial" w:hAnsi="Arial" w:cs="Arial"/>
          <w:sz w:val="40"/>
          <w:szCs w:val="40"/>
        </w:rPr>
        <w:t xml:space="preserve">Module Name: </w:t>
      </w:r>
      <w:r w:rsidR="0029422B" w:rsidRPr="00757AE1">
        <w:rPr>
          <w:rFonts w:ascii="Arial" w:hAnsi="Arial" w:cs="Arial"/>
          <w:sz w:val="40"/>
          <w:szCs w:val="40"/>
        </w:rPr>
        <w:t>Psychology in Health and Social Care</w:t>
      </w:r>
    </w:p>
    <w:p w14:paraId="237A6EE6" w14:textId="7274AE6C" w:rsidR="00053ABA" w:rsidRPr="00757AE1" w:rsidRDefault="00053ABA" w:rsidP="00757AE1">
      <w:pPr>
        <w:spacing w:line="360" w:lineRule="auto"/>
        <w:jc w:val="center"/>
        <w:rPr>
          <w:rFonts w:ascii="Arial" w:hAnsi="Arial" w:cs="Arial"/>
          <w:sz w:val="40"/>
          <w:szCs w:val="40"/>
          <w:lang w:val="fr-FR"/>
        </w:rPr>
      </w:pPr>
      <w:r w:rsidRPr="00757AE1">
        <w:rPr>
          <w:rFonts w:ascii="Arial" w:hAnsi="Arial" w:cs="Arial"/>
          <w:sz w:val="40"/>
          <w:szCs w:val="40"/>
          <w:lang w:val="fr-FR"/>
        </w:rPr>
        <w:t>Module Code: LCHS4010</w:t>
      </w:r>
    </w:p>
    <w:p w14:paraId="2AFD339D" w14:textId="7D88B970" w:rsidR="00053ABA" w:rsidRPr="00757AE1" w:rsidRDefault="00053ABA" w:rsidP="00757AE1">
      <w:pPr>
        <w:spacing w:line="360" w:lineRule="auto"/>
        <w:jc w:val="center"/>
        <w:rPr>
          <w:rFonts w:ascii="Arial" w:hAnsi="Arial" w:cs="Arial"/>
          <w:sz w:val="40"/>
          <w:szCs w:val="40"/>
          <w:lang w:val="en-US"/>
        </w:rPr>
      </w:pPr>
      <w:r w:rsidRPr="00757AE1">
        <w:rPr>
          <w:rFonts w:ascii="Arial" w:hAnsi="Arial" w:cs="Arial"/>
          <w:sz w:val="40"/>
          <w:szCs w:val="40"/>
        </w:rPr>
        <w:t xml:space="preserve">Assessment Title: </w:t>
      </w:r>
      <w:r w:rsidR="000B43AD" w:rsidRPr="00757AE1">
        <w:rPr>
          <w:rFonts w:ascii="Arial" w:hAnsi="Arial" w:cs="Arial"/>
          <w:sz w:val="40"/>
          <w:szCs w:val="40"/>
          <w:lang w:val="en-US"/>
        </w:rPr>
        <w:t>Bibliography &amp;  Report</w:t>
      </w:r>
    </w:p>
    <w:p w14:paraId="698A9AF8" w14:textId="0266770A" w:rsidR="000B43AD" w:rsidRPr="00757AE1" w:rsidRDefault="000B43AD" w:rsidP="00757AE1">
      <w:pPr>
        <w:spacing w:line="360" w:lineRule="auto"/>
        <w:jc w:val="center"/>
        <w:rPr>
          <w:rFonts w:ascii="Arial" w:hAnsi="Arial" w:cs="Arial"/>
          <w:sz w:val="40"/>
          <w:szCs w:val="40"/>
        </w:rPr>
      </w:pPr>
      <w:r w:rsidRPr="00757AE1">
        <w:rPr>
          <w:rFonts w:ascii="Arial" w:hAnsi="Arial" w:cs="Arial"/>
          <w:noProof/>
          <w:sz w:val="40"/>
          <w:szCs w:val="40"/>
          <w14:ligatures w14:val="standardContextual"/>
        </w:rPr>
        <w:drawing>
          <wp:inline distT="0" distB="0" distL="0" distR="0" wp14:anchorId="2FF16A83" wp14:editId="5D8DE4BE">
            <wp:extent cx="4965031" cy="2010705"/>
            <wp:effectExtent l="0" t="0" r="7620" b="8890"/>
            <wp:docPr id="975991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991991" name="Picture 975991991"/>
                    <pic:cNvPicPr/>
                  </pic:nvPicPr>
                  <pic:blipFill>
                    <a:blip r:embed="rId7">
                      <a:extLst>
                        <a:ext uri="{28A0092B-C50C-407E-A947-70E740481C1C}">
                          <a14:useLocalDpi xmlns:a14="http://schemas.microsoft.com/office/drawing/2010/main" val="0"/>
                        </a:ext>
                      </a:extLst>
                    </a:blip>
                    <a:stretch>
                      <a:fillRect/>
                    </a:stretch>
                  </pic:blipFill>
                  <pic:spPr>
                    <a:xfrm>
                      <a:off x="0" y="0"/>
                      <a:ext cx="5039027" cy="2040671"/>
                    </a:xfrm>
                    <a:prstGeom prst="rect">
                      <a:avLst/>
                    </a:prstGeom>
                  </pic:spPr>
                </pic:pic>
              </a:graphicData>
            </a:graphic>
          </wp:inline>
        </w:drawing>
      </w:r>
    </w:p>
    <w:p w14:paraId="4804F13C" w14:textId="77777777" w:rsidR="007826A6" w:rsidRPr="00757AE1" w:rsidRDefault="007826A6" w:rsidP="00757AE1">
      <w:pPr>
        <w:spacing w:line="360" w:lineRule="auto"/>
        <w:rPr>
          <w:rFonts w:ascii="Arial" w:hAnsi="Arial" w:cs="Arial"/>
        </w:rPr>
      </w:pPr>
    </w:p>
    <w:p w14:paraId="5C50E46D" w14:textId="77777777" w:rsidR="003003B1" w:rsidRPr="00757AE1" w:rsidRDefault="003003B1" w:rsidP="00757AE1">
      <w:pPr>
        <w:spacing w:line="360" w:lineRule="auto"/>
        <w:rPr>
          <w:rFonts w:ascii="Arial" w:hAnsi="Arial" w:cs="Arial"/>
        </w:rPr>
      </w:pPr>
    </w:p>
    <w:p w14:paraId="1B9C7970" w14:textId="77777777" w:rsidR="003003B1" w:rsidRPr="00757AE1" w:rsidRDefault="003003B1" w:rsidP="00757AE1">
      <w:pPr>
        <w:spacing w:line="360" w:lineRule="auto"/>
        <w:rPr>
          <w:rFonts w:ascii="Arial" w:hAnsi="Arial" w:cs="Arial"/>
        </w:rPr>
      </w:pPr>
    </w:p>
    <w:p w14:paraId="500AC24C" w14:textId="77777777" w:rsidR="003003B1" w:rsidRPr="00757AE1" w:rsidRDefault="003003B1" w:rsidP="00757AE1">
      <w:pPr>
        <w:spacing w:line="360" w:lineRule="auto"/>
        <w:rPr>
          <w:rFonts w:ascii="Arial" w:hAnsi="Arial" w:cs="Arial"/>
        </w:rPr>
      </w:pPr>
    </w:p>
    <w:p w14:paraId="1763BD63" w14:textId="77777777" w:rsidR="003003B1" w:rsidRPr="00757AE1" w:rsidRDefault="003003B1" w:rsidP="00757AE1">
      <w:pPr>
        <w:spacing w:line="360" w:lineRule="auto"/>
        <w:rPr>
          <w:rFonts w:ascii="Arial" w:hAnsi="Arial" w:cs="Arial"/>
        </w:rPr>
      </w:pPr>
    </w:p>
    <w:p w14:paraId="0E8BFC5F" w14:textId="77777777" w:rsidR="003003B1" w:rsidRPr="00757AE1" w:rsidRDefault="003003B1" w:rsidP="00757AE1">
      <w:pPr>
        <w:spacing w:line="360" w:lineRule="auto"/>
        <w:rPr>
          <w:rFonts w:ascii="Arial" w:hAnsi="Arial" w:cs="Arial"/>
        </w:rPr>
      </w:pPr>
    </w:p>
    <w:p w14:paraId="3CC94651" w14:textId="77777777" w:rsidR="003003B1" w:rsidRPr="00757AE1" w:rsidRDefault="003003B1" w:rsidP="00757AE1">
      <w:pPr>
        <w:spacing w:line="360" w:lineRule="auto"/>
        <w:rPr>
          <w:rFonts w:ascii="Arial" w:hAnsi="Arial" w:cs="Arial"/>
        </w:rPr>
      </w:pPr>
    </w:p>
    <w:p w14:paraId="323BA63C" w14:textId="77777777" w:rsidR="003003B1" w:rsidRPr="00757AE1" w:rsidRDefault="003003B1" w:rsidP="00757AE1">
      <w:pPr>
        <w:spacing w:line="360" w:lineRule="auto"/>
        <w:rPr>
          <w:rFonts w:ascii="Arial" w:hAnsi="Arial" w:cs="Arial"/>
        </w:rPr>
      </w:pPr>
    </w:p>
    <w:p w14:paraId="021A2A25" w14:textId="77777777" w:rsidR="003003B1" w:rsidRPr="00757AE1" w:rsidRDefault="003003B1" w:rsidP="00757AE1">
      <w:pPr>
        <w:spacing w:line="360" w:lineRule="auto"/>
        <w:rPr>
          <w:rFonts w:ascii="Arial" w:hAnsi="Arial" w:cs="Arial"/>
        </w:rPr>
      </w:pPr>
    </w:p>
    <w:p w14:paraId="7263B69F" w14:textId="77777777" w:rsidR="003003B1" w:rsidRPr="00757AE1" w:rsidRDefault="003003B1" w:rsidP="00757AE1">
      <w:pPr>
        <w:spacing w:line="360" w:lineRule="auto"/>
        <w:rPr>
          <w:rFonts w:ascii="Arial" w:hAnsi="Arial" w:cs="Arial"/>
        </w:rPr>
      </w:pPr>
    </w:p>
    <w:p w14:paraId="25C8EB46" w14:textId="77777777" w:rsidR="003003B1" w:rsidRPr="00757AE1" w:rsidRDefault="003003B1" w:rsidP="00757AE1">
      <w:pPr>
        <w:spacing w:line="360" w:lineRule="auto"/>
        <w:rPr>
          <w:rFonts w:ascii="Arial" w:hAnsi="Arial" w:cs="Arial"/>
        </w:rPr>
      </w:pPr>
    </w:p>
    <w:p w14:paraId="3BB8E966" w14:textId="77777777" w:rsidR="003003B1" w:rsidRPr="00757AE1" w:rsidRDefault="003003B1" w:rsidP="00757AE1">
      <w:pPr>
        <w:spacing w:line="360" w:lineRule="auto"/>
        <w:rPr>
          <w:rFonts w:ascii="Arial" w:hAnsi="Arial" w:cs="Arial"/>
        </w:rPr>
      </w:pPr>
    </w:p>
    <w:p w14:paraId="5F5FBC9B" w14:textId="77777777" w:rsidR="003003B1" w:rsidRPr="00757AE1" w:rsidRDefault="003003B1" w:rsidP="00757AE1">
      <w:pPr>
        <w:spacing w:line="360" w:lineRule="auto"/>
        <w:rPr>
          <w:rFonts w:ascii="Arial" w:hAnsi="Arial" w:cs="Arial"/>
        </w:rPr>
      </w:pPr>
    </w:p>
    <w:p w14:paraId="277553F6" w14:textId="77777777" w:rsidR="003003B1" w:rsidRPr="00757AE1" w:rsidRDefault="003003B1" w:rsidP="00757AE1">
      <w:pPr>
        <w:spacing w:line="360" w:lineRule="auto"/>
        <w:rPr>
          <w:rFonts w:ascii="Arial" w:hAnsi="Arial" w:cs="Arial"/>
        </w:rPr>
      </w:pPr>
    </w:p>
    <w:p w14:paraId="1CE36148" w14:textId="77777777" w:rsidR="003003B1" w:rsidRDefault="003003B1" w:rsidP="00757AE1">
      <w:pPr>
        <w:spacing w:line="360" w:lineRule="auto"/>
        <w:rPr>
          <w:rFonts w:ascii="Arial" w:hAnsi="Arial" w:cs="Arial"/>
        </w:rPr>
      </w:pPr>
    </w:p>
    <w:p w14:paraId="074EAF93" w14:textId="77777777" w:rsidR="00757AE1" w:rsidRPr="00757AE1" w:rsidRDefault="00757AE1" w:rsidP="00757AE1">
      <w:pPr>
        <w:spacing w:line="360" w:lineRule="auto"/>
        <w:rPr>
          <w:rFonts w:ascii="Arial" w:hAnsi="Arial" w:cs="Arial"/>
        </w:rPr>
      </w:pPr>
    </w:p>
    <w:sdt>
      <w:sdtPr>
        <w:rPr>
          <w:rFonts w:ascii="Arial" w:eastAsia="Times New Roman" w:hAnsi="Arial" w:cs="Arial"/>
          <w:b/>
          <w:bCs/>
          <w:color w:val="000000" w:themeColor="text1"/>
          <w:sz w:val="22"/>
          <w:szCs w:val="22"/>
        </w:rPr>
        <w:id w:val="2093434456"/>
        <w:docPartObj>
          <w:docPartGallery w:val="Table of Contents"/>
          <w:docPartUnique/>
        </w:docPartObj>
      </w:sdtPr>
      <w:sdtEndPr>
        <w:rPr>
          <w:color w:val="auto"/>
        </w:rPr>
      </w:sdtEndPr>
      <w:sdtContent>
        <w:p w14:paraId="7D8F6D88" w14:textId="4DF4842A" w:rsidR="00182EB4" w:rsidRPr="00BA5EA6" w:rsidRDefault="001C0C18">
          <w:pPr>
            <w:pStyle w:val="TOCHeading"/>
            <w:rPr>
              <w:rFonts w:ascii="Arial" w:hAnsi="Arial" w:cs="Arial"/>
              <w:b/>
              <w:bCs/>
              <w:color w:val="000000" w:themeColor="text1"/>
              <w:sz w:val="22"/>
              <w:szCs w:val="22"/>
            </w:rPr>
          </w:pPr>
          <w:r>
            <w:rPr>
              <w:rFonts w:ascii="Arial" w:hAnsi="Arial" w:cs="Arial"/>
              <w:b/>
              <w:bCs/>
              <w:color w:val="000000" w:themeColor="text1"/>
              <w:sz w:val="22"/>
              <w:szCs w:val="22"/>
            </w:rPr>
            <w:t xml:space="preserve">Table Of </w:t>
          </w:r>
          <w:r w:rsidR="00182EB4" w:rsidRPr="00BA5EA6">
            <w:rPr>
              <w:rFonts w:ascii="Arial" w:hAnsi="Arial" w:cs="Arial"/>
              <w:b/>
              <w:bCs/>
              <w:color w:val="000000" w:themeColor="text1"/>
              <w:sz w:val="22"/>
              <w:szCs w:val="22"/>
            </w:rPr>
            <w:t>Contents</w:t>
          </w:r>
        </w:p>
        <w:p w14:paraId="397543E2" w14:textId="0E6F04C4" w:rsidR="00182EB4" w:rsidRPr="00BA5EA6" w:rsidRDefault="00182EB4">
          <w:pPr>
            <w:pStyle w:val="TOC1"/>
            <w:tabs>
              <w:tab w:val="right" w:leader="dot" w:pos="9016"/>
            </w:tabs>
            <w:rPr>
              <w:rFonts w:ascii="Arial" w:eastAsiaTheme="minorEastAsia" w:hAnsi="Arial" w:cs="Arial"/>
              <w:noProof/>
              <w:kern w:val="2"/>
              <w:sz w:val="22"/>
              <w:szCs w:val="22"/>
              <w14:ligatures w14:val="standardContextual"/>
            </w:rPr>
          </w:pPr>
          <w:r w:rsidRPr="00182EB4">
            <w:rPr>
              <w:rFonts w:ascii="Arial" w:hAnsi="Arial" w:cs="Arial"/>
              <w:sz w:val="22"/>
              <w:szCs w:val="22"/>
            </w:rPr>
            <w:fldChar w:fldCharType="begin"/>
          </w:r>
          <w:r w:rsidRPr="00182EB4">
            <w:rPr>
              <w:rFonts w:ascii="Arial" w:hAnsi="Arial" w:cs="Arial"/>
              <w:sz w:val="22"/>
              <w:szCs w:val="22"/>
            </w:rPr>
            <w:instrText xml:space="preserve"> TOC \o "1-3" \h \z \u </w:instrText>
          </w:r>
          <w:r w:rsidRPr="00182EB4">
            <w:rPr>
              <w:rFonts w:ascii="Arial" w:hAnsi="Arial" w:cs="Arial"/>
              <w:sz w:val="22"/>
              <w:szCs w:val="22"/>
            </w:rPr>
            <w:fldChar w:fldCharType="separate"/>
          </w:r>
          <w:hyperlink w:anchor="_Toc225027437" w:history="1">
            <w:r w:rsidRPr="00BA5EA6">
              <w:rPr>
                <w:rStyle w:val="Hyperlink"/>
                <w:rFonts w:ascii="Arial" w:hAnsi="Arial" w:cs="Arial"/>
                <w:noProof/>
                <w:sz w:val="22"/>
                <w:szCs w:val="22"/>
              </w:rPr>
              <w:t>Annotated Bibliography</w:t>
            </w:r>
            <w:r w:rsidRPr="00BA5EA6">
              <w:rPr>
                <w:rFonts w:ascii="Arial" w:hAnsi="Arial" w:cs="Arial"/>
                <w:noProof/>
                <w:webHidden/>
                <w:sz w:val="22"/>
                <w:szCs w:val="22"/>
              </w:rPr>
              <w:tab/>
            </w:r>
            <w:r w:rsidRPr="00BA5EA6">
              <w:rPr>
                <w:rFonts w:ascii="Arial" w:hAnsi="Arial" w:cs="Arial"/>
                <w:noProof/>
                <w:webHidden/>
                <w:sz w:val="22"/>
                <w:szCs w:val="22"/>
              </w:rPr>
              <w:fldChar w:fldCharType="begin"/>
            </w:r>
            <w:r w:rsidRPr="00BA5EA6">
              <w:rPr>
                <w:rFonts w:ascii="Arial" w:hAnsi="Arial" w:cs="Arial"/>
                <w:noProof/>
                <w:webHidden/>
                <w:sz w:val="22"/>
                <w:szCs w:val="22"/>
              </w:rPr>
              <w:instrText xml:space="preserve"> PAGEREF _Toc225027437 \h </w:instrText>
            </w:r>
            <w:r w:rsidRPr="00BA5EA6">
              <w:rPr>
                <w:rFonts w:ascii="Arial" w:hAnsi="Arial" w:cs="Arial"/>
                <w:noProof/>
                <w:webHidden/>
                <w:sz w:val="22"/>
                <w:szCs w:val="22"/>
              </w:rPr>
            </w:r>
            <w:r w:rsidRPr="00BA5EA6">
              <w:rPr>
                <w:rFonts w:ascii="Arial" w:hAnsi="Arial" w:cs="Arial"/>
                <w:noProof/>
                <w:webHidden/>
                <w:sz w:val="22"/>
                <w:szCs w:val="22"/>
              </w:rPr>
              <w:fldChar w:fldCharType="separate"/>
            </w:r>
            <w:r w:rsidR="00C45848">
              <w:rPr>
                <w:rFonts w:ascii="Arial" w:hAnsi="Arial" w:cs="Arial"/>
                <w:noProof/>
                <w:webHidden/>
                <w:sz w:val="22"/>
                <w:szCs w:val="22"/>
              </w:rPr>
              <w:t>3</w:t>
            </w:r>
            <w:r w:rsidRPr="00BA5EA6">
              <w:rPr>
                <w:rFonts w:ascii="Arial" w:hAnsi="Arial" w:cs="Arial"/>
                <w:noProof/>
                <w:webHidden/>
                <w:sz w:val="22"/>
                <w:szCs w:val="22"/>
              </w:rPr>
              <w:fldChar w:fldCharType="end"/>
            </w:r>
          </w:hyperlink>
        </w:p>
        <w:p w14:paraId="62BA086C" w14:textId="51AE9178" w:rsidR="00182EB4" w:rsidRPr="00BA5EA6" w:rsidRDefault="00182EB4">
          <w:pPr>
            <w:pStyle w:val="TOC1"/>
            <w:tabs>
              <w:tab w:val="right" w:leader="dot" w:pos="9016"/>
            </w:tabs>
            <w:rPr>
              <w:rFonts w:ascii="Arial" w:eastAsiaTheme="minorEastAsia" w:hAnsi="Arial" w:cs="Arial"/>
              <w:noProof/>
              <w:kern w:val="2"/>
              <w:sz w:val="22"/>
              <w:szCs w:val="22"/>
              <w14:ligatures w14:val="standardContextual"/>
            </w:rPr>
          </w:pPr>
          <w:hyperlink w:anchor="_Toc225027438" w:history="1">
            <w:r w:rsidRPr="00BA5EA6">
              <w:rPr>
                <w:rStyle w:val="Hyperlink"/>
                <w:rFonts w:ascii="Arial" w:hAnsi="Arial" w:cs="Arial"/>
                <w:noProof/>
                <w:sz w:val="22"/>
                <w:szCs w:val="22"/>
              </w:rPr>
              <w:t>Short Report</w:t>
            </w:r>
            <w:r w:rsidRPr="00BA5EA6">
              <w:rPr>
                <w:rFonts w:ascii="Arial" w:hAnsi="Arial" w:cs="Arial"/>
                <w:noProof/>
                <w:webHidden/>
                <w:sz w:val="22"/>
                <w:szCs w:val="22"/>
              </w:rPr>
              <w:tab/>
            </w:r>
            <w:r w:rsidRPr="00BA5EA6">
              <w:rPr>
                <w:rFonts w:ascii="Arial" w:hAnsi="Arial" w:cs="Arial"/>
                <w:noProof/>
                <w:webHidden/>
                <w:sz w:val="22"/>
                <w:szCs w:val="22"/>
              </w:rPr>
              <w:fldChar w:fldCharType="begin"/>
            </w:r>
            <w:r w:rsidRPr="00BA5EA6">
              <w:rPr>
                <w:rFonts w:ascii="Arial" w:hAnsi="Arial" w:cs="Arial"/>
                <w:noProof/>
                <w:webHidden/>
                <w:sz w:val="22"/>
                <w:szCs w:val="22"/>
              </w:rPr>
              <w:instrText xml:space="preserve"> PAGEREF _Toc225027438 \h </w:instrText>
            </w:r>
            <w:r w:rsidRPr="00BA5EA6">
              <w:rPr>
                <w:rFonts w:ascii="Arial" w:hAnsi="Arial" w:cs="Arial"/>
                <w:noProof/>
                <w:webHidden/>
                <w:sz w:val="22"/>
                <w:szCs w:val="22"/>
              </w:rPr>
            </w:r>
            <w:r w:rsidRPr="00BA5EA6">
              <w:rPr>
                <w:rFonts w:ascii="Arial" w:hAnsi="Arial" w:cs="Arial"/>
                <w:noProof/>
                <w:webHidden/>
                <w:sz w:val="22"/>
                <w:szCs w:val="22"/>
              </w:rPr>
              <w:fldChar w:fldCharType="separate"/>
            </w:r>
            <w:r w:rsidR="00C45848">
              <w:rPr>
                <w:rFonts w:ascii="Arial" w:hAnsi="Arial" w:cs="Arial"/>
                <w:noProof/>
                <w:webHidden/>
                <w:sz w:val="22"/>
                <w:szCs w:val="22"/>
              </w:rPr>
              <w:t>6</w:t>
            </w:r>
            <w:r w:rsidRPr="00BA5EA6">
              <w:rPr>
                <w:rFonts w:ascii="Arial" w:hAnsi="Arial" w:cs="Arial"/>
                <w:noProof/>
                <w:webHidden/>
                <w:sz w:val="22"/>
                <w:szCs w:val="22"/>
              </w:rPr>
              <w:fldChar w:fldCharType="end"/>
            </w:r>
          </w:hyperlink>
        </w:p>
        <w:p w14:paraId="15E1F07A" w14:textId="3C05C2BF" w:rsidR="00182EB4" w:rsidRPr="00182EB4" w:rsidRDefault="00182EB4">
          <w:pPr>
            <w:pStyle w:val="TOC1"/>
            <w:tabs>
              <w:tab w:val="right" w:leader="dot" w:pos="9016"/>
            </w:tabs>
            <w:rPr>
              <w:rFonts w:ascii="Arial" w:eastAsiaTheme="minorEastAsia" w:hAnsi="Arial" w:cs="Arial"/>
              <w:noProof/>
              <w:kern w:val="2"/>
              <w:sz w:val="22"/>
              <w:szCs w:val="22"/>
              <w14:ligatures w14:val="standardContextual"/>
            </w:rPr>
          </w:pPr>
          <w:hyperlink w:anchor="_Toc225027439" w:history="1">
            <w:r w:rsidRPr="00BA5EA6">
              <w:rPr>
                <w:rStyle w:val="Hyperlink"/>
                <w:rFonts w:ascii="Arial" w:hAnsi="Arial" w:cs="Arial"/>
                <w:noProof/>
                <w:sz w:val="22"/>
                <w:szCs w:val="22"/>
                <w:lang w:val="en-US"/>
              </w:rPr>
              <w:t>Reference List:</w:t>
            </w:r>
            <w:r w:rsidRPr="00BA5EA6">
              <w:rPr>
                <w:rFonts w:ascii="Arial" w:hAnsi="Arial" w:cs="Arial"/>
                <w:noProof/>
                <w:webHidden/>
                <w:sz w:val="22"/>
                <w:szCs w:val="22"/>
              </w:rPr>
              <w:tab/>
            </w:r>
            <w:r w:rsidRPr="00BA5EA6">
              <w:rPr>
                <w:rFonts w:ascii="Arial" w:hAnsi="Arial" w:cs="Arial"/>
                <w:noProof/>
                <w:webHidden/>
                <w:sz w:val="22"/>
                <w:szCs w:val="22"/>
              </w:rPr>
              <w:fldChar w:fldCharType="begin"/>
            </w:r>
            <w:r w:rsidRPr="00BA5EA6">
              <w:rPr>
                <w:rFonts w:ascii="Arial" w:hAnsi="Arial" w:cs="Arial"/>
                <w:noProof/>
                <w:webHidden/>
                <w:sz w:val="22"/>
                <w:szCs w:val="22"/>
              </w:rPr>
              <w:instrText xml:space="preserve"> PAGEREF _Toc225027439 \h </w:instrText>
            </w:r>
            <w:r w:rsidRPr="00BA5EA6">
              <w:rPr>
                <w:rFonts w:ascii="Arial" w:hAnsi="Arial" w:cs="Arial"/>
                <w:noProof/>
                <w:webHidden/>
                <w:sz w:val="22"/>
                <w:szCs w:val="22"/>
              </w:rPr>
            </w:r>
            <w:r w:rsidRPr="00BA5EA6">
              <w:rPr>
                <w:rFonts w:ascii="Arial" w:hAnsi="Arial" w:cs="Arial"/>
                <w:noProof/>
                <w:webHidden/>
                <w:sz w:val="22"/>
                <w:szCs w:val="22"/>
              </w:rPr>
              <w:fldChar w:fldCharType="separate"/>
            </w:r>
            <w:r w:rsidR="00C45848">
              <w:rPr>
                <w:rFonts w:ascii="Arial" w:hAnsi="Arial" w:cs="Arial"/>
                <w:noProof/>
                <w:webHidden/>
                <w:sz w:val="22"/>
                <w:szCs w:val="22"/>
              </w:rPr>
              <w:t>8</w:t>
            </w:r>
            <w:r w:rsidRPr="00BA5EA6">
              <w:rPr>
                <w:rFonts w:ascii="Arial" w:hAnsi="Arial" w:cs="Arial"/>
                <w:noProof/>
                <w:webHidden/>
                <w:sz w:val="22"/>
                <w:szCs w:val="22"/>
              </w:rPr>
              <w:fldChar w:fldCharType="end"/>
            </w:r>
          </w:hyperlink>
        </w:p>
        <w:p w14:paraId="06FC42DD" w14:textId="7390EF13" w:rsidR="00182EB4" w:rsidRPr="00182EB4" w:rsidRDefault="00182EB4" w:rsidP="00182EB4">
          <w:pPr>
            <w:rPr>
              <w:rFonts w:ascii="Arial" w:hAnsi="Arial" w:cs="Arial"/>
              <w:b/>
              <w:bCs/>
              <w:sz w:val="22"/>
              <w:szCs w:val="22"/>
            </w:rPr>
          </w:pPr>
          <w:r w:rsidRPr="00182EB4">
            <w:rPr>
              <w:rFonts w:ascii="Arial" w:hAnsi="Arial" w:cs="Arial"/>
              <w:b/>
              <w:bCs/>
              <w:sz w:val="22"/>
              <w:szCs w:val="22"/>
            </w:rPr>
            <w:fldChar w:fldCharType="end"/>
          </w:r>
        </w:p>
      </w:sdtContent>
    </w:sdt>
    <w:p w14:paraId="1C82B544" w14:textId="77777777" w:rsidR="00182EB4" w:rsidRPr="00182EB4" w:rsidRDefault="00182EB4" w:rsidP="007E19F2">
      <w:pPr>
        <w:pStyle w:val="Heading1"/>
        <w:rPr>
          <w:rFonts w:ascii="Arial" w:hAnsi="Arial" w:cs="Arial"/>
          <w:sz w:val="22"/>
          <w:szCs w:val="22"/>
        </w:rPr>
      </w:pPr>
      <w:bookmarkStart w:id="0" w:name="_Toc225027437"/>
    </w:p>
    <w:p w14:paraId="4937740F" w14:textId="77777777" w:rsidR="00182EB4" w:rsidRPr="00182EB4" w:rsidRDefault="00182EB4" w:rsidP="00182EB4">
      <w:pPr>
        <w:rPr>
          <w:rFonts w:ascii="Arial" w:hAnsi="Arial" w:cs="Arial"/>
          <w:sz w:val="22"/>
          <w:szCs w:val="22"/>
          <w:lang w:eastAsia="en-US"/>
        </w:rPr>
      </w:pPr>
    </w:p>
    <w:p w14:paraId="255E5E3B" w14:textId="77777777" w:rsidR="00182EB4" w:rsidRPr="00182EB4" w:rsidRDefault="00182EB4" w:rsidP="00182EB4">
      <w:pPr>
        <w:rPr>
          <w:rFonts w:ascii="Arial" w:hAnsi="Arial" w:cs="Arial"/>
          <w:sz w:val="22"/>
          <w:szCs w:val="22"/>
          <w:lang w:eastAsia="en-US"/>
        </w:rPr>
      </w:pPr>
    </w:p>
    <w:p w14:paraId="4BF38A2D" w14:textId="77777777" w:rsidR="00182EB4" w:rsidRPr="00182EB4" w:rsidRDefault="00182EB4" w:rsidP="00182EB4">
      <w:pPr>
        <w:rPr>
          <w:rFonts w:ascii="Arial" w:hAnsi="Arial" w:cs="Arial"/>
          <w:sz w:val="22"/>
          <w:szCs w:val="22"/>
          <w:lang w:eastAsia="en-US"/>
        </w:rPr>
      </w:pPr>
    </w:p>
    <w:p w14:paraId="3CB96DAF" w14:textId="77777777" w:rsidR="00182EB4" w:rsidRPr="00182EB4" w:rsidRDefault="00182EB4" w:rsidP="00182EB4">
      <w:pPr>
        <w:rPr>
          <w:rFonts w:ascii="Arial" w:hAnsi="Arial" w:cs="Arial"/>
          <w:sz w:val="22"/>
          <w:szCs w:val="22"/>
          <w:lang w:eastAsia="en-US"/>
        </w:rPr>
      </w:pPr>
    </w:p>
    <w:p w14:paraId="27BAD804" w14:textId="77777777" w:rsidR="00182EB4" w:rsidRPr="00182EB4" w:rsidRDefault="00182EB4" w:rsidP="00182EB4">
      <w:pPr>
        <w:rPr>
          <w:rFonts w:ascii="Arial" w:hAnsi="Arial" w:cs="Arial"/>
          <w:sz w:val="22"/>
          <w:szCs w:val="22"/>
          <w:lang w:eastAsia="en-US"/>
        </w:rPr>
      </w:pPr>
    </w:p>
    <w:p w14:paraId="33E5EB38" w14:textId="77777777" w:rsidR="00182EB4" w:rsidRPr="00182EB4" w:rsidRDefault="00182EB4" w:rsidP="00182EB4">
      <w:pPr>
        <w:rPr>
          <w:rFonts w:ascii="Arial" w:hAnsi="Arial" w:cs="Arial"/>
          <w:sz w:val="22"/>
          <w:szCs w:val="22"/>
          <w:lang w:eastAsia="en-US"/>
        </w:rPr>
      </w:pPr>
    </w:p>
    <w:p w14:paraId="6B79EBF4" w14:textId="77777777" w:rsidR="00182EB4" w:rsidRPr="00182EB4" w:rsidRDefault="00182EB4" w:rsidP="00182EB4">
      <w:pPr>
        <w:rPr>
          <w:rFonts w:ascii="Arial" w:hAnsi="Arial" w:cs="Arial"/>
          <w:sz w:val="22"/>
          <w:szCs w:val="22"/>
          <w:lang w:eastAsia="en-US"/>
        </w:rPr>
      </w:pPr>
    </w:p>
    <w:p w14:paraId="0CDBFBDD" w14:textId="77777777" w:rsidR="00182EB4" w:rsidRPr="00182EB4" w:rsidRDefault="00182EB4" w:rsidP="00182EB4">
      <w:pPr>
        <w:rPr>
          <w:rFonts w:ascii="Arial" w:hAnsi="Arial" w:cs="Arial"/>
          <w:sz w:val="22"/>
          <w:szCs w:val="22"/>
          <w:lang w:eastAsia="en-US"/>
        </w:rPr>
      </w:pPr>
    </w:p>
    <w:p w14:paraId="0F20DBE7" w14:textId="77777777" w:rsidR="00182EB4" w:rsidRPr="00182EB4" w:rsidRDefault="00182EB4" w:rsidP="00182EB4">
      <w:pPr>
        <w:rPr>
          <w:rFonts w:ascii="Arial" w:hAnsi="Arial" w:cs="Arial"/>
          <w:sz w:val="22"/>
          <w:szCs w:val="22"/>
          <w:lang w:eastAsia="en-US"/>
        </w:rPr>
      </w:pPr>
    </w:p>
    <w:p w14:paraId="07F2DE32" w14:textId="77777777" w:rsidR="00182EB4" w:rsidRPr="00182EB4" w:rsidRDefault="00182EB4" w:rsidP="00182EB4">
      <w:pPr>
        <w:rPr>
          <w:rFonts w:ascii="Arial" w:hAnsi="Arial" w:cs="Arial"/>
          <w:sz w:val="22"/>
          <w:szCs w:val="22"/>
          <w:lang w:eastAsia="en-US"/>
        </w:rPr>
      </w:pPr>
    </w:p>
    <w:p w14:paraId="1F3D75E8" w14:textId="77777777" w:rsidR="00182EB4" w:rsidRPr="00182EB4" w:rsidRDefault="00182EB4" w:rsidP="00182EB4">
      <w:pPr>
        <w:rPr>
          <w:rFonts w:ascii="Arial" w:hAnsi="Arial" w:cs="Arial"/>
          <w:sz w:val="22"/>
          <w:szCs w:val="22"/>
          <w:lang w:eastAsia="en-US"/>
        </w:rPr>
      </w:pPr>
    </w:p>
    <w:p w14:paraId="3AF8A206" w14:textId="77777777" w:rsidR="00182EB4" w:rsidRPr="00182EB4" w:rsidRDefault="00182EB4" w:rsidP="00182EB4">
      <w:pPr>
        <w:rPr>
          <w:rFonts w:ascii="Arial" w:hAnsi="Arial" w:cs="Arial"/>
          <w:sz w:val="22"/>
          <w:szCs w:val="22"/>
          <w:lang w:eastAsia="en-US"/>
        </w:rPr>
      </w:pPr>
    </w:p>
    <w:p w14:paraId="3606F059" w14:textId="77777777" w:rsidR="00182EB4" w:rsidRPr="00182EB4" w:rsidRDefault="00182EB4" w:rsidP="00182EB4">
      <w:pPr>
        <w:rPr>
          <w:rFonts w:ascii="Arial" w:hAnsi="Arial" w:cs="Arial"/>
          <w:sz w:val="22"/>
          <w:szCs w:val="22"/>
          <w:lang w:eastAsia="en-US"/>
        </w:rPr>
      </w:pPr>
    </w:p>
    <w:p w14:paraId="71E34372" w14:textId="77777777" w:rsidR="00182EB4" w:rsidRPr="00182EB4" w:rsidRDefault="00182EB4" w:rsidP="00182EB4">
      <w:pPr>
        <w:rPr>
          <w:rFonts w:ascii="Arial" w:hAnsi="Arial" w:cs="Arial"/>
          <w:sz w:val="22"/>
          <w:szCs w:val="22"/>
          <w:lang w:eastAsia="en-US"/>
        </w:rPr>
      </w:pPr>
    </w:p>
    <w:p w14:paraId="1C1F8645" w14:textId="77777777" w:rsidR="00182EB4" w:rsidRPr="00182EB4" w:rsidRDefault="00182EB4" w:rsidP="00182EB4">
      <w:pPr>
        <w:rPr>
          <w:rFonts w:ascii="Arial" w:hAnsi="Arial" w:cs="Arial"/>
          <w:sz w:val="22"/>
          <w:szCs w:val="22"/>
          <w:lang w:eastAsia="en-US"/>
        </w:rPr>
      </w:pPr>
    </w:p>
    <w:p w14:paraId="35034324" w14:textId="77777777" w:rsidR="00182EB4" w:rsidRPr="00182EB4" w:rsidRDefault="00182EB4" w:rsidP="00182EB4">
      <w:pPr>
        <w:rPr>
          <w:rFonts w:ascii="Arial" w:hAnsi="Arial" w:cs="Arial"/>
          <w:sz w:val="22"/>
          <w:szCs w:val="22"/>
          <w:lang w:eastAsia="en-US"/>
        </w:rPr>
      </w:pPr>
    </w:p>
    <w:p w14:paraId="2861F432" w14:textId="77777777" w:rsidR="00182EB4" w:rsidRPr="00182EB4" w:rsidRDefault="00182EB4" w:rsidP="00182EB4">
      <w:pPr>
        <w:rPr>
          <w:rFonts w:ascii="Arial" w:hAnsi="Arial" w:cs="Arial"/>
          <w:sz w:val="22"/>
          <w:szCs w:val="22"/>
          <w:lang w:eastAsia="en-US"/>
        </w:rPr>
      </w:pPr>
    </w:p>
    <w:p w14:paraId="07936F4A" w14:textId="77777777" w:rsidR="00182EB4" w:rsidRPr="00182EB4" w:rsidRDefault="00182EB4" w:rsidP="00182EB4">
      <w:pPr>
        <w:rPr>
          <w:rFonts w:ascii="Arial" w:hAnsi="Arial" w:cs="Arial"/>
          <w:sz w:val="22"/>
          <w:szCs w:val="22"/>
          <w:lang w:eastAsia="en-US"/>
        </w:rPr>
      </w:pPr>
    </w:p>
    <w:p w14:paraId="195BADFB" w14:textId="77777777" w:rsidR="00182EB4" w:rsidRPr="00182EB4" w:rsidRDefault="00182EB4" w:rsidP="00182EB4">
      <w:pPr>
        <w:rPr>
          <w:rFonts w:ascii="Arial" w:hAnsi="Arial" w:cs="Arial"/>
          <w:sz w:val="22"/>
          <w:szCs w:val="22"/>
          <w:lang w:eastAsia="en-US"/>
        </w:rPr>
      </w:pPr>
    </w:p>
    <w:p w14:paraId="22904112" w14:textId="77777777" w:rsidR="00182EB4" w:rsidRPr="00182EB4" w:rsidRDefault="00182EB4" w:rsidP="00182EB4">
      <w:pPr>
        <w:rPr>
          <w:rFonts w:ascii="Arial" w:hAnsi="Arial" w:cs="Arial"/>
          <w:sz w:val="22"/>
          <w:szCs w:val="22"/>
          <w:lang w:eastAsia="en-US"/>
        </w:rPr>
      </w:pPr>
    </w:p>
    <w:p w14:paraId="606D440C" w14:textId="77777777" w:rsidR="00182EB4" w:rsidRPr="00182EB4" w:rsidRDefault="00182EB4" w:rsidP="00182EB4">
      <w:pPr>
        <w:rPr>
          <w:rFonts w:ascii="Arial" w:hAnsi="Arial" w:cs="Arial"/>
          <w:sz w:val="22"/>
          <w:szCs w:val="22"/>
          <w:lang w:eastAsia="en-US"/>
        </w:rPr>
      </w:pPr>
    </w:p>
    <w:p w14:paraId="3B7BCC02" w14:textId="77777777" w:rsidR="00182EB4" w:rsidRPr="00182EB4" w:rsidRDefault="00182EB4" w:rsidP="00182EB4">
      <w:pPr>
        <w:rPr>
          <w:rFonts w:ascii="Arial" w:hAnsi="Arial" w:cs="Arial"/>
          <w:sz w:val="22"/>
          <w:szCs w:val="22"/>
          <w:lang w:eastAsia="en-US"/>
        </w:rPr>
      </w:pPr>
    </w:p>
    <w:p w14:paraId="2DE422CD" w14:textId="77777777" w:rsidR="00182EB4" w:rsidRPr="00182EB4" w:rsidRDefault="00182EB4" w:rsidP="00182EB4">
      <w:pPr>
        <w:rPr>
          <w:rFonts w:ascii="Arial" w:hAnsi="Arial" w:cs="Arial"/>
          <w:sz w:val="22"/>
          <w:szCs w:val="22"/>
          <w:lang w:eastAsia="en-US"/>
        </w:rPr>
      </w:pPr>
    </w:p>
    <w:p w14:paraId="42A3E3D3" w14:textId="77777777" w:rsidR="00182EB4" w:rsidRPr="00182EB4" w:rsidRDefault="00182EB4" w:rsidP="00182EB4">
      <w:pPr>
        <w:rPr>
          <w:rFonts w:ascii="Arial" w:hAnsi="Arial" w:cs="Arial"/>
          <w:sz w:val="22"/>
          <w:szCs w:val="22"/>
          <w:lang w:eastAsia="en-US"/>
        </w:rPr>
      </w:pPr>
    </w:p>
    <w:p w14:paraId="415E91D4" w14:textId="77777777" w:rsidR="00182EB4" w:rsidRPr="00182EB4" w:rsidRDefault="00182EB4" w:rsidP="00182EB4">
      <w:pPr>
        <w:rPr>
          <w:rFonts w:ascii="Arial" w:hAnsi="Arial" w:cs="Arial"/>
          <w:sz w:val="22"/>
          <w:szCs w:val="22"/>
          <w:lang w:eastAsia="en-US"/>
        </w:rPr>
      </w:pPr>
    </w:p>
    <w:p w14:paraId="69EDC737" w14:textId="77777777" w:rsidR="00182EB4" w:rsidRPr="00182EB4" w:rsidRDefault="00182EB4" w:rsidP="00182EB4">
      <w:pPr>
        <w:rPr>
          <w:rFonts w:ascii="Arial" w:hAnsi="Arial" w:cs="Arial"/>
          <w:sz w:val="22"/>
          <w:szCs w:val="22"/>
          <w:lang w:eastAsia="en-US"/>
        </w:rPr>
      </w:pPr>
    </w:p>
    <w:p w14:paraId="47F234E3" w14:textId="77777777" w:rsidR="00182EB4" w:rsidRPr="00182EB4" w:rsidRDefault="00182EB4" w:rsidP="00182EB4">
      <w:pPr>
        <w:rPr>
          <w:rFonts w:ascii="Arial" w:hAnsi="Arial" w:cs="Arial"/>
          <w:sz w:val="22"/>
          <w:szCs w:val="22"/>
          <w:lang w:eastAsia="en-US"/>
        </w:rPr>
      </w:pPr>
    </w:p>
    <w:p w14:paraId="08FB4383" w14:textId="77777777" w:rsidR="00182EB4" w:rsidRPr="00182EB4" w:rsidRDefault="00182EB4" w:rsidP="00182EB4">
      <w:pPr>
        <w:rPr>
          <w:rFonts w:ascii="Arial" w:hAnsi="Arial" w:cs="Arial"/>
          <w:sz w:val="22"/>
          <w:szCs w:val="22"/>
          <w:lang w:eastAsia="en-US"/>
        </w:rPr>
      </w:pPr>
    </w:p>
    <w:p w14:paraId="4E6CCB5D" w14:textId="77777777" w:rsidR="00182EB4" w:rsidRPr="00182EB4" w:rsidRDefault="00182EB4" w:rsidP="00182EB4">
      <w:pPr>
        <w:rPr>
          <w:rFonts w:ascii="Arial" w:hAnsi="Arial" w:cs="Arial"/>
          <w:sz w:val="22"/>
          <w:szCs w:val="22"/>
          <w:lang w:eastAsia="en-US"/>
        </w:rPr>
      </w:pPr>
    </w:p>
    <w:p w14:paraId="47C0F6A4" w14:textId="77777777" w:rsidR="00182EB4" w:rsidRPr="00182EB4" w:rsidRDefault="00182EB4" w:rsidP="00182EB4">
      <w:pPr>
        <w:rPr>
          <w:rFonts w:ascii="Arial" w:hAnsi="Arial" w:cs="Arial"/>
          <w:sz w:val="22"/>
          <w:szCs w:val="22"/>
          <w:lang w:eastAsia="en-US"/>
        </w:rPr>
      </w:pPr>
    </w:p>
    <w:p w14:paraId="5E080243" w14:textId="77777777" w:rsidR="00182EB4" w:rsidRPr="00182EB4" w:rsidRDefault="00182EB4" w:rsidP="00182EB4">
      <w:pPr>
        <w:rPr>
          <w:rFonts w:ascii="Arial" w:hAnsi="Arial" w:cs="Arial"/>
          <w:sz w:val="22"/>
          <w:szCs w:val="22"/>
          <w:lang w:eastAsia="en-US"/>
        </w:rPr>
      </w:pPr>
    </w:p>
    <w:p w14:paraId="17C03131" w14:textId="77777777" w:rsidR="00182EB4" w:rsidRPr="00182EB4" w:rsidRDefault="00182EB4" w:rsidP="00182EB4">
      <w:pPr>
        <w:rPr>
          <w:rFonts w:ascii="Arial" w:hAnsi="Arial" w:cs="Arial"/>
          <w:sz w:val="22"/>
          <w:szCs w:val="22"/>
          <w:lang w:eastAsia="en-US"/>
        </w:rPr>
      </w:pPr>
    </w:p>
    <w:p w14:paraId="04B5E63A" w14:textId="77777777" w:rsidR="00182EB4" w:rsidRPr="00182EB4" w:rsidRDefault="00182EB4" w:rsidP="00182EB4">
      <w:pPr>
        <w:rPr>
          <w:rFonts w:ascii="Arial" w:hAnsi="Arial" w:cs="Arial"/>
          <w:sz w:val="22"/>
          <w:szCs w:val="22"/>
          <w:lang w:eastAsia="en-US"/>
        </w:rPr>
      </w:pPr>
    </w:p>
    <w:p w14:paraId="36367858" w14:textId="77777777" w:rsidR="00182EB4" w:rsidRPr="00182EB4" w:rsidRDefault="00182EB4" w:rsidP="00182EB4">
      <w:pPr>
        <w:rPr>
          <w:rFonts w:ascii="Arial" w:hAnsi="Arial" w:cs="Arial"/>
          <w:sz w:val="22"/>
          <w:szCs w:val="22"/>
          <w:lang w:eastAsia="en-US"/>
        </w:rPr>
      </w:pPr>
    </w:p>
    <w:p w14:paraId="1D67F580" w14:textId="77777777" w:rsidR="00182EB4" w:rsidRPr="00182EB4" w:rsidRDefault="00182EB4" w:rsidP="00182EB4">
      <w:pPr>
        <w:rPr>
          <w:rFonts w:ascii="Arial" w:hAnsi="Arial" w:cs="Arial"/>
          <w:sz w:val="22"/>
          <w:szCs w:val="22"/>
          <w:lang w:eastAsia="en-US"/>
        </w:rPr>
      </w:pPr>
    </w:p>
    <w:p w14:paraId="5234A7EC" w14:textId="77777777" w:rsidR="00182EB4" w:rsidRPr="00182EB4" w:rsidRDefault="00182EB4" w:rsidP="00182EB4">
      <w:pPr>
        <w:rPr>
          <w:rFonts w:ascii="Arial" w:hAnsi="Arial" w:cs="Arial"/>
          <w:sz w:val="22"/>
          <w:szCs w:val="22"/>
          <w:lang w:eastAsia="en-US"/>
        </w:rPr>
      </w:pPr>
    </w:p>
    <w:p w14:paraId="2A52D1F8" w14:textId="77777777" w:rsidR="00182EB4" w:rsidRPr="00182EB4" w:rsidRDefault="00182EB4" w:rsidP="00182EB4">
      <w:pPr>
        <w:rPr>
          <w:rFonts w:ascii="Arial" w:hAnsi="Arial" w:cs="Arial"/>
          <w:sz w:val="22"/>
          <w:szCs w:val="22"/>
          <w:lang w:eastAsia="en-US"/>
        </w:rPr>
      </w:pPr>
    </w:p>
    <w:p w14:paraId="342FB461" w14:textId="77777777" w:rsidR="00182EB4" w:rsidRPr="00182EB4" w:rsidRDefault="00182EB4" w:rsidP="00182EB4">
      <w:pPr>
        <w:rPr>
          <w:rFonts w:ascii="Arial" w:hAnsi="Arial" w:cs="Arial"/>
          <w:sz w:val="22"/>
          <w:szCs w:val="22"/>
          <w:lang w:eastAsia="en-US"/>
        </w:rPr>
      </w:pPr>
    </w:p>
    <w:p w14:paraId="02D09326" w14:textId="77777777" w:rsidR="00182EB4" w:rsidRPr="00182EB4" w:rsidRDefault="00182EB4" w:rsidP="00182EB4">
      <w:pPr>
        <w:rPr>
          <w:rFonts w:ascii="Arial" w:hAnsi="Arial" w:cs="Arial"/>
          <w:sz w:val="22"/>
          <w:szCs w:val="22"/>
          <w:lang w:eastAsia="en-US"/>
        </w:rPr>
      </w:pPr>
    </w:p>
    <w:p w14:paraId="093D0CC9" w14:textId="77777777" w:rsidR="00182EB4" w:rsidRPr="00182EB4" w:rsidRDefault="00182EB4" w:rsidP="00182EB4">
      <w:pPr>
        <w:rPr>
          <w:rFonts w:ascii="Arial" w:hAnsi="Arial" w:cs="Arial"/>
          <w:sz w:val="22"/>
          <w:szCs w:val="22"/>
          <w:lang w:eastAsia="en-US"/>
        </w:rPr>
      </w:pPr>
    </w:p>
    <w:p w14:paraId="1B963075" w14:textId="77777777" w:rsidR="00182EB4" w:rsidRPr="00182EB4" w:rsidRDefault="00182EB4" w:rsidP="00182EB4">
      <w:pPr>
        <w:rPr>
          <w:rFonts w:ascii="Arial" w:hAnsi="Arial" w:cs="Arial"/>
          <w:sz w:val="22"/>
          <w:szCs w:val="22"/>
          <w:lang w:eastAsia="en-US"/>
        </w:rPr>
      </w:pPr>
    </w:p>
    <w:p w14:paraId="6D60F5C9" w14:textId="77777777" w:rsidR="00F40CDA" w:rsidRDefault="00F40CDA" w:rsidP="00F40CDA">
      <w:pPr>
        <w:pStyle w:val="Heading1"/>
        <w:rPr>
          <w:rFonts w:ascii="Arial" w:hAnsi="Arial" w:cs="Arial"/>
          <w:sz w:val="22"/>
          <w:szCs w:val="22"/>
        </w:rPr>
      </w:pPr>
    </w:p>
    <w:p w14:paraId="0216D43C" w14:textId="00BCFDCB" w:rsidR="00EA6438" w:rsidRPr="00182EB4" w:rsidRDefault="00EA6438" w:rsidP="00F40CDA">
      <w:pPr>
        <w:pStyle w:val="Heading1"/>
        <w:jc w:val="center"/>
        <w:rPr>
          <w:rFonts w:ascii="Arial" w:hAnsi="Arial" w:cs="Arial"/>
          <w:b/>
          <w:bCs/>
          <w:color w:val="000000" w:themeColor="text1"/>
          <w:sz w:val="22"/>
          <w:szCs w:val="22"/>
        </w:rPr>
      </w:pPr>
      <w:r w:rsidRPr="00182EB4">
        <w:rPr>
          <w:rFonts w:ascii="Arial" w:hAnsi="Arial" w:cs="Arial"/>
          <w:b/>
          <w:bCs/>
          <w:color w:val="000000" w:themeColor="text1"/>
          <w:sz w:val="22"/>
          <w:szCs w:val="22"/>
        </w:rPr>
        <w:t>Annotated Bibliography</w:t>
      </w:r>
      <w:bookmarkEnd w:id="0"/>
    </w:p>
    <w:p w14:paraId="50375756" w14:textId="77777777" w:rsidR="002110D2" w:rsidRPr="00182EB4" w:rsidRDefault="002110D2" w:rsidP="00757AE1">
      <w:pPr>
        <w:pStyle w:val="BodyText"/>
        <w:spacing w:before="1" w:line="360" w:lineRule="auto"/>
        <w:ind w:left="912" w:right="125" w:hanging="113"/>
        <w:jc w:val="both"/>
        <w:rPr>
          <w:b/>
          <w:bCs/>
        </w:rPr>
      </w:pPr>
    </w:p>
    <w:p w14:paraId="73DBB153"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This annotated bibliography critically explores psychological theories relevant to adult development and wellbeing in health and social care. It focuses primarily on Erikson’s psychosocial theory (Weeks 1–5) and positive psychology (Weeks 7–9), supported by Bowlby’s attachment theory and Bandura’s social learning theory to provide a broader understanding of older adults’ needs.</w:t>
      </w:r>
    </w:p>
    <w:p w14:paraId="4029ADCB"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4E2E9FD5" w14:textId="77777777" w:rsidR="002110D2" w:rsidRPr="00182EB4" w:rsidRDefault="002110D2" w:rsidP="005D0322">
      <w:pPr>
        <w:shd w:val="clear" w:color="auto" w:fill="FFFFFF"/>
        <w:spacing w:line="360" w:lineRule="auto"/>
        <w:jc w:val="both"/>
        <w:rPr>
          <w:rFonts w:ascii="Arial" w:hAnsi="Arial" w:cs="Arial"/>
          <w:b/>
          <w:bCs/>
          <w:color w:val="1D1D1D"/>
          <w:sz w:val="22"/>
          <w:szCs w:val="22"/>
        </w:rPr>
      </w:pPr>
      <w:r w:rsidRPr="00182EB4">
        <w:rPr>
          <w:rFonts w:ascii="Arial" w:hAnsi="Arial" w:cs="Arial"/>
          <w:b/>
          <w:bCs/>
          <w:color w:val="1D1D1D"/>
          <w:sz w:val="22"/>
          <w:szCs w:val="22"/>
        </w:rPr>
        <w:t>Source 1: Erikson’s Psychosocial Theory (Weeks 1–5)</w:t>
      </w:r>
    </w:p>
    <w:p w14:paraId="1C354D11"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6DB690C2"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Reference</w:t>
      </w:r>
    </w:p>
    <w:p w14:paraId="0FDC4F47"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 xml:space="preserve">Erikson, E.H. (1982) </w:t>
      </w:r>
      <w:r w:rsidRPr="00695BDD">
        <w:rPr>
          <w:rFonts w:ascii="Arial" w:hAnsi="Arial" w:cs="Arial"/>
          <w:i/>
          <w:iCs/>
          <w:color w:val="1D1D1D"/>
          <w:sz w:val="22"/>
          <w:szCs w:val="22"/>
        </w:rPr>
        <w:t>The life cycle completed</w:t>
      </w:r>
      <w:r w:rsidRPr="00182EB4">
        <w:rPr>
          <w:rFonts w:ascii="Arial" w:hAnsi="Arial" w:cs="Arial"/>
          <w:color w:val="1D1D1D"/>
          <w:sz w:val="22"/>
          <w:szCs w:val="22"/>
        </w:rPr>
        <w:t>. New York: W.W. Norton &amp; Company.</w:t>
      </w:r>
    </w:p>
    <w:p w14:paraId="27A4DA5B"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11DA0062"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Summary</w:t>
      </w:r>
    </w:p>
    <w:p w14:paraId="734D5BCE" w14:textId="00D496A9"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Erikson’s psychosocial theory conceptualises development as a lifelong process consisting of eight stages, each defined by a central psychosocial conflict</w:t>
      </w:r>
      <w:r w:rsidR="00830C51" w:rsidRPr="00182EB4">
        <w:rPr>
          <w:rFonts w:ascii="Arial" w:hAnsi="Arial" w:cs="Arial"/>
          <w:color w:val="1D1D1D"/>
          <w:sz w:val="22"/>
          <w:szCs w:val="22"/>
        </w:rPr>
        <w:t xml:space="preserve"> (Erikson, 1982)</w:t>
      </w:r>
      <w:r w:rsidRPr="00182EB4">
        <w:rPr>
          <w:rFonts w:ascii="Arial" w:hAnsi="Arial" w:cs="Arial"/>
          <w:color w:val="1D1D1D"/>
          <w:sz w:val="22"/>
          <w:szCs w:val="22"/>
        </w:rPr>
        <w:t>. In later adulthood, the stage of ego integrity versus despair is particularly significant. Individuals engage in life review, assessing whether their lives have been meaningful and coherent. Successful resolution leads to wisdom, acceptance, and a sense of fulfilment, whereas unresolved conflict results in regret, dissatisfaction, and fear of death</w:t>
      </w:r>
      <w:r w:rsidR="00FB0EAA" w:rsidRPr="00182EB4">
        <w:rPr>
          <w:rFonts w:ascii="Arial" w:hAnsi="Arial" w:cs="Arial"/>
          <w:color w:val="1D1D1D"/>
          <w:sz w:val="22"/>
          <w:szCs w:val="22"/>
        </w:rPr>
        <w:t xml:space="preserve"> (Erikson, 1982)</w:t>
      </w:r>
      <w:r w:rsidRPr="00182EB4">
        <w:rPr>
          <w:rFonts w:ascii="Arial" w:hAnsi="Arial" w:cs="Arial"/>
          <w:color w:val="1D1D1D"/>
          <w:sz w:val="22"/>
          <w:szCs w:val="22"/>
        </w:rPr>
        <w:t>. Erikson highlights the ongoing influence of social relationships and cultural context on psychological development.</w:t>
      </w:r>
    </w:p>
    <w:p w14:paraId="5C051155"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79C7F47B"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Critical relevance to health and social care</w:t>
      </w:r>
    </w:p>
    <w:p w14:paraId="06FAFC43" w14:textId="2AD8E40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Erikson’s theory provides a valuable framework for understanding the emotional and psychological needs of older adults, particularly in residential care settings. Interventions such as reminiscence therapy and life story work can support individuals in achieving ego integrity, thereby enhancing wellbeing and reducing distress</w:t>
      </w:r>
      <w:r w:rsidR="00D27E1F" w:rsidRPr="00182EB4">
        <w:rPr>
          <w:rFonts w:ascii="Arial" w:hAnsi="Arial" w:cs="Arial"/>
          <w:color w:val="1D1D1D"/>
          <w:sz w:val="22"/>
          <w:szCs w:val="22"/>
        </w:rPr>
        <w:t xml:space="preserve"> (Woods et al., 2018)</w:t>
      </w:r>
      <w:r w:rsidRPr="00182EB4">
        <w:rPr>
          <w:rFonts w:ascii="Arial" w:hAnsi="Arial" w:cs="Arial"/>
          <w:color w:val="1D1D1D"/>
          <w:sz w:val="22"/>
          <w:szCs w:val="22"/>
        </w:rPr>
        <w:t>. However, the theory has been criticised for its broad and somewhat deterministic stage structure, with limited empirical validation. Despite this, it remains highly influential in guiding person-centred care by emphasising dignity, identity, and the importance of life reflection in later life.</w:t>
      </w:r>
    </w:p>
    <w:p w14:paraId="6C6D3972"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65AC4744" w14:textId="77777777" w:rsidR="002110D2" w:rsidRPr="00182EB4" w:rsidRDefault="002110D2" w:rsidP="005D0322">
      <w:pPr>
        <w:shd w:val="clear" w:color="auto" w:fill="FFFFFF"/>
        <w:spacing w:line="360" w:lineRule="auto"/>
        <w:jc w:val="both"/>
        <w:rPr>
          <w:rFonts w:ascii="Arial" w:hAnsi="Arial" w:cs="Arial"/>
          <w:b/>
          <w:bCs/>
          <w:color w:val="1D1D1D"/>
          <w:sz w:val="22"/>
          <w:szCs w:val="22"/>
        </w:rPr>
      </w:pPr>
      <w:r w:rsidRPr="00182EB4">
        <w:rPr>
          <w:rFonts w:ascii="Arial" w:hAnsi="Arial" w:cs="Arial"/>
          <w:b/>
          <w:bCs/>
          <w:color w:val="1D1D1D"/>
          <w:sz w:val="22"/>
          <w:szCs w:val="22"/>
        </w:rPr>
        <w:t>Source 2: Positive Psychology and Ageing (Weeks 7–9)</w:t>
      </w:r>
    </w:p>
    <w:p w14:paraId="33D3D184"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1D36ECFF"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Reference</w:t>
      </w:r>
    </w:p>
    <w:p w14:paraId="5F2EBEB0"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lastRenderedPageBreak/>
        <w:t xml:space="preserve">Seligman, M.E.P. (2011) </w:t>
      </w:r>
      <w:r w:rsidRPr="00182EB4">
        <w:rPr>
          <w:rFonts w:ascii="Arial" w:hAnsi="Arial" w:cs="Arial"/>
          <w:i/>
          <w:iCs/>
          <w:color w:val="1D1D1D"/>
          <w:sz w:val="22"/>
          <w:szCs w:val="22"/>
        </w:rPr>
        <w:t>Flourish: A visionary new understanding of happiness and well-being</w:t>
      </w:r>
      <w:r w:rsidRPr="00182EB4">
        <w:rPr>
          <w:rFonts w:ascii="Arial" w:hAnsi="Arial" w:cs="Arial"/>
          <w:color w:val="1D1D1D"/>
          <w:sz w:val="22"/>
          <w:szCs w:val="22"/>
        </w:rPr>
        <w:t>. New York: Free Press.</w:t>
      </w:r>
    </w:p>
    <w:p w14:paraId="4BC4DEBE"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1F564DCA"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Summary</w:t>
      </w:r>
    </w:p>
    <w:p w14:paraId="4CF30EC8" w14:textId="297D2AFE"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Positive psychology focuses on strengths, resilience, and the conditions that enable individuals to thrive</w:t>
      </w:r>
      <w:r w:rsidR="000B0E37" w:rsidRPr="00182EB4">
        <w:rPr>
          <w:rFonts w:ascii="Arial" w:hAnsi="Arial" w:cs="Arial"/>
          <w:color w:val="1D1D1D"/>
          <w:sz w:val="22"/>
          <w:szCs w:val="22"/>
        </w:rPr>
        <w:t xml:space="preserve"> (Seligman, 2011)</w:t>
      </w:r>
      <w:r w:rsidRPr="00182EB4">
        <w:rPr>
          <w:rFonts w:ascii="Arial" w:hAnsi="Arial" w:cs="Arial"/>
          <w:color w:val="1D1D1D"/>
          <w:sz w:val="22"/>
          <w:szCs w:val="22"/>
        </w:rPr>
        <w:t>. Seligman’s PERMA model outlines five key components of wellbeing: positive emotion, engagement, relationships, meaning, and accomplishment. In the context of ageing, this approach challenges deficit-based models by emphasising quality of life, purpose, and continued personal growth, even in the presence of physical decline</w:t>
      </w:r>
      <w:r w:rsidR="00DE322B" w:rsidRPr="00182EB4">
        <w:rPr>
          <w:rFonts w:ascii="Arial" w:hAnsi="Arial" w:cs="Arial"/>
          <w:color w:val="1D1D1D"/>
          <w:sz w:val="22"/>
          <w:szCs w:val="22"/>
        </w:rPr>
        <w:t xml:space="preserve"> (Seligman, 2011)</w:t>
      </w:r>
      <w:r w:rsidRPr="00182EB4">
        <w:rPr>
          <w:rFonts w:ascii="Arial" w:hAnsi="Arial" w:cs="Arial"/>
          <w:color w:val="1D1D1D"/>
          <w:sz w:val="22"/>
          <w:szCs w:val="22"/>
        </w:rPr>
        <w:t>.</w:t>
      </w:r>
    </w:p>
    <w:p w14:paraId="12AFA9A4"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238AE4AD"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Critical relevance to health and social care</w:t>
      </w:r>
    </w:p>
    <w:p w14:paraId="22738868" w14:textId="5B6C31EF"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This approach is highly relevant in promoting a strengths-based model of care for older adults. It supports interventions such as meaningful activity planning, social engagement, and goal-setting, which can enhance life satisfaction and emotional wellbeing. Importantly, it aligns with contemporary health and social care policies that prioritise holistic and person-centred care</w:t>
      </w:r>
      <w:r w:rsidR="00452B0A" w:rsidRPr="00182EB4">
        <w:rPr>
          <w:rFonts w:ascii="Arial" w:hAnsi="Arial" w:cs="Arial"/>
          <w:color w:val="1D1D1D"/>
          <w:sz w:val="22"/>
          <w:szCs w:val="22"/>
        </w:rPr>
        <w:t xml:space="preserve"> (Kitwood, 1997)</w:t>
      </w:r>
      <w:r w:rsidRPr="00182EB4">
        <w:rPr>
          <w:rFonts w:ascii="Arial" w:hAnsi="Arial" w:cs="Arial"/>
          <w:color w:val="1D1D1D"/>
          <w:sz w:val="22"/>
          <w:szCs w:val="22"/>
        </w:rPr>
        <w:t>. However, critics argue that positive psychology may overlook structural inequalities, including poor health, disability, and socio-economic disadvantage. Therefore, while it offers a valuable framework for enhancing wellbeing, it should be integrated with other theories to ensure a balanced and realistic approach to care.</w:t>
      </w:r>
    </w:p>
    <w:p w14:paraId="750AAD47"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4544C32A" w14:textId="77777777" w:rsidR="002110D2" w:rsidRPr="00182EB4" w:rsidRDefault="002110D2" w:rsidP="005D0322">
      <w:pPr>
        <w:shd w:val="clear" w:color="auto" w:fill="FFFFFF"/>
        <w:spacing w:line="360" w:lineRule="auto"/>
        <w:jc w:val="both"/>
        <w:rPr>
          <w:rFonts w:ascii="Arial" w:hAnsi="Arial" w:cs="Arial"/>
          <w:b/>
          <w:bCs/>
          <w:color w:val="1D1D1D"/>
          <w:sz w:val="22"/>
          <w:szCs w:val="22"/>
        </w:rPr>
      </w:pPr>
      <w:r w:rsidRPr="00182EB4">
        <w:rPr>
          <w:rFonts w:ascii="Arial" w:hAnsi="Arial" w:cs="Arial"/>
          <w:b/>
          <w:bCs/>
          <w:color w:val="1D1D1D"/>
          <w:sz w:val="22"/>
          <w:szCs w:val="22"/>
        </w:rPr>
        <w:t>Source 3: Bowlby’s Attachment Theory (Supporting Theory)</w:t>
      </w:r>
    </w:p>
    <w:p w14:paraId="4E191FC3" w14:textId="77777777" w:rsidR="002110D2" w:rsidRPr="00182EB4" w:rsidRDefault="002110D2" w:rsidP="005D0322">
      <w:pPr>
        <w:shd w:val="clear" w:color="auto" w:fill="FFFFFF"/>
        <w:spacing w:line="360" w:lineRule="auto"/>
        <w:jc w:val="both"/>
        <w:rPr>
          <w:rFonts w:ascii="Arial" w:hAnsi="Arial" w:cs="Arial"/>
          <w:b/>
          <w:bCs/>
          <w:color w:val="1D1D1D"/>
          <w:sz w:val="22"/>
          <w:szCs w:val="22"/>
        </w:rPr>
      </w:pPr>
    </w:p>
    <w:p w14:paraId="7A0003BC"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Reference</w:t>
      </w:r>
    </w:p>
    <w:p w14:paraId="6D9C4F8F"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 xml:space="preserve">Bowlby, J. (1988) </w:t>
      </w:r>
      <w:r w:rsidRPr="00182EB4">
        <w:rPr>
          <w:rFonts w:ascii="Arial" w:hAnsi="Arial" w:cs="Arial"/>
          <w:i/>
          <w:iCs/>
          <w:color w:val="1D1D1D"/>
          <w:sz w:val="22"/>
          <w:szCs w:val="22"/>
        </w:rPr>
        <w:t>A secure base: Parent–child attachment and healthy human development</w:t>
      </w:r>
      <w:r w:rsidRPr="00182EB4">
        <w:rPr>
          <w:rFonts w:ascii="Arial" w:hAnsi="Arial" w:cs="Arial"/>
          <w:color w:val="1D1D1D"/>
          <w:sz w:val="22"/>
          <w:szCs w:val="22"/>
        </w:rPr>
        <w:t>. London: Routledge.</w:t>
      </w:r>
    </w:p>
    <w:p w14:paraId="3A4CBCA1"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20A5225A"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Summary</w:t>
      </w:r>
    </w:p>
    <w:p w14:paraId="7A23A4D8" w14:textId="13FD9113"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Bowlby’s attachment theory proposes that early caregiver relationships shape internal working models that influence emotional regulation and interpersonal relationships throughout life</w:t>
      </w:r>
      <w:r w:rsidR="0099471D" w:rsidRPr="00182EB4">
        <w:rPr>
          <w:rFonts w:ascii="Arial" w:hAnsi="Arial" w:cs="Arial"/>
          <w:color w:val="1D1D1D"/>
          <w:sz w:val="22"/>
          <w:szCs w:val="22"/>
        </w:rPr>
        <w:t xml:space="preserve"> (Bowlby, 1998)</w:t>
      </w:r>
      <w:r w:rsidRPr="00182EB4">
        <w:rPr>
          <w:rFonts w:ascii="Arial" w:hAnsi="Arial" w:cs="Arial"/>
          <w:color w:val="1D1D1D"/>
          <w:sz w:val="22"/>
          <w:szCs w:val="22"/>
        </w:rPr>
        <w:t>. Although originally centred on childhood, the theory recognises that attachment needs persist into adulthood and become particularly salient during periods of vulnerability, such as illness or relocation into care environments.</w:t>
      </w:r>
    </w:p>
    <w:p w14:paraId="6BE82769" w14:textId="77777777" w:rsidR="002110D2" w:rsidRPr="00182EB4" w:rsidRDefault="002110D2" w:rsidP="005D0322">
      <w:pPr>
        <w:shd w:val="clear" w:color="auto" w:fill="FFFFFF"/>
        <w:spacing w:line="360" w:lineRule="auto"/>
        <w:jc w:val="both"/>
        <w:rPr>
          <w:rFonts w:ascii="Arial" w:hAnsi="Arial" w:cs="Arial"/>
          <w:color w:val="1D1D1D"/>
          <w:sz w:val="22"/>
          <w:szCs w:val="22"/>
        </w:rPr>
      </w:pPr>
    </w:p>
    <w:p w14:paraId="4477DD9E"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Critical relevance to health and social care</w:t>
      </w:r>
    </w:p>
    <w:p w14:paraId="457DC6A6" w14:textId="612F06AF"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 xml:space="preserve">Attachment theory complements Erikson’s focus on emotional development by highlighting the importance of secure, trusting relationships in later life. In care settings, consistent and </w:t>
      </w:r>
      <w:r w:rsidRPr="00182EB4">
        <w:rPr>
          <w:rFonts w:ascii="Arial" w:hAnsi="Arial" w:cs="Arial"/>
          <w:color w:val="1D1D1D"/>
          <w:sz w:val="22"/>
          <w:szCs w:val="22"/>
        </w:rPr>
        <w:lastRenderedPageBreak/>
        <w:t>compassionate interactions with staff can reduce anxiety and promote emotional security among older adults</w:t>
      </w:r>
      <w:r w:rsidR="0065550D" w:rsidRPr="00182EB4">
        <w:rPr>
          <w:rFonts w:ascii="Arial" w:hAnsi="Arial" w:cs="Arial"/>
          <w:color w:val="1D1D1D"/>
          <w:sz w:val="22"/>
          <w:szCs w:val="22"/>
        </w:rPr>
        <w:t xml:space="preserve"> (Bowlby, 1998)</w:t>
      </w:r>
      <w:r w:rsidRPr="00182EB4">
        <w:rPr>
          <w:rFonts w:ascii="Arial" w:hAnsi="Arial" w:cs="Arial"/>
          <w:color w:val="1D1D1D"/>
          <w:sz w:val="22"/>
          <w:szCs w:val="22"/>
        </w:rPr>
        <w:t>. However, the practical implementation of attachment-informed care is often constrained by organisational factors such as staffing shortages and high turnover. Despite these challenges, the theory reinforces the importance of relational care and continuity in supporting psychological wellbeing.</w:t>
      </w:r>
    </w:p>
    <w:p w14:paraId="1C04D7DB" w14:textId="77777777" w:rsidR="00C316D4" w:rsidRPr="00182EB4" w:rsidRDefault="00C316D4" w:rsidP="005D0322">
      <w:pPr>
        <w:shd w:val="clear" w:color="auto" w:fill="FFFFFF"/>
        <w:spacing w:line="360" w:lineRule="auto"/>
        <w:jc w:val="both"/>
        <w:rPr>
          <w:rFonts w:ascii="Arial" w:hAnsi="Arial" w:cs="Arial"/>
          <w:color w:val="1D1D1D"/>
          <w:sz w:val="22"/>
          <w:szCs w:val="22"/>
        </w:rPr>
      </w:pPr>
    </w:p>
    <w:p w14:paraId="053A9664" w14:textId="77777777" w:rsidR="002110D2" w:rsidRPr="00182EB4" w:rsidRDefault="002110D2" w:rsidP="005D0322">
      <w:pPr>
        <w:shd w:val="clear" w:color="auto" w:fill="FFFFFF"/>
        <w:spacing w:line="360" w:lineRule="auto"/>
        <w:jc w:val="both"/>
        <w:rPr>
          <w:rFonts w:ascii="Arial" w:hAnsi="Arial" w:cs="Arial"/>
          <w:b/>
          <w:bCs/>
          <w:color w:val="1D1D1D"/>
          <w:sz w:val="22"/>
          <w:szCs w:val="22"/>
        </w:rPr>
      </w:pPr>
      <w:r w:rsidRPr="00182EB4">
        <w:rPr>
          <w:rFonts w:ascii="Arial" w:hAnsi="Arial" w:cs="Arial"/>
          <w:b/>
          <w:bCs/>
          <w:color w:val="1D1D1D"/>
          <w:sz w:val="22"/>
          <w:szCs w:val="22"/>
        </w:rPr>
        <w:t>Source 4: Bandura’s Social Learning Theory (Supporting Theory)</w:t>
      </w:r>
    </w:p>
    <w:p w14:paraId="3B80A10A" w14:textId="77777777" w:rsidR="00C316D4" w:rsidRPr="00182EB4" w:rsidRDefault="00C316D4" w:rsidP="005D0322">
      <w:pPr>
        <w:shd w:val="clear" w:color="auto" w:fill="FFFFFF"/>
        <w:spacing w:line="360" w:lineRule="auto"/>
        <w:jc w:val="both"/>
        <w:rPr>
          <w:rFonts w:ascii="Arial" w:hAnsi="Arial" w:cs="Arial"/>
          <w:color w:val="1D1D1D"/>
          <w:sz w:val="22"/>
          <w:szCs w:val="22"/>
        </w:rPr>
      </w:pPr>
    </w:p>
    <w:p w14:paraId="33A823C4"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Reference</w:t>
      </w:r>
    </w:p>
    <w:p w14:paraId="5470DAD6"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 xml:space="preserve">Bandura, A. (1977) </w:t>
      </w:r>
      <w:r w:rsidRPr="00182EB4">
        <w:rPr>
          <w:rFonts w:ascii="Arial" w:hAnsi="Arial" w:cs="Arial"/>
          <w:i/>
          <w:iCs/>
          <w:color w:val="1D1D1D"/>
          <w:sz w:val="22"/>
          <w:szCs w:val="22"/>
        </w:rPr>
        <w:t>Social learning theory</w:t>
      </w:r>
      <w:r w:rsidRPr="00182EB4">
        <w:rPr>
          <w:rFonts w:ascii="Arial" w:hAnsi="Arial" w:cs="Arial"/>
          <w:color w:val="1D1D1D"/>
          <w:sz w:val="22"/>
          <w:szCs w:val="22"/>
        </w:rPr>
        <w:t>. Englewood Cliffs, NJ: Prentice Hall.</w:t>
      </w:r>
    </w:p>
    <w:p w14:paraId="5F74F0EF" w14:textId="77777777" w:rsidR="00C316D4" w:rsidRPr="00182EB4" w:rsidRDefault="00C316D4" w:rsidP="005D0322">
      <w:pPr>
        <w:shd w:val="clear" w:color="auto" w:fill="FFFFFF"/>
        <w:spacing w:line="360" w:lineRule="auto"/>
        <w:jc w:val="both"/>
        <w:rPr>
          <w:rFonts w:ascii="Arial" w:hAnsi="Arial" w:cs="Arial"/>
          <w:color w:val="1D1D1D"/>
          <w:sz w:val="22"/>
          <w:szCs w:val="22"/>
        </w:rPr>
      </w:pPr>
    </w:p>
    <w:p w14:paraId="08882C45"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Summary</w:t>
      </w:r>
    </w:p>
    <w:p w14:paraId="6B171573" w14:textId="2F1B15FB"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Bandura’s social learning theory emphasises the role of observation, imitation, and modelling in behaviour acquisition</w:t>
      </w:r>
      <w:r w:rsidR="008A2723" w:rsidRPr="00182EB4">
        <w:rPr>
          <w:rFonts w:ascii="Arial" w:hAnsi="Arial" w:cs="Arial"/>
          <w:color w:val="1D1D1D"/>
          <w:sz w:val="22"/>
          <w:szCs w:val="22"/>
        </w:rPr>
        <w:t xml:space="preserve"> (Bandura, 1977)</w:t>
      </w:r>
      <w:r w:rsidRPr="00182EB4">
        <w:rPr>
          <w:rFonts w:ascii="Arial" w:hAnsi="Arial" w:cs="Arial"/>
          <w:color w:val="1D1D1D"/>
          <w:sz w:val="22"/>
          <w:szCs w:val="22"/>
        </w:rPr>
        <w:t>. Central to the theory is the concept of self-efficacy, which refers to an individual’s belief in their ability to achieve desired outcomes. Behaviour is understood as the result of reciprocal interactions between personal, behavioural, and environmental factors</w:t>
      </w:r>
      <w:r w:rsidR="001A023D" w:rsidRPr="00182EB4">
        <w:rPr>
          <w:rFonts w:ascii="Arial" w:hAnsi="Arial" w:cs="Arial"/>
          <w:color w:val="1D1D1D"/>
          <w:sz w:val="22"/>
          <w:szCs w:val="22"/>
        </w:rPr>
        <w:t xml:space="preserve"> (Bandura, 1977).</w:t>
      </w:r>
    </w:p>
    <w:p w14:paraId="7394D7AD" w14:textId="77777777" w:rsidR="00757AE1" w:rsidRPr="00182EB4" w:rsidRDefault="00757AE1" w:rsidP="005D0322">
      <w:pPr>
        <w:shd w:val="clear" w:color="auto" w:fill="FFFFFF"/>
        <w:spacing w:line="360" w:lineRule="auto"/>
        <w:jc w:val="both"/>
        <w:rPr>
          <w:rFonts w:ascii="Arial" w:hAnsi="Arial" w:cs="Arial"/>
          <w:color w:val="1D1D1D"/>
          <w:sz w:val="22"/>
          <w:szCs w:val="22"/>
        </w:rPr>
      </w:pPr>
    </w:p>
    <w:p w14:paraId="6F9EDA6E" w14:textId="77777777"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Critical relevance to health and social care</w:t>
      </w:r>
    </w:p>
    <w:p w14:paraId="3C2E9F54" w14:textId="7CC84A72" w:rsidR="002110D2" w:rsidRPr="00182EB4" w:rsidRDefault="002110D2" w:rsidP="005D0322">
      <w:pPr>
        <w:shd w:val="clear" w:color="auto" w:fill="FFFFFF"/>
        <w:spacing w:line="360" w:lineRule="auto"/>
        <w:jc w:val="both"/>
        <w:rPr>
          <w:rFonts w:ascii="Arial" w:hAnsi="Arial" w:cs="Arial"/>
          <w:color w:val="1D1D1D"/>
          <w:sz w:val="22"/>
          <w:szCs w:val="22"/>
        </w:rPr>
      </w:pPr>
      <w:r w:rsidRPr="00182EB4">
        <w:rPr>
          <w:rFonts w:ascii="Arial" w:hAnsi="Arial" w:cs="Arial"/>
          <w:color w:val="1D1D1D"/>
          <w:sz w:val="22"/>
          <w:szCs w:val="22"/>
        </w:rPr>
        <w:t>Bandura’s theory provides a practical framework for understanding how behaviours and attitudes can be influenced within care environments. For example, positive role modelling by staff can encourage independence, engagement, and adaptive behaviours among older adults. The concept of self-efficacy is particularly relevant in supporting individuals to maintain autonomy and confidence in daily activities</w:t>
      </w:r>
      <w:r w:rsidR="00BC6BDE" w:rsidRPr="00182EB4">
        <w:rPr>
          <w:rFonts w:ascii="Arial" w:hAnsi="Arial" w:cs="Arial"/>
          <w:color w:val="1D1D1D"/>
          <w:sz w:val="22"/>
          <w:szCs w:val="22"/>
        </w:rPr>
        <w:t xml:space="preserve"> (Bandura, 1997)</w:t>
      </w:r>
      <w:r w:rsidRPr="00182EB4">
        <w:rPr>
          <w:rFonts w:ascii="Arial" w:hAnsi="Arial" w:cs="Arial"/>
          <w:color w:val="1D1D1D"/>
          <w:sz w:val="22"/>
          <w:szCs w:val="22"/>
        </w:rPr>
        <w:t>. However, the theory may not fully account for cognitive decline or physical limitations associated with ageing. Nevertheless, it offers valuable insights into behaviour change and reinforces the importance of supportive environments in promoting wellbeing.</w:t>
      </w:r>
    </w:p>
    <w:p w14:paraId="5DC6CED9" w14:textId="77777777" w:rsidR="003003B1" w:rsidRPr="00182EB4" w:rsidRDefault="003003B1" w:rsidP="00757AE1">
      <w:pPr>
        <w:spacing w:line="360" w:lineRule="auto"/>
        <w:rPr>
          <w:rFonts w:ascii="Arial" w:hAnsi="Arial" w:cs="Arial"/>
          <w:sz w:val="22"/>
          <w:szCs w:val="22"/>
          <w:lang w:val="en-US"/>
        </w:rPr>
      </w:pPr>
    </w:p>
    <w:p w14:paraId="0DB40ADB" w14:textId="77777777" w:rsidR="007479B6" w:rsidRPr="00182EB4" w:rsidRDefault="007479B6" w:rsidP="00757AE1">
      <w:pPr>
        <w:spacing w:line="360" w:lineRule="auto"/>
        <w:rPr>
          <w:rFonts w:ascii="Arial" w:hAnsi="Arial" w:cs="Arial"/>
          <w:sz w:val="22"/>
          <w:szCs w:val="22"/>
          <w:lang w:val="en-US"/>
        </w:rPr>
      </w:pPr>
    </w:p>
    <w:p w14:paraId="62E4D57B" w14:textId="77777777" w:rsidR="007479B6" w:rsidRPr="00182EB4" w:rsidRDefault="007479B6" w:rsidP="00757AE1">
      <w:pPr>
        <w:spacing w:line="360" w:lineRule="auto"/>
        <w:rPr>
          <w:rFonts w:ascii="Arial" w:hAnsi="Arial" w:cs="Arial"/>
          <w:sz w:val="22"/>
          <w:szCs w:val="22"/>
          <w:lang w:val="en-US"/>
        </w:rPr>
      </w:pPr>
    </w:p>
    <w:p w14:paraId="1C3FA9AC" w14:textId="77777777" w:rsidR="007479B6" w:rsidRPr="00182EB4" w:rsidRDefault="007479B6" w:rsidP="00757AE1">
      <w:pPr>
        <w:spacing w:line="360" w:lineRule="auto"/>
        <w:rPr>
          <w:rFonts w:ascii="Arial" w:hAnsi="Arial" w:cs="Arial"/>
          <w:sz w:val="22"/>
          <w:szCs w:val="22"/>
          <w:lang w:val="en-US"/>
        </w:rPr>
      </w:pPr>
    </w:p>
    <w:p w14:paraId="764C2DB9" w14:textId="77777777" w:rsidR="007479B6" w:rsidRPr="00182EB4" w:rsidRDefault="007479B6" w:rsidP="00757AE1">
      <w:pPr>
        <w:spacing w:line="360" w:lineRule="auto"/>
        <w:rPr>
          <w:rFonts w:ascii="Arial" w:hAnsi="Arial" w:cs="Arial"/>
          <w:sz w:val="22"/>
          <w:szCs w:val="22"/>
          <w:lang w:val="en-US"/>
        </w:rPr>
      </w:pPr>
    </w:p>
    <w:p w14:paraId="328F041F" w14:textId="77777777" w:rsidR="007479B6" w:rsidRPr="00182EB4" w:rsidRDefault="007479B6" w:rsidP="00757AE1">
      <w:pPr>
        <w:spacing w:line="360" w:lineRule="auto"/>
        <w:rPr>
          <w:rFonts w:ascii="Arial" w:hAnsi="Arial" w:cs="Arial"/>
          <w:sz w:val="22"/>
          <w:szCs w:val="22"/>
          <w:lang w:val="en-US"/>
        </w:rPr>
      </w:pPr>
    </w:p>
    <w:p w14:paraId="4CFCE432" w14:textId="77777777" w:rsidR="007479B6" w:rsidRPr="00182EB4" w:rsidRDefault="007479B6" w:rsidP="00757AE1">
      <w:pPr>
        <w:spacing w:line="360" w:lineRule="auto"/>
        <w:rPr>
          <w:rFonts w:ascii="Arial" w:hAnsi="Arial" w:cs="Arial"/>
          <w:sz w:val="22"/>
          <w:szCs w:val="22"/>
          <w:lang w:val="en-US"/>
        </w:rPr>
      </w:pPr>
    </w:p>
    <w:p w14:paraId="399A9194" w14:textId="77777777" w:rsidR="007479B6" w:rsidRPr="00182EB4" w:rsidRDefault="007479B6" w:rsidP="00757AE1">
      <w:pPr>
        <w:spacing w:line="360" w:lineRule="auto"/>
        <w:rPr>
          <w:rFonts w:ascii="Arial" w:hAnsi="Arial" w:cs="Arial"/>
          <w:sz w:val="22"/>
          <w:szCs w:val="22"/>
          <w:lang w:val="en-US"/>
        </w:rPr>
      </w:pPr>
    </w:p>
    <w:p w14:paraId="3002D379" w14:textId="77777777" w:rsidR="007479B6" w:rsidRPr="00182EB4" w:rsidRDefault="007479B6" w:rsidP="00757AE1">
      <w:pPr>
        <w:spacing w:line="360" w:lineRule="auto"/>
        <w:rPr>
          <w:rFonts w:ascii="Arial" w:hAnsi="Arial" w:cs="Arial"/>
          <w:sz w:val="22"/>
          <w:szCs w:val="22"/>
          <w:lang w:val="en-US"/>
        </w:rPr>
      </w:pPr>
    </w:p>
    <w:p w14:paraId="430C4506" w14:textId="77777777" w:rsidR="007479B6" w:rsidRPr="00182EB4" w:rsidRDefault="007479B6" w:rsidP="00757AE1">
      <w:pPr>
        <w:spacing w:line="360" w:lineRule="auto"/>
        <w:rPr>
          <w:rFonts w:ascii="Arial" w:hAnsi="Arial" w:cs="Arial"/>
          <w:sz w:val="22"/>
          <w:szCs w:val="22"/>
          <w:lang w:val="en-US"/>
        </w:rPr>
      </w:pPr>
    </w:p>
    <w:p w14:paraId="35848C29" w14:textId="017F9CB9" w:rsidR="000B37A0" w:rsidRPr="00182EB4" w:rsidRDefault="000B37A0" w:rsidP="00695BDD">
      <w:pPr>
        <w:pStyle w:val="Heading1"/>
        <w:jc w:val="center"/>
        <w:rPr>
          <w:rFonts w:ascii="Arial" w:hAnsi="Arial" w:cs="Arial"/>
          <w:b/>
          <w:bCs/>
          <w:color w:val="000000" w:themeColor="text1"/>
          <w:sz w:val="22"/>
          <w:szCs w:val="22"/>
        </w:rPr>
      </w:pPr>
      <w:bookmarkStart w:id="1" w:name="_Toc225027438"/>
      <w:r w:rsidRPr="00182EB4">
        <w:rPr>
          <w:rFonts w:ascii="Arial" w:hAnsi="Arial" w:cs="Arial"/>
          <w:b/>
          <w:bCs/>
          <w:color w:val="000000" w:themeColor="text1"/>
          <w:sz w:val="22"/>
          <w:szCs w:val="22"/>
        </w:rPr>
        <w:lastRenderedPageBreak/>
        <w:t>Short Report</w:t>
      </w:r>
      <w:bookmarkEnd w:id="1"/>
    </w:p>
    <w:p w14:paraId="422EA4E1" w14:textId="77777777" w:rsidR="00E2006B" w:rsidRPr="00182EB4" w:rsidRDefault="00E2006B" w:rsidP="00E2006B">
      <w:pPr>
        <w:pStyle w:val="BodyText"/>
        <w:spacing w:before="1" w:line="360" w:lineRule="auto"/>
        <w:ind w:left="912" w:right="125" w:hanging="113"/>
        <w:jc w:val="center"/>
      </w:pPr>
    </w:p>
    <w:p w14:paraId="6DE26E46" w14:textId="77777777"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Applying Erikson’s Psychosocial Theory to Support Wellbeing in Residential Care</w:t>
      </w:r>
    </w:p>
    <w:p w14:paraId="22AD5C2E" w14:textId="77777777"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Psychological wellbeing is a key priority in health and social care settings, particularly for older adults living in residential care homes. One highly relevant framework for understanding and supporting emotional needs in later life is Erikson’s psychosocial theory, specifically the stage of ego integrity versus despair. This report explores how this theory can be applied in practice to improve wellbeing, using a real-world scenario and considering potential challenges for care professionals.</w:t>
      </w:r>
    </w:p>
    <w:p w14:paraId="2890D60F" w14:textId="77777777" w:rsidR="00E2006B" w:rsidRPr="00182EB4" w:rsidRDefault="00E2006B" w:rsidP="007479B6">
      <w:pPr>
        <w:spacing w:line="360" w:lineRule="auto"/>
        <w:jc w:val="both"/>
        <w:rPr>
          <w:rFonts w:ascii="Arial" w:hAnsi="Arial" w:cs="Arial"/>
          <w:sz w:val="22"/>
          <w:szCs w:val="22"/>
          <w:lang w:val="en-US"/>
        </w:rPr>
      </w:pPr>
    </w:p>
    <w:p w14:paraId="19AD80DC" w14:textId="5EF2F803" w:rsidR="00E2006B"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 xml:space="preserve">Erikson’s theory proposes that in later adulthood, individuals reflect on their lives and evaluate whether they have lived meaningfully. Achieving ego integrity results in feelings of satisfaction, acceptance, and psychological peace, whereas failure to resolve this stage can lead to despair, regret, and </w:t>
      </w:r>
      <w:r w:rsidR="00A13538">
        <w:rPr>
          <w:rFonts w:ascii="Arial" w:hAnsi="Arial" w:cs="Arial"/>
          <w:sz w:val="22"/>
          <w:szCs w:val="22"/>
          <w:lang w:val="en-US"/>
        </w:rPr>
        <w:t>death anxiety</w:t>
      </w:r>
      <w:r w:rsidRPr="00182EB4">
        <w:rPr>
          <w:rFonts w:ascii="Arial" w:hAnsi="Arial" w:cs="Arial"/>
          <w:sz w:val="22"/>
          <w:szCs w:val="22"/>
          <w:lang w:val="en-US"/>
        </w:rPr>
        <w:t xml:space="preserve"> (Erikson, 1982).</w:t>
      </w:r>
    </w:p>
    <w:p w14:paraId="0244BFF0" w14:textId="77777777" w:rsidR="00E2006B" w:rsidRPr="00182EB4" w:rsidRDefault="00E2006B" w:rsidP="007479B6">
      <w:pPr>
        <w:spacing w:line="360" w:lineRule="auto"/>
        <w:jc w:val="both"/>
        <w:rPr>
          <w:rFonts w:ascii="Arial" w:hAnsi="Arial" w:cs="Arial"/>
          <w:sz w:val="22"/>
          <w:szCs w:val="22"/>
          <w:lang w:val="en-US"/>
        </w:rPr>
      </w:pPr>
    </w:p>
    <w:p w14:paraId="6FB62826" w14:textId="303527CD"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 xml:space="preserve"> In residential care settings, many older adults experience significant life changes, including loss of independence, bereavement, and relocation, which can intensify this reflective process. Therefore, supporting residents through this stage is essential for promoting emotional wellbeing.</w:t>
      </w:r>
    </w:p>
    <w:p w14:paraId="3FE1BADD" w14:textId="77777777" w:rsidR="00E2006B" w:rsidRPr="00182EB4" w:rsidRDefault="00E2006B" w:rsidP="007479B6">
      <w:pPr>
        <w:spacing w:line="360" w:lineRule="auto"/>
        <w:jc w:val="both"/>
        <w:rPr>
          <w:rFonts w:ascii="Arial" w:hAnsi="Arial" w:cs="Arial"/>
          <w:sz w:val="22"/>
          <w:szCs w:val="22"/>
          <w:lang w:val="en-US"/>
        </w:rPr>
      </w:pPr>
    </w:p>
    <w:p w14:paraId="3A2F3909" w14:textId="1589ABCF"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 xml:space="preserve">One effective way to apply Erikson’s theory in practice is through reminiscence-based interventions, such as life story work. This involves encouraging individuals to reflect on and share meaningful life experiences, achievements, and relationships. Care staff can facilitate this through conversations, memory books, photographs, or group discussions. These activities help reinforce a sense of identity and personal value, enabling residents to reinterpret their life experiences </w:t>
      </w:r>
      <w:r w:rsidR="00D04F9E">
        <w:rPr>
          <w:rFonts w:ascii="Arial" w:hAnsi="Arial" w:cs="Arial"/>
          <w:sz w:val="22"/>
          <w:szCs w:val="22"/>
          <w:lang w:val="en-US"/>
        </w:rPr>
        <w:t>more positively and coherently</w:t>
      </w:r>
      <w:r w:rsidRPr="00182EB4">
        <w:rPr>
          <w:rFonts w:ascii="Arial" w:hAnsi="Arial" w:cs="Arial"/>
          <w:sz w:val="22"/>
          <w:szCs w:val="22"/>
          <w:lang w:val="en-US"/>
        </w:rPr>
        <w:t xml:space="preserve"> (Woods et al., 2018).</w:t>
      </w:r>
    </w:p>
    <w:p w14:paraId="600DF738" w14:textId="77777777" w:rsidR="00E2006B" w:rsidRPr="00182EB4" w:rsidRDefault="00E2006B" w:rsidP="007479B6">
      <w:pPr>
        <w:spacing w:line="360" w:lineRule="auto"/>
        <w:jc w:val="both"/>
        <w:rPr>
          <w:rFonts w:ascii="Arial" w:hAnsi="Arial" w:cs="Arial"/>
          <w:sz w:val="22"/>
          <w:szCs w:val="22"/>
          <w:lang w:val="en-US"/>
        </w:rPr>
      </w:pPr>
    </w:p>
    <w:p w14:paraId="40ABD23B" w14:textId="429CE11B"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 xml:space="preserve">For example, consider the case of Mrs </w:t>
      </w:r>
      <w:r w:rsidR="00BB60EE">
        <w:rPr>
          <w:rFonts w:ascii="Arial" w:hAnsi="Arial" w:cs="Arial"/>
          <w:sz w:val="22"/>
          <w:szCs w:val="22"/>
          <w:lang w:val="en-US"/>
        </w:rPr>
        <w:t>Nellam</w:t>
      </w:r>
      <w:r w:rsidRPr="00182EB4">
        <w:rPr>
          <w:rFonts w:ascii="Arial" w:hAnsi="Arial" w:cs="Arial"/>
          <w:sz w:val="22"/>
          <w:szCs w:val="22"/>
          <w:lang w:val="en-US"/>
        </w:rPr>
        <w:t>, an 8</w:t>
      </w:r>
      <w:r w:rsidR="007C300B">
        <w:rPr>
          <w:rFonts w:ascii="Arial" w:hAnsi="Arial" w:cs="Arial"/>
          <w:sz w:val="22"/>
          <w:szCs w:val="22"/>
          <w:lang w:val="en-US"/>
        </w:rPr>
        <w:t>1</w:t>
      </w:r>
      <w:r w:rsidRPr="00182EB4">
        <w:rPr>
          <w:rFonts w:ascii="Arial" w:hAnsi="Arial" w:cs="Arial"/>
          <w:sz w:val="22"/>
          <w:szCs w:val="22"/>
          <w:lang w:val="en-US"/>
        </w:rPr>
        <w:t xml:space="preserve">-year-old resident who recently moved into a care home following the death of her spouse. She initially presents with low mood, withdrawal from social activities, and expressions of regret about her past. Applying Erikson’s theory, care staff introduce structured reminiscence sessions where Mrs </w:t>
      </w:r>
      <w:r w:rsidR="00B67068">
        <w:rPr>
          <w:rFonts w:ascii="Arial" w:hAnsi="Arial" w:cs="Arial"/>
          <w:sz w:val="22"/>
          <w:szCs w:val="22"/>
          <w:lang w:val="en-US"/>
        </w:rPr>
        <w:t>Nellam</w:t>
      </w:r>
      <w:r w:rsidRPr="00182EB4">
        <w:rPr>
          <w:rFonts w:ascii="Arial" w:hAnsi="Arial" w:cs="Arial"/>
          <w:sz w:val="22"/>
          <w:szCs w:val="22"/>
          <w:lang w:val="en-US"/>
        </w:rPr>
        <w:t xml:space="preserve"> is supported to talk about her life, including raising her family, her career, and important cultural traditions. Staff also involve her in sharing recipes and stories with other residents, reinforcing her sense of purpose and contribution. Over time, </w:t>
      </w:r>
      <w:r w:rsidR="008F4FAB" w:rsidRPr="00182EB4">
        <w:rPr>
          <w:rFonts w:ascii="Arial" w:hAnsi="Arial" w:cs="Arial"/>
          <w:sz w:val="22"/>
          <w:szCs w:val="22"/>
          <w:lang w:val="en-US"/>
        </w:rPr>
        <w:t>Mrs</w:t>
      </w:r>
      <w:r w:rsidR="008F4FAB">
        <w:rPr>
          <w:rFonts w:ascii="Arial" w:hAnsi="Arial" w:cs="Arial"/>
          <w:sz w:val="22"/>
          <w:szCs w:val="22"/>
          <w:lang w:val="en-US"/>
        </w:rPr>
        <w:t xml:space="preserve"> </w:t>
      </w:r>
      <w:r w:rsidR="00780918">
        <w:rPr>
          <w:rFonts w:ascii="Arial" w:hAnsi="Arial" w:cs="Arial"/>
          <w:sz w:val="22"/>
          <w:szCs w:val="22"/>
          <w:lang w:val="en-US"/>
        </w:rPr>
        <w:t>Nellam</w:t>
      </w:r>
      <w:r w:rsidRPr="00182EB4">
        <w:rPr>
          <w:rFonts w:ascii="Arial" w:hAnsi="Arial" w:cs="Arial"/>
          <w:sz w:val="22"/>
          <w:szCs w:val="22"/>
          <w:lang w:val="en-US"/>
        </w:rPr>
        <w:t xml:space="preserve"> becomes more socially engaged and begins to express pride in her life achievements rather than regret. This illustrates how facilitating ego integrity can significantly enhance psychological wellbeing.</w:t>
      </w:r>
    </w:p>
    <w:p w14:paraId="2144F8B7" w14:textId="77777777" w:rsidR="00E2006B" w:rsidRPr="00182EB4" w:rsidRDefault="00E2006B" w:rsidP="007479B6">
      <w:pPr>
        <w:spacing w:line="360" w:lineRule="auto"/>
        <w:jc w:val="both"/>
        <w:rPr>
          <w:rFonts w:ascii="Arial" w:hAnsi="Arial" w:cs="Arial"/>
          <w:sz w:val="22"/>
          <w:szCs w:val="22"/>
          <w:lang w:val="en-US"/>
        </w:rPr>
      </w:pPr>
    </w:p>
    <w:p w14:paraId="1AACF19C" w14:textId="77777777"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lastRenderedPageBreak/>
        <w:t>In addition to individual interventions, care environments can be adapted to support Erikson’s theory more broadly. Creating opportunities for meaningful roles, such as mentoring other residents or contributing to group activities, can reinforce a sense of accomplishment and identity. Furthermore, maintaining dignity, respecting personal histories, and fostering supportive relationships are essential components of promoting ego integrity in care settings (Kitwood, 1997).</w:t>
      </w:r>
    </w:p>
    <w:p w14:paraId="0326FAF1" w14:textId="77777777" w:rsidR="00E2006B" w:rsidRPr="00182EB4" w:rsidRDefault="00E2006B" w:rsidP="007479B6">
      <w:pPr>
        <w:spacing w:line="360" w:lineRule="auto"/>
        <w:jc w:val="both"/>
        <w:rPr>
          <w:rFonts w:ascii="Arial" w:hAnsi="Arial" w:cs="Arial"/>
          <w:sz w:val="22"/>
          <w:szCs w:val="22"/>
          <w:lang w:val="en-US"/>
        </w:rPr>
      </w:pPr>
    </w:p>
    <w:p w14:paraId="77BDAEC8" w14:textId="77777777"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However, applying this theory in practice is not without challenges. One significant barrier is time and resource constraints within care homes. Staff may have limited time to engage in meaningful conversations or facilitate reminiscence activities due to high workloads and staffing shortages. This can result in care being task-focused rather than person-centred, reducing opportunities to support residents’ psychological needs.</w:t>
      </w:r>
    </w:p>
    <w:p w14:paraId="01DC4B22" w14:textId="77777777" w:rsidR="00E2006B" w:rsidRPr="00182EB4" w:rsidRDefault="00E2006B" w:rsidP="007479B6">
      <w:pPr>
        <w:spacing w:line="360" w:lineRule="auto"/>
        <w:jc w:val="both"/>
        <w:rPr>
          <w:rFonts w:ascii="Arial" w:hAnsi="Arial" w:cs="Arial"/>
          <w:sz w:val="22"/>
          <w:szCs w:val="22"/>
          <w:lang w:val="en-US"/>
        </w:rPr>
      </w:pPr>
    </w:p>
    <w:p w14:paraId="42E728F0" w14:textId="77777777"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To address this challenge, care homes can adopt a structured, team-based approach to wellbeing interventions. For example, integrating reminiscence activities into daily routines rather than treating them as additional tasks can make them more manageable. Training all staff, including support workers, in basic communication and life story techniques can ensure that opportunities for meaningful interaction are maximised throughout the day. Additionally, involving family members and volunteers in life story work can help share the responsibility while enriching the quality of support provided. Digital tools may also support efficient documentation and sharing of personal histories among staff.</w:t>
      </w:r>
    </w:p>
    <w:p w14:paraId="458118B6" w14:textId="77777777" w:rsidR="00F70BDE" w:rsidRPr="00182EB4" w:rsidRDefault="00F70BDE" w:rsidP="007479B6">
      <w:pPr>
        <w:spacing w:line="360" w:lineRule="auto"/>
        <w:jc w:val="both"/>
        <w:rPr>
          <w:rFonts w:ascii="Arial" w:hAnsi="Arial" w:cs="Arial"/>
          <w:sz w:val="22"/>
          <w:szCs w:val="22"/>
          <w:lang w:val="en-US"/>
        </w:rPr>
      </w:pPr>
    </w:p>
    <w:p w14:paraId="391A69D0" w14:textId="77777777" w:rsidR="00F70BDE" w:rsidRPr="00182EB4" w:rsidRDefault="00F70BDE" w:rsidP="007479B6">
      <w:pPr>
        <w:spacing w:line="360" w:lineRule="auto"/>
        <w:jc w:val="both"/>
        <w:rPr>
          <w:rFonts w:ascii="Arial" w:hAnsi="Arial" w:cs="Arial"/>
          <w:sz w:val="22"/>
          <w:szCs w:val="22"/>
          <w:lang w:val="en-US"/>
        </w:rPr>
      </w:pPr>
      <w:r w:rsidRPr="00182EB4">
        <w:rPr>
          <w:rFonts w:ascii="Arial" w:hAnsi="Arial" w:cs="Arial"/>
          <w:sz w:val="22"/>
          <w:szCs w:val="22"/>
          <w:lang w:val="en-US"/>
        </w:rPr>
        <w:t>In conclusion, Erikson’s psychosocial theory provides a valuable framework for understanding the emotional needs of older adults in residential care, particularly the importance of achieving ego integrity. Through practical strategies such as reminiscence therapy, meaningful engagement, and person-centred care, professionals can significantly enhance residents’ psychological wellbeing. Although challenges such as limited time and resources exist, these can be mitigated through structured approaches, staff training, and collaborative working. Ultimately, applying this theory supports a more holistic and compassionate model of care that values the lived experiences of older adults.</w:t>
      </w:r>
    </w:p>
    <w:p w14:paraId="33EEC0A5" w14:textId="77777777" w:rsidR="00F70BDE" w:rsidRPr="00182EB4" w:rsidRDefault="00F70BDE" w:rsidP="00F70BDE">
      <w:pPr>
        <w:spacing w:line="360" w:lineRule="auto"/>
        <w:rPr>
          <w:rFonts w:ascii="Arial" w:hAnsi="Arial" w:cs="Arial"/>
          <w:sz w:val="22"/>
          <w:szCs w:val="22"/>
          <w:lang w:val="en-US"/>
        </w:rPr>
      </w:pPr>
    </w:p>
    <w:p w14:paraId="7140EE21" w14:textId="77777777" w:rsidR="00406896" w:rsidRPr="00182EB4" w:rsidRDefault="00406896" w:rsidP="00F70BDE">
      <w:pPr>
        <w:spacing w:line="360" w:lineRule="auto"/>
        <w:rPr>
          <w:rFonts w:ascii="Arial" w:hAnsi="Arial" w:cs="Arial"/>
          <w:b/>
          <w:bCs/>
          <w:sz w:val="22"/>
          <w:szCs w:val="22"/>
          <w:lang w:val="en-US"/>
        </w:rPr>
      </w:pPr>
    </w:p>
    <w:p w14:paraId="0472FCCD" w14:textId="77777777" w:rsidR="00406896" w:rsidRPr="00182EB4" w:rsidRDefault="00406896" w:rsidP="00F70BDE">
      <w:pPr>
        <w:spacing w:line="360" w:lineRule="auto"/>
        <w:rPr>
          <w:rFonts w:ascii="Arial" w:hAnsi="Arial" w:cs="Arial"/>
          <w:b/>
          <w:bCs/>
          <w:sz w:val="22"/>
          <w:szCs w:val="22"/>
          <w:lang w:val="en-US"/>
        </w:rPr>
      </w:pPr>
    </w:p>
    <w:p w14:paraId="520798A1" w14:textId="77777777" w:rsidR="00406896" w:rsidRPr="00182EB4" w:rsidRDefault="00406896" w:rsidP="00F70BDE">
      <w:pPr>
        <w:spacing w:line="360" w:lineRule="auto"/>
        <w:rPr>
          <w:rFonts w:ascii="Arial" w:hAnsi="Arial" w:cs="Arial"/>
          <w:b/>
          <w:bCs/>
          <w:sz w:val="22"/>
          <w:szCs w:val="22"/>
          <w:lang w:val="en-US"/>
        </w:rPr>
      </w:pPr>
    </w:p>
    <w:p w14:paraId="6C058B6E" w14:textId="77777777" w:rsidR="00406896" w:rsidRPr="00182EB4" w:rsidRDefault="00406896" w:rsidP="00F70BDE">
      <w:pPr>
        <w:spacing w:line="360" w:lineRule="auto"/>
        <w:rPr>
          <w:rFonts w:ascii="Arial" w:hAnsi="Arial" w:cs="Arial"/>
          <w:b/>
          <w:bCs/>
          <w:sz w:val="22"/>
          <w:szCs w:val="22"/>
          <w:lang w:val="en-US"/>
        </w:rPr>
      </w:pPr>
    </w:p>
    <w:p w14:paraId="15DD432D" w14:textId="77777777" w:rsidR="00273C54" w:rsidRPr="00182EB4" w:rsidRDefault="00273C54" w:rsidP="00F70BDE">
      <w:pPr>
        <w:spacing w:line="360" w:lineRule="auto"/>
        <w:rPr>
          <w:rFonts w:ascii="Arial" w:hAnsi="Arial" w:cs="Arial"/>
          <w:b/>
          <w:bCs/>
          <w:sz w:val="22"/>
          <w:szCs w:val="22"/>
          <w:lang w:val="en-US"/>
        </w:rPr>
      </w:pPr>
    </w:p>
    <w:p w14:paraId="56E698B2" w14:textId="77777777" w:rsidR="00406896" w:rsidRPr="00182EB4" w:rsidRDefault="00406896" w:rsidP="00F70BDE">
      <w:pPr>
        <w:spacing w:line="360" w:lineRule="auto"/>
        <w:rPr>
          <w:rFonts w:ascii="Arial" w:hAnsi="Arial" w:cs="Arial"/>
          <w:b/>
          <w:bCs/>
          <w:sz w:val="22"/>
          <w:szCs w:val="22"/>
          <w:lang w:val="en-US"/>
        </w:rPr>
      </w:pPr>
    </w:p>
    <w:p w14:paraId="455A163F" w14:textId="06DFB159" w:rsidR="00F70BDE" w:rsidRPr="003F643F" w:rsidRDefault="00F70BDE" w:rsidP="003F643F">
      <w:pPr>
        <w:pStyle w:val="Heading1"/>
        <w:jc w:val="center"/>
        <w:rPr>
          <w:rFonts w:ascii="Arial" w:hAnsi="Arial" w:cs="Arial"/>
          <w:b/>
          <w:bCs/>
          <w:color w:val="000000" w:themeColor="text1"/>
          <w:sz w:val="22"/>
          <w:szCs w:val="22"/>
          <w:lang w:val="en-US"/>
        </w:rPr>
      </w:pPr>
      <w:bookmarkStart w:id="2" w:name="_Toc225027439"/>
      <w:r w:rsidRPr="003F643F">
        <w:rPr>
          <w:rFonts w:ascii="Arial" w:hAnsi="Arial" w:cs="Arial"/>
          <w:b/>
          <w:bCs/>
          <w:color w:val="000000" w:themeColor="text1"/>
          <w:sz w:val="22"/>
          <w:szCs w:val="22"/>
          <w:lang w:val="en-US"/>
        </w:rPr>
        <w:lastRenderedPageBreak/>
        <w:t>Reference List</w:t>
      </w:r>
      <w:bookmarkEnd w:id="2"/>
    </w:p>
    <w:p w14:paraId="3682D999" w14:textId="77777777" w:rsidR="00406896" w:rsidRPr="00182EB4" w:rsidRDefault="00406896" w:rsidP="00FE6344">
      <w:pPr>
        <w:spacing w:line="360" w:lineRule="auto"/>
        <w:rPr>
          <w:rFonts w:ascii="Arial" w:hAnsi="Arial" w:cs="Arial"/>
          <w:b/>
          <w:bCs/>
          <w:sz w:val="22"/>
          <w:szCs w:val="22"/>
          <w:lang w:val="en-US"/>
        </w:rPr>
      </w:pPr>
    </w:p>
    <w:p w14:paraId="4275F9AE" w14:textId="77777777" w:rsidR="00BC6390" w:rsidRPr="00182EB4" w:rsidRDefault="00BC6390" w:rsidP="00116BE8">
      <w:pPr>
        <w:spacing w:line="360" w:lineRule="auto"/>
        <w:jc w:val="both"/>
        <w:rPr>
          <w:rFonts w:ascii="Arial" w:hAnsi="Arial" w:cs="Arial"/>
          <w:sz w:val="22"/>
          <w:szCs w:val="22"/>
          <w:lang w:val="en-US"/>
        </w:rPr>
      </w:pPr>
      <w:r w:rsidRPr="00182EB4">
        <w:rPr>
          <w:rFonts w:ascii="Arial" w:hAnsi="Arial" w:cs="Arial"/>
          <w:sz w:val="22"/>
          <w:szCs w:val="22"/>
          <w:lang w:val="en-US"/>
        </w:rPr>
        <w:t xml:space="preserve">Bandura, A. (1997) </w:t>
      </w:r>
      <w:r w:rsidRPr="00182EB4">
        <w:rPr>
          <w:rFonts w:ascii="Arial" w:hAnsi="Arial" w:cs="Arial"/>
          <w:i/>
          <w:iCs/>
          <w:sz w:val="22"/>
          <w:szCs w:val="22"/>
          <w:lang w:val="en-US"/>
        </w:rPr>
        <w:t>Social learning theory</w:t>
      </w:r>
      <w:r w:rsidRPr="00182EB4">
        <w:rPr>
          <w:rFonts w:ascii="Arial" w:hAnsi="Arial" w:cs="Arial"/>
          <w:sz w:val="22"/>
          <w:szCs w:val="22"/>
          <w:lang w:val="en-US"/>
        </w:rPr>
        <w:t>. Englewood Cliffs, NJ: Prentice Hall.</w:t>
      </w:r>
    </w:p>
    <w:p w14:paraId="42F86FC3" w14:textId="77777777" w:rsidR="00BC6390" w:rsidRPr="00182EB4" w:rsidRDefault="00BC6390" w:rsidP="00116BE8">
      <w:pPr>
        <w:spacing w:line="360" w:lineRule="auto"/>
        <w:jc w:val="both"/>
        <w:rPr>
          <w:rFonts w:ascii="Arial" w:hAnsi="Arial" w:cs="Arial"/>
          <w:sz w:val="22"/>
          <w:szCs w:val="22"/>
          <w:lang w:val="en-US"/>
        </w:rPr>
      </w:pPr>
      <w:r w:rsidRPr="00182EB4">
        <w:rPr>
          <w:rFonts w:ascii="Arial" w:hAnsi="Arial" w:cs="Arial"/>
          <w:sz w:val="22"/>
          <w:szCs w:val="22"/>
          <w:lang w:val="en-US"/>
        </w:rPr>
        <w:t xml:space="preserve">Bowlby, J (1998) </w:t>
      </w:r>
      <w:r w:rsidRPr="00182EB4">
        <w:rPr>
          <w:rFonts w:ascii="Arial" w:hAnsi="Arial" w:cs="Arial"/>
          <w:i/>
          <w:iCs/>
          <w:sz w:val="22"/>
          <w:szCs w:val="22"/>
          <w:lang w:val="en-US"/>
        </w:rPr>
        <w:t>A secure base: Parent-child attachment and healthy human development</w:t>
      </w:r>
      <w:r w:rsidRPr="00182EB4">
        <w:rPr>
          <w:rFonts w:ascii="Arial" w:hAnsi="Arial" w:cs="Arial"/>
          <w:sz w:val="22"/>
          <w:szCs w:val="22"/>
          <w:lang w:val="en-US"/>
        </w:rPr>
        <w:t>. London: Routledge.</w:t>
      </w:r>
    </w:p>
    <w:p w14:paraId="4FE466BA" w14:textId="77777777" w:rsidR="00BC6390" w:rsidRPr="00182EB4" w:rsidRDefault="00BC6390" w:rsidP="00116BE8">
      <w:pPr>
        <w:spacing w:line="360" w:lineRule="auto"/>
        <w:jc w:val="both"/>
        <w:rPr>
          <w:rFonts w:ascii="Arial" w:hAnsi="Arial" w:cs="Arial"/>
          <w:sz w:val="22"/>
          <w:szCs w:val="22"/>
          <w:lang w:val="en-US"/>
        </w:rPr>
      </w:pPr>
      <w:r w:rsidRPr="00182EB4">
        <w:rPr>
          <w:rFonts w:ascii="Arial" w:hAnsi="Arial" w:cs="Arial"/>
          <w:sz w:val="22"/>
          <w:szCs w:val="22"/>
          <w:lang w:val="en-US"/>
        </w:rPr>
        <w:t xml:space="preserve">Erikson, E.H. (1982) </w:t>
      </w:r>
      <w:r w:rsidRPr="00182EB4">
        <w:rPr>
          <w:rFonts w:ascii="Arial" w:hAnsi="Arial" w:cs="Arial"/>
          <w:i/>
          <w:iCs/>
          <w:sz w:val="22"/>
          <w:szCs w:val="22"/>
          <w:lang w:val="en-US"/>
        </w:rPr>
        <w:t>The life cycle completed</w:t>
      </w:r>
      <w:r w:rsidRPr="00182EB4">
        <w:rPr>
          <w:rFonts w:ascii="Arial" w:hAnsi="Arial" w:cs="Arial"/>
          <w:sz w:val="22"/>
          <w:szCs w:val="22"/>
          <w:lang w:val="en-US"/>
        </w:rPr>
        <w:t>. New York: W.W. Norton &amp; Company.</w:t>
      </w:r>
    </w:p>
    <w:p w14:paraId="0845D413" w14:textId="77777777" w:rsidR="00BC6390" w:rsidRPr="00182EB4" w:rsidRDefault="00BC6390" w:rsidP="00116BE8">
      <w:pPr>
        <w:spacing w:line="360" w:lineRule="auto"/>
        <w:jc w:val="both"/>
        <w:rPr>
          <w:rFonts w:ascii="Arial" w:hAnsi="Arial" w:cs="Arial"/>
          <w:sz w:val="22"/>
          <w:szCs w:val="22"/>
          <w:lang w:val="en-US"/>
        </w:rPr>
      </w:pPr>
      <w:r w:rsidRPr="00182EB4">
        <w:rPr>
          <w:rFonts w:ascii="Arial" w:hAnsi="Arial" w:cs="Arial"/>
          <w:sz w:val="22"/>
          <w:szCs w:val="22"/>
          <w:lang w:val="en-US"/>
        </w:rPr>
        <w:t xml:space="preserve">Kitwood, T. (1997) </w:t>
      </w:r>
      <w:r w:rsidRPr="00182EB4">
        <w:rPr>
          <w:rFonts w:ascii="Arial" w:hAnsi="Arial" w:cs="Arial"/>
          <w:i/>
          <w:iCs/>
          <w:sz w:val="22"/>
          <w:szCs w:val="22"/>
          <w:lang w:val="en-US"/>
        </w:rPr>
        <w:t>Dementia reconsidered: The person comes first</w:t>
      </w:r>
      <w:r w:rsidRPr="00182EB4">
        <w:rPr>
          <w:rFonts w:ascii="Arial" w:hAnsi="Arial" w:cs="Arial"/>
          <w:sz w:val="22"/>
          <w:szCs w:val="22"/>
          <w:lang w:val="en-US"/>
        </w:rPr>
        <w:t>. Buckingham: Open University Press.</w:t>
      </w:r>
    </w:p>
    <w:p w14:paraId="79E5A2F5" w14:textId="77777777" w:rsidR="00BC6390" w:rsidRPr="00182EB4" w:rsidRDefault="00BC6390" w:rsidP="00116BE8">
      <w:pPr>
        <w:spacing w:line="360" w:lineRule="auto"/>
        <w:jc w:val="both"/>
        <w:rPr>
          <w:rFonts w:ascii="Arial" w:hAnsi="Arial" w:cs="Arial"/>
          <w:sz w:val="22"/>
          <w:szCs w:val="22"/>
        </w:rPr>
      </w:pPr>
      <w:r w:rsidRPr="00182EB4">
        <w:rPr>
          <w:rFonts w:ascii="Arial" w:hAnsi="Arial" w:cs="Arial"/>
          <w:sz w:val="22"/>
          <w:szCs w:val="22"/>
        </w:rPr>
        <w:t xml:space="preserve">Seligman, M.E.P. (2011) </w:t>
      </w:r>
      <w:r w:rsidRPr="00182EB4">
        <w:rPr>
          <w:rFonts w:ascii="Arial" w:hAnsi="Arial" w:cs="Arial"/>
          <w:i/>
          <w:iCs/>
          <w:sz w:val="22"/>
          <w:szCs w:val="22"/>
        </w:rPr>
        <w:t>Flourish: A visionary new understanding of happiness and well-being</w:t>
      </w:r>
      <w:r w:rsidRPr="00182EB4">
        <w:rPr>
          <w:rFonts w:ascii="Arial" w:hAnsi="Arial" w:cs="Arial"/>
          <w:sz w:val="22"/>
          <w:szCs w:val="22"/>
        </w:rPr>
        <w:t>. New York: Free Press.</w:t>
      </w:r>
    </w:p>
    <w:p w14:paraId="79A98AD6" w14:textId="77777777" w:rsidR="00BC6390" w:rsidRPr="00182EB4" w:rsidRDefault="00BC6390" w:rsidP="00116BE8">
      <w:pPr>
        <w:spacing w:line="360" w:lineRule="auto"/>
        <w:jc w:val="both"/>
        <w:rPr>
          <w:rFonts w:ascii="Arial" w:hAnsi="Arial" w:cs="Arial"/>
          <w:sz w:val="22"/>
          <w:szCs w:val="22"/>
          <w:lang w:val="en-US"/>
        </w:rPr>
      </w:pPr>
      <w:r w:rsidRPr="00182EB4">
        <w:rPr>
          <w:rFonts w:ascii="Arial" w:hAnsi="Arial" w:cs="Arial"/>
          <w:sz w:val="22"/>
          <w:szCs w:val="22"/>
          <w:lang w:val="en-US"/>
        </w:rPr>
        <w:t xml:space="preserve">Woods, B., O’Philbin, L., Farrell, E.M., Spector, A.E. and Orrell, M. (2018) ‘Reminiscence therapy for dementia’, </w:t>
      </w:r>
      <w:r w:rsidRPr="00182EB4">
        <w:rPr>
          <w:rFonts w:ascii="Arial" w:hAnsi="Arial" w:cs="Arial"/>
          <w:i/>
          <w:iCs/>
          <w:sz w:val="22"/>
          <w:szCs w:val="22"/>
          <w:lang w:val="en-US"/>
        </w:rPr>
        <w:t>Cochrane Database of Systematic Reviews</w:t>
      </w:r>
      <w:r w:rsidRPr="00182EB4">
        <w:rPr>
          <w:rFonts w:ascii="Arial" w:hAnsi="Arial" w:cs="Arial"/>
          <w:sz w:val="22"/>
          <w:szCs w:val="22"/>
          <w:lang w:val="en-US"/>
        </w:rPr>
        <w:t>, 3(3), pp. 1–64.</w:t>
      </w:r>
    </w:p>
    <w:p w14:paraId="03866648" w14:textId="77777777" w:rsidR="00CE4ED5" w:rsidRPr="00CE4ED5" w:rsidRDefault="00CE4ED5" w:rsidP="00F70BDE">
      <w:pPr>
        <w:spacing w:line="360" w:lineRule="auto"/>
        <w:rPr>
          <w:rFonts w:ascii="Arial" w:hAnsi="Arial" w:cs="Arial"/>
          <w:sz w:val="22"/>
          <w:szCs w:val="22"/>
          <w:lang w:val="en-US"/>
        </w:rPr>
      </w:pPr>
    </w:p>
    <w:p w14:paraId="70FFC532" w14:textId="77777777" w:rsidR="00CE4ED5" w:rsidRPr="00871D77" w:rsidRDefault="00CE4ED5" w:rsidP="00F70BDE">
      <w:pPr>
        <w:spacing w:line="360" w:lineRule="auto"/>
        <w:rPr>
          <w:rFonts w:ascii="Arial" w:hAnsi="Arial" w:cs="Arial"/>
          <w:sz w:val="22"/>
          <w:szCs w:val="22"/>
        </w:rPr>
      </w:pPr>
    </w:p>
    <w:p w14:paraId="661DBDC1" w14:textId="77777777" w:rsidR="00871D77" w:rsidRPr="00871D77" w:rsidRDefault="00871D77" w:rsidP="00F70BDE">
      <w:pPr>
        <w:spacing w:line="360" w:lineRule="auto"/>
        <w:rPr>
          <w:rFonts w:ascii="Arial" w:hAnsi="Arial" w:cs="Arial"/>
          <w:sz w:val="22"/>
          <w:szCs w:val="22"/>
        </w:rPr>
      </w:pPr>
    </w:p>
    <w:sectPr w:rsidR="00871D77" w:rsidRPr="00871D77">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40914" w14:textId="77777777" w:rsidR="00252BF5" w:rsidRDefault="00252BF5" w:rsidP="000B43AD">
      <w:r>
        <w:separator/>
      </w:r>
    </w:p>
  </w:endnote>
  <w:endnote w:type="continuationSeparator" w:id="0">
    <w:p w14:paraId="244AA485" w14:textId="77777777" w:rsidR="00252BF5" w:rsidRDefault="00252BF5" w:rsidP="000B43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F28557" w14:textId="77777777" w:rsidR="00252BF5" w:rsidRDefault="00252BF5" w:rsidP="000B43AD">
      <w:r>
        <w:separator/>
      </w:r>
    </w:p>
  </w:footnote>
  <w:footnote w:type="continuationSeparator" w:id="0">
    <w:p w14:paraId="4894EA03" w14:textId="77777777" w:rsidR="00252BF5" w:rsidRDefault="00252BF5" w:rsidP="000B43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03119856"/>
      <w:docPartObj>
        <w:docPartGallery w:val="Page Numbers (Top of Page)"/>
        <w:docPartUnique/>
      </w:docPartObj>
    </w:sdtPr>
    <w:sdtContent>
      <w:p w14:paraId="5585AC4A" w14:textId="2D2B0732" w:rsidR="000B43AD" w:rsidRDefault="000B43AD">
        <w:pPr>
          <w:pStyle w:val="Header"/>
        </w:pPr>
        <w:r>
          <w:fldChar w:fldCharType="begin"/>
        </w:r>
        <w:r>
          <w:instrText>PAGE   \* MERGEFORMAT</w:instrText>
        </w:r>
        <w:r>
          <w:fldChar w:fldCharType="separate"/>
        </w:r>
        <w:r>
          <w:t>2</w:t>
        </w:r>
        <w:r>
          <w:fldChar w:fldCharType="end"/>
        </w:r>
      </w:p>
    </w:sdtContent>
  </w:sdt>
  <w:p w14:paraId="1944BE80" w14:textId="77777777" w:rsidR="000B43AD" w:rsidRDefault="000B43A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94F"/>
    <w:rsid w:val="0004236A"/>
    <w:rsid w:val="00051771"/>
    <w:rsid w:val="00053ABA"/>
    <w:rsid w:val="000618EA"/>
    <w:rsid w:val="000B0E37"/>
    <w:rsid w:val="000B37A0"/>
    <w:rsid w:val="000B43AD"/>
    <w:rsid w:val="000C3DCD"/>
    <w:rsid w:val="00116BE8"/>
    <w:rsid w:val="00182EB4"/>
    <w:rsid w:val="001A023D"/>
    <w:rsid w:val="001C0C18"/>
    <w:rsid w:val="002110D2"/>
    <w:rsid w:val="00233F38"/>
    <w:rsid w:val="00252BF5"/>
    <w:rsid w:val="00273C54"/>
    <w:rsid w:val="00293FBC"/>
    <w:rsid w:val="0029422B"/>
    <w:rsid w:val="003003B1"/>
    <w:rsid w:val="0030484E"/>
    <w:rsid w:val="003822CE"/>
    <w:rsid w:val="003F643F"/>
    <w:rsid w:val="003F73D5"/>
    <w:rsid w:val="00406896"/>
    <w:rsid w:val="00452B0A"/>
    <w:rsid w:val="005632B1"/>
    <w:rsid w:val="0059104C"/>
    <w:rsid w:val="005D0322"/>
    <w:rsid w:val="006072FF"/>
    <w:rsid w:val="0061210C"/>
    <w:rsid w:val="0065550D"/>
    <w:rsid w:val="00695BDD"/>
    <w:rsid w:val="007479B6"/>
    <w:rsid w:val="00757AE1"/>
    <w:rsid w:val="0076794F"/>
    <w:rsid w:val="00771B2B"/>
    <w:rsid w:val="00780918"/>
    <w:rsid w:val="007826A6"/>
    <w:rsid w:val="007C300B"/>
    <w:rsid w:val="007E19F2"/>
    <w:rsid w:val="0082026E"/>
    <w:rsid w:val="00830C51"/>
    <w:rsid w:val="00871D77"/>
    <w:rsid w:val="00875B75"/>
    <w:rsid w:val="008A2723"/>
    <w:rsid w:val="008F4FAB"/>
    <w:rsid w:val="0099471D"/>
    <w:rsid w:val="009C5564"/>
    <w:rsid w:val="00A13538"/>
    <w:rsid w:val="00A2441A"/>
    <w:rsid w:val="00AB4DB4"/>
    <w:rsid w:val="00B452EB"/>
    <w:rsid w:val="00B5540B"/>
    <w:rsid w:val="00B67068"/>
    <w:rsid w:val="00BA1C7E"/>
    <w:rsid w:val="00BA5EA6"/>
    <w:rsid w:val="00BB60EE"/>
    <w:rsid w:val="00BC6390"/>
    <w:rsid w:val="00BC6BDE"/>
    <w:rsid w:val="00C316D4"/>
    <w:rsid w:val="00C45848"/>
    <w:rsid w:val="00C47CC9"/>
    <w:rsid w:val="00CA1F33"/>
    <w:rsid w:val="00CE4ED5"/>
    <w:rsid w:val="00D04F9E"/>
    <w:rsid w:val="00D27E1F"/>
    <w:rsid w:val="00DE1D6A"/>
    <w:rsid w:val="00DE322B"/>
    <w:rsid w:val="00E2006B"/>
    <w:rsid w:val="00E55540"/>
    <w:rsid w:val="00EA6438"/>
    <w:rsid w:val="00F319DB"/>
    <w:rsid w:val="00F40CDA"/>
    <w:rsid w:val="00F70BDE"/>
    <w:rsid w:val="00F84AFD"/>
    <w:rsid w:val="00F953C2"/>
    <w:rsid w:val="00FA780C"/>
    <w:rsid w:val="00FB0EAA"/>
    <w:rsid w:val="00FE63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AC005E"/>
  <w15:chartTrackingRefBased/>
  <w15:docId w15:val="{333CC4A2-FC3F-46A1-B887-4EDDFCC1A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ABA"/>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76794F"/>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76794F"/>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76794F"/>
    <w:pPr>
      <w:keepNext/>
      <w:keepLines/>
      <w:spacing w:before="160" w:after="80" w:line="259"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76794F"/>
    <w:pPr>
      <w:keepNext/>
      <w:keepLines/>
      <w:spacing w:before="80" w:after="40" w:line="259" w:lineRule="auto"/>
      <w:outlineLvl w:val="3"/>
    </w:pPr>
    <w:rPr>
      <w:rFonts w:asciiTheme="minorHAnsi" w:eastAsiaTheme="majorEastAsia" w:hAnsiTheme="minorHAnsi"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76794F"/>
    <w:pPr>
      <w:keepNext/>
      <w:keepLines/>
      <w:spacing w:before="80" w:after="40" w:line="259" w:lineRule="auto"/>
      <w:outlineLvl w:val="4"/>
    </w:pPr>
    <w:rPr>
      <w:rFonts w:asciiTheme="minorHAnsi" w:eastAsiaTheme="majorEastAsia" w:hAnsiTheme="minorHAnsi"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76794F"/>
    <w:pPr>
      <w:keepNext/>
      <w:keepLines/>
      <w:spacing w:before="40" w:line="259" w:lineRule="auto"/>
      <w:outlineLvl w:val="5"/>
    </w:pPr>
    <w:rPr>
      <w:rFonts w:asciiTheme="minorHAnsi" w:eastAsiaTheme="majorEastAsia" w:hAnsiTheme="minorHAnsi"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76794F"/>
    <w:pPr>
      <w:keepNext/>
      <w:keepLines/>
      <w:spacing w:before="40" w:line="259" w:lineRule="auto"/>
      <w:outlineLvl w:val="6"/>
    </w:pPr>
    <w:rPr>
      <w:rFonts w:asciiTheme="minorHAnsi" w:eastAsiaTheme="majorEastAsia" w:hAnsiTheme="minorHAnsi"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76794F"/>
    <w:pPr>
      <w:keepNext/>
      <w:keepLines/>
      <w:spacing w:line="259" w:lineRule="auto"/>
      <w:outlineLvl w:val="7"/>
    </w:pPr>
    <w:rPr>
      <w:rFonts w:asciiTheme="minorHAnsi" w:eastAsiaTheme="majorEastAsia" w:hAnsiTheme="minorHAnsi"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76794F"/>
    <w:pPr>
      <w:keepNext/>
      <w:keepLines/>
      <w:spacing w:line="259" w:lineRule="auto"/>
      <w:outlineLvl w:val="8"/>
    </w:pPr>
    <w:rPr>
      <w:rFonts w:asciiTheme="minorHAnsi" w:eastAsiaTheme="majorEastAsia" w:hAnsiTheme="minorHAnsi"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9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9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9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9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9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9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9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9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94F"/>
    <w:rPr>
      <w:rFonts w:eastAsiaTheme="majorEastAsia" w:cstheme="majorBidi"/>
      <w:color w:val="272727" w:themeColor="text1" w:themeTint="D8"/>
    </w:rPr>
  </w:style>
  <w:style w:type="paragraph" w:styleId="Title">
    <w:name w:val="Title"/>
    <w:basedOn w:val="Normal"/>
    <w:next w:val="Normal"/>
    <w:link w:val="TitleChar"/>
    <w:uiPriority w:val="10"/>
    <w:qFormat/>
    <w:rsid w:val="0076794F"/>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7679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94F"/>
    <w:pPr>
      <w:numPr>
        <w:ilvl w:val="1"/>
      </w:numPr>
      <w:spacing w:after="160" w:line="259"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7679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94F"/>
    <w:pPr>
      <w:spacing w:before="160" w:after="160" w:line="259" w:lineRule="auto"/>
      <w:jc w:val="center"/>
    </w:pPr>
    <w:rPr>
      <w:rFonts w:asciiTheme="minorHAnsi" w:eastAsiaTheme="minorHAnsi" w:hAnsiTheme="minorHAnsi" w:cstheme="minorBid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76794F"/>
    <w:rPr>
      <w:i/>
      <w:iCs/>
      <w:color w:val="404040" w:themeColor="text1" w:themeTint="BF"/>
    </w:rPr>
  </w:style>
  <w:style w:type="paragraph" w:styleId="ListParagraph">
    <w:name w:val="List Paragraph"/>
    <w:basedOn w:val="Normal"/>
    <w:uiPriority w:val="34"/>
    <w:qFormat/>
    <w:rsid w:val="0076794F"/>
    <w:pPr>
      <w:spacing w:after="160" w:line="259" w:lineRule="auto"/>
      <w:ind w:left="720"/>
      <w:contextualSpacing/>
    </w:pPr>
    <w:rPr>
      <w:rFonts w:asciiTheme="minorHAnsi" w:eastAsiaTheme="minorHAnsi" w:hAnsiTheme="minorHAnsi" w:cstheme="minorBidi"/>
      <w:kern w:val="2"/>
      <w:sz w:val="22"/>
      <w:szCs w:val="22"/>
      <w:lang w:eastAsia="en-US"/>
      <w14:ligatures w14:val="standardContextual"/>
    </w:rPr>
  </w:style>
  <w:style w:type="character" w:styleId="IntenseEmphasis">
    <w:name w:val="Intense Emphasis"/>
    <w:basedOn w:val="DefaultParagraphFont"/>
    <w:uiPriority w:val="21"/>
    <w:qFormat/>
    <w:rsid w:val="0076794F"/>
    <w:rPr>
      <w:i/>
      <w:iCs/>
      <w:color w:val="0F4761" w:themeColor="accent1" w:themeShade="BF"/>
    </w:rPr>
  </w:style>
  <w:style w:type="paragraph" w:styleId="IntenseQuote">
    <w:name w:val="Intense Quote"/>
    <w:basedOn w:val="Normal"/>
    <w:next w:val="Normal"/>
    <w:link w:val="IntenseQuoteChar"/>
    <w:uiPriority w:val="30"/>
    <w:qFormat/>
    <w:rsid w:val="0076794F"/>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eastAsiaTheme="minorHAnsi" w:hAnsiTheme="minorHAnsi" w:cstheme="minorBid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76794F"/>
    <w:rPr>
      <w:i/>
      <w:iCs/>
      <w:color w:val="0F4761" w:themeColor="accent1" w:themeShade="BF"/>
    </w:rPr>
  </w:style>
  <w:style w:type="character" w:styleId="IntenseReference">
    <w:name w:val="Intense Reference"/>
    <w:basedOn w:val="DefaultParagraphFont"/>
    <w:uiPriority w:val="32"/>
    <w:qFormat/>
    <w:rsid w:val="0076794F"/>
    <w:rPr>
      <w:b/>
      <w:bCs/>
      <w:smallCaps/>
      <w:color w:val="0F4761" w:themeColor="accent1" w:themeShade="BF"/>
      <w:spacing w:val="5"/>
    </w:rPr>
  </w:style>
  <w:style w:type="paragraph" w:styleId="Header">
    <w:name w:val="header"/>
    <w:basedOn w:val="Normal"/>
    <w:link w:val="HeaderChar"/>
    <w:uiPriority w:val="99"/>
    <w:unhideWhenUsed/>
    <w:rsid w:val="000B43AD"/>
    <w:pPr>
      <w:tabs>
        <w:tab w:val="center" w:pos="4513"/>
        <w:tab w:val="right" w:pos="9026"/>
      </w:tabs>
    </w:pPr>
  </w:style>
  <w:style w:type="character" w:customStyle="1" w:styleId="HeaderChar">
    <w:name w:val="Header Char"/>
    <w:basedOn w:val="DefaultParagraphFont"/>
    <w:link w:val="Header"/>
    <w:uiPriority w:val="99"/>
    <w:rsid w:val="000B43AD"/>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0B43AD"/>
    <w:pPr>
      <w:tabs>
        <w:tab w:val="center" w:pos="4513"/>
        <w:tab w:val="right" w:pos="9026"/>
      </w:tabs>
    </w:pPr>
  </w:style>
  <w:style w:type="character" w:customStyle="1" w:styleId="FooterChar">
    <w:name w:val="Footer Char"/>
    <w:basedOn w:val="DefaultParagraphFont"/>
    <w:link w:val="Footer"/>
    <w:uiPriority w:val="99"/>
    <w:rsid w:val="000B43AD"/>
    <w:rPr>
      <w:rFonts w:ascii="Times New Roman" w:eastAsia="Times New Roman" w:hAnsi="Times New Roman" w:cs="Times New Roman"/>
      <w:kern w:val="0"/>
      <w:sz w:val="20"/>
      <w:szCs w:val="20"/>
      <w:lang w:eastAsia="en-GB"/>
      <w14:ligatures w14:val="none"/>
    </w:rPr>
  </w:style>
  <w:style w:type="paragraph" w:styleId="BodyText">
    <w:name w:val="Body Text"/>
    <w:basedOn w:val="Normal"/>
    <w:link w:val="BodyTextChar"/>
    <w:uiPriority w:val="1"/>
    <w:qFormat/>
    <w:rsid w:val="00EA6438"/>
    <w:pPr>
      <w:widowControl w:val="0"/>
      <w:autoSpaceDE w:val="0"/>
      <w:autoSpaceDN w:val="0"/>
    </w:pPr>
    <w:rPr>
      <w:rFonts w:ascii="Arial" w:eastAsia="Arial" w:hAnsi="Arial" w:cs="Arial"/>
      <w:sz w:val="22"/>
      <w:szCs w:val="22"/>
      <w:lang w:val="en-US" w:eastAsia="en-US"/>
    </w:rPr>
  </w:style>
  <w:style w:type="character" w:customStyle="1" w:styleId="BodyTextChar">
    <w:name w:val="Body Text Char"/>
    <w:basedOn w:val="DefaultParagraphFont"/>
    <w:link w:val="BodyText"/>
    <w:uiPriority w:val="1"/>
    <w:rsid w:val="00EA6438"/>
    <w:rPr>
      <w:rFonts w:ascii="Arial" w:eastAsia="Arial" w:hAnsi="Arial" w:cs="Arial"/>
      <w:kern w:val="0"/>
      <w:lang w:val="en-US"/>
      <w14:ligatures w14:val="none"/>
    </w:rPr>
  </w:style>
  <w:style w:type="paragraph" w:styleId="TOCHeading">
    <w:name w:val="TOC Heading"/>
    <w:basedOn w:val="Heading1"/>
    <w:next w:val="Normal"/>
    <w:uiPriority w:val="39"/>
    <w:unhideWhenUsed/>
    <w:qFormat/>
    <w:rsid w:val="00182EB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182EB4"/>
    <w:pPr>
      <w:spacing w:after="100"/>
    </w:pPr>
  </w:style>
  <w:style w:type="character" w:styleId="Hyperlink">
    <w:name w:val="Hyperlink"/>
    <w:basedOn w:val="DefaultParagraphFont"/>
    <w:uiPriority w:val="99"/>
    <w:unhideWhenUsed/>
    <w:rsid w:val="00182EB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1F6944-D57A-4C7D-86C9-AB71F9E9A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1790</Words>
  <Characters>10207</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ataf r</dc:creator>
  <cp:keywords/>
  <dc:description/>
  <cp:lastModifiedBy>ataf r</cp:lastModifiedBy>
  <cp:revision>11</cp:revision>
  <dcterms:created xsi:type="dcterms:W3CDTF">2026-03-21T23:29:00Z</dcterms:created>
  <dcterms:modified xsi:type="dcterms:W3CDTF">2026-03-24T00:59:00Z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eedb84f3-61d8-400f-b2c5-6336518381c7</vt:lpwstr>
  </property>
</Properties>
</file>