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1A5ABF" w14:textId="6B66DCAF" w:rsidR="00764651" w:rsidRPr="00377C01" w:rsidRDefault="003F69B8" w:rsidP="00377C01">
      <w:pPr>
        <w:jc w:val="both"/>
        <w:rPr>
          <w:rFonts w:ascii="Calibri" w:hAnsi="Calibri" w:cs="Calibri"/>
        </w:rPr>
      </w:pPr>
      <w:r w:rsidRPr="00377C01">
        <w:rPr>
          <w:rFonts w:ascii="Calibri" w:hAnsi="Calibri" w:cs="Calibri"/>
        </w:rPr>
        <w:t xml:space="preserve">                                                    </w:t>
      </w:r>
      <w:r w:rsidR="00764651" w:rsidRPr="00377C01">
        <w:rPr>
          <w:rFonts w:ascii="Calibri" w:hAnsi="Calibri" w:cs="Calibri"/>
        </w:rPr>
        <w:t xml:space="preserve"> Separation of powers police powers</w:t>
      </w:r>
    </w:p>
    <w:p w14:paraId="642D27B9" w14:textId="3359DD38" w:rsidR="000B6CBE" w:rsidRPr="00377C01" w:rsidRDefault="000B6CBE" w:rsidP="00377C01">
      <w:pPr>
        <w:jc w:val="both"/>
        <w:rPr>
          <w:rFonts w:ascii="Calibri" w:hAnsi="Calibri" w:cs="Calibri"/>
        </w:rPr>
      </w:pPr>
    </w:p>
    <w:p w14:paraId="19886E3C" w14:textId="21F9B2D0" w:rsidR="000B6CBE" w:rsidRPr="00377C01" w:rsidRDefault="000B6CBE" w:rsidP="00377C01">
      <w:pPr>
        <w:jc w:val="both"/>
        <w:rPr>
          <w:rFonts w:ascii="Calibri" w:hAnsi="Calibri" w:cs="Calibri"/>
        </w:rPr>
      </w:pPr>
    </w:p>
    <w:p w14:paraId="05CAEBB6" w14:textId="7A38B5DD" w:rsidR="001919B0" w:rsidRPr="001919B0" w:rsidRDefault="000B6CBE" w:rsidP="001919B0">
      <w:pPr>
        <w:pStyle w:val="Heading1"/>
        <w:shd w:val="clear" w:color="auto" w:fill="FBF7F5"/>
        <w:tabs>
          <w:tab w:val="right" w:pos="9026"/>
        </w:tabs>
        <w:spacing w:before="0" w:beforeAutospacing="0"/>
        <w:rPr>
          <w:rFonts w:ascii="Segoe UI" w:hAnsi="Segoe UI" w:cs="Segoe UI"/>
          <w:b w:val="0"/>
          <w:bCs w:val="0"/>
        </w:rPr>
      </w:pPr>
      <w:r w:rsidRPr="001919B0">
        <w:rPr>
          <w:rFonts w:ascii="Calibri" w:hAnsi="Calibri" w:cs="Calibri"/>
          <w:b w:val="0"/>
          <w:bCs w:val="0"/>
          <w:sz w:val="24"/>
          <w:szCs w:val="24"/>
        </w:rPr>
        <w:t>STUDENT NAME</w:t>
      </w:r>
      <w:r w:rsidRPr="001919B0">
        <w:rPr>
          <w:rFonts w:ascii="Calibri" w:hAnsi="Calibri" w:cs="Calibri"/>
          <w:sz w:val="24"/>
          <w:szCs w:val="24"/>
        </w:rPr>
        <w:t xml:space="preserve"> </w:t>
      </w:r>
      <w:r w:rsidR="00377C01" w:rsidRPr="001919B0">
        <w:rPr>
          <w:rFonts w:ascii="Calibri" w:hAnsi="Calibri" w:cs="Calibri"/>
          <w:sz w:val="24"/>
          <w:szCs w:val="24"/>
        </w:rPr>
        <w:t>–</w:t>
      </w:r>
      <w:r w:rsidR="001919B0" w:rsidRPr="001919B0">
        <w:rPr>
          <w:rFonts w:ascii="Calibri" w:hAnsi="Calibri" w:cs="Calibri"/>
          <w:sz w:val="24"/>
          <w:szCs w:val="24"/>
        </w:rPr>
        <w:t xml:space="preserve">  </w:t>
      </w:r>
      <w:proofErr w:type="spellStart"/>
      <w:r w:rsidR="001919B0" w:rsidRPr="001919B0">
        <w:rPr>
          <w:rFonts w:ascii="Segoe UI" w:hAnsi="Segoe UI" w:cs="Segoe UI"/>
          <w:b w:val="0"/>
          <w:bCs w:val="0"/>
          <w:sz w:val="24"/>
          <w:szCs w:val="24"/>
        </w:rPr>
        <w:t>Denisa</w:t>
      </w:r>
      <w:proofErr w:type="spellEnd"/>
      <w:r w:rsidR="001919B0" w:rsidRPr="001919B0">
        <w:rPr>
          <w:rFonts w:ascii="Segoe UI" w:hAnsi="Segoe UI" w:cs="Segoe UI"/>
          <w:b w:val="0"/>
          <w:bCs w:val="0"/>
          <w:sz w:val="24"/>
          <w:szCs w:val="24"/>
        </w:rPr>
        <w:t>-Alexandra-Rebeca Alexandra Cirpac</w:t>
      </w:r>
      <w:r w:rsidR="001919B0">
        <w:rPr>
          <w:rFonts w:ascii="Segoe UI" w:hAnsi="Segoe UI" w:cs="Segoe UI"/>
          <w:b w:val="0"/>
          <w:bCs w:val="0"/>
          <w:sz w:val="24"/>
          <w:szCs w:val="24"/>
        </w:rPr>
        <w:t>iu</w:t>
      </w:r>
    </w:p>
    <w:p w14:paraId="034DA630" w14:textId="54C161E2" w:rsidR="000B6CBE" w:rsidRPr="00377C01" w:rsidRDefault="000B6CBE" w:rsidP="00377C01">
      <w:pPr>
        <w:jc w:val="both"/>
        <w:rPr>
          <w:rFonts w:ascii="Calibri" w:hAnsi="Calibri" w:cs="Calibri"/>
        </w:rPr>
      </w:pPr>
    </w:p>
    <w:p w14:paraId="41A3E950" w14:textId="2962E81C" w:rsidR="000B6CBE" w:rsidRPr="00377C01" w:rsidRDefault="000B6CBE" w:rsidP="00377C01">
      <w:pPr>
        <w:jc w:val="both"/>
        <w:rPr>
          <w:rFonts w:ascii="Calibri" w:hAnsi="Calibri" w:cs="Calibri"/>
        </w:rPr>
      </w:pPr>
      <w:r w:rsidRPr="00377C01">
        <w:rPr>
          <w:rFonts w:ascii="Calibri" w:hAnsi="Calibri" w:cs="Calibri"/>
        </w:rPr>
        <w:t xml:space="preserve">STUDENT ID </w:t>
      </w:r>
      <w:r w:rsidR="00377C01" w:rsidRPr="00377C01">
        <w:rPr>
          <w:rFonts w:ascii="Calibri" w:hAnsi="Calibri" w:cs="Calibri"/>
        </w:rPr>
        <w:t xml:space="preserve">--     </w:t>
      </w:r>
      <w:r w:rsidR="00FE250D">
        <w:rPr>
          <w:rFonts w:ascii="Calibri" w:hAnsi="Calibri" w:cs="Calibri"/>
        </w:rPr>
        <w:t>2019667</w:t>
      </w:r>
      <w:r w:rsidR="00377C01" w:rsidRPr="00377C01">
        <w:rPr>
          <w:rFonts w:ascii="Calibri" w:hAnsi="Calibri" w:cs="Calibri"/>
        </w:rPr>
        <w:t xml:space="preserve">   </w:t>
      </w:r>
    </w:p>
    <w:p w14:paraId="1705320A" w14:textId="77777777" w:rsidR="000B6CBE" w:rsidRPr="00377C01" w:rsidRDefault="000B6CBE" w:rsidP="00377C01">
      <w:pPr>
        <w:jc w:val="both"/>
        <w:rPr>
          <w:rFonts w:ascii="Calibri" w:hAnsi="Calibri" w:cs="Calibri"/>
        </w:rPr>
      </w:pPr>
    </w:p>
    <w:p w14:paraId="2D566F32" w14:textId="67F4AEAC" w:rsidR="000B6CBE" w:rsidRPr="00377C01" w:rsidRDefault="000B6CBE" w:rsidP="00377C01">
      <w:pPr>
        <w:jc w:val="both"/>
        <w:rPr>
          <w:rFonts w:ascii="Calibri" w:hAnsi="Calibri" w:cs="Calibri"/>
        </w:rPr>
      </w:pPr>
    </w:p>
    <w:p w14:paraId="30DDF0B3" w14:textId="4D67D24D" w:rsidR="000B6CBE" w:rsidRPr="00377C01" w:rsidRDefault="000B6CBE" w:rsidP="00377C01">
      <w:pPr>
        <w:jc w:val="both"/>
        <w:rPr>
          <w:rFonts w:ascii="Calibri" w:hAnsi="Calibri" w:cs="Calibri"/>
        </w:rPr>
      </w:pPr>
    </w:p>
    <w:p w14:paraId="22FBB48F" w14:textId="2D4A8A99" w:rsidR="000B6CBE" w:rsidRPr="00377C01" w:rsidRDefault="000B6CBE" w:rsidP="00377C01">
      <w:pPr>
        <w:jc w:val="both"/>
        <w:rPr>
          <w:rFonts w:ascii="Calibri" w:hAnsi="Calibri" w:cs="Calibri"/>
        </w:rPr>
      </w:pPr>
    </w:p>
    <w:p w14:paraId="1FB3CF59" w14:textId="502652E9" w:rsidR="000B6CBE" w:rsidRPr="00377C01" w:rsidRDefault="000B6CBE" w:rsidP="00377C01">
      <w:pPr>
        <w:jc w:val="both"/>
        <w:rPr>
          <w:rFonts w:ascii="Calibri" w:hAnsi="Calibri" w:cs="Calibri"/>
        </w:rPr>
      </w:pPr>
    </w:p>
    <w:p w14:paraId="69479CB8" w14:textId="7B542425" w:rsidR="000B6CBE" w:rsidRPr="00377C01" w:rsidRDefault="000B6CBE" w:rsidP="00377C01">
      <w:pPr>
        <w:jc w:val="both"/>
        <w:rPr>
          <w:rFonts w:ascii="Calibri" w:hAnsi="Calibri" w:cs="Calibri"/>
        </w:rPr>
      </w:pPr>
    </w:p>
    <w:p w14:paraId="65FB8F75" w14:textId="7EBB6A9E" w:rsidR="000B6CBE" w:rsidRPr="00377C01" w:rsidRDefault="000B6CBE" w:rsidP="00377C01">
      <w:pPr>
        <w:jc w:val="both"/>
        <w:rPr>
          <w:rFonts w:ascii="Calibri" w:hAnsi="Calibri" w:cs="Calibri"/>
        </w:rPr>
      </w:pPr>
    </w:p>
    <w:p w14:paraId="76F63DE9" w14:textId="5FB20010" w:rsidR="000B6CBE" w:rsidRPr="00377C01" w:rsidRDefault="000B6CBE" w:rsidP="00377C01">
      <w:pPr>
        <w:jc w:val="both"/>
        <w:rPr>
          <w:rFonts w:ascii="Calibri" w:hAnsi="Calibri" w:cs="Calibri"/>
        </w:rPr>
      </w:pPr>
    </w:p>
    <w:p w14:paraId="4AB95FB8" w14:textId="449A03FD" w:rsidR="000B6CBE" w:rsidRPr="00377C01" w:rsidRDefault="000B6CBE" w:rsidP="00377C01">
      <w:pPr>
        <w:jc w:val="both"/>
        <w:rPr>
          <w:rFonts w:ascii="Calibri" w:hAnsi="Calibri" w:cs="Calibri"/>
        </w:rPr>
      </w:pPr>
    </w:p>
    <w:p w14:paraId="6397DB32" w14:textId="53C108A5" w:rsidR="000B6CBE" w:rsidRPr="00377C01" w:rsidRDefault="000B6CBE" w:rsidP="00377C01">
      <w:pPr>
        <w:jc w:val="both"/>
        <w:rPr>
          <w:rFonts w:ascii="Calibri" w:hAnsi="Calibri" w:cs="Calibri"/>
        </w:rPr>
      </w:pPr>
    </w:p>
    <w:p w14:paraId="2F7588F8" w14:textId="4B146291" w:rsidR="000B6CBE" w:rsidRPr="00377C01" w:rsidRDefault="000B6CBE" w:rsidP="00377C01">
      <w:pPr>
        <w:jc w:val="both"/>
        <w:rPr>
          <w:rFonts w:ascii="Calibri" w:hAnsi="Calibri" w:cs="Calibri"/>
        </w:rPr>
      </w:pPr>
    </w:p>
    <w:p w14:paraId="681631A9" w14:textId="367C0A32" w:rsidR="000B6CBE" w:rsidRPr="00377C01" w:rsidRDefault="000B6CBE" w:rsidP="00377C01">
      <w:pPr>
        <w:jc w:val="both"/>
        <w:rPr>
          <w:rFonts w:ascii="Calibri" w:hAnsi="Calibri" w:cs="Calibri"/>
        </w:rPr>
      </w:pPr>
    </w:p>
    <w:p w14:paraId="4F9FE5EC" w14:textId="44446CB2" w:rsidR="000B6CBE" w:rsidRPr="00377C01" w:rsidRDefault="000B6CBE" w:rsidP="00377C01">
      <w:pPr>
        <w:jc w:val="both"/>
        <w:rPr>
          <w:rFonts w:ascii="Calibri" w:hAnsi="Calibri" w:cs="Calibri"/>
        </w:rPr>
      </w:pPr>
    </w:p>
    <w:p w14:paraId="100AB9F7" w14:textId="068CEF48" w:rsidR="000B6CBE" w:rsidRPr="00377C01" w:rsidRDefault="000B6CBE" w:rsidP="00377C01">
      <w:pPr>
        <w:jc w:val="both"/>
        <w:rPr>
          <w:rFonts w:ascii="Calibri" w:hAnsi="Calibri" w:cs="Calibri"/>
        </w:rPr>
      </w:pPr>
    </w:p>
    <w:p w14:paraId="67C4599F" w14:textId="72AF1900" w:rsidR="000B6CBE" w:rsidRPr="00377C01" w:rsidRDefault="000B6CBE" w:rsidP="00377C01">
      <w:pPr>
        <w:jc w:val="both"/>
        <w:rPr>
          <w:rFonts w:ascii="Calibri" w:hAnsi="Calibri" w:cs="Calibri"/>
        </w:rPr>
      </w:pPr>
    </w:p>
    <w:p w14:paraId="425F18F3" w14:textId="554CF72C" w:rsidR="000B6CBE" w:rsidRPr="00377C01" w:rsidRDefault="000B6CBE" w:rsidP="00377C01">
      <w:pPr>
        <w:jc w:val="both"/>
        <w:rPr>
          <w:rFonts w:ascii="Calibri" w:hAnsi="Calibri" w:cs="Calibri"/>
        </w:rPr>
      </w:pPr>
    </w:p>
    <w:p w14:paraId="04B3251C" w14:textId="67A359A5" w:rsidR="000B6CBE" w:rsidRPr="00377C01" w:rsidRDefault="000B6CBE" w:rsidP="00377C01">
      <w:pPr>
        <w:jc w:val="both"/>
        <w:rPr>
          <w:rFonts w:ascii="Calibri" w:hAnsi="Calibri" w:cs="Calibri"/>
        </w:rPr>
      </w:pPr>
    </w:p>
    <w:p w14:paraId="00B2EACF" w14:textId="6AE6AED6" w:rsidR="000B6CBE" w:rsidRPr="00377C01" w:rsidRDefault="000B6CBE" w:rsidP="00377C01">
      <w:pPr>
        <w:jc w:val="both"/>
        <w:rPr>
          <w:rFonts w:ascii="Calibri" w:hAnsi="Calibri" w:cs="Calibri"/>
        </w:rPr>
      </w:pPr>
    </w:p>
    <w:p w14:paraId="2ECE24F5" w14:textId="356C8885" w:rsidR="000B6CBE" w:rsidRPr="00377C01" w:rsidRDefault="000B6CBE" w:rsidP="00377C01">
      <w:pPr>
        <w:jc w:val="both"/>
        <w:rPr>
          <w:rFonts w:ascii="Calibri" w:hAnsi="Calibri" w:cs="Calibri"/>
        </w:rPr>
      </w:pPr>
    </w:p>
    <w:p w14:paraId="1FBE3507" w14:textId="5F0517CC" w:rsidR="000B6CBE" w:rsidRPr="00377C01" w:rsidRDefault="000B6CBE" w:rsidP="00377C01">
      <w:pPr>
        <w:jc w:val="both"/>
        <w:rPr>
          <w:rFonts w:ascii="Calibri" w:hAnsi="Calibri" w:cs="Calibri"/>
        </w:rPr>
      </w:pPr>
    </w:p>
    <w:p w14:paraId="616EC72C" w14:textId="71DBC98F" w:rsidR="000B6CBE" w:rsidRPr="00377C01" w:rsidRDefault="000B6CBE" w:rsidP="00377C01">
      <w:pPr>
        <w:jc w:val="both"/>
        <w:rPr>
          <w:rFonts w:ascii="Calibri" w:hAnsi="Calibri" w:cs="Calibri"/>
        </w:rPr>
      </w:pPr>
    </w:p>
    <w:p w14:paraId="17D06657" w14:textId="30F2E6F5" w:rsidR="000B6CBE" w:rsidRPr="00377C01" w:rsidRDefault="000B6CBE" w:rsidP="00377C01">
      <w:pPr>
        <w:jc w:val="both"/>
        <w:rPr>
          <w:rFonts w:ascii="Calibri" w:hAnsi="Calibri" w:cs="Calibri"/>
        </w:rPr>
      </w:pPr>
    </w:p>
    <w:p w14:paraId="71930630" w14:textId="306160B1" w:rsidR="000B6CBE" w:rsidRPr="00377C01" w:rsidRDefault="000B6CBE" w:rsidP="00377C01">
      <w:pPr>
        <w:jc w:val="both"/>
        <w:rPr>
          <w:rFonts w:ascii="Calibri" w:hAnsi="Calibri" w:cs="Calibri"/>
        </w:rPr>
      </w:pPr>
    </w:p>
    <w:p w14:paraId="22C72684" w14:textId="4D1D62FB" w:rsidR="000B6CBE" w:rsidRPr="00377C01" w:rsidRDefault="000B6CBE" w:rsidP="00377C01">
      <w:pPr>
        <w:jc w:val="both"/>
        <w:rPr>
          <w:rFonts w:ascii="Calibri" w:hAnsi="Calibri" w:cs="Calibri"/>
        </w:rPr>
      </w:pPr>
    </w:p>
    <w:p w14:paraId="7B6B0688" w14:textId="53E676F5" w:rsidR="000B6CBE" w:rsidRPr="00377C01" w:rsidRDefault="000B6CBE" w:rsidP="00377C01">
      <w:pPr>
        <w:jc w:val="both"/>
        <w:rPr>
          <w:rFonts w:ascii="Calibri" w:hAnsi="Calibri" w:cs="Calibri"/>
        </w:rPr>
      </w:pPr>
    </w:p>
    <w:p w14:paraId="4B6E700B" w14:textId="66CD2412" w:rsidR="000B6CBE" w:rsidRPr="00377C01" w:rsidRDefault="000B6CBE" w:rsidP="00377C01">
      <w:pPr>
        <w:jc w:val="both"/>
        <w:rPr>
          <w:rFonts w:ascii="Calibri" w:hAnsi="Calibri" w:cs="Calibri"/>
        </w:rPr>
      </w:pPr>
    </w:p>
    <w:p w14:paraId="66EDAAB7" w14:textId="46BB2910" w:rsidR="000B6CBE" w:rsidRPr="00377C01" w:rsidRDefault="000B6CBE" w:rsidP="00377C01">
      <w:pPr>
        <w:jc w:val="both"/>
        <w:rPr>
          <w:rFonts w:ascii="Calibri" w:hAnsi="Calibri" w:cs="Calibri"/>
        </w:rPr>
      </w:pPr>
    </w:p>
    <w:p w14:paraId="15232AF3" w14:textId="0133617B" w:rsidR="000B6CBE" w:rsidRPr="00377C01" w:rsidRDefault="000B6CBE" w:rsidP="00377C01">
      <w:pPr>
        <w:jc w:val="both"/>
        <w:rPr>
          <w:rFonts w:ascii="Calibri" w:hAnsi="Calibri" w:cs="Calibri"/>
        </w:rPr>
      </w:pPr>
    </w:p>
    <w:p w14:paraId="2B2F5DD0" w14:textId="532EBBE5" w:rsidR="000B6CBE" w:rsidRPr="00377C01" w:rsidRDefault="000B6CBE" w:rsidP="00377C01">
      <w:pPr>
        <w:jc w:val="both"/>
        <w:rPr>
          <w:rFonts w:ascii="Calibri" w:hAnsi="Calibri" w:cs="Calibri"/>
        </w:rPr>
      </w:pPr>
    </w:p>
    <w:p w14:paraId="42EB2289" w14:textId="5198B7F0" w:rsidR="000B6CBE" w:rsidRPr="00377C01" w:rsidRDefault="000B6CBE" w:rsidP="00377C01">
      <w:pPr>
        <w:jc w:val="both"/>
        <w:rPr>
          <w:rFonts w:ascii="Calibri" w:hAnsi="Calibri" w:cs="Calibri"/>
        </w:rPr>
      </w:pPr>
    </w:p>
    <w:p w14:paraId="6AD547AE" w14:textId="132BC1B8" w:rsidR="000B6CBE" w:rsidRPr="00377C01" w:rsidRDefault="000B6CBE" w:rsidP="00377C01">
      <w:pPr>
        <w:jc w:val="both"/>
        <w:rPr>
          <w:rFonts w:ascii="Calibri" w:hAnsi="Calibri" w:cs="Calibri"/>
        </w:rPr>
      </w:pPr>
    </w:p>
    <w:p w14:paraId="10B36BB7" w14:textId="4E3803FA" w:rsidR="000B6CBE" w:rsidRPr="00377C01" w:rsidRDefault="000B6CBE" w:rsidP="00377C01">
      <w:pPr>
        <w:jc w:val="both"/>
        <w:rPr>
          <w:rFonts w:ascii="Calibri" w:hAnsi="Calibri" w:cs="Calibri"/>
        </w:rPr>
      </w:pPr>
    </w:p>
    <w:p w14:paraId="55FD6603" w14:textId="77777777" w:rsidR="000B6CBE" w:rsidRPr="00377C01" w:rsidRDefault="000B6CBE" w:rsidP="00377C01">
      <w:pPr>
        <w:jc w:val="both"/>
        <w:rPr>
          <w:rFonts w:ascii="Calibri" w:hAnsi="Calibri" w:cs="Calibri"/>
        </w:rPr>
      </w:pPr>
    </w:p>
    <w:p w14:paraId="09E65AAF" w14:textId="6531B2C1" w:rsidR="00764651" w:rsidRPr="00377C01" w:rsidRDefault="00764651" w:rsidP="00377C01">
      <w:pPr>
        <w:jc w:val="both"/>
        <w:rPr>
          <w:rFonts w:ascii="Calibri" w:hAnsi="Calibri" w:cs="Calibri"/>
        </w:rPr>
      </w:pPr>
    </w:p>
    <w:p w14:paraId="3EA38562" w14:textId="2240D054" w:rsidR="00764651" w:rsidRPr="00377C01" w:rsidRDefault="00764651" w:rsidP="00377C01">
      <w:pPr>
        <w:jc w:val="both"/>
        <w:rPr>
          <w:rFonts w:ascii="Calibri" w:hAnsi="Calibri" w:cs="Calibri"/>
        </w:rPr>
      </w:pPr>
    </w:p>
    <w:p w14:paraId="448476C4" w14:textId="77777777" w:rsidR="000B6CBE" w:rsidRPr="00377C01" w:rsidRDefault="000B6CBE" w:rsidP="00377C01">
      <w:pPr>
        <w:jc w:val="both"/>
        <w:rPr>
          <w:rFonts w:ascii="Calibri" w:hAnsi="Calibri" w:cs="Calibri"/>
        </w:rPr>
      </w:pPr>
    </w:p>
    <w:p w14:paraId="5DCC003F" w14:textId="77777777" w:rsidR="000B6CBE" w:rsidRPr="00377C01" w:rsidRDefault="000B6CBE" w:rsidP="00377C01">
      <w:pPr>
        <w:jc w:val="both"/>
        <w:rPr>
          <w:rFonts w:ascii="Calibri" w:hAnsi="Calibri" w:cs="Calibri"/>
        </w:rPr>
      </w:pPr>
    </w:p>
    <w:p w14:paraId="03F36187" w14:textId="77777777" w:rsidR="000B6CBE" w:rsidRPr="00377C01" w:rsidRDefault="000B6CBE" w:rsidP="00377C01">
      <w:pPr>
        <w:jc w:val="both"/>
        <w:rPr>
          <w:rFonts w:ascii="Calibri" w:hAnsi="Calibri" w:cs="Calibri"/>
        </w:rPr>
      </w:pPr>
    </w:p>
    <w:p w14:paraId="02B1CCE3" w14:textId="77777777" w:rsidR="000B6CBE" w:rsidRPr="00377C01" w:rsidRDefault="000B6CBE" w:rsidP="00377C01">
      <w:pPr>
        <w:jc w:val="both"/>
        <w:rPr>
          <w:rFonts w:ascii="Calibri" w:hAnsi="Calibri" w:cs="Calibri"/>
        </w:rPr>
      </w:pPr>
    </w:p>
    <w:p w14:paraId="7F3DD995" w14:textId="77777777" w:rsidR="000B6CBE" w:rsidRPr="00377C01" w:rsidRDefault="000B6CBE" w:rsidP="00377C01">
      <w:pPr>
        <w:jc w:val="both"/>
        <w:rPr>
          <w:rFonts w:ascii="Calibri" w:hAnsi="Calibri" w:cs="Calibri"/>
        </w:rPr>
      </w:pPr>
    </w:p>
    <w:p w14:paraId="2F5EDA47" w14:textId="77777777" w:rsidR="000B6CBE" w:rsidRPr="00377C01" w:rsidRDefault="000B6CBE" w:rsidP="00377C01">
      <w:pPr>
        <w:jc w:val="both"/>
        <w:rPr>
          <w:rFonts w:ascii="Calibri" w:hAnsi="Calibri" w:cs="Calibri"/>
        </w:rPr>
      </w:pPr>
    </w:p>
    <w:p w14:paraId="4E505AE5" w14:textId="77777777" w:rsidR="000B6CBE" w:rsidRPr="00377C01" w:rsidRDefault="000B6CBE" w:rsidP="00377C01">
      <w:pPr>
        <w:jc w:val="both"/>
        <w:rPr>
          <w:rFonts w:ascii="Calibri" w:hAnsi="Calibri" w:cs="Calibri"/>
        </w:rPr>
      </w:pPr>
    </w:p>
    <w:p w14:paraId="77F3C092" w14:textId="74B80D6F" w:rsidR="000B6CBE" w:rsidRPr="00377C01" w:rsidRDefault="000B6CBE" w:rsidP="00377C01">
      <w:pPr>
        <w:jc w:val="both"/>
        <w:rPr>
          <w:rFonts w:ascii="Calibri" w:hAnsi="Calibri" w:cs="Calibri"/>
        </w:rPr>
      </w:pPr>
      <w:r w:rsidRPr="00377C01">
        <w:rPr>
          <w:rFonts w:ascii="Calibri" w:hAnsi="Calibri" w:cs="Calibri"/>
        </w:rPr>
        <w:t xml:space="preserve">                                                                            PART TWO</w:t>
      </w:r>
    </w:p>
    <w:p w14:paraId="04C5B63E" w14:textId="77777777" w:rsidR="000B6CBE" w:rsidRPr="00377C01" w:rsidRDefault="000B6CBE" w:rsidP="00377C01">
      <w:pPr>
        <w:jc w:val="both"/>
        <w:rPr>
          <w:rFonts w:ascii="Calibri" w:hAnsi="Calibri" w:cs="Calibri"/>
        </w:rPr>
      </w:pPr>
    </w:p>
    <w:p w14:paraId="5A807B05" w14:textId="5D2F9075" w:rsidR="00923235" w:rsidRPr="00377C01" w:rsidRDefault="00923235" w:rsidP="00377C01">
      <w:pPr>
        <w:jc w:val="both"/>
        <w:rPr>
          <w:rFonts w:ascii="Calibri" w:hAnsi="Calibri" w:cs="Calibri"/>
        </w:rPr>
      </w:pPr>
      <w:r w:rsidRPr="00377C01">
        <w:rPr>
          <w:rFonts w:ascii="Calibri" w:hAnsi="Calibri" w:cs="Calibri"/>
        </w:rPr>
        <w:t>There Is No Absolute Doctrine Of Separation Of Powers In The UK Constitution. Covers Exist Both In Terms Of The Functions Of The Organs Of State And The Personnel Operating Within Them. The UK Relies On A System Of Checks And Balances To Prevent Against Abuses Of Power. Look at How The Checks And Balances Work To Prevent Against Potential Abuses Of Power And Discuss The Extent To Which The Current Administration Has Sought To Strengthen These Checks And Balances In Recent Years.</w:t>
      </w:r>
    </w:p>
    <w:p w14:paraId="5AD2580F" w14:textId="0DFC4284" w:rsidR="003F69B8" w:rsidRPr="00377C01" w:rsidRDefault="00923235" w:rsidP="00377C01">
      <w:pPr>
        <w:jc w:val="both"/>
        <w:rPr>
          <w:rFonts w:ascii="Calibri" w:hAnsi="Calibri" w:cs="Calibri"/>
        </w:rPr>
      </w:pPr>
      <w:r w:rsidRPr="00377C01">
        <w:rPr>
          <w:rFonts w:ascii="Calibri" w:hAnsi="Calibri" w:cs="Calibri"/>
        </w:rPr>
        <w:t>The UK has a partition of forces; there are clear covers both as far as faculty and capacity between the three organs of government which might be recognized. The public authority forces ought to be practiced by administrative, leader and legal, inside their own impediments and ought to likewise check each and other</w:t>
      </w:r>
      <w:r w:rsidRPr="00377C01">
        <w:rPr>
          <w:rFonts w:ascii="Calibri" w:hAnsi="Calibri" w:cs="Calibri"/>
        </w:rPr>
        <w:t>.</w:t>
      </w:r>
    </w:p>
    <w:p w14:paraId="60B96326" w14:textId="65FC526D" w:rsidR="00923235" w:rsidRPr="00377C01" w:rsidRDefault="00923235" w:rsidP="00377C01">
      <w:pPr>
        <w:jc w:val="both"/>
        <w:rPr>
          <w:rFonts w:ascii="Calibri" w:hAnsi="Calibri" w:cs="Calibri"/>
        </w:rPr>
      </w:pPr>
      <w:r w:rsidRPr="00377C01">
        <w:rPr>
          <w:rFonts w:ascii="Calibri" w:hAnsi="Calibri" w:cs="Calibri"/>
        </w:rPr>
        <w:t>The principle of division of forces had affected numerous logicians, constitution producers, similar to Montesquieu who all had profound thought to this regulation. Despite the fact that UK constitution is unwritten yet it's anything but a brilliant standard of partition of forces for the world to follow.</w:t>
      </w:r>
    </w:p>
    <w:p w14:paraId="1BF30235" w14:textId="77777777" w:rsidR="00923235" w:rsidRPr="00377C01" w:rsidRDefault="00923235" w:rsidP="00377C01">
      <w:pPr>
        <w:jc w:val="both"/>
        <w:rPr>
          <w:rFonts w:ascii="Calibri" w:hAnsi="Calibri" w:cs="Calibri"/>
        </w:rPr>
      </w:pPr>
    </w:p>
    <w:p w14:paraId="070538F0" w14:textId="4BD0EA98" w:rsidR="00923235" w:rsidRPr="00377C01" w:rsidRDefault="00923235" w:rsidP="00377C01">
      <w:pPr>
        <w:jc w:val="both"/>
        <w:rPr>
          <w:rFonts w:ascii="Calibri" w:hAnsi="Calibri" w:cs="Calibri"/>
        </w:rPr>
      </w:pPr>
      <w:r w:rsidRPr="00377C01">
        <w:rPr>
          <w:rFonts w:ascii="Calibri" w:hAnsi="Calibri" w:cs="Calibri"/>
        </w:rPr>
        <w:t xml:space="preserve">The House of Commons Disqualification Act 1975 is an Act of the Parliament of the United Kingdom that forbids certain classifications of individuals from turning out to be individuals from the House of Commons. It's anything but a refreshed rendition of comparative more established demonstrations, including the House of Commons Disqualification Act 1957. </w:t>
      </w:r>
    </w:p>
    <w:p w14:paraId="6E660FC6" w14:textId="77777777" w:rsidR="00923235" w:rsidRPr="00377C01" w:rsidRDefault="00923235" w:rsidP="00377C01">
      <w:pPr>
        <w:jc w:val="both"/>
        <w:rPr>
          <w:rFonts w:ascii="Calibri" w:hAnsi="Calibri" w:cs="Calibri"/>
        </w:rPr>
      </w:pPr>
    </w:p>
    <w:p w14:paraId="5C780ECC" w14:textId="77777777" w:rsidR="00923235" w:rsidRPr="00377C01" w:rsidRDefault="00923235" w:rsidP="00377C01">
      <w:pPr>
        <w:jc w:val="both"/>
        <w:rPr>
          <w:rFonts w:ascii="Calibri" w:hAnsi="Calibri" w:cs="Calibri"/>
        </w:rPr>
      </w:pPr>
      <w:r w:rsidRPr="00377C01">
        <w:rPr>
          <w:rFonts w:ascii="Calibri" w:hAnsi="Calibri" w:cs="Calibri"/>
        </w:rPr>
        <w:t xml:space="preserve">The gatherings excluded from all voting public are: </w:t>
      </w:r>
    </w:p>
    <w:p w14:paraId="04DC894C" w14:textId="77777777" w:rsidR="00923235" w:rsidRPr="00377C01" w:rsidRDefault="00923235" w:rsidP="00377C01">
      <w:pPr>
        <w:jc w:val="both"/>
        <w:rPr>
          <w:rFonts w:ascii="Calibri" w:hAnsi="Calibri" w:cs="Calibri"/>
        </w:rPr>
      </w:pPr>
    </w:p>
    <w:p w14:paraId="1B8BCC47" w14:textId="77777777" w:rsidR="00923235" w:rsidRPr="00377C01" w:rsidRDefault="00923235" w:rsidP="00377C01">
      <w:pPr>
        <w:jc w:val="both"/>
        <w:rPr>
          <w:rFonts w:ascii="Calibri" w:hAnsi="Calibri" w:cs="Calibri"/>
        </w:rPr>
      </w:pPr>
      <w:r w:rsidRPr="00377C01">
        <w:rPr>
          <w:rFonts w:ascii="Calibri" w:hAnsi="Calibri" w:cs="Calibri"/>
        </w:rPr>
        <w:t xml:space="preserve">Rulers Spiritual </w:t>
      </w:r>
    </w:p>
    <w:p w14:paraId="5D2884F3" w14:textId="77777777" w:rsidR="00923235" w:rsidRPr="00377C01" w:rsidRDefault="00923235" w:rsidP="00377C01">
      <w:pPr>
        <w:jc w:val="both"/>
        <w:rPr>
          <w:rFonts w:ascii="Calibri" w:hAnsi="Calibri" w:cs="Calibri"/>
        </w:rPr>
      </w:pPr>
    </w:p>
    <w:p w14:paraId="76815137" w14:textId="77777777" w:rsidR="00923235" w:rsidRPr="00377C01" w:rsidRDefault="00923235" w:rsidP="00377C01">
      <w:pPr>
        <w:jc w:val="both"/>
        <w:rPr>
          <w:rFonts w:ascii="Calibri" w:hAnsi="Calibri" w:cs="Calibri"/>
        </w:rPr>
      </w:pPr>
      <w:r w:rsidRPr="00377C01">
        <w:rPr>
          <w:rFonts w:ascii="Calibri" w:hAnsi="Calibri" w:cs="Calibri"/>
        </w:rPr>
        <w:t xml:space="preserve">judges </w:t>
      </w:r>
    </w:p>
    <w:p w14:paraId="5A159D3F" w14:textId="77777777" w:rsidR="00923235" w:rsidRPr="00377C01" w:rsidRDefault="00923235" w:rsidP="00377C01">
      <w:pPr>
        <w:jc w:val="both"/>
        <w:rPr>
          <w:rFonts w:ascii="Calibri" w:hAnsi="Calibri" w:cs="Calibri"/>
        </w:rPr>
      </w:pPr>
    </w:p>
    <w:p w14:paraId="0A3E53E1" w14:textId="77777777" w:rsidR="00923235" w:rsidRPr="00377C01" w:rsidRDefault="00923235" w:rsidP="00377C01">
      <w:pPr>
        <w:jc w:val="both"/>
        <w:rPr>
          <w:rFonts w:ascii="Calibri" w:hAnsi="Calibri" w:cs="Calibri"/>
        </w:rPr>
      </w:pPr>
      <w:r w:rsidRPr="00377C01">
        <w:rPr>
          <w:rFonts w:ascii="Calibri" w:hAnsi="Calibri" w:cs="Calibri"/>
        </w:rPr>
        <w:t xml:space="preserve">government employees </w:t>
      </w:r>
    </w:p>
    <w:p w14:paraId="142497FD" w14:textId="77777777" w:rsidR="00923235" w:rsidRPr="00377C01" w:rsidRDefault="00923235" w:rsidP="00377C01">
      <w:pPr>
        <w:jc w:val="both"/>
        <w:rPr>
          <w:rFonts w:ascii="Calibri" w:hAnsi="Calibri" w:cs="Calibri"/>
        </w:rPr>
      </w:pPr>
    </w:p>
    <w:p w14:paraId="5AE76FB1" w14:textId="77777777" w:rsidR="00923235" w:rsidRPr="00377C01" w:rsidRDefault="00923235" w:rsidP="00377C01">
      <w:pPr>
        <w:jc w:val="both"/>
        <w:rPr>
          <w:rFonts w:ascii="Calibri" w:hAnsi="Calibri" w:cs="Calibri"/>
        </w:rPr>
      </w:pPr>
      <w:r w:rsidRPr="00377C01">
        <w:rPr>
          <w:rFonts w:ascii="Calibri" w:hAnsi="Calibri" w:cs="Calibri"/>
        </w:rPr>
        <w:t xml:space="preserve">serving standard individuals from the military, with the exception of Admirals of the Fleet, Field Marshals and Marshals of the Royal Air Force </w:t>
      </w:r>
    </w:p>
    <w:p w14:paraId="7BB4CEA3" w14:textId="77777777" w:rsidR="00923235" w:rsidRPr="00377C01" w:rsidRDefault="00923235" w:rsidP="00377C01">
      <w:pPr>
        <w:jc w:val="both"/>
        <w:rPr>
          <w:rFonts w:ascii="Calibri" w:hAnsi="Calibri" w:cs="Calibri"/>
        </w:rPr>
      </w:pPr>
    </w:p>
    <w:p w14:paraId="62682E49" w14:textId="77777777" w:rsidR="00923235" w:rsidRPr="00377C01" w:rsidRDefault="00923235" w:rsidP="00377C01">
      <w:pPr>
        <w:jc w:val="both"/>
        <w:rPr>
          <w:rFonts w:ascii="Calibri" w:hAnsi="Calibri" w:cs="Calibri"/>
        </w:rPr>
      </w:pPr>
      <w:r w:rsidRPr="00377C01">
        <w:rPr>
          <w:rFonts w:ascii="Calibri" w:hAnsi="Calibri" w:cs="Calibri"/>
        </w:rPr>
        <w:t xml:space="preserve">full-time police constables </w:t>
      </w:r>
    </w:p>
    <w:p w14:paraId="51C49616" w14:textId="77777777" w:rsidR="00923235" w:rsidRPr="00377C01" w:rsidRDefault="00923235" w:rsidP="00377C01">
      <w:pPr>
        <w:jc w:val="both"/>
        <w:rPr>
          <w:rFonts w:ascii="Calibri" w:hAnsi="Calibri" w:cs="Calibri"/>
        </w:rPr>
      </w:pPr>
    </w:p>
    <w:p w14:paraId="7DBEB596" w14:textId="77777777" w:rsidR="00923235" w:rsidRPr="00377C01" w:rsidRDefault="00923235" w:rsidP="00377C01">
      <w:pPr>
        <w:jc w:val="both"/>
        <w:rPr>
          <w:rFonts w:ascii="Calibri" w:hAnsi="Calibri" w:cs="Calibri"/>
        </w:rPr>
      </w:pPr>
      <w:r w:rsidRPr="00377C01">
        <w:rPr>
          <w:rFonts w:ascii="Calibri" w:hAnsi="Calibri" w:cs="Calibri"/>
        </w:rPr>
        <w:t xml:space="preserve">individuals from </w:t>
      </w:r>
      <w:proofErr w:type="spellStart"/>
      <w:r w:rsidRPr="00377C01">
        <w:rPr>
          <w:rFonts w:ascii="Calibri" w:hAnsi="Calibri" w:cs="Calibri"/>
        </w:rPr>
        <w:t>lawmaking</w:t>
      </w:r>
      <w:proofErr w:type="spellEnd"/>
      <w:r w:rsidRPr="00377C01">
        <w:rPr>
          <w:rFonts w:ascii="Calibri" w:hAnsi="Calibri" w:cs="Calibri"/>
        </w:rPr>
        <w:t xml:space="preserve"> bodies of non-Commonwealth nations, other than Ireland </w:t>
      </w:r>
    </w:p>
    <w:p w14:paraId="18493567" w14:textId="77777777" w:rsidR="00923235" w:rsidRPr="00377C01" w:rsidRDefault="00923235" w:rsidP="00377C01">
      <w:pPr>
        <w:jc w:val="both"/>
        <w:rPr>
          <w:rFonts w:ascii="Calibri" w:hAnsi="Calibri" w:cs="Calibri"/>
        </w:rPr>
      </w:pPr>
    </w:p>
    <w:p w14:paraId="4B927846" w14:textId="77777777" w:rsidR="00923235" w:rsidRPr="00377C01" w:rsidRDefault="00923235" w:rsidP="00377C01">
      <w:pPr>
        <w:jc w:val="both"/>
        <w:rPr>
          <w:rFonts w:ascii="Calibri" w:hAnsi="Calibri" w:cs="Calibri"/>
        </w:rPr>
      </w:pPr>
      <w:r w:rsidRPr="00377C01">
        <w:rPr>
          <w:rFonts w:ascii="Calibri" w:hAnsi="Calibri" w:cs="Calibri"/>
        </w:rPr>
        <w:t xml:space="preserve">holders of certain managerial and conciliatory workplaces </w:t>
      </w:r>
    </w:p>
    <w:p w14:paraId="4D1CF6B0" w14:textId="77777777" w:rsidR="00923235" w:rsidRPr="00377C01" w:rsidRDefault="00923235" w:rsidP="00377C01">
      <w:pPr>
        <w:jc w:val="both"/>
        <w:rPr>
          <w:rFonts w:ascii="Calibri" w:hAnsi="Calibri" w:cs="Calibri"/>
        </w:rPr>
      </w:pPr>
    </w:p>
    <w:p w14:paraId="6B308EEF" w14:textId="77777777" w:rsidR="00923235" w:rsidRPr="00377C01" w:rsidRDefault="00923235" w:rsidP="00377C01">
      <w:pPr>
        <w:jc w:val="both"/>
        <w:rPr>
          <w:rFonts w:ascii="Calibri" w:hAnsi="Calibri" w:cs="Calibri"/>
        </w:rPr>
      </w:pPr>
      <w:r w:rsidRPr="00377C01">
        <w:rPr>
          <w:rFonts w:ascii="Calibri" w:hAnsi="Calibri" w:cs="Calibri"/>
        </w:rPr>
        <w:t xml:space="preserve">all individuals from specific bodies, like councils and government offices, in addition to some legal organizations, for example, Channel 4 </w:t>
      </w:r>
    </w:p>
    <w:p w14:paraId="40E84E3A" w14:textId="77777777" w:rsidR="00923235" w:rsidRPr="00377C01" w:rsidRDefault="00923235" w:rsidP="00377C01">
      <w:pPr>
        <w:jc w:val="both"/>
        <w:rPr>
          <w:rFonts w:ascii="Calibri" w:hAnsi="Calibri" w:cs="Calibri"/>
        </w:rPr>
      </w:pPr>
    </w:p>
    <w:p w14:paraId="2B0DD406" w14:textId="77777777" w:rsidR="00923235" w:rsidRPr="00377C01" w:rsidRDefault="00923235" w:rsidP="00377C01">
      <w:pPr>
        <w:jc w:val="both"/>
        <w:rPr>
          <w:rFonts w:ascii="Calibri" w:hAnsi="Calibri" w:cs="Calibri"/>
        </w:rPr>
      </w:pPr>
      <w:r w:rsidRPr="00377C01">
        <w:rPr>
          <w:rFonts w:ascii="Calibri" w:hAnsi="Calibri" w:cs="Calibri"/>
        </w:rPr>
        <w:t xml:space="preserve">Masters Lieutenant, High Sheriffs and the Governor of the Isle of Wight are likewise precluded from seats for voting demographics inside their space. </w:t>
      </w:r>
    </w:p>
    <w:p w14:paraId="4C8BB28F" w14:textId="77777777" w:rsidR="00923235" w:rsidRPr="00377C01" w:rsidRDefault="00923235" w:rsidP="00377C01">
      <w:pPr>
        <w:jc w:val="both"/>
        <w:rPr>
          <w:rFonts w:ascii="Calibri" w:hAnsi="Calibri" w:cs="Calibri"/>
        </w:rPr>
      </w:pPr>
    </w:p>
    <w:p w14:paraId="264E03A0" w14:textId="77777777" w:rsidR="00923235" w:rsidRPr="00377C01" w:rsidRDefault="00923235" w:rsidP="00377C01">
      <w:pPr>
        <w:jc w:val="both"/>
        <w:rPr>
          <w:rFonts w:ascii="Calibri" w:hAnsi="Calibri" w:cs="Calibri"/>
        </w:rPr>
      </w:pPr>
      <w:r w:rsidRPr="00377C01">
        <w:rPr>
          <w:rFonts w:ascii="Calibri" w:hAnsi="Calibri" w:cs="Calibri"/>
        </w:rPr>
        <w:lastRenderedPageBreak/>
        <w:t xml:space="preserve">Area 2 restricts the quantity of government authorities (explicitly, holders of workplaces recorded in Schedule 2) in the House of Commons at any one chance to 95. Any selected over that breaking point are prohibited to cast a ballot until the number is decreased to 95. </w:t>
      </w:r>
    </w:p>
    <w:p w14:paraId="19EDC547" w14:textId="77777777" w:rsidR="00923235" w:rsidRPr="00377C01" w:rsidRDefault="00923235" w:rsidP="00377C01">
      <w:pPr>
        <w:jc w:val="both"/>
        <w:rPr>
          <w:rFonts w:ascii="Calibri" w:hAnsi="Calibri" w:cs="Calibri"/>
        </w:rPr>
      </w:pPr>
    </w:p>
    <w:p w14:paraId="51B5F874" w14:textId="77777777" w:rsidR="00923235" w:rsidRPr="00377C01" w:rsidRDefault="00923235" w:rsidP="00377C01">
      <w:pPr>
        <w:jc w:val="both"/>
        <w:rPr>
          <w:rFonts w:ascii="Calibri" w:hAnsi="Calibri" w:cs="Calibri"/>
        </w:rPr>
      </w:pPr>
      <w:r w:rsidRPr="00377C01">
        <w:rPr>
          <w:rFonts w:ascii="Calibri" w:hAnsi="Calibri" w:cs="Calibri"/>
        </w:rPr>
        <w:t xml:space="preserve">Segment 4 viably adds the Crown Stewards and Bailiffs of the Chiltern Hundreds and of the Manor of </w:t>
      </w:r>
      <w:proofErr w:type="spellStart"/>
      <w:r w:rsidRPr="00377C01">
        <w:rPr>
          <w:rFonts w:ascii="Calibri" w:hAnsi="Calibri" w:cs="Calibri"/>
        </w:rPr>
        <w:t>Northstead</w:t>
      </w:r>
      <w:proofErr w:type="spellEnd"/>
      <w:r w:rsidRPr="00377C01">
        <w:rPr>
          <w:rFonts w:ascii="Calibri" w:hAnsi="Calibri" w:cs="Calibri"/>
        </w:rPr>
        <w:t xml:space="preserve"> to Part III to Schedule 1, in this manner naming them as workplaces whose holders are excluded. These workplaces are sinecures, utilized in present day times to impact abdication from the House of Commons. Before 1926, this preclusion was because of them being "workplaces of benefit under the Crown", however that exclusion was annulled in 1926 and by s. 1(4) of this Act. </w:t>
      </w:r>
    </w:p>
    <w:p w14:paraId="4D0954CE" w14:textId="77777777" w:rsidR="00923235" w:rsidRPr="00377C01" w:rsidRDefault="00923235" w:rsidP="00377C01">
      <w:pPr>
        <w:jc w:val="both"/>
        <w:rPr>
          <w:rFonts w:ascii="Calibri" w:hAnsi="Calibri" w:cs="Calibri"/>
        </w:rPr>
      </w:pPr>
    </w:p>
    <w:p w14:paraId="13B2FCAC" w14:textId="41BB26C6" w:rsidR="00FA5EDF" w:rsidRPr="00377C01" w:rsidRDefault="00923235" w:rsidP="00377C01">
      <w:pPr>
        <w:jc w:val="both"/>
        <w:rPr>
          <w:rFonts w:ascii="Calibri" w:hAnsi="Calibri" w:cs="Calibri"/>
        </w:rPr>
      </w:pPr>
      <w:r w:rsidRPr="00377C01">
        <w:rPr>
          <w:rFonts w:ascii="Calibri" w:hAnsi="Calibri" w:cs="Calibri"/>
        </w:rPr>
        <w:t>The political decision to the Commons of a precluded individual is invalid, and the seat of an excluded MP is abandoned promptly (setting off a by-political decision). The Privy Council has purview to decide if an indicated MP is precluded; the issue might be attempted in the High Court, Court of Session or High Court of Northern Ireland as proper for the supporters.</w:t>
      </w:r>
    </w:p>
    <w:p w14:paraId="26BCB763" w14:textId="30D40903" w:rsidR="0010381E" w:rsidRPr="00377C01" w:rsidRDefault="0010381E" w:rsidP="00377C01">
      <w:pPr>
        <w:jc w:val="both"/>
        <w:rPr>
          <w:rFonts w:ascii="Calibri" w:hAnsi="Calibri" w:cs="Calibri"/>
        </w:rPr>
      </w:pPr>
    </w:p>
    <w:p w14:paraId="516A8CD5" w14:textId="7E99506A" w:rsidR="0010381E" w:rsidRPr="00377C01" w:rsidRDefault="0010381E" w:rsidP="00377C01">
      <w:pPr>
        <w:jc w:val="both"/>
        <w:rPr>
          <w:rFonts w:ascii="Calibri" w:hAnsi="Calibri" w:cs="Calibri"/>
        </w:rPr>
      </w:pPr>
      <w:r w:rsidRPr="00377C01">
        <w:rPr>
          <w:rFonts w:ascii="Calibri" w:hAnsi="Calibri" w:cs="Calibri"/>
        </w:rPr>
        <w:t>The Parliamentary Voting System and Constituencies Act 2011 (c. 1) is an Act of the Parliament of the United Kingdom that made arrangement for the holding of a choice on whether to present the Alternative Vote framework in all future general races to the UK Parliament and furthermore made arrangement on the number and size of parliamentary voting demographics. The Bill for the Act was acquainted with the House of Commons on 22 July 2010 and passed third perusing on 2 November by 321 votes to 264.[1] The House of Lords passed the Bill, with changes, on 14 February 2011,[2] and after certain trade</w:t>
      </w:r>
      <w:r w:rsidR="009C3B24" w:rsidRPr="00377C01">
        <w:rPr>
          <w:rFonts w:ascii="Calibri" w:hAnsi="Calibri" w:cs="Calibri"/>
        </w:rPr>
        <w:t xml:space="preserve">- </w:t>
      </w:r>
      <w:r w:rsidRPr="00377C01">
        <w:rPr>
          <w:rFonts w:ascii="Calibri" w:hAnsi="Calibri" w:cs="Calibri"/>
        </w:rPr>
        <w:t>offs between the two Houses on revisions, it got Royal Assent on 16 February.</w:t>
      </w:r>
    </w:p>
    <w:p w14:paraId="1C846A0D" w14:textId="24FC4F25" w:rsidR="0010381E" w:rsidRPr="00377C01" w:rsidRDefault="0010381E" w:rsidP="00377C01">
      <w:pPr>
        <w:jc w:val="both"/>
        <w:rPr>
          <w:rFonts w:ascii="Calibri" w:hAnsi="Calibri" w:cs="Calibri"/>
        </w:rPr>
      </w:pPr>
    </w:p>
    <w:p w14:paraId="4BCF9CE8" w14:textId="77777777" w:rsidR="0010381E" w:rsidRPr="00377C01" w:rsidRDefault="0010381E" w:rsidP="00377C01">
      <w:pPr>
        <w:jc w:val="both"/>
        <w:rPr>
          <w:rFonts w:ascii="Calibri" w:hAnsi="Calibri" w:cs="Calibri"/>
        </w:rPr>
      </w:pPr>
      <w:r w:rsidRPr="00377C01">
        <w:rPr>
          <w:rFonts w:ascii="Calibri" w:hAnsi="Calibri" w:cs="Calibri"/>
        </w:rPr>
        <w:t>The Backbench Business Committee of the British House of Commons was made on 15 June 2010 through the reception of another standing order.[1] It was made before long 2010 general political race, however had been proposed during the past Parliament by the Wright Committee on Reform of the House of Commons in its report of 12 November 2009.</w:t>
      </w:r>
    </w:p>
    <w:p w14:paraId="5E4641B9" w14:textId="77777777" w:rsidR="0010381E" w:rsidRPr="00377C01" w:rsidRDefault="0010381E" w:rsidP="00377C01">
      <w:pPr>
        <w:jc w:val="both"/>
        <w:rPr>
          <w:rFonts w:ascii="Calibri" w:hAnsi="Calibri" w:cs="Calibri"/>
        </w:rPr>
      </w:pPr>
      <w:r w:rsidRPr="00377C01">
        <w:rPr>
          <w:rFonts w:ascii="Calibri" w:hAnsi="Calibri" w:cs="Calibri"/>
        </w:rPr>
        <w:t>At the point when it made the board, the House set out to survey the panel's work toward the start of the 2011/12 meeting. The Leader of the House of Commons, Sir George Young, expressed that the reason for the survey was to assist with arriving at the following period of carrying out the Wright Committee report: setting up a panel to oversee significantly all House business</w:t>
      </w:r>
    </w:p>
    <w:p w14:paraId="6239D387" w14:textId="7955B818" w:rsidR="009C3B24" w:rsidRPr="00377C01" w:rsidRDefault="009C3B24" w:rsidP="00377C01">
      <w:pPr>
        <w:jc w:val="both"/>
        <w:rPr>
          <w:rFonts w:ascii="Calibri" w:hAnsi="Calibri" w:cs="Calibri"/>
        </w:rPr>
      </w:pPr>
    </w:p>
    <w:p w14:paraId="0BCDB98E" w14:textId="5F74D714" w:rsidR="003F69B8" w:rsidRPr="00377C01" w:rsidRDefault="009C3B24" w:rsidP="00377C01">
      <w:pPr>
        <w:jc w:val="both"/>
        <w:rPr>
          <w:rFonts w:ascii="Calibri" w:hAnsi="Calibri" w:cs="Calibri"/>
        </w:rPr>
      </w:pPr>
      <w:r w:rsidRPr="00377C01">
        <w:rPr>
          <w:rFonts w:ascii="Calibri" w:hAnsi="Calibri" w:cs="Calibri"/>
        </w:rPr>
        <w:t>s1 HCDA 1975-excludes certain individuals from the chief (government workers, individuals from the military, and individuals from the police) from holding Parliamentary office.</w:t>
      </w:r>
    </w:p>
    <w:p w14:paraId="69ADF185" w14:textId="77777777" w:rsidR="009C3B24" w:rsidRPr="00377C01" w:rsidRDefault="009C3B24" w:rsidP="00377C01">
      <w:pPr>
        <w:jc w:val="both"/>
        <w:rPr>
          <w:rFonts w:ascii="Calibri" w:hAnsi="Calibri" w:cs="Calibri"/>
        </w:rPr>
      </w:pPr>
    </w:p>
    <w:p w14:paraId="7EEFD5EA" w14:textId="720CA1F4" w:rsidR="009C3B24" w:rsidRPr="00377C01" w:rsidRDefault="009C3B24" w:rsidP="00377C01">
      <w:pPr>
        <w:jc w:val="both"/>
        <w:rPr>
          <w:rFonts w:ascii="Calibri" w:hAnsi="Calibri" w:cs="Calibri"/>
        </w:rPr>
      </w:pPr>
      <w:r w:rsidRPr="00377C01">
        <w:rPr>
          <w:rFonts w:ascii="Calibri" w:hAnsi="Calibri" w:cs="Calibri"/>
        </w:rPr>
        <w:t xml:space="preserve">The French political rationalist, Charles de Montesquieu, distinguished three separate parts of state: </w:t>
      </w:r>
    </w:p>
    <w:p w14:paraId="51EE5C1B" w14:textId="77777777" w:rsidR="009C3B24" w:rsidRPr="00377C01" w:rsidRDefault="009C3B24" w:rsidP="00377C01">
      <w:pPr>
        <w:jc w:val="both"/>
        <w:rPr>
          <w:rFonts w:ascii="Calibri" w:hAnsi="Calibri" w:cs="Calibri"/>
        </w:rPr>
      </w:pPr>
    </w:p>
    <w:p w14:paraId="40505971" w14:textId="77777777" w:rsidR="009C3B24" w:rsidRPr="00377C01" w:rsidRDefault="009C3B24" w:rsidP="00377C01">
      <w:pPr>
        <w:jc w:val="both"/>
        <w:rPr>
          <w:rFonts w:ascii="Calibri" w:hAnsi="Calibri" w:cs="Calibri"/>
        </w:rPr>
      </w:pPr>
      <w:r w:rsidRPr="00377C01">
        <w:rPr>
          <w:rFonts w:ascii="Calibri" w:hAnsi="Calibri" w:cs="Calibri"/>
        </w:rPr>
        <w:t xml:space="preserve">The Executive (the public authority) – the body that carries out the law; </w:t>
      </w:r>
    </w:p>
    <w:p w14:paraId="65841186" w14:textId="77777777" w:rsidR="009C3B24" w:rsidRPr="00377C01" w:rsidRDefault="009C3B24" w:rsidP="00377C01">
      <w:pPr>
        <w:jc w:val="both"/>
        <w:rPr>
          <w:rFonts w:ascii="Calibri" w:hAnsi="Calibri" w:cs="Calibri"/>
        </w:rPr>
      </w:pPr>
    </w:p>
    <w:p w14:paraId="16A13AD7" w14:textId="77777777" w:rsidR="009C3B24" w:rsidRPr="00377C01" w:rsidRDefault="009C3B24" w:rsidP="00377C01">
      <w:pPr>
        <w:jc w:val="both"/>
        <w:rPr>
          <w:rFonts w:ascii="Calibri" w:hAnsi="Calibri" w:cs="Calibri"/>
        </w:rPr>
      </w:pPr>
      <w:r w:rsidRPr="00377C01">
        <w:rPr>
          <w:rFonts w:ascii="Calibri" w:hAnsi="Calibri" w:cs="Calibri"/>
        </w:rPr>
        <w:t xml:space="preserve">The </w:t>
      </w:r>
      <w:proofErr w:type="spellStart"/>
      <w:r w:rsidRPr="00377C01">
        <w:rPr>
          <w:rFonts w:ascii="Calibri" w:hAnsi="Calibri" w:cs="Calibri"/>
        </w:rPr>
        <w:t>lawmaking</w:t>
      </w:r>
      <w:proofErr w:type="spellEnd"/>
      <w:r w:rsidRPr="00377C01">
        <w:rPr>
          <w:rFonts w:ascii="Calibri" w:hAnsi="Calibri" w:cs="Calibri"/>
        </w:rPr>
        <w:t xml:space="preserve"> body (Parliament) – the body that makes the law; and </w:t>
      </w:r>
    </w:p>
    <w:p w14:paraId="425B18EE" w14:textId="77777777" w:rsidR="009C3B24" w:rsidRPr="00377C01" w:rsidRDefault="009C3B24" w:rsidP="00377C01">
      <w:pPr>
        <w:jc w:val="both"/>
        <w:rPr>
          <w:rFonts w:ascii="Calibri" w:hAnsi="Calibri" w:cs="Calibri"/>
        </w:rPr>
      </w:pPr>
    </w:p>
    <w:p w14:paraId="1C209EF4" w14:textId="77777777" w:rsidR="00687B30" w:rsidRPr="00377C01" w:rsidRDefault="009C3B24" w:rsidP="00377C01">
      <w:pPr>
        <w:jc w:val="both"/>
        <w:rPr>
          <w:rFonts w:ascii="Calibri" w:hAnsi="Calibri" w:cs="Calibri"/>
        </w:rPr>
      </w:pPr>
      <w:r w:rsidRPr="00377C01">
        <w:rPr>
          <w:rFonts w:ascii="Calibri" w:hAnsi="Calibri" w:cs="Calibri"/>
        </w:rPr>
        <w:t>The legal executive (the courts) – the body that resolves debates about the law.</w:t>
      </w:r>
    </w:p>
    <w:p w14:paraId="283AE466" w14:textId="56B5EBB7" w:rsidR="009C3B24" w:rsidRPr="00377C01" w:rsidRDefault="009C3B24" w:rsidP="00377C01">
      <w:pPr>
        <w:jc w:val="both"/>
        <w:rPr>
          <w:rFonts w:ascii="Calibri" w:hAnsi="Calibri" w:cs="Calibri"/>
        </w:rPr>
      </w:pPr>
      <w:r w:rsidRPr="00377C01">
        <w:rPr>
          <w:rFonts w:ascii="Calibri" w:hAnsi="Calibri" w:cs="Calibri"/>
        </w:rPr>
        <w:lastRenderedPageBreak/>
        <w:t>R (Jackson) v Attorney General [2005] UKHL 56 is a House of Lords case noted for containing obiter remarks by the Judiciary acting in their authority capacity[note 1] recommending that there might be cut</w:t>
      </w:r>
      <w:r w:rsidRPr="00377C01">
        <w:rPr>
          <w:rFonts w:ascii="Calibri" w:hAnsi="Calibri" w:cs="Calibri"/>
        </w:rPr>
        <w:t xml:space="preserve"> </w:t>
      </w:r>
      <w:r w:rsidRPr="00377C01">
        <w:rPr>
          <w:rFonts w:ascii="Calibri" w:hAnsi="Calibri" w:cs="Calibri"/>
        </w:rPr>
        <w:t>off points to parliamentary sway, the standard position being that it is limitless in the United Kingdom.</w:t>
      </w:r>
    </w:p>
    <w:p w14:paraId="7658F757" w14:textId="77777777" w:rsidR="009C3B24" w:rsidRPr="00377C01" w:rsidRDefault="009C3B24" w:rsidP="00377C01">
      <w:pPr>
        <w:jc w:val="both"/>
        <w:rPr>
          <w:rFonts w:ascii="Calibri" w:hAnsi="Calibri" w:cs="Calibri"/>
        </w:rPr>
      </w:pPr>
    </w:p>
    <w:p w14:paraId="6728A14F" w14:textId="4E15C016" w:rsidR="009C3B24" w:rsidRPr="00377C01" w:rsidRDefault="009C3B24" w:rsidP="00377C01">
      <w:pPr>
        <w:jc w:val="both"/>
        <w:rPr>
          <w:rFonts w:ascii="Calibri" w:hAnsi="Calibri" w:cs="Calibri"/>
        </w:rPr>
      </w:pPr>
      <w:r w:rsidRPr="00377C01">
        <w:rPr>
          <w:rFonts w:ascii="Calibri" w:hAnsi="Calibri" w:cs="Calibri"/>
        </w:rPr>
        <w:t>The case, brought by Jackson and two different individuals from the Countryside Alliance, tested the utilization of the Parliament Acts to sanction the Hunting Act 2004. The appellants guaranteed that this Act was invalid as it had been passed utilizing an administrative methodology presented by the Parliament Act of 1949 which permitted Acts of Parliament to be passed without the assent of the House of Lords in the event that they had been postponed by that chamber for a year. This case depended on the contention that the institution of the Parliament Act of 1949 was itself invalid, as it had been passed utilizing a comparable system presented by the Parliament Act of 1911.</w:t>
      </w:r>
    </w:p>
    <w:p w14:paraId="30DB4F6E" w14:textId="3C9DBC82" w:rsidR="003F69B8" w:rsidRPr="00377C01" w:rsidRDefault="003F69B8" w:rsidP="00377C01">
      <w:pPr>
        <w:jc w:val="both"/>
        <w:rPr>
          <w:rFonts w:ascii="Calibri" w:hAnsi="Calibri" w:cs="Calibri"/>
        </w:rPr>
      </w:pPr>
    </w:p>
    <w:p w14:paraId="18C0C62D" w14:textId="038ABD8A" w:rsidR="009C3B24" w:rsidRPr="00377C01" w:rsidRDefault="009C3B24" w:rsidP="00377C01">
      <w:pPr>
        <w:jc w:val="both"/>
        <w:rPr>
          <w:rFonts w:ascii="Calibri" w:hAnsi="Calibri" w:cs="Calibri"/>
        </w:rPr>
      </w:pPr>
      <w:r w:rsidRPr="00377C01">
        <w:rPr>
          <w:rFonts w:ascii="Calibri" w:hAnsi="Calibri" w:cs="Calibri"/>
        </w:rPr>
        <w:t>The sub judice rule keeps MPs or Lords from alluding to a current or approaching legal dispute. Albeit the House is qualified under parliamentary advantage for examine any subject, sub judice applies to stay away from the House from discussing a subject and conceivably impacting the lawful result of a case. Point by point data is set out in the Appendix of the Standing Orders of the House of Commons.</w:t>
      </w:r>
    </w:p>
    <w:p w14:paraId="26A8172E" w14:textId="70A9EA01" w:rsidR="00764651" w:rsidRPr="00377C01" w:rsidRDefault="00764651" w:rsidP="00377C01">
      <w:pPr>
        <w:jc w:val="both"/>
        <w:rPr>
          <w:rFonts w:ascii="Calibri" w:hAnsi="Calibri" w:cs="Calibri"/>
        </w:rPr>
      </w:pPr>
    </w:p>
    <w:p w14:paraId="10BFC522" w14:textId="29DF3C06" w:rsidR="0010381E" w:rsidRPr="00377C01" w:rsidRDefault="001F4B91" w:rsidP="00377C01">
      <w:pPr>
        <w:jc w:val="both"/>
        <w:rPr>
          <w:rFonts w:ascii="Calibri" w:hAnsi="Calibri" w:cs="Calibri"/>
        </w:rPr>
      </w:pPr>
      <w:proofErr w:type="spellStart"/>
      <w:r w:rsidRPr="00377C01">
        <w:rPr>
          <w:rFonts w:ascii="Calibri" w:hAnsi="Calibri" w:cs="Calibri"/>
        </w:rPr>
        <w:t>Burmah</w:t>
      </w:r>
      <w:proofErr w:type="spellEnd"/>
      <w:r w:rsidRPr="00377C01">
        <w:rPr>
          <w:rFonts w:ascii="Calibri" w:hAnsi="Calibri" w:cs="Calibri"/>
        </w:rPr>
        <w:t xml:space="preserve"> Oil Company Ltd v Lord Advocate [1965] AC 75, was a legal dispute, brought up in Scotland, and chose eventually in the House of Lords. The case is a significant choice in British established law and had surprising lawful repercussions at that point.</w:t>
      </w:r>
    </w:p>
    <w:p w14:paraId="334859C7" w14:textId="77777777" w:rsidR="00687B30" w:rsidRPr="00377C01" w:rsidRDefault="00687B30" w:rsidP="00377C01">
      <w:pPr>
        <w:jc w:val="both"/>
        <w:rPr>
          <w:rFonts w:ascii="Calibri" w:hAnsi="Calibri" w:cs="Calibri"/>
        </w:rPr>
      </w:pPr>
    </w:p>
    <w:p w14:paraId="5C1095A2" w14:textId="77B9F065" w:rsidR="001F4B91" w:rsidRPr="00377C01" w:rsidRDefault="001F4B91" w:rsidP="00377C01">
      <w:pPr>
        <w:jc w:val="both"/>
        <w:rPr>
          <w:rFonts w:ascii="Calibri" w:hAnsi="Calibri" w:cs="Calibri"/>
        </w:rPr>
      </w:pPr>
      <w:r w:rsidRPr="00377C01">
        <w:rPr>
          <w:rFonts w:ascii="Calibri" w:hAnsi="Calibri" w:cs="Calibri"/>
        </w:rPr>
        <w:t xml:space="preserve">A and others v Secretary of State for the Home Department [2004] UKHL 56 (otherwise called the Belmarsh 9 case) is a UK basic freedoms case heard before the House of Lords. It held that the uncertain confinement of unfamiliar detainees in Belmarsh without preliminary under segment 23 of the Anti-psychological warfare, Crime and Security Act 2001 was incongruent with the European Convention on Human Rights. </w:t>
      </w:r>
    </w:p>
    <w:p w14:paraId="03494225" w14:textId="77777777" w:rsidR="001F4B91" w:rsidRPr="00377C01" w:rsidRDefault="001F4B91" w:rsidP="00377C01">
      <w:pPr>
        <w:jc w:val="both"/>
        <w:rPr>
          <w:rFonts w:ascii="Calibri" w:hAnsi="Calibri" w:cs="Calibri"/>
        </w:rPr>
      </w:pPr>
    </w:p>
    <w:p w14:paraId="25C4FE7D" w14:textId="2C7B3433" w:rsidR="003F69B8" w:rsidRPr="00377C01" w:rsidRDefault="001F4B91" w:rsidP="00377C01">
      <w:pPr>
        <w:jc w:val="both"/>
        <w:rPr>
          <w:rFonts w:ascii="Calibri" w:hAnsi="Calibri" w:cs="Calibri"/>
        </w:rPr>
      </w:pPr>
      <w:r w:rsidRPr="00377C01">
        <w:rPr>
          <w:rFonts w:ascii="Calibri" w:hAnsi="Calibri" w:cs="Calibri"/>
        </w:rPr>
        <w:t>The case ought not be mistaken for the case A v Secretary of State for the Home Department (No 2) [2005] UKHL 71, which identifies with the utilization of proof acquired by torment in British courts.</w:t>
      </w:r>
    </w:p>
    <w:p w14:paraId="421481F0" w14:textId="77777777" w:rsidR="00687B30" w:rsidRPr="00377C01" w:rsidRDefault="00687B30" w:rsidP="00377C01">
      <w:pPr>
        <w:jc w:val="both"/>
        <w:rPr>
          <w:rFonts w:ascii="Calibri" w:hAnsi="Calibri" w:cs="Calibri"/>
        </w:rPr>
      </w:pPr>
    </w:p>
    <w:p w14:paraId="4AFB1122" w14:textId="7150C14C" w:rsidR="001F4B91" w:rsidRPr="00377C01" w:rsidRDefault="001F4B91" w:rsidP="00377C01">
      <w:pPr>
        <w:jc w:val="both"/>
        <w:rPr>
          <w:rFonts w:ascii="Calibri" w:hAnsi="Calibri" w:cs="Calibri"/>
        </w:rPr>
      </w:pPr>
      <w:r w:rsidRPr="00377C01">
        <w:rPr>
          <w:rFonts w:ascii="Calibri" w:hAnsi="Calibri" w:cs="Calibri"/>
        </w:rPr>
        <w:t xml:space="preserve">The Constitutional Reform Act 2005 was an Act of the UK Parliament that was isolated into three sections. The initially changed the workplace of Lord Chancellor, the second made and set the structure for a UK Supreme Court and the third controls the arrangement of Judges. </w:t>
      </w:r>
    </w:p>
    <w:p w14:paraId="1CCD177A" w14:textId="77777777" w:rsidR="001F4B91" w:rsidRPr="00377C01" w:rsidRDefault="001F4B91" w:rsidP="00377C01">
      <w:pPr>
        <w:jc w:val="both"/>
        <w:rPr>
          <w:rFonts w:ascii="Calibri" w:hAnsi="Calibri" w:cs="Calibri"/>
        </w:rPr>
      </w:pPr>
    </w:p>
    <w:p w14:paraId="5C1094BE" w14:textId="77777777" w:rsidR="00687B30" w:rsidRPr="00377C01" w:rsidRDefault="001F4B91" w:rsidP="00377C01">
      <w:pPr>
        <w:jc w:val="both"/>
        <w:rPr>
          <w:rFonts w:ascii="Calibri" w:hAnsi="Calibri" w:cs="Calibri"/>
        </w:rPr>
      </w:pPr>
      <w:r w:rsidRPr="00377C01">
        <w:rPr>
          <w:rFonts w:ascii="Calibri" w:hAnsi="Calibri" w:cs="Calibri"/>
        </w:rPr>
        <w:t xml:space="preserve">Already, the most elevated court in the land had been the Appellate Committee of the House of Lords, and the Lord Chancellor - a clergyman - was additionally top of the Judiciary. This implied that the most noteworthy court of allure in the UK was inside the House of Lords, and subsequently it was thought that claims would be dependent upon political </w:t>
      </w:r>
      <w:r w:rsidR="00687B30" w:rsidRPr="00377C01">
        <w:rPr>
          <w:rFonts w:ascii="Calibri" w:hAnsi="Calibri" w:cs="Calibri"/>
        </w:rPr>
        <w:t xml:space="preserve">impact </w:t>
      </w:r>
    </w:p>
    <w:p w14:paraId="0FE0F439" w14:textId="77777777" w:rsidR="00687B30" w:rsidRPr="00377C01" w:rsidRDefault="00687B30" w:rsidP="00377C01">
      <w:pPr>
        <w:jc w:val="both"/>
        <w:rPr>
          <w:rFonts w:ascii="Calibri" w:hAnsi="Calibri" w:cs="Calibri"/>
        </w:rPr>
      </w:pPr>
    </w:p>
    <w:p w14:paraId="2A7B6A6B" w14:textId="7A018F56" w:rsidR="00687B30" w:rsidRPr="00377C01" w:rsidRDefault="00687B30" w:rsidP="00377C01">
      <w:pPr>
        <w:jc w:val="both"/>
        <w:rPr>
          <w:rFonts w:ascii="Calibri" w:hAnsi="Calibri" w:cs="Calibri"/>
        </w:rPr>
      </w:pPr>
      <w:r w:rsidRPr="00377C01">
        <w:rPr>
          <w:rFonts w:ascii="Calibri" w:hAnsi="Calibri" w:cs="Calibri"/>
        </w:rPr>
        <w:t xml:space="preserve">McGonnell v United Kingdom 2000. McGonnell v United Kingdom, European Court of Human Rights, eighth February 2000, Case no 28488/95. (announced on occasion </w:t>
      </w:r>
      <w:proofErr w:type="spellStart"/>
      <w:r w:rsidRPr="00377C01">
        <w:rPr>
          <w:rFonts w:ascii="Calibri" w:hAnsi="Calibri" w:cs="Calibri"/>
        </w:rPr>
        <w:t>La</w:t>
      </w:r>
      <w:r w:rsidR="000B6CBE" w:rsidRPr="00377C01">
        <w:rPr>
          <w:rFonts w:ascii="Calibri" w:hAnsi="Calibri" w:cs="Calibri"/>
        </w:rPr>
        <w:t>W</w:t>
      </w:r>
      <w:proofErr w:type="spellEnd"/>
      <w:r w:rsidR="000B6CBE" w:rsidRPr="00377C01">
        <w:rPr>
          <w:rFonts w:ascii="Calibri" w:hAnsi="Calibri" w:cs="Calibri"/>
        </w:rPr>
        <w:t xml:space="preserve"> </w:t>
      </w:r>
      <w:r w:rsidRPr="00377C01">
        <w:rPr>
          <w:rFonts w:ascii="Calibri" w:hAnsi="Calibri" w:cs="Calibri"/>
        </w:rPr>
        <w:t>Reports 22nd February 2000) The full content judgment is accessible for nothing on the BAILII site.</w:t>
      </w:r>
    </w:p>
    <w:p w14:paraId="44B3425D" w14:textId="2C05B5FD" w:rsidR="00687B30" w:rsidRPr="00377C01" w:rsidRDefault="00687B30" w:rsidP="00377C01">
      <w:pPr>
        <w:jc w:val="both"/>
        <w:rPr>
          <w:rFonts w:ascii="Calibri" w:hAnsi="Calibri" w:cs="Calibri"/>
        </w:rPr>
      </w:pPr>
    </w:p>
    <w:p w14:paraId="39016684" w14:textId="1A0AC6DA" w:rsidR="00E74343" w:rsidRPr="00377C01" w:rsidRDefault="00E74343" w:rsidP="00377C01">
      <w:pPr>
        <w:jc w:val="both"/>
        <w:rPr>
          <w:rFonts w:ascii="Calibri" w:hAnsi="Calibri" w:cs="Calibri"/>
        </w:rPr>
      </w:pPr>
      <w:r w:rsidRPr="00377C01">
        <w:rPr>
          <w:rFonts w:ascii="Calibri" w:hAnsi="Calibri" w:cs="Calibri"/>
        </w:rPr>
        <w:lastRenderedPageBreak/>
        <w:t xml:space="preserve">The Senior Courts Act 1981 (c.54), initially named the Supreme Court Act 1981, is an Act of the Parliament of the United Kingdom. </w:t>
      </w:r>
    </w:p>
    <w:p w14:paraId="05C6ACCD" w14:textId="77777777" w:rsidR="00E74343" w:rsidRPr="00377C01" w:rsidRDefault="00E74343" w:rsidP="00377C01">
      <w:pPr>
        <w:jc w:val="both"/>
        <w:rPr>
          <w:rFonts w:ascii="Calibri" w:hAnsi="Calibri" w:cs="Calibri"/>
        </w:rPr>
      </w:pPr>
    </w:p>
    <w:p w14:paraId="4BD29A30" w14:textId="7311E6A2" w:rsidR="003F69B8" w:rsidRPr="00377C01" w:rsidRDefault="00E74343" w:rsidP="00377C01">
      <w:pPr>
        <w:jc w:val="both"/>
        <w:rPr>
          <w:rFonts w:ascii="Calibri" w:hAnsi="Calibri" w:cs="Calibri"/>
        </w:rPr>
      </w:pPr>
      <w:r w:rsidRPr="00377C01">
        <w:rPr>
          <w:rFonts w:ascii="Calibri" w:hAnsi="Calibri" w:cs="Calibri"/>
        </w:rPr>
        <w:t>The Act endorses the construction and locales of the Senior Courts of England and Wales (recently known as the "Prevalent Courts"). These Senior Courts involve: the Court of Appeal, High Court of Justice, The Employment Appeal Tribunal, and the Crown Court.</w:t>
      </w:r>
    </w:p>
    <w:p w14:paraId="10C9BA75" w14:textId="77777777" w:rsidR="00E74343" w:rsidRPr="00377C01" w:rsidRDefault="00E74343" w:rsidP="00377C01">
      <w:pPr>
        <w:jc w:val="both"/>
        <w:rPr>
          <w:rFonts w:ascii="Calibri" w:hAnsi="Calibri" w:cs="Calibri"/>
        </w:rPr>
      </w:pPr>
    </w:p>
    <w:p w14:paraId="78ED4936" w14:textId="421EA4D6" w:rsidR="003F69B8" w:rsidRPr="00377C01" w:rsidRDefault="003F69B8" w:rsidP="00377C01">
      <w:pPr>
        <w:jc w:val="both"/>
        <w:rPr>
          <w:rFonts w:ascii="Calibri" w:hAnsi="Calibri" w:cs="Calibri"/>
        </w:rPr>
      </w:pPr>
    </w:p>
    <w:p w14:paraId="2CA68846" w14:textId="0BC6B9CD" w:rsidR="003F69B8" w:rsidRPr="00377C01" w:rsidRDefault="003F69B8" w:rsidP="00377C01">
      <w:pPr>
        <w:jc w:val="both"/>
        <w:rPr>
          <w:rFonts w:ascii="Calibri" w:hAnsi="Calibri" w:cs="Calibri"/>
        </w:rPr>
      </w:pPr>
    </w:p>
    <w:p w14:paraId="61D2B52D" w14:textId="6B7D7907" w:rsidR="003F69B8" w:rsidRPr="00377C01" w:rsidRDefault="003F69B8" w:rsidP="00377C01">
      <w:pPr>
        <w:jc w:val="both"/>
        <w:rPr>
          <w:rFonts w:ascii="Calibri" w:hAnsi="Calibri" w:cs="Calibri"/>
        </w:rPr>
      </w:pPr>
    </w:p>
    <w:p w14:paraId="1E3D5D6F" w14:textId="2D1A8236" w:rsidR="00687B30" w:rsidRPr="00377C01" w:rsidRDefault="000B6CBE" w:rsidP="00377C01">
      <w:pPr>
        <w:jc w:val="both"/>
        <w:rPr>
          <w:rFonts w:ascii="Calibri" w:hAnsi="Calibri" w:cs="Calibri"/>
        </w:rPr>
      </w:pPr>
      <w:r w:rsidRPr="00377C01">
        <w:rPr>
          <w:rFonts w:ascii="Calibri" w:hAnsi="Calibri" w:cs="Calibri"/>
        </w:rPr>
        <w:t xml:space="preserve">                               </w:t>
      </w:r>
      <w:r w:rsidR="00687B30" w:rsidRPr="00377C01">
        <w:rPr>
          <w:rFonts w:ascii="Calibri" w:hAnsi="Calibri" w:cs="Calibri"/>
        </w:rPr>
        <w:t xml:space="preserve">  </w:t>
      </w:r>
      <w:r w:rsidRPr="00377C01">
        <w:rPr>
          <w:rFonts w:ascii="Calibri" w:hAnsi="Calibri" w:cs="Calibri"/>
        </w:rPr>
        <w:t xml:space="preserve">                                           </w:t>
      </w:r>
      <w:r w:rsidR="009C3B24" w:rsidRPr="00377C01">
        <w:rPr>
          <w:rFonts w:ascii="Calibri" w:hAnsi="Calibri" w:cs="Calibri"/>
        </w:rPr>
        <w:t xml:space="preserve"> </w:t>
      </w:r>
      <w:r w:rsidR="00923235" w:rsidRPr="00377C01">
        <w:rPr>
          <w:rFonts w:ascii="Calibri" w:hAnsi="Calibri" w:cs="Calibri"/>
        </w:rPr>
        <w:t>PART T</w:t>
      </w:r>
      <w:r w:rsidRPr="00377C01">
        <w:rPr>
          <w:rFonts w:ascii="Calibri" w:hAnsi="Calibri" w:cs="Calibri"/>
        </w:rPr>
        <w:t>WO</w:t>
      </w:r>
    </w:p>
    <w:p w14:paraId="13E23F3E" w14:textId="2FB202B5" w:rsidR="00687B30" w:rsidRPr="00377C01" w:rsidRDefault="00687B30" w:rsidP="00377C01">
      <w:pPr>
        <w:jc w:val="both"/>
        <w:rPr>
          <w:rFonts w:ascii="Calibri" w:hAnsi="Calibri" w:cs="Calibri"/>
        </w:rPr>
      </w:pPr>
    </w:p>
    <w:p w14:paraId="44F3C5A9" w14:textId="56EEBF84" w:rsidR="000B6CBE" w:rsidRPr="00377C01" w:rsidRDefault="000B6CBE" w:rsidP="00377C01">
      <w:pPr>
        <w:jc w:val="both"/>
        <w:rPr>
          <w:rFonts w:ascii="Calibri" w:hAnsi="Calibri" w:cs="Calibri"/>
        </w:rPr>
      </w:pPr>
      <w:r w:rsidRPr="00377C01">
        <w:rPr>
          <w:rFonts w:ascii="Calibri" w:hAnsi="Calibri" w:cs="Calibri"/>
        </w:rPr>
        <w:t>The Public Order Act 1986 (c 64) is an Act of the Parliament of the United Kingdom. It's anything but various public request offenses. They supplant comparable customary law offenses and portions of the Public Order Act 1936. It carries out recommendations[2] of the Law Commission.</w:t>
      </w:r>
    </w:p>
    <w:p w14:paraId="2036029F" w14:textId="530F552B" w:rsidR="000B6CBE" w:rsidRPr="00377C01" w:rsidRDefault="000B6CBE" w:rsidP="00377C01">
      <w:pPr>
        <w:jc w:val="both"/>
        <w:rPr>
          <w:rFonts w:ascii="Calibri" w:hAnsi="Calibri" w:cs="Calibri"/>
        </w:rPr>
      </w:pPr>
    </w:p>
    <w:p w14:paraId="0E43306F" w14:textId="27F98631" w:rsidR="000B6CBE" w:rsidRPr="00377C01" w:rsidRDefault="000B6CBE" w:rsidP="00377C01">
      <w:pPr>
        <w:jc w:val="both"/>
        <w:rPr>
          <w:rFonts w:ascii="Calibri" w:hAnsi="Calibri" w:cs="Calibri"/>
        </w:rPr>
      </w:pPr>
      <w:r w:rsidRPr="00377C01">
        <w:rPr>
          <w:rFonts w:ascii="Calibri" w:hAnsi="Calibri" w:cs="Calibri"/>
        </w:rPr>
        <w:t>According to the mentioned ficti</w:t>
      </w:r>
      <w:r w:rsidR="00AC3CAB" w:rsidRPr="00377C01">
        <w:rPr>
          <w:rFonts w:ascii="Calibri" w:hAnsi="Calibri" w:cs="Calibri"/>
        </w:rPr>
        <w:t xml:space="preserve">tious scenario following </w:t>
      </w:r>
      <w:r w:rsidR="00497A8B" w:rsidRPr="00377C01">
        <w:rPr>
          <w:rFonts w:ascii="Calibri" w:hAnsi="Calibri" w:cs="Calibri"/>
        </w:rPr>
        <w:t xml:space="preserve">act will be considered: </w:t>
      </w:r>
    </w:p>
    <w:p w14:paraId="56F2C6B3" w14:textId="77777777" w:rsidR="000B6CBE" w:rsidRPr="00377C01" w:rsidRDefault="000B6CBE" w:rsidP="00377C01">
      <w:pPr>
        <w:jc w:val="both"/>
        <w:rPr>
          <w:rFonts w:ascii="Calibri" w:hAnsi="Calibri" w:cs="Calibri"/>
        </w:rPr>
      </w:pPr>
    </w:p>
    <w:p w14:paraId="26698428" w14:textId="02522F6A" w:rsidR="00497A8B" w:rsidRPr="00377C01" w:rsidRDefault="00497A8B" w:rsidP="00377C01">
      <w:pPr>
        <w:jc w:val="both"/>
        <w:rPr>
          <w:rFonts w:ascii="Calibri" w:hAnsi="Calibri" w:cs="Calibri"/>
        </w:rPr>
      </w:pPr>
      <w:r w:rsidRPr="00377C01">
        <w:rPr>
          <w:rFonts w:ascii="Calibri" w:hAnsi="Calibri" w:cs="Calibri"/>
        </w:rPr>
        <w:t xml:space="preserve">     1. </w:t>
      </w:r>
      <w:r w:rsidR="000B6CBE" w:rsidRPr="00377C01">
        <w:rPr>
          <w:rFonts w:ascii="Calibri" w:hAnsi="Calibri" w:cs="Calibri"/>
        </w:rPr>
        <w:t xml:space="preserve">These offenses as opposed to the Public Order Act 1986 identify with undermining, </w:t>
      </w:r>
      <w:r w:rsidRPr="00377C01">
        <w:rPr>
          <w:rFonts w:ascii="Calibri" w:hAnsi="Calibri" w:cs="Calibri"/>
        </w:rPr>
        <w:t xml:space="preserve">             </w:t>
      </w:r>
    </w:p>
    <w:p w14:paraId="3E2DC8BA" w14:textId="533EDC91" w:rsidR="00497A8B" w:rsidRPr="00377C01" w:rsidRDefault="00497A8B" w:rsidP="00377C01">
      <w:pPr>
        <w:jc w:val="both"/>
        <w:rPr>
          <w:rFonts w:ascii="Calibri" w:hAnsi="Calibri" w:cs="Calibri"/>
        </w:rPr>
      </w:pPr>
      <w:r w:rsidRPr="00377C01">
        <w:rPr>
          <w:rFonts w:ascii="Calibri" w:hAnsi="Calibri" w:cs="Calibri"/>
        </w:rPr>
        <w:t xml:space="preserve">      </w:t>
      </w:r>
      <w:r w:rsidR="000B6CBE" w:rsidRPr="00377C01">
        <w:rPr>
          <w:rFonts w:ascii="Calibri" w:hAnsi="Calibri" w:cs="Calibri"/>
        </w:rPr>
        <w:t xml:space="preserve">oppressive or offending words or conduct, or show of noticeable portrayals, which: </w:t>
      </w:r>
    </w:p>
    <w:p w14:paraId="448667CA" w14:textId="77777777" w:rsidR="00497A8B" w:rsidRPr="00377C01" w:rsidRDefault="00497A8B" w:rsidP="00377C01">
      <w:pPr>
        <w:jc w:val="both"/>
        <w:rPr>
          <w:rFonts w:ascii="Calibri" w:hAnsi="Calibri" w:cs="Calibri"/>
        </w:rPr>
      </w:pPr>
    </w:p>
    <w:p w14:paraId="3DAD39AF" w14:textId="6928BA85" w:rsidR="000B6CBE" w:rsidRPr="00377C01" w:rsidRDefault="00497A8B" w:rsidP="00377C01">
      <w:pPr>
        <w:jc w:val="both"/>
        <w:rPr>
          <w:rFonts w:ascii="Calibri" w:hAnsi="Calibri" w:cs="Calibri"/>
        </w:rPr>
      </w:pPr>
      <w:r w:rsidRPr="00377C01">
        <w:rPr>
          <w:rFonts w:ascii="Calibri" w:hAnsi="Calibri" w:cs="Calibri"/>
        </w:rPr>
        <w:t xml:space="preserve">      </w:t>
      </w:r>
      <w:r w:rsidR="000B6CBE" w:rsidRPr="00377C01">
        <w:rPr>
          <w:rFonts w:ascii="Calibri" w:hAnsi="Calibri" w:cs="Calibri"/>
        </w:rPr>
        <w:t xml:space="preserve">Are probably going to cause dread of, or to incite, prompt savagery: segment 4; </w:t>
      </w:r>
    </w:p>
    <w:p w14:paraId="398AD261" w14:textId="77777777" w:rsidR="000B6CBE" w:rsidRPr="00377C01" w:rsidRDefault="000B6CBE" w:rsidP="00377C01">
      <w:pPr>
        <w:jc w:val="both"/>
        <w:rPr>
          <w:rFonts w:ascii="Calibri" w:hAnsi="Calibri" w:cs="Calibri"/>
        </w:rPr>
      </w:pPr>
    </w:p>
    <w:p w14:paraId="1DB5AAFB" w14:textId="77777777" w:rsidR="000B6CBE" w:rsidRPr="00377C01" w:rsidRDefault="000B6CBE" w:rsidP="00377C01">
      <w:pPr>
        <w:jc w:val="both"/>
        <w:rPr>
          <w:rFonts w:ascii="Calibri" w:hAnsi="Calibri" w:cs="Calibri"/>
        </w:rPr>
      </w:pPr>
      <w:r w:rsidRPr="00377C01">
        <w:rPr>
          <w:rFonts w:ascii="Calibri" w:hAnsi="Calibri" w:cs="Calibri"/>
        </w:rPr>
        <w:t xml:space="preserve">Purposefully cause provocation, caution or trouble: area 4A; or </w:t>
      </w:r>
    </w:p>
    <w:p w14:paraId="5D6D2D8F" w14:textId="77777777" w:rsidR="000B6CBE" w:rsidRPr="00377C01" w:rsidRDefault="000B6CBE" w:rsidP="00377C01">
      <w:pPr>
        <w:jc w:val="both"/>
        <w:rPr>
          <w:rFonts w:ascii="Calibri" w:hAnsi="Calibri" w:cs="Calibri"/>
        </w:rPr>
      </w:pPr>
    </w:p>
    <w:p w14:paraId="4079A0A4" w14:textId="77777777" w:rsidR="000B6CBE" w:rsidRPr="00377C01" w:rsidRDefault="000B6CBE" w:rsidP="00377C01">
      <w:pPr>
        <w:jc w:val="both"/>
        <w:rPr>
          <w:rFonts w:ascii="Calibri" w:hAnsi="Calibri" w:cs="Calibri"/>
        </w:rPr>
      </w:pPr>
      <w:r w:rsidRPr="00377C01">
        <w:rPr>
          <w:rFonts w:ascii="Calibri" w:hAnsi="Calibri" w:cs="Calibri"/>
        </w:rPr>
        <w:t xml:space="preserve">Are probably going to cause provocation, alert or trouble (undermining or harmful words or conduct just): area 5. </w:t>
      </w:r>
    </w:p>
    <w:p w14:paraId="15147751" w14:textId="77777777" w:rsidR="000B6CBE" w:rsidRPr="00377C01" w:rsidRDefault="000B6CBE" w:rsidP="00377C01">
      <w:pPr>
        <w:jc w:val="both"/>
        <w:rPr>
          <w:rFonts w:ascii="Calibri" w:hAnsi="Calibri" w:cs="Calibri"/>
        </w:rPr>
      </w:pPr>
    </w:p>
    <w:p w14:paraId="35304178" w14:textId="25F195E1" w:rsidR="000B6CBE" w:rsidRPr="00377C01" w:rsidRDefault="000B6CBE" w:rsidP="00377C01">
      <w:pPr>
        <w:jc w:val="both"/>
        <w:rPr>
          <w:rFonts w:ascii="Calibri" w:hAnsi="Calibri" w:cs="Calibri"/>
        </w:rPr>
      </w:pPr>
      <w:r w:rsidRPr="00377C01">
        <w:rPr>
          <w:rFonts w:ascii="Calibri" w:hAnsi="Calibri" w:cs="Calibri"/>
        </w:rPr>
        <w:t>2. It's anything but a guard to area 4A and segment 5 for the blamed to exhibit that their direct was sensible, which should be deciphered as per the opportunity of articulation and different opportunities. On the off chance that these opportunities are locked in, a legitimization for obstruction (by indictment) with them should be convincingly settled. An arraignment may possibly continue if essential and proportionate.</w:t>
      </w:r>
    </w:p>
    <w:p w14:paraId="400F9E33" w14:textId="3234E39E" w:rsidR="00497A8B" w:rsidRPr="00377C01" w:rsidRDefault="00497A8B" w:rsidP="00377C01">
      <w:pPr>
        <w:jc w:val="both"/>
        <w:rPr>
          <w:rFonts w:ascii="Calibri" w:hAnsi="Calibri" w:cs="Calibri"/>
        </w:rPr>
      </w:pPr>
    </w:p>
    <w:p w14:paraId="320CFD1D" w14:textId="77777777" w:rsidR="00497A8B" w:rsidRPr="00377C01" w:rsidRDefault="00497A8B" w:rsidP="00377C01">
      <w:pPr>
        <w:jc w:val="both"/>
        <w:rPr>
          <w:rFonts w:ascii="Calibri" w:hAnsi="Calibri" w:cs="Calibri"/>
        </w:rPr>
      </w:pPr>
    </w:p>
    <w:p w14:paraId="25C413B6" w14:textId="77777777" w:rsidR="00497A8B" w:rsidRPr="00377C01" w:rsidRDefault="00497A8B" w:rsidP="00377C01">
      <w:pPr>
        <w:jc w:val="both"/>
        <w:rPr>
          <w:rFonts w:ascii="Calibri" w:hAnsi="Calibri" w:cs="Calibri"/>
        </w:rPr>
      </w:pPr>
      <w:r w:rsidRPr="00377C01">
        <w:rPr>
          <w:rFonts w:ascii="Calibri" w:hAnsi="Calibri" w:cs="Calibri"/>
        </w:rPr>
        <w:t xml:space="preserve">The police are answerable for researching a charge that a wrongdoing has been perpetrated. Following examination, the choice whether to accuse an individual of a criminal offense lies either with the police or the CPS. </w:t>
      </w:r>
    </w:p>
    <w:p w14:paraId="6E35059B" w14:textId="77777777" w:rsidR="00497A8B" w:rsidRPr="00377C01" w:rsidRDefault="00497A8B" w:rsidP="00377C01">
      <w:pPr>
        <w:jc w:val="both"/>
        <w:rPr>
          <w:rFonts w:ascii="Calibri" w:hAnsi="Calibri" w:cs="Calibri"/>
        </w:rPr>
      </w:pPr>
    </w:p>
    <w:p w14:paraId="43122BCE" w14:textId="3C717235" w:rsidR="00687B30" w:rsidRPr="00377C01" w:rsidRDefault="00497A8B" w:rsidP="00377C01">
      <w:pPr>
        <w:jc w:val="both"/>
        <w:rPr>
          <w:rFonts w:ascii="Calibri" w:hAnsi="Calibri" w:cs="Calibri"/>
        </w:rPr>
      </w:pPr>
      <w:r w:rsidRPr="00377C01">
        <w:rPr>
          <w:rFonts w:ascii="Calibri" w:hAnsi="Calibri" w:cs="Calibri"/>
        </w:rPr>
        <w:t xml:space="preserve">Where a progression of existing offenses – including badgering and public request offenses – are submitted, and such an offense was propelled by antagonism toward race or religion, or was joined by aggression toward race or religion general to the commission of the offense, a different racially or strictly irritated offense is submitted drawing in a more noteworthy punishment. For additional subtleties, see the CPS-distributed direction on this site. For those offenses not covered however where antagonism or antagonistic inspiration towards race or religion is available, or aggression or unfriendly inspiration towards inability, sexual direction </w:t>
      </w:r>
      <w:r w:rsidRPr="00377C01">
        <w:rPr>
          <w:rFonts w:ascii="Calibri" w:hAnsi="Calibri" w:cs="Calibri"/>
        </w:rPr>
        <w:lastRenderedPageBreak/>
        <w:t>or transsexual is available, this should be treated as an irritating component at sentence and expressed as such in open court.</w:t>
      </w:r>
    </w:p>
    <w:p w14:paraId="673722BC" w14:textId="493C8214" w:rsidR="00497A8B" w:rsidRPr="00377C01" w:rsidRDefault="00497A8B" w:rsidP="00377C01">
      <w:pPr>
        <w:jc w:val="both"/>
        <w:rPr>
          <w:rFonts w:ascii="Calibri" w:hAnsi="Calibri" w:cs="Calibri"/>
        </w:rPr>
      </w:pPr>
    </w:p>
    <w:p w14:paraId="28411E59" w14:textId="77777777" w:rsidR="00497A8B" w:rsidRPr="00377C01" w:rsidRDefault="00497A8B" w:rsidP="00377C01">
      <w:pPr>
        <w:jc w:val="both"/>
        <w:rPr>
          <w:rFonts w:ascii="Calibri" w:hAnsi="Calibri" w:cs="Calibri"/>
        </w:rPr>
      </w:pPr>
      <w:r w:rsidRPr="00377C01">
        <w:rPr>
          <w:rFonts w:ascii="Calibri" w:hAnsi="Calibri" w:cs="Calibri"/>
        </w:rPr>
        <w:t xml:space="preserve">Badgering and following offenses </w:t>
      </w:r>
    </w:p>
    <w:p w14:paraId="6535FF17" w14:textId="77777777" w:rsidR="00497A8B" w:rsidRPr="00377C01" w:rsidRDefault="00497A8B" w:rsidP="00377C01">
      <w:pPr>
        <w:jc w:val="both"/>
        <w:rPr>
          <w:rFonts w:ascii="Calibri" w:hAnsi="Calibri" w:cs="Calibri"/>
        </w:rPr>
      </w:pPr>
    </w:p>
    <w:p w14:paraId="63880F7D" w14:textId="77777777" w:rsidR="00497A8B" w:rsidRPr="00377C01" w:rsidRDefault="00497A8B" w:rsidP="00377C01">
      <w:pPr>
        <w:jc w:val="both"/>
        <w:rPr>
          <w:rFonts w:ascii="Calibri" w:hAnsi="Calibri" w:cs="Calibri"/>
        </w:rPr>
      </w:pPr>
      <w:r w:rsidRPr="00377C01">
        <w:rPr>
          <w:rFonts w:ascii="Calibri" w:hAnsi="Calibri" w:cs="Calibri"/>
        </w:rPr>
        <w:t xml:space="preserve">1. The offense of badgering in opposition to the Protection from Harassment Act 1997 is submitted where an individual participates in a course of direct which adds up to the provocation of someone else, and they realize it adds up to badgering or they should know. "Course of direct" is a reality explicit appraisal. It requires conduct over and over however this need not be a similar conduct on each event. A call, up close and personal gathering, email or tweet are various kinds of conduct, however when taken together could be considered to add up to a course of direct contingent upon elements like the quantity of events and the period over which this occurred. Lead which is focused on at a little gathering of individuals can likewise add up to provocation. </w:t>
      </w:r>
    </w:p>
    <w:p w14:paraId="75C70B18" w14:textId="77777777" w:rsidR="00497A8B" w:rsidRPr="00377C01" w:rsidRDefault="00497A8B" w:rsidP="00377C01">
      <w:pPr>
        <w:jc w:val="both"/>
        <w:rPr>
          <w:rFonts w:ascii="Calibri" w:hAnsi="Calibri" w:cs="Calibri"/>
        </w:rPr>
      </w:pPr>
    </w:p>
    <w:p w14:paraId="70018C01" w14:textId="77777777" w:rsidR="00497A8B" w:rsidRPr="00377C01" w:rsidRDefault="00497A8B" w:rsidP="00377C01">
      <w:pPr>
        <w:jc w:val="both"/>
        <w:rPr>
          <w:rFonts w:ascii="Calibri" w:hAnsi="Calibri" w:cs="Calibri"/>
        </w:rPr>
      </w:pPr>
      <w:r w:rsidRPr="00377C01">
        <w:rPr>
          <w:rFonts w:ascii="Calibri" w:hAnsi="Calibri" w:cs="Calibri"/>
        </w:rPr>
        <w:t xml:space="preserve">2. Once more, it's anything but a safeguard to demonstrate the lead was sensible which should likewise be deciphered as per the opportunity of articulation and different opportunities. On the off chance that these opportunities are locked in, a legitimization for obstruction with them (by indicting) should be convincingly settled. An indictment may possibly continue if fundamental and proportionate. </w:t>
      </w:r>
    </w:p>
    <w:p w14:paraId="0664FEF9" w14:textId="77777777" w:rsidR="00497A8B" w:rsidRPr="00377C01" w:rsidRDefault="00497A8B" w:rsidP="00377C01">
      <w:pPr>
        <w:jc w:val="both"/>
        <w:rPr>
          <w:rFonts w:ascii="Calibri" w:hAnsi="Calibri" w:cs="Calibri"/>
        </w:rPr>
      </w:pPr>
    </w:p>
    <w:p w14:paraId="6B964CA1" w14:textId="77777777" w:rsidR="00497A8B" w:rsidRPr="00377C01" w:rsidRDefault="00497A8B" w:rsidP="00377C01">
      <w:pPr>
        <w:jc w:val="both"/>
        <w:rPr>
          <w:rFonts w:ascii="Calibri" w:hAnsi="Calibri" w:cs="Calibri"/>
        </w:rPr>
      </w:pPr>
      <w:r w:rsidRPr="00377C01">
        <w:rPr>
          <w:rFonts w:ascii="Calibri" w:hAnsi="Calibri" w:cs="Calibri"/>
        </w:rPr>
        <w:t xml:space="preserve">3. The offense of following is submitted when the provocation adds up to following, a non-thorough rundown of instances of which are: </w:t>
      </w:r>
    </w:p>
    <w:p w14:paraId="0006A2D8" w14:textId="77777777" w:rsidR="00497A8B" w:rsidRPr="00377C01" w:rsidRDefault="00497A8B" w:rsidP="00377C01">
      <w:pPr>
        <w:jc w:val="both"/>
        <w:rPr>
          <w:rFonts w:ascii="Calibri" w:hAnsi="Calibri" w:cs="Calibri"/>
        </w:rPr>
      </w:pPr>
    </w:p>
    <w:p w14:paraId="19A1F0BE" w14:textId="77777777" w:rsidR="00497A8B" w:rsidRPr="00377C01" w:rsidRDefault="00497A8B" w:rsidP="00377C01">
      <w:pPr>
        <w:jc w:val="both"/>
        <w:rPr>
          <w:rFonts w:ascii="Calibri" w:hAnsi="Calibri" w:cs="Calibri"/>
        </w:rPr>
      </w:pPr>
      <w:r w:rsidRPr="00377C01">
        <w:rPr>
          <w:rFonts w:ascii="Calibri" w:hAnsi="Calibri" w:cs="Calibri"/>
        </w:rPr>
        <w:t xml:space="preserve">Following an individual; </w:t>
      </w:r>
    </w:p>
    <w:p w14:paraId="749D6C4F" w14:textId="77777777" w:rsidR="00497A8B" w:rsidRPr="00377C01" w:rsidRDefault="00497A8B" w:rsidP="00377C01">
      <w:pPr>
        <w:jc w:val="both"/>
        <w:rPr>
          <w:rFonts w:ascii="Calibri" w:hAnsi="Calibri" w:cs="Calibri"/>
        </w:rPr>
      </w:pPr>
    </w:p>
    <w:p w14:paraId="5650FE8A" w14:textId="77777777" w:rsidR="00497A8B" w:rsidRPr="00377C01" w:rsidRDefault="00497A8B" w:rsidP="00377C01">
      <w:pPr>
        <w:jc w:val="both"/>
        <w:rPr>
          <w:rFonts w:ascii="Calibri" w:hAnsi="Calibri" w:cs="Calibri"/>
        </w:rPr>
      </w:pPr>
      <w:r w:rsidRPr="00377C01">
        <w:rPr>
          <w:rFonts w:ascii="Calibri" w:hAnsi="Calibri" w:cs="Calibri"/>
        </w:rPr>
        <w:t xml:space="preserve">Reaching, or </w:t>
      </w:r>
      <w:proofErr w:type="spellStart"/>
      <w:r w:rsidRPr="00377C01">
        <w:rPr>
          <w:rFonts w:ascii="Calibri" w:hAnsi="Calibri" w:cs="Calibri"/>
        </w:rPr>
        <w:t>endeavoring</w:t>
      </w:r>
      <w:proofErr w:type="spellEnd"/>
      <w:r w:rsidRPr="00377C01">
        <w:rPr>
          <w:rFonts w:ascii="Calibri" w:hAnsi="Calibri" w:cs="Calibri"/>
        </w:rPr>
        <w:t xml:space="preserve"> to contact, an individual using any and all means; </w:t>
      </w:r>
    </w:p>
    <w:p w14:paraId="7C41D4DD" w14:textId="77777777" w:rsidR="00497A8B" w:rsidRPr="00377C01" w:rsidRDefault="00497A8B" w:rsidP="00377C01">
      <w:pPr>
        <w:jc w:val="both"/>
        <w:rPr>
          <w:rFonts w:ascii="Calibri" w:hAnsi="Calibri" w:cs="Calibri"/>
        </w:rPr>
      </w:pPr>
    </w:p>
    <w:p w14:paraId="04900F3C" w14:textId="77777777" w:rsidR="00497A8B" w:rsidRPr="00377C01" w:rsidRDefault="00497A8B" w:rsidP="00377C01">
      <w:pPr>
        <w:jc w:val="both"/>
        <w:rPr>
          <w:rFonts w:ascii="Calibri" w:hAnsi="Calibri" w:cs="Calibri"/>
        </w:rPr>
      </w:pPr>
      <w:r w:rsidRPr="00377C01">
        <w:rPr>
          <w:rFonts w:ascii="Calibri" w:hAnsi="Calibri" w:cs="Calibri"/>
        </w:rPr>
        <w:t xml:space="preserve">Distributing any assertion or other material: </w:t>
      </w:r>
    </w:p>
    <w:p w14:paraId="25A52878" w14:textId="77777777" w:rsidR="00497A8B" w:rsidRPr="00377C01" w:rsidRDefault="00497A8B" w:rsidP="00377C01">
      <w:pPr>
        <w:jc w:val="both"/>
        <w:rPr>
          <w:rFonts w:ascii="Calibri" w:hAnsi="Calibri" w:cs="Calibri"/>
        </w:rPr>
      </w:pPr>
    </w:p>
    <w:p w14:paraId="4C0E5BDC" w14:textId="77777777" w:rsidR="00497A8B" w:rsidRPr="00377C01" w:rsidRDefault="00497A8B" w:rsidP="00377C01">
      <w:pPr>
        <w:jc w:val="both"/>
        <w:rPr>
          <w:rFonts w:ascii="Calibri" w:hAnsi="Calibri" w:cs="Calibri"/>
        </w:rPr>
      </w:pPr>
      <w:r w:rsidRPr="00377C01">
        <w:rPr>
          <w:rFonts w:ascii="Calibri" w:hAnsi="Calibri" w:cs="Calibri"/>
        </w:rPr>
        <w:t xml:space="preserve">Relating or indicating to identify with an individual; or </w:t>
      </w:r>
    </w:p>
    <w:p w14:paraId="5DE6DFB6" w14:textId="77777777" w:rsidR="00497A8B" w:rsidRPr="00377C01" w:rsidRDefault="00497A8B" w:rsidP="00377C01">
      <w:pPr>
        <w:jc w:val="both"/>
        <w:rPr>
          <w:rFonts w:ascii="Calibri" w:hAnsi="Calibri" w:cs="Calibri"/>
        </w:rPr>
      </w:pPr>
    </w:p>
    <w:p w14:paraId="7D212C52" w14:textId="77777777" w:rsidR="00497A8B" w:rsidRPr="00377C01" w:rsidRDefault="00497A8B" w:rsidP="00377C01">
      <w:pPr>
        <w:jc w:val="both"/>
        <w:rPr>
          <w:rFonts w:ascii="Calibri" w:hAnsi="Calibri" w:cs="Calibri"/>
        </w:rPr>
      </w:pPr>
      <w:r w:rsidRPr="00377C01">
        <w:rPr>
          <w:rFonts w:ascii="Calibri" w:hAnsi="Calibri" w:cs="Calibri"/>
        </w:rPr>
        <w:t xml:space="preserve">Indicating to begin from an individual; </w:t>
      </w:r>
    </w:p>
    <w:p w14:paraId="7CAE3282" w14:textId="77777777" w:rsidR="00497A8B" w:rsidRPr="00377C01" w:rsidRDefault="00497A8B" w:rsidP="00377C01">
      <w:pPr>
        <w:jc w:val="both"/>
        <w:rPr>
          <w:rFonts w:ascii="Calibri" w:hAnsi="Calibri" w:cs="Calibri"/>
        </w:rPr>
      </w:pPr>
    </w:p>
    <w:p w14:paraId="41D494A5" w14:textId="77777777" w:rsidR="00497A8B" w:rsidRPr="00377C01" w:rsidRDefault="00497A8B" w:rsidP="00377C01">
      <w:pPr>
        <w:jc w:val="both"/>
        <w:rPr>
          <w:rFonts w:ascii="Calibri" w:hAnsi="Calibri" w:cs="Calibri"/>
        </w:rPr>
      </w:pPr>
      <w:r w:rsidRPr="00377C01">
        <w:rPr>
          <w:rFonts w:ascii="Calibri" w:hAnsi="Calibri" w:cs="Calibri"/>
        </w:rPr>
        <w:t xml:space="preserve">Checking the utilization by an individual of the web, email or some other type of electronic correspondence; </w:t>
      </w:r>
    </w:p>
    <w:p w14:paraId="13575BAE" w14:textId="77777777" w:rsidR="00497A8B" w:rsidRPr="00377C01" w:rsidRDefault="00497A8B" w:rsidP="00377C01">
      <w:pPr>
        <w:jc w:val="both"/>
        <w:rPr>
          <w:rFonts w:ascii="Calibri" w:hAnsi="Calibri" w:cs="Calibri"/>
        </w:rPr>
      </w:pPr>
    </w:p>
    <w:p w14:paraId="1964DE9B" w14:textId="77777777" w:rsidR="00497A8B" w:rsidRPr="00377C01" w:rsidRDefault="00497A8B" w:rsidP="00377C01">
      <w:pPr>
        <w:jc w:val="both"/>
        <w:rPr>
          <w:rFonts w:ascii="Calibri" w:hAnsi="Calibri" w:cs="Calibri"/>
        </w:rPr>
      </w:pPr>
      <w:r w:rsidRPr="00377C01">
        <w:rPr>
          <w:rFonts w:ascii="Calibri" w:hAnsi="Calibri" w:cs="Calibri"/>
        </w:rPr>
        <w:t xml:space="preserve">Lingering in any spot (regardless of whether public or private); </w:t>
      </w:r>
    </w:p>
    <w:p w14:paraId="4DBCA338" w14:textId="77777777" w:rsidR="00497A8B" w:rsidRPr="00377C01" w:rsidRDefault="00497A8B" w:rsidP="00377C01">
      <w:pPr>
        <w:jc w:val="both"/>
        <w:rPr>
          <w:rFonts w:ascii="Calibri" w:hAnsi="Calibri" w:cs="Calibri"/>
        </w:rPr>
      </w:pPr>
    </w:p>
    <w:p w14:paraId="58CE7D0D" w14:textId="77777777" w:rsidR="00497A8B" w:rsidRPr="00377C01" w:rsidRDefault="00497A8B" w:rsidP="00377C01">
      <w:pPr>
        <w:jc w:val="both"/>
        <w:rPr>
          <w:rFonts w:ascii="Calibri" w:hAnsi="Calibri" w:cs="Calibri"/>
        </w:rPr>
      </w:pPr>
      <w:r w:rsidRPr="00377C01">
        <w:rPr>
          <w:rFonts w:ascii="Calibri" w:hAnsi="Calibri" w:cs="Calibri"/>
        </w:rPr>
        <w:t xml:space="preserve">Meddling with any property in the ownership of an individual; </w:t>
      </w:r>
    </w:p>
    <w:p w14:paraId="04A0302C" w14:textId="77777777" w:rsidR="00497A8B" w:rsidRPr="00377C01" w:rsidRDefault="00497A8B" w:rsidP="00377C01">
      <w:pPr>
        <w:jc w:val="both"/>
        <w:rPr>
          <w:rFonts w:ascii="Calibri" w:hAnsi="Calibri" w:cs="Calibri"/>
        </w:rPr>
      </w:pPr>
    </w:p>
    <w:p w14:paraId="315715CE" w14:textId="01CC22D0" w:rsidR="00497A8B" w:rsidRPr="00377C01" w:rsidRDefault="00497A8B" w:rsidP="00377C01">
      <w:pPr>
        <w:jc w:val="both"/>
        <w:rPr>
          <w:rFonts w:ascii="Calibri" w:hAnsi="Calibri" w:cs="Calibri"/>
        </w:rPr>
      </w:pPr>
      <w:r w:rsidRPr="00377C01">
        <w:rPr>
          <w:rFonts w:ascii="Calibri" w:hAnsi="Calibri" w:cs="Calibri"/>
        </w:rPr>
        <w:t>Watching or keeping an eye on an individual.</w:t>
      </w:r>
    </w:p>
    <w:p w14:paraId="0F6038D1" w14:textId="797066B1" w:rsidR="00497A8B" w:rsidRPr="00377C01" w:rsidRDefault="00497A8B" w:rsidP="00377C01">
      <w:pPr>
        <w:jc w:val="both"/>
        <w:rPr>
          <w:rFonts w:ascii="Calibri" w:hAnsi="Calibri" w:cs="Calibri"/>
        </w:rPr>
      </w:pPr>
    </w:p>
    <w:p w14:paraId="6820910E" w14:textId="59B16BFA" w:rsidR="00497A8B" w:rsidRPr="00377C01" w:rsidRDefault="00497A8B" w:rsidP="00377C01">
      <w:pPr>
        <w:jc w:val="both"/>
        <w:rPr>
          <w:rFonts w:ascii="Calibri" w:hAnsi="Calibri" w:cs="Calibri"/>
        </w:rPr>
      </w:pPr>
      <w:r w:rsidRPr="00377C01">
        <w:rPr>
          <w:rFonts w:ascii="Calibri" w:hAnsi="Calibri" w:cs="Calibri"/>
        </w:rPr>
        <w:t xml:space="preserve">It ought to likewise be noticed that a s4 offense requires what attorneys call a 'particular goal'. This implies that the indictment needs to demonstrate that the respondent has a purpose to make that individual accept that prompt unlawful brutality will be utilized against him or another by any individual. In the event that the direct is for an alternate reason, for instance </w:t>
      </w:r>
      <w:r w:rsidRPr="00377C01">
        <w:rPr>
          <w:rFonts w:ascii="Calibri" w:hAnsi="Calibri" w:cs="Calibri"/>
        </w:rPr>
        <w:lastRenderedPageBreak/>
        <w:t>it is a result of dissatisfaction or is done with an end goal to incite or interest then the offense isn't made out (Hughes v DPP [2012] EWHC 606 (Admin); 176 J.P. 237, DC). This is regularly the situation in 'neighbo</w:t>
      </w:r>
      <w:r w:rsidR="00377C01" w:rsidRPr="00377C01">
        <w:rPr>
          <w:rFonts w:ascii="Calibri" w:hAnsi="Calibri" w:cs="Calibri"/>
        </w:rPr>
        <w:t>u</w:t>
      </w:r>
      <w:r w:rsidRPr="00377C01">
        <w:rPr>
          <w:rFonts w:ascii="Calibri" w:hAnsi="Calibri" w:cs="Calibri"/>
        </w:rPr>
        <w:t>r debate' instances of this sort where it is normal effectively contended that the direct being referred to was intended to accomplish a particular point, for example, to prevent the neighbo</w:t>
      </w:r>
      <w:r w:rsidR="00377C01" w:rsidRPr="00377C01">
        <w:rPr>
          <w:rFonts w:ascii="Calibri" w:hAnsi="Calibri" w:cs="Calibri"/>
        </w:rPr>
        <w:t>u</w:t>
      </w:r>
      <w:r w:rsidRPr="00377C01">
        <w:rPr>
          <w:rFonts w:ascii="Calibri" w:hAnsi="Calibri" w:cs="Calibri"/>
        </w:rPr>
        <w:t>r from certain lead yet was not intended to cause the complainant to accept that quick savagery would be utilized against them.</w:t>
      </w:r>
    </w:p>
    <w:p w14:paraId="0052CDAC" w14:textId="03A8E7CD" w:rsidR="00497A8B" w:rsidRPr="00377C01" w:rsidRDefault="00497A8B" w:rsidP="00377C01">
      <w:pPr>
        <w:jc w:val="both"/>
        <w:rPr>
          <w:rFonts w:ascii="Calibri" w:hAnsi="Calibri" w:cs="Calibri"/>
        </w:rPr>
      </w:pPr>
    </w:p>
    <w:p w14:paraId="19B40C24" w14:textId="77777777" w:rsidR="00497A8B" w:rsidRPr="00377C01" w:rsidRDefault="00497A8B" w:rsidP="00377C01">
      <w:pPr>
        <w:jc w:val="both"/>
        <w:rPr>
          <w:rFonts w:ascii="Calibri" w:hAnsi="Calibri" w:cs="Calibri"/>
        </w:rPr>
      </w:pPr>
      <w:r w:rsidRPr="00377C01">
        <w:rPr>
          <w:rFonts w:ascii="Calibri" w:hAnsi="Calibri" w:cs="Calibri"/>
        </w:rPr>
        <w:t xml:space="preserve">Whenever indicted for the offense of utilizing compromising words and conduct, a wrongdoer might be condemned to a greatest time of detainment of a half year. </w:t>
      </w:r>
    </w:p>
    <w:p w14:paraId="2B42874A" w14:textId="77777777" w:rsidR="00497A8B" w:rsidRPr="00377C01" w:rsidRDefault="00497A8B" w:rsidP="00377C01">
      <w:pPr>
        <w:jc w:val="both"/>
        <w:rPr>
          <w:rFonts w:ascii="Calibri" w:hAnsi="Calibri" w:cs="Calibri"/>
        </w:rPr>
      </w:pPr>
    </w:p>
    <w:p w14:paraId="324CDCED" w14:textId="77777777" w:rsidR="00497A8B" w:rsidRPr="00377C01" w:rsidRDefault="00497A8B" w:rsidP="00377C01">
      <w:pPr>
        <w:jc w:val="both"/>
        <w:rPr>
          <w:rFonts w:ascii="Calibri" w:hAnsi="Calibri" w:cs="Calibri"/>
        </w:rPr>
      </w:pPr>
      <w:r w:rsidRPr="00377C01">
        <w:rPr>
          <w:rFonts w:ascii="Calibri" w:hAnsi="Calibri" w:cs="Calibri"/>
        </w:rPr>
        <w:t xml:space="preserve">Condemning Council Statistics show that 14% of guilty parties are condemned to prompt care for this offense and that 35% of wrongdoers got local area sentences and 23% got fines. The normal length of a custodial sentence was two months detainment. </w:t>
      </w:r>
    </w:p>
    <w:p w14:paraId="49C44F08" w14:textId="77777777" w:rsidR="00497A8B" w:rsidRPr="00377C01" w:rsidRDefault="00497A8B" w:rsidP="00377C01">
      <w:pPr>
        <w:jc w:val="both"/>
        <w:rPr>
          <w:rFonts w:ascii="Calibri" w:hAnsi="Calibri" w:cs="Calibri"/>
        </w:rPr>
      </w:pPr>
    </w:p>
    <w:p w14:paraId="01D14C50" w14:textId="504CEAE0" w:rsidR="00497A8B" w:rsidRPr="00377C01" w:rsidRDefault="00497A8B" w:rsidP="00377C01">
      <w:pPr>
        <w:jc w:val="both"/>
        <w:rPr>
          <w:rFonts w:ascii="Calibri" w:hAnsi="Calibri" w:cs="Calibri"/>
        </w:rPr>
      </w:pPr>
      <w:r w:rsidRPr="00377C01">
        <w:rPr>
          <w:rFonts w:ascii="Calibri" w:hAnsi="Calibri" w:cs="Calibri"/>
        </w:rPr>
        <w:t>The offense is dependent upon direction from the Sentencing Council via Guidelines for the offense. In the event that you are blamed for such an offense and are interested regarding what a possible sentence would be you should look for expert lawful exhortation.</w:t>
      </w:r>
    </w:p>
    <w:p w14:paraId="31DB7B14" w14:textId="4C0D70BA" w:rsidR="00497A8B" w:rsidRPr="00377C01" w:rsidRDefault="00497A8B" w:rsidP="00377C01">
      <w:pPr>
        <w:jc w:val="both"/>
        <w:rPr>
          <w:rFonts w:ascii="Calibri" w:hAnsi="Calibri" w:cs="Calibri"/>
        </w:rPr>
      </w:pPr>
    </w:p>
    <w:p w14:paraId="3AAA6DD5" w14:textId="2971EC9D" w:rsidR="00497A8B" w:rsidRPr="00377C01" w:rsidRDefault="00497A8B" w:rsidP="00377C01">
      <w:pPr>
        <w:jc w:val="both"/>
        <w:rPr>
          <w:rFonts w:ascii="Calibri" w:hAnsi="Calibri" w:cs="Calibri"/>
        </w:rPr>
      </w:pPr>
      <w:r w:rsidRPr="00377C01">
        <w:rPr>
          <w:rFonts w:ascii="Calibri" w:hAnsi="Calibri" w:cs="Calibri"/>
        </w:rPr>
        <w:t>As can be seen over, a charge of a s4 public request Act 1986 offense can be really and lawfully mind boggling. There are numerous safeguards that can be used and it is basic that on the off chance that somebody is accused of this offense they get expert portrayal. Quentin Hunt is a Criminal Barrister and master in Public Order offenses. He is fit for tolerating guidelines straightforwardly from individuals from people in general. On the off chance that you are confronting a charge of this sort you may contact Quentin for a free no commitment discussion about your case.</w:t>
      </w:r>
    </w:p>
    <w:p w14:paraId="016AC840" w14:textId="77777777" w:rsidR="00497A8B" w:rsidRPr="00377C01" w:rsidRDefault="00497A8B" w:rsidP="00377C01">
      <w:pPr>
        <w:jc w:val="both"/>
        <w:rPr>
          <w:rFonts w:ascii="Calibri" w:hAnsi="Calibri" w:cs="Calibri"/>
        </w:rPr>
      </w:pPr>
    </w:p>
    <w:p w14:paraId="6A8EC8D2" w14:textId="77777777" w:rsidR="00497A8B" w:rsidRPr="00377C01" w:rsidRDefault="00497A8B" w:rsidP="00377C01">
      <w:pPr>
        <w:jc w:val="both"/>
        <w:rPr>
          <w:rFonts w:ascii="Calibri" w:hAnsi="Calibri" w:cs="Calibri"/>
        </w:rPr>
      </w:pPr>
    </w:p>
    <w:p w14:paraId="32C72914" w14:textId="141E9FEF" w:rsidR="000B6CBE" w:rsidRPr="00377C01" w:rsidRDefault="000B6CBE" w:rsidP="00377C01">
      <w:pPr>
        <w:jc w:val="both"/>
        <w:rPr>
          <w:rFonts w:ascii="Calibri" w:hAnsi="Calibri" w:cs="Calibri"/>
        </w:rPr>
      </w:pPr>
      <w:r w:rsidRPr="00377C01">
        <w:rPr>
          <w:rFonts w:ascii="Calibri" w:hAnsi="Calibri" w:cs="Calibri"/>
        </w:rPr>
        <w:t xml:space="preserve">Hemp is an individual from the Cannabis sativa family, which means it has a place with similar sort of plants as pot! There is a ton of disarray about the contrasts between the two, which is the reason the two kinds of plant were made controlled substances, thinking back to the 1970s. While cannabis is known for its capacity to get individuals high, hemp doesn't really have this characteristic. </w:t>
      </w:r>
    </w:p>
    <w:p w14:paraId="467F3C92" w14:textId="77777777" w:rsidR="000B6CBE" w:rsidRPr="00377C01" w:rsidRDefault="000B6CBE" w:rsidP="00377C01">
      <w:pPr>
        <w:jc w:val="both"/>
        <w:rPr>
          <w:rFonts w:ascii="Calibri" w:hAnsi="Calibri" w:cs="Calibri"/>
        </w:rPr>
      </w:pPr>
      <w:r w:rsidRPr="00377C01">
        <w:rPr>
          <w:rFonts w:ascii="Calibri" w:hAnsi="Calibri" w:cs="Calibri"/>
        </w:rPr>
        <w:t xml:space="preserve">By definition, hemp contains under 0.3% THC per dry weight. THC, or tetrahydrocannabinol, is the dynamic compound in cannabis plants that produces psychoactive impacts. It's anything but the lone dynamic compound in there, as there are assessed to be more than 100 cannabinoids! THC is quite possibly the most bountiful, close by CBD. Cannabidiol (CBD) is getting significantly more acknowledged, as it is presently perceived that it delivers no inebriating impacts at all. In contrast to THC, it is as yet plentiful in hemp plants. This is incredible information, as hemp isn't just non-inebriating, yet it is thought to have some magnificent advantages. </w:t>
      </w:r>
    </w:p>
    <w:p w14:paraId="058C1555" w14:textId="6967BB72" w:rsidR="00687B30" w:rsidRPr="00377C01" w:rsidRDefault="000B6CBE" w:rsidP="00377C01">
      <w:pPr>
        <w:jc w:val="both"/>
        <w:rPr>
          <w:rFonts w:ascii="Calibri" w:hAnsi="Calibri" w:cs="Calibri"/>
        </w:rPr>
      </w:pPr>
      <w:r w:rsidRPr="00377C01">
        <w:rPr>
          <w:rFonts w:ascii="Calibri" w:hAnsi="Calibri" w:cs="Calibri"/>
        </w:rPr>
        <w:t xml:space="preserve">There are some other key contrasts among hemp and </w:t>
      </w:r>
      <w:proofErr w:type="spellStart"/>
      <w:r w:rsidRPr="00377C01">
        <w:rPr>
          <w:rFonts w:ascii="Calibri" w:hAnsi="Calibri" w:cs="Calibri"/>
        </w:rPr>
        <w:t>maryjane</w:t>
      </w:r>
      <w:proofErr w:type="spellEnd"/>
      <w:r w:rsidRPr="00377C01">
        <w:rPr>
          <w:rFonts w:ascii="Calibri" w:hAnsi="Calibri" w:cs="Calibri"/>
        </w:rPr>
        <w:t xml:space="preserve">. Hemp, for one thing, appears to be unique. It has more slender leaves assembled at the highest point of the plant, and generally the plant is skinnier and taller than its partner. Hemp can really grow up to 20 feet tall! Besides, hemp can be developed extremely near one another gratitude to its restriction, though cannabis plants should be developed further separated. Cannabis producers need to painstakingly control the climate, or the </w:t>
      </w:r>
      <w:proofErr w:type="spellStart"/>
      <w:r w:rsidRPr="00377C01">
        <w:rPr>
          <w:rFonts w:ascii="Calibri" w:hAnsi="Calibri" w:cs="Calibri"/>
        </w:rPr>
        <w:t>maryjane</w:t>
      </w:r>
      <w:proofErr w:type="spellEnd"/>
      <w:r w:rsidRPr="00377C01">
        <w:rPr>
          <w:rFonts w:ascii="Calibri" w:hAnsi="Calibri" w:cs="Calibri"/>
        </w:rPr>
        <w:t xml:space="preserve"> will bite the dust incredibly rapidly. Hemp, then again, is tough and can endure essentially anyplace.</w:t>
      </w:r>
    </w:p>
    <w:p w14:paraId="4B8EF94D" w14:textId="46FEE699" w:rsidR="00497A8B" w:rsidRPr="00377C01" w:rsidRDefault="00497A8B" w:rsidP="00377C01">
      <w:pPr>
        <w:jc w:val="both"/>
        <w:rPr>
          <w:rFonts w:ascii="Calibri" w:hAnsi="Calibri" w:cs="Calibri"/>
        </w:rPr>
      </w:pPr>
    </w:p>
    <w:p w14:paraId="5296BB8E" w14:textId="77777777" w:rsidR="00497A8B" w:rsidRPr="00377C01" w:rsidRDefault="00497A8B" w:rsidP="00377C01">
      <w:pPr>
        <w:jc w:val="both"/>
        <w:rPr>
          <w:rFonts w:ascii="Calibri" w:hAnsi="Calibri" w:cs="Calibri"/>
        </w:rPr>
      </w:pPr>
      <w:r w:rsidRPr="00377C01">
        <w:rPr>
          <w:rFonts w:ascii="Calibri" w:hAnsi="Calibri" w:cs="Calibri"/>
        </w:rPr>
        <w:t xml:space="preserve">Speed embarks to find some kind of harmony between the forces of the police and the rights and opportunities of the general population. Keeping up with that equilibrium is a focal component of PACE. </w:t>
      </w:r>
    </w:p>
    <w:p w14:paraId="7BA629E6" w14:textId="77777777" w:rsidR="00497A8B" w:rsidRPr="00377C01" w:rsidRDefault="00497A8B" w:rsidP="00377C01">
      <w:pPr>
        <w:jc w:val="both"/>
        <w:rPr>
          <w:rFonts w:ascii="Calibri" w:hAnsi="Calibri" w:cs="Calibri"/>
        </w:rPr>
      </w:pPr>
    </w:p>
    <w:p w14:paraId="30A24B4D" w14:textId="77777777" w:rsidR="00497A8B" w:rsidRPr="00377C01" w:rsidRDefault="00497A8B" w:rsidP="00377C01">
      <w:pPr>
        <w:jc w:val="both"/>
        <w:rPr>
          <w:rFonts w:ascii="Calibri" w:hAnsi="Calibri" w:cs="Calibri"/>
        </w:rPr>
      </w:pPr>
      <w:r w:rsidRPr="00377C01">
        <w:rPr>
          <w:rFonts w:ascii="Calibri" w:hAnsi="Calibri" w:cs="Calibri"/>
        </w:rPr>
        <w:t xml:space="preserve">The PACE codes of training cover: </w:t>
      </w:r>
    </w:p>
    <w:p w14:paraId="5D2F8E6E" w14:textId="77777777" w:rsidR="00497A8B" w:rsidRPr="00377C01" w:rsidRDefault="00497A8B" w:rsidP="00377C01">
      <w:pPr>
        <w:jc w:val="both"/>
        <w:rPr>
          <w:rFonts w:ascii="Calibri" w:hAnsi="Calibri" w:cs="Calibri"/>
        </w:rPr>
      </w:pPr>
    </w:p>
    <w:p w14:paraId="0477FA6A" w14:textId="77777777" w:rsidR="00497A8B" w:rsidRPr="00377C01" w:rsidRDefault="00497A8B" w:rsidP="00377C01">
      <w:pPr>
        <w:jc w:val="both"/>
        <w:rPr>
          <w:rFonts w:ascii="Calibri" w:hAnsi="Calibri" w:cs="Calibri"/>
        </w:rPr>
      </w:pPr>
      <w:r w:rsidRPr="00377C01">
        <w:rPr>
          <w:rFonts w:ascii="Calibri" w:hAnsi="Calibri" w:cs="Calibri"/>
        </w:rPr>
        <w:t xml:space="preserve">pause and search </w:t>
      </w:r>
    </w:p>
    <w:p w14:paraId="09CE6FEE" w14:textId="77777777" w:rsidR="00497A8B" w:rsidRPr="00377C01" w:rsidRDefault="00497A8B" w:rsidP="00377C01">
      <w:pPr>
        <w:jc w:val="both"/>
        <w:rPr>
          <w:rFonts w:ascii="Calibri" w:hAnsi="Calibri" w:cs="Calibri"/>
        </w:rPr>
      </w:pPr>
    </w:p>
    <w:p w14:paraId="4FA8B282" w14:textId="77777777" w:rsidR="00497A8B" w:rsidRPr="00377C01" w:rsidRDefault="00497A8B" w:rsidP="00377C01">
      <w:pPr>
        <w:jc w:val="both"/>
        <w:rPr>
          <w:rFonts w:ascii="Calibri" w:hAnsi="Calibri" w:cs="Calibri"/>
        </w:rPr>
      </w:pPr>
      <w:r w:rsidRPr="00377C01">
        <w:rPr>
          <w:rFonts w:ascii="Calibri" w:hAnsi="Calibri" w:cs="Calibri"/>
        </w:rPr>
        <w:t xml:space="preserve">capture </w:t>
      </w:r>
    </w:p>
    <w:p w14:paraId="15D51625" w14:textId="77777777" w:rsidR="00497A8B" w:rsidRPr="00377C01" w:rsidRDefault="00497A8B" w:rsidP="00377C01">
      <w:pPr>
        <w:jc w:val="both"/>
        <w:rPr>
          <w:rFonts w:ascii="Calibri" w:hAnsi="Calibri" w:cs="Calibri"/>
        </w:rPr>
      </w:pPr>
    </w:p>
    <w:p w14:paraId="2ABF5904" w14:textId="77777777" w:rsidR="00497A8B" w:rsidRPr="00377C01" w:rsidRDefault="00497A8B" w:rsidP="00377C01">
      <w:pPr>
        <w:jc w:val="both"/>
        <w:rPr>
          <w:rFonts w:ascii="Calibri" w:hAnsi="Calibri" w:cs="Calibri"/>
        </w:rPr>
      </w:pPr>
      <w:r w:rsidRPr="00377C01">
        <w:rPr>
          <w:rFonts w:ascii="Calibri" w:hAnsi="Calibri" w:cs="Calibri"/>
        </w:rPr>
        <w:t xml:space="preserve">confinement </w:t>
      </w:r>
    </w:p>
    <w:p w14:paraId="09C6C48D" w14:textId="77777777" w:rsidR="00497A8B" w:rsidRPr="00377C01" w:rsidRDefault="00497A8B" w:rsidP="00377C01">
      <w:pPr>
        <w:jc w:val="both"/>
        <w:rPr>
          <w:rFonts w:ascii="Calibri" w:hAnsi="Calibri" w:cs="Calibri"/>
        </w:rPr>
      </w:pPr>
    </w:p>
    <w:p w14:paraId="296EFD63" w14:textId="77777777" w:rsidR="00497A8B" w:rsidRPr="00377C01" w:rsidRDefault="00497A8B" w:rsidP="00377C01">
      <w:pPr>
        <w:jc w:val="both"/>
        <w:rPr>
          <w:rFonts w:ascii="Calibri" w:hAnsi="Calibri" w:cs="Calibri"/>
        </w:rPr>
      </w:pPr>
      <w:r w:rsidRPr="00377C01">
        <w:rPr>
          <w:rFonts w:ascii="Calibri" w:hAnsi="Calibri" w:cs="Calibri"/>
        </w:rPr>
        <w:t xml:space="preserve">examination </w:t>
      </w:r>
    </w:p>
    <w:p w14:paraId="21FB803B" w14:textId="77777777" w:rsidR="00497A8B" w:rsidRPr="00377C01" w:rsidRDefault="00497A8B" w:rsidP="00377C01">
      <w:pPr>
        <w:jc w:val="both"/>
        <w:rPr>
          <w:rFonts w:ascii="Calibri" w:hAnsi="Calibri" w:cs="Calibri"/>
        </w:rPr>
      </w:pPr>
    </w:p>
    <w:p w14:paraId="487312ED" w14:textId="77777777" w:rsidR="00497A8B" w:rsidRPr="00377C01" w:rsidRDefault="00497A8B" w:rsidP="00377C01">
      <w:pPr>
        <w:jc w:val="both"/>
        <w:rPr>
          <w:rFonts w:ascii="Calibri" w:hAnsi="Calibri" w:cs="Calibri"/>
        </w:rPr>
      </w:pPr>
      <w:r w:rsidRPr="00377C01">
        <w:rPr>
          <w:rFonts w:ascii="Calibri" w:hAnsi="Calibri" w:cs="Calibri"/>
        </w:rPr>
        <w:t xml:space="preserve">ID </w:t>
      </w:r>
    </w:p>
    <w:p w14:paraId="01A9F07C" w14:textId="77777777" w:rsidR="00497A8B" w:rsidRPr="00377C01" w:rsidRDefault="00497A8B" w:rsidP="00377C01">
      <w:pPr>
        <w:jc w:val="both"/>
        <w:rPr>
          <w:rFonts w:ascii="Calibri" w:hAnsi="Calibri" w:cs="Calibri"/>
        </w:rPr>
      </w:pPr>
    </w:p>
    <w:p w14:paraId="3BE15D70" w14:textId="6F7B651D" w:rsidR="00497A8B" w:rsidRPr="00377C01" w:rsidRDefault="00497A8B" w:rsidP="00377C01">
      <w:pPr>
        <w:jc w:val="both"/>
        <w:rPr>
          <w:rFonts w:ascii="Calibri" w:hAnsi="Calibri" w:cs="Calibri"/>
        </w:rPr>
      </w:pPr>
      <w:r w:rsidRPr="00377C01">
        <w:rPr>
          <w:rFonts w:ascii="Calibri" w:hAnsi="Calibri" w:cs="Calibri"/>
        </w:rPr>
        <w:t>talking with prisoners</w:t>
      </w:r>
    </w:p>
    <w:p w14:paraId="28C98083" w14:textId="77777777" w:rsidR="00687B30" w:rsidRPr="00377C01" w:rsidRDefault="00687B30" w:rsidP="00377C01">
      <w:pPr>
        <w:jc w:val="both"/>
        <w:rPr>
          <w:rFonts w:ascii="Calibri" w:hAnsi="Calibri" w:cs="Calibri"/>
        </w:rPr>
      </w:pPr>
    </w:p>
    <w:p w14:paraId="03CE1DEA" w14:textId="6D9D575F" w:rsidR="00687B30" w:rsidRPr="00377C01" w:rsidRDefault="00687B30" w:rsidP="00377C01">
      <w:pPr>
        <w:jc w:val="both"/>
        <w:rPr>
          <w:rFonts w:ascii="Calibri" w:hAnsi="Calibri" w:cs="Calibri"/>
        </w:rPr>
      </w:pPr>
      <w:r w:rsidRPr="00377C01">
        <w:rPr>
          <w:rFonts w:ascii="Calibri" w:hAnsi="Calibri" w:cs="Calibri"/>
        </w:rPr>
        <w:t xml:space="preserve"> </w:t>
      </w:r>
    </w:p>
    <w:p w14:paraId="0F521A1F" w14:textId="5BC0DD2B" w:rsidR="00687B30" w:rsidRPr="00377C01" w:rsidRDefault="00687B30" w:rsidP="00377C01">
      <w:pPr>
        <w:jc w:val="both"/>
        <w:rPr>
          <w:rFonts w:ascii="Calibri" w:hAnsi="Calibri" w:cs="Calibri"/>
        </w:rPr>
      </w:pPr>
    </w:p>
    <w:p w14:paraId="1616C11E" w14:textId="786F5FC0" w:rsidR="00687B30" w:rsidRPr="00377C01" w:rsidRDefault="00687B30" w:rsidP="00377C01">
      <w:pPr>
        <w:jc w:val="both"/>
        <w:rPr>
          <w:rFonts w:ascii="Calibri" w:hAnsi="Calibri" w:cs="Calibri"/>
        </w:rPr>
      </w:pPr>
    </w:p>
    <w:p w14:paraId="01FB4689" w14:textId="77777777" w:rsidR="00687B30" w:rsidRPr="00377C01" w:rsidRDefault="00687B30" w:rsidP="00377C01">
      <w:pPr>
        <w:jc w:val="both"/>
        <w:rPr>
          <w:rFonts w:ascii="Calibri" w:hAnsi="Calibri" w:cs="Calibri"/>
        </w:rPr>
      </w:pPr>
    </w:p>
    <w:p w14:paraId="787B08AC" w14:textId="77777777" w:rsidR="009C3B24" w:rsidRPr="00377C01" w:rsidRDefault="009C3B24" w:rsidP="00377C01">
      <w:pPr>
        <w:jc w:val="both"/>
        <w:rPr>
          <w:rFonts w:ascii="Calibri" w:hAnsi="Calibri" w:cs="Calibri"/>
        </w:rPr>
      </w:pPr>
    </w:p>
    <w:p w14:paraId="1C0BEB2D" w14:textId="77777777" w:rsidR="009C3B24" w:rsidRPr="00377C01" w:rsidRDefault="009C3B24" w:rsidP="00377C01">
      <w:pPr>
        <w:jc w:val="both"/>
        <w:rPr>
          <w:rFonts w:ascii="Calibri" w:hAnsi="Calibri" w:cs="Calibri"/>
        </w:rPr>
      </w:pPr>
    </w:p>
    <w:p w14:paraId="7DE7FD46" w14:textId="77777777" w:rsidR="009C3B24" w:rsidRPr="00377C01" w:rsidRDefault="009C3B24" w:rsidP="00377C01">
      <w:pPr>
        <w:jc w:val="both"/>
        <w:rPr>
          <w:rFonts w:ascii="Calibri" w:hAnsi="Calibri" w:cs="Calibri"/>
        </w:rPr>
      </w:pPr>
    </w:p>
    <w:p w14:paraId="52750EAC" w14:textId="77777777" w:rsidR="009C3B24" w:rsidRPr="00377C01" w:rsidRDefault="009C3B24" w:rsidP="00377C01">
      <w:pPr>
        <w:jc w:val="both"/>
        <w:rPr>
          <w:rFonts w:ascii="Calibri" w:hAnsi="Calibri" w:cs="Calibri"/>
        </w:rPr>
      </w:pPr>
    </w:p>
    <w:p w14:paraId="4DB80FFD" w14:textId="77777777" w:rsidR="009C3B24" w:rsidRPr="00377C01" w:rsidRDefault="009C3B24" w:rsidP="00377C01">
      <w:pPr>
        <w:jc w:val="both"/>
        <w:rPr>
          <w:rFonts w:ascii="Calibri" w:hAnsi="Calibri" w:cs="Calibri"/>
        </w:rPr>
      </w:pPr>
    </w:p>
    <w:p w14:paraId="5B67A957" w14:textId="77777777" w:rsidR="000B6CBE" w:rsidRPr="00377C01" w:rsidRDefault="000B6CBE" w:rsidP="00377C01">
      <w:pPr>
        <w:jc w:val="both"/>
        <w:rPr>
          <w:rFonts w:ascii="Calibri" w:hAnsi="Calibri" w:cs="Calibri"/>
        </w:rPr>
      </w:pPr>
      <w:r w:rsidRPr="00377C01">
        <w:rPr>
          <w:rFonts w:ascii="Calibri" w:hAnsi="Calibri" w:cs="Calibri"/>
        </w:rPr>
        <w:t xml:space="preserve">                                                                               </w:t>
      </w:r>
    </w:p>
    <w:p w14:paraId="62827D07" w14:textId="77777777" w:rsidR="000B6CBE" w:rsidRPr="00377C01" w:rsidRDefault="000B6CBE" w:rsidP="00377C01">
      <w:pPr>
        <w:jc w:val="both"/>
        <w:rPr>
          <w:rFonts w:ascii="Calibri" w:hAnsi="Calibri" w:cs="Calibri"/>
        </w:rPr>
      </w:pPr>
      <w:r w:rsidRPr="00377C01">
        <w:rPr>
          <w:rFonts w:ascii="Calibri" w:hAnsi="Calibri" w:cs="Calibri"/>
        </w:rPr>
        <w:t xml:space="preserve"> </w:t>
      </w:r>
    </w:p>
    <w:p w14:paraId="72E65ECD" w14:textId="77777777" w:rsidR="000B6CBE" w:rsidRPr="00377C01" w:rsidRDefault="000B6CBE" w:rsidP="00377C01">
      <w:pPr>
        <w:jc w:val="both"/>
        <w:rPr>
          <w:rFonts w:ascii="Calibri" w:hAnsi="Calibri" w:cs="Calibri"/>
        </w:rPr>
      </w:pPr>
    </w:p>
    <w:p w14:paraId="64845A3F" w14:textId="77777777" w:rsidR="000B6CBE" w:rsidRPr="00377C01" w:rsidRDefault="000B6CBE" w:rsidP="00377C01">
      <w:pPr>
        <w:jc w:val="both"/>
        <w:rPr>
          <w:rFonts w:ascii="Calibri" w:hAnsi="Calibri" w:cs="Calibri"/>
        </w:rPr>
      </w:pPr>
    </w:p>
    <w:p w14:paraId="0CEA3718" w14:textId="77777777" w:rsidR="000B6CBE" w:rsidRPr="00377C01" w:rsidRDefault="000B6CBE" w:rsidP="00377C01">
      <w:pPr>
        <w:jc w:val="both"/>
        <w:rPr>
          <w:rFonts w:ascii="Calibri" w:hAnsi="Calibri" w:cs="Calibri"/>
        </w:rPr>
      </w:pPr>
    </w:p>
    <w:p w14:paraId="747FE70C" w14:textId="77777777" w:rsidR="000B6CBE" w:rsidRPr="00377C01" w:rsidRDefault="000B6CBE" w:rsidP="00377C01">
      <w:pPr>
        <w:jc w:val="both"/>
        <w:rPr>
          <w:rFonts w:ascii="Calibri" w:hAnsi="Calibri" w:cs="Calibri"/>
        </w:rPr>
      </w:pPr>
    </w:p>
    <w:p w14:paraId="5E2F9EC0" w14:textId="77777777" w:rsidR="000B6CBE" w:rsidRPr="00377C01" w:rsidRDefault="000B6CBE" w:rsidP="00377C01">
      <w:pPr>
        <w:jc w:val="both"/>
        <w:rPr>
          <w:rFonts w:ascii="Calibri" w:hAnsi="Calibri" w:cs="Calibri"/>
        </w:rPr>
      </w:pPr>
    </w:p>
    <w:p w14:paraId="239D66C3" w14:textId="77777777" w:rsidR="000B6CBE" w:rsidRPr="00377C01" w:rsidRDefault="000B6CBE" w:rsidP="00377C01">
      <w:pPr>
        <w:jc w:val="both"/>
        <w:rPr>
          <w:rFonts w:ascii="Calibri" w:hAnsi="Calibri" w:cs="Calibri"/>
        </w:rPr>
      </w:pPr>
    </w:p>
    <w:p w14:paraId="7B1E7A7A" w14:textId="77777777" w:rsidR="000B6CBE" w:rsidRPr="00377C01" w:rsidRDefault="000B6CBE" w:rsidP="00377C01">
      <w:pPr>
        <w:jc w:val="both"/>
        <w:rPr>
          <w:rFonts w:ascii="Calibri" w:hAnsi="Calibri" w:cs="Calibri"/>
        </w:rPr>
      </w:pPr>
    </w:p>
    <w:p w14:paraId="7E7E0603" w14:textId="77777777" w:rsidR="00497A8B" w:rsidRPr="00377C01" w:rsidRDefault="00497A8B" w:rsidP="00377C01">
      <w:pPr>
        <w:jc w:val="both"/>
        <w:rPr>
          <w:rFonts w:ascii="Calibri" w:hAnsi="Calibri" w:cs="Calibri"/>
        </w:rPr>
      </w:pPr>
    </w:p>
    <w:p w14:paraId="440D7DB1" w14:textId="77777777" w:rsidR="00497A8B" w:rsidRPr="00377C01" w:rsidRDefault="00497A8B" w:rsidP="00377C01">
      <w:pPr>
        <w:jc w:val="both"/>
        <w:rPr>
          <w:rFonts w:ascii="Calibri" w:hAnsi="Calibri" w:cs="Calibri"/>
        </w:rPr>
      </w:pPr>
    </w:p>
    <w:p w14:paraId="786ED103" w14:textId="77777777" w:rsidR="00497A8B" w:rsidRPr="00377C01" w:rsidRDefault="00497A8B" w:rsidP="00377C01">
      <w:pPr>
        <w:jc w:val="both"/>
        <w:rPr>
          <w:rFonts w:ascii="Calibri" w:hAnsi="Calibri" w:cs="Calibri"/>
        </w:rPr>
      </w:pPr>
    </w:p>
    <w:p w14:paraId="3CC64A22" w14:textId="77777777" w:rsidR="00497A8B" w:rsidRPr="00377C01" w:rsidRDefault="00497A8B" w:rsidP="00377C01">
      <w:pPr>
        <w:jc w:val="both"/>
        <w:rPr>
          <w:rFonts w:ascii="Calibri" w:hAnsi="Calibri" w:cs="Calibri"/>
        </w:rPr>
      </w:pPr>
    </w:p>
    <w:p w14:paraId="6CEB4C91" w14:textId="77777777" w:rsidR="00497A8B" w:rsidRPr="00377C01" w:rsidRDefault="00497A8B" w:rsidP="00377C01">
      <w:pPr>
        <w:jc w:val="both"/>
        <w:rPr>
          <w:rFonts w:ascii="Calibri" w:hAnsi="Calibri" w:cs="Calibri"/>
        </w:rPr>
      </w:pPr>
    </w:p>
    <w:p w14:paraId="09DED9FB" w14:textId="77777777" w:rsidR="00497A8B" w:rsidRPr="00377C01" w:rsidRDefault="00497A8B" w:rsidP="00377C01">
      <w:pPr>
        <w:jc w:val="both"/>
        <w:rPr>
          <w:rFonts w:ascii="Calibri" w:hAnsi="Calibri" w:cs="Calibri"/>
        </w:rPr>
      </w:pPr>
    </w:p>
    <w:p w14:paraId="757DD35B" w14:textId="77777777" w:rsidR="00592A22" w:rsidRDefault="00592A22" w:rsidP="00377C01">
      <w:pPr>
        <w:jc w:val="both"/>
        <w:rPr>
          <w:rFonts w:ascii="Calibri" w:hAnsi="Calibri" w:cs="Calibri"/>
        </w:rPr>
      </w:pPr>
    </w:p>
    <w:p w14:paraId="79739EEA" w14:textId="77777777" w:rsidR="00592A22" w:rsidRDefault="00592A22" w:rsidP="00377C01">
      <w:pPr>
        <w:jc w:val="both"/>
        <w:rPr>
          <w:rFonts w:ascii="Calibri" w:hAnsi="Calibri" w:cs="Calibri"/>
        </w:rPr>
      </w:pPr>
    </w:p>
    <w:p w14:paraId="3602B570" w14:textId="77777777" w:rsidR="00592A22" w:rsidRDefault="00592A22" w:rsidP="00377C01">
      <w:pPr>
        <w:jc w:val="both"/>
        <w:rPr>
          <w:rFonts w:ascii="Calibri" w:hAnsi="Calibri" w:cs="Calibri"/>
        </w:rPr>
      </w:pPr>
    </w:p>
    <w:p w14:paraId="49F4CEC8" w14:textId="77777777" w:rsidR="00592A22" w:rsidRDefault="00592A22" w:rsidP="00377C01">
      <w:pPr>
        <w:jc w:val="both"/>
        <w:rPr>
          <w:rFonts w:ascii="Calibri" w:hAnsi="Calibri" w:cs="Calibri"/>
        </w:rPr>
      </w:pPr>
    </w:p>
    <w:p w14:paraId="52C451B7" w14:textId="77777777" w:rsidR="00592A22" w:rsidRDefault="00592A22" w:rsidP="00377C01">
      <w:pPr>
        <w:jc w:val="both"/>
        <w:rPr>
          <w:rFonts w:ascii="Calibri" w:hAnsi="Calibri" w:cs="Calibri"/>
        </w:rPr>
      </w:pPr>
    </w:p>
    <w:p w14:paraId="32D85077" w14:textId="4FAD9F47" w:rsidR="000B6CBE" w:rsidRPr="00377C01" w:rsidRDefault="000B6CBE" w:rsidP="00377C01">
      <w:pPr>
        <w:jc w:val="both"/>
        <w:rPr>
          <w:rFonts w:ascii="Calibri" w:hAnsi="Calibri" w:cs="Calibri"/>
        </w:rPr>
      </w:pPr>
      <w:r w:rsidRPr="00377C01">
        <w:rPr>
          <w:rFonts w:ascii="Calibri" w:hAnsi="Calibri" w:cs="Calibri"/>
        </w:rPr>
        <w:t xml:space="preserve">REFERENCE : </w:t>
      </w:r>
    </w:p>
    <w:p w14:paraId="2F93A140" w14:textId="77777777" w:rsidR="000B6CBE" w:rsidRPr="00377C01" w:rsidRDefault="000B6CBE" w:rsidP="00377C01">
      <w:pPr>
        <w:jc w:val="both"/>
        <w:rPr>
          <w:rFonts w:ascii="Calibri" w:hAnsi="Calibri" w:cs="Calibri"/>
        </w:rPr>
      </w:pPr>
    </w:p>
    <w:p w14:paraId="4D9DDAAF" w14:textId="77777777" w:rsidR="000B6CBE" w:rsidRPr="00377C01" w:rsidRDefault="000B6CBE" w:rsidP="00377C01">
      <w:pPr>
        <w:jc w:val="both"/>
        <w:rPr>
          <w:rFonts w:ascii="Calibri" w:hAnsi="Calibri" w:cs="Calibri"/>
        </w:rPr>
      </w:pPr>
      <w:hyperlink r:id="rId5" w:history="1">
        <w:r w:rsidRPr="00377C01">
          <w:rPr>
            <w:rStyle w:val="Hyperlink"/>
            <w:rFonts w:ascii="Calibri" w:hAnsi="Calibri" w:cs="Calibri"/>
            <w:u w:val="none"/>
          </w:rPr>
          <w:t>https://www.lawteacher.net/free-law-essays/family-law/separation-of-powers-in-the-uk.php</w:t>
        </w:r>
      </w:hyperlink>
    </w:p>
    <w:p w14:paraId="3BDB3B86" w14:textId="77777777" w:rsidR="000B6CBE" w:rsidRPr="00377C01" w:rsidRDefault="000B6CBE" w:rsidP="00377C01">
      <w:pPr>
        <w:jc w:val="both"/>
        <w:rPr>
          <w:rFonts w:ascii="Calibri" w:hAnsi="Calibri" w:cs="Calibri"/>
        </w:rPr>
      </w:pPr>
    </w:p>
    <w:p w14:paraId="64875640" w14:textId="77777777" w:rsidR="000B6CBE" w:rsidRPr="00377C01" w:rsidRDefault="000B6CBE" w:rsidP="00377C01">
      <w:pPr>
        <w:jc w:val="both"/>
        <w:rPr>
          <w:rFonts w:ascii="Calibri" w:hAnsi="Calibri" w:cs="Calibri"/>
        </w:rPr>
      </w:pPr>
      <w:hyperlink r:id="rId6" w:history="1">
        <w:r w:rsidRPr="00377C01">
          <w:rPr>
            <w:rStyle w:val="Hyperlink"/>
            <w:rFonts w:ascii="Calibri" w:hAnsi="Calibri" w:cs="Calibri"/>
            <w:u w:val="none"/>
          </w:rPr>
          <w:t>https://en.wikipedia.org/wiki/House_of_Commons_Disqualification_Act_1975#:~:text=The%20House%20of%20Commons%20Disqualification%20Act%201975%20is,1957.%20The%20groups%20disqualified%20from%20all%20constituencies%20are%3A</w:t>
        </w:r>
      </w:hyperlink>
    </w:p>
    <w:p w14:paraId="3704B589" w14:textId="77777777" w:rsidR="000B6CBE" w:rsidRPr="00377C01" w:rsidRDefault="000B6CBE" w:rsidP="00377C01">
      <w:pPr>
        <w:jc w:val="both"/>
        <w:rPr>
          <w:rFonts w:ascii="Calibri" w:hAnsi="Calibri" w:cs="Calibri"/>
        </w:rPr>
      </w:pPr>
    </w:p>
    <w:p w14:paraId="4AB50BE8" w14:textId="77777777" w:rsidR="000B6CBE" w:rsidRPr="00377C01" w:rsidRDefault="000B6CBE" w:rsidP="00377C01">
      <w:pPr>
        <w:jc w:val="both"/>
        <w:rPr>
          <w:rFonts w:ascii="Calibri" w:hAnsi="Calibri" w:cs="Calibri"/>
        </w:rPr>
      </w:pPr>
    </w:p>
    <w:p w14:paraId="1E969388" w14:textId="77777777" w:rsidR="000B6CBE" w:rsidRPr="00377C01" w:rsidRDefault="000B6CBE" w:rsidP="00377C01">
      <w:pPr>
        <w:jc w:val="both"/>
        <w:rPr>
          <w:rFonts w:ascii="Calibri" w:hAnsi="Calibri" w:cs="Calibri"/>
        </w:rPr>
      </w:pPr>
      <w:hyperlink r:id="rId7" w:history="1">
        <w:r w:rsidRPr="00377C01">
          <w:rPr>
            <w:rStyle w:val="Hyperlink"/>
            <w:rFonts w:ascii="Calibri" w:hAnsi="Calibri" w:cs="Calibri"/>
            <w:u w:val="none"/>
          </w:rPr>
          <w:t>https://www.legislation.gov.uk/ukpga/2011/1/contents</w:t>
        </w:r>
      </w:hyperlink>
    </w:p>
    <w:p w14:paraId="11A6907E" w14:textId="77777777" w:rsidR="000B6CBE" w:rsidRPr="00377C01" w:rsidRDefault="000B6CBE" w:rsidP="00377C01">
      <w:pPr>
        <w:jc w:val="both"/>
        <w:rPr>
          <w:rFonts w:ascii="Calibri" w:hAnsi="Calibri" w:cs="Calibri"/>
        </w:rPr>
      </w:pPr>
    </w:p>
    <w:p w14:paraId="3E01DB36" w14:textId="77777777" w:rsidR="000B6CBE" w:rsidRPr="00377C01" w:rsidRDefault="000B6CBE" w:rsidP="00377C01">
      <w:pPr>
        <w:jc w:val="both"/>
        <w:rPr>
          <w:rFonts w:ascii="Calibri" w:hAnsi="Calibri" w:cs="Calibri"/>
        </w:rPr>
      </w:pPr>
    </w:p>
    <w:p w14:paraId="68436B40" w14:textId="77777777" w:rsidR="000B6CBE" w:rsidRPr="00377C01" w:rsidRDefault="000B6CBE" w:rsidP="00377C01">
      <w:pPr>
        <w:jc w:val="both"/>
        <w:rPr>
          <w:rFonts w:ascii="Calibri" w:hAnsi="Calibri" w:cs="Calibri"/>
        </w:rPr>
      </w:pPr>
      <w:hyperlink r:id="rId8" w:history="1">
        <w:r w:rsidRPr="00377C01">
          <w:rPr>
            <w:rStyle w:val="Hyperlink"/>
            <w:rFonts w:ascii="Calibri" w:hAnsi="Calibri" w:cs="Calibri"/>
            <w:u w:val="none"/>
          </w:rPr>
          <w:t>https://en.wikipedia.org/wiki/Backbench_Business_Committee#:~:text=The%20Backbench%20Business%20Committee%20of%20the%20British%20House,Commons%20in%20its%20report%20of%2012%20November%202009</w:t>
        </w:r>
      </w:hyperlink>
      <w:r w:rsidRPr="00377C01">
        <w:rPr>
          <w:rFonts w:ascii="Calibri" w:hAnsi="Calibri" w:cs="Calibri"/>
        </w:rPr>
        <w:t>.</w:t>
      </w:r>
    </w:p>
    <w:p w14:paraId="7D765EC6" w14:textId="77777777" w:rsidR="000B6CBE" w:rsidRPr="00377C01" w:rsidRDefault="000B6CBE" w:rsidP="00377C01">
      <w:pPr>
        <w:jc w:val="both"/>
        <w:rPr>
          <w:rFonts w:ascii="Calibri" w:hAnsi="Calibri" w:cs="Calibri"/>
        </w:rPr>
      </w:pPr>
    </w:p>
    <w:p w14:paraId="411EBAAE" w14:textId="77777777" w:rsidR="000B6CBE" w:rsidRPr="00377C01" w:rsidRDefault="000B6CBE" w:rsidP="00377C01">
      <w:pPr>
        <w:jc w:val="both"/>
        <w:rPr>
          <w:rFonts w:ascii="Calibri" w:hAnsi="Calibri" w:cs="Calibri"/>
        </w:rPr>
      </w:pPr>
      <w:hyperlink r:id="rId9" w:history="1">
        <w:r w:rsidRPr="00377C01">
          <w:rPr>
            <w:rStyle w:val="Hyperlink"/>
            <w:rFonts w:ascii="Calibri" w:hAnsi="Calibri" w:cs="Calibri"/>
            <w:u w:val="none"/>
          </w:rPr>
          <w:t>https://uklegalstudies.wordpress.com/tag/house-of-commons-disqualification-act-1975/#:~:text=The%20House%20of%20Commons%20Disqualification%20Act%201975%20is,members%20of%20the%20police%29%20from%20holding%20Parliamentary%20office</w:t>
        </w:r>
      </w:hyperlink>
      <w:r w:rsidRPr="00377C01">
        <w:rPr>
          <w:rFonts w:ascii="Calibri" w:hAnsi="Calibri" w:cs="Calibri"/>
        </w:rPr>
        <w:t>.</w:t>
      </w:r>
    </w:p>
    <w:p w14:paraId="52EC7CA7" w14:textId="77777777" w:rsidR="000B6CBE" w:rsidRPr="00377C01" w:rsidRDefault="000B6CBE" w:rsidP="00377C01">
      <w:pPr>
        <w:jc w:val="both"/>
        <w:rPr>
          <w:rFonts w:ascii="Calibri" w:hAnsi="Calibri" w:cs="Calibri"/>
        </w:rPr>
      </w:pPr>
    </w:p>
    <w:p w14:paraId="5576EB88" w14:textId="77777777" w:rsidR="000B6CBE" w:rsidRPr="00377C01" w:rsidRDefault="000B6CBE" w:rsidP="00377C01">
      <w:pPr>
        <w:jc w:val="both"/>
        <w:rPr>
          <w:rFonts w:ascii="Calibri" w:hAnsi="Calibri" w:cs="Calibri"/>
        </w:rPr>
      </w:pPr>
    </w:p>
    <w:p w14:paraId="4E36AA94" w14:textId="77777777" w:rsidR="000B6CBE" w:rsidRPr="00377C01" w:rsidRDefault="000B6CBE" w:rsidP="00377C01">
      <w:pPr>
        <w:jc w:val="both"/>
        <w:rPr>
          <w:rFonts w:ascii="Calibri" w:hAnsi="Calibri" w:cs="Calibri"/>
        </w:rPr>
      </w:pPr>
      <w:hyperlink r:id="rId10" w:history="1">
        <w:r w:rsidRPr="00377C01">
          <w:rPr>
            <w:rStyle w:val="Hyperlink"/>
            <w:rFonts w:ascii="Calibri" w:hAnsi="Calibri" w:cs="Calibri"/>
            <w:u w:val="none"/>
          </w:rPr>
          <w:t>https://hansard.parliament.uk/Commons/2010-02-10/debates/10021063000004/HouseOfCommonsDisqualificationAct1975</w:t>
        </w:r>
      </w:hyperlink>
    </w:p>
    <w:p w14:paraId="223AD85E" w14:textId="77777777" w:rsidR="000B6CBE" w:rsidRPr="00377C01" w:rsidRDefault="000B6CBE" w:rsidP="00377C01">
      <w:pPr>
        <w:jc w:val="both"/>
        <w:rPr>
          <w:rFonts w:ascii="Calibri" w:hAnsi="Calibri" w:cs="Calibri"/>
        </w:rPr>
      </w:pPr>
    </w:p>
    <w:p w14:paraId="468B5781" w14:textId="77777777" w:rsidR="000B6CBE" w:rsidRPr="00377C01" w:rsidRDefault="000B6CBE" w:rsidP="00377C01">
      <w:pPr>
        <w:jc w:val="both"/>
        <w:rPr>
          <w:rFonts w:ascii="Calibri" w:hAnsi="Calibri" w:cs="Calibri"/>
        </w:rPr>
      </w:pPr>
      <w:hyperlink r:id="rId11" w:history="1">
        <w:r w:rsidRPr="00377C01">
          <w:rPr>
            <w:rStyle w:val="Hyperlink"/>
            <w:rFonts w:ascii="Calibri" w:hAnsi="Calibri" w:cs="Calibri"/>
            <w:u w:val="none"/>
          </w:rPr>
          <w:t>https://en.wikipedia.org/wiki/R_(Jackson)_v_Attorney_General#:~:text=R%20%28Jackson%29%20v%20Attorney%20General%20%5B2005%5D%20UKHL%2056,Parliament%20Acts%20to%20enact%20the%20Hunting%20Act%202004</w:t>
        </w:r>
      </w:hyperlink>
      <w:r w:rsidRPr="00377C01">
        <w:rPr>
          <w:rFonts w:ascii="Calibri" w:hAnsi="Calibri" w:cs="Calibri"/>
        </w:rPr>
        <w:t>.</w:t>
      </w:r>
    </w:p>
    <w:p w14:paraId="6AA8C308" w14:textId="77777777" w:rsidR="000B6CBE" w:rsidRPr="00377C01" w:rsidRDefault="000B6CBE" w:rsidP="00377C01">
      <w:pPr>
        <w:jc w:val="both"/>
        <w:rPr>
          <w:rFonts w:ascii="Calibri" w:hAnsi="Calibri" w:cs="Calibri"/>
        </w:rPr>
      </w:pPr>
    </w:p>
    <w:p w14:paraId="674EFB92" w14:textId="77777777" w:rsidR="000B6CBE" w:rsidRPr="00377C01" w:rsidRDefault="000B6CBE" w:rsidP="00377C01">
      <w:pPr>
        <w:jc w:val="both"/>
        <w:rPr>
          <w:rFonts w:ascii="Calibri" w:hAnsi="Calibri" w:cs="Calibri"/>
        </w:rPr>
      </w:pPr>
    </w:p>
    <w:p w14:paraId="5C15FEEE" w14:textId="77777777" w:rsidR="000B6CBE" w:rsidRPr="00377C01" w:rsidRDefault="000B6CBE" w:rsidP="00377C01">
      <w:pPr>
        <w:jc w:val="both"/>
        <w:rPr>
          <w:rFonts w:ascii="Calibri" w:hAnsi="Calibri" w:cs="Calibri"/>
        </w:rPr>
      </w:pPr>
      <w:hyperlink r:id="rId12" w:history="1">
        <w:r w:rsidRPr="00377C01">
          <w:rPr>
            <w:rStyle w:val="Hyperlink"/>
            <w:rFonts w:ascii="Calibri" w:hAnsi="Calibri" w:cs="Calibri"/>
            <w:u w:val="none"/>
          </w:rPr>
          <w:t>https://publications.parliament.uk/pa/ld200405/ldjudgmt/jd041216/a&amp;oth-1.htm</w:t>
        </w:r>
      </w:hyperlink>
    </w:p>
    <w:p w14:paraId="52E1EA12" w14:textId="77777777" w:rsidR="000B6CBE" w:rsidRPr="00377C01" w:rsidRDefault="000B6CBE" w:rsidP="00377C01">
      <w:pPr>
        <w:jc w:val="both"/>
        <w:rPr>
          <w:rFonts w:ascii="Calibri" w:hAnsi="Calibri" w:cs="Calibri"/>
        </w:rPr>
      </w:pPr>
    </w:p>
    <w:p w14:paraId="3FDD86D0" w14:textId="77777777" w:rsidR="000B6CBE" w:rsidRPr="00377C01" w:rsidRDefault="000B6CBE" w:rsidP="00377C01">
      <w:pPr>
        <w:jc w:val="both"/>
        <w:rPr>
          <w:rFonts w:ascii="Calibri" w:hAnsi="Calibri" w:cs="Calibri"/>
        </w:rPr>
      </w:pPr>
      <w:hyperlink r:id="rId13" w:history="1">
        <w:r w:rsidRPr="00377C01">
          <w:rPr>
            <w:rStyle w:val="Hyperlink"/>
            <w:rFonts w:ascii="Calibri" w:hAnsi="Calibri" w:cs="Calibri"/>
            <w:u w:val="none"/>
          </w:rPr>
          <w:t>https://en.wikipedia.org/wiki/Burmah_Oil_Co_Ltd_v_Lord_Advocate</w:t>
        </w:r>
      </w:hyperlink>
    </w:p>
    <w:p w14:paraId="30899DF9" w14:textId="77777777" w:rsidR="000B6CBE" w:rsidRPr="00377C01" w:rsidRDefault="000B6CBE" w:rsidP="00377C01">
      <w:pPr>
        <w:jc w:val="both"/>
        <w:rPr>
          <w:rFonts w:ascii="Calibri" w:hAnsi="Calibri" w:cs="Calibri"/>
        </w:rPr>
      </w:pPr>
    </w:p>
    <w:p w14:paraId="2A7E2D14" w14:textId="77777777" w:rsidR="000B6CBE" w:rsidRPr="00377C01" w:rsidRDefault="000B6CBE" w:rsidP="00377C01">
      <w:pPr>
        <w:jc w:val="both"/>
        <w:rPr>
          <w:rFonts w:ascii="Calibri" w:hAnsi="Calibri" w:cs="Calibri"/>
        </w:rPr>
      </w:pPr>
      <w:hyperlink r:id="rId14" w:history="1">
        <w:r w:rsidRPr="00377C01">
          <w:rPr>
            <w:rStyle w:val="Hyperlink"/>
            <w:rFonts w:ascii="Calibri" w:hAnsi="Calibri" w:cs="Calibri"/>
            <w:u w:val="none"/>
          </w:rPr>
          <w:t>https://swarb.co.uk/mcgonnell-v-the-united-kingdom-echr-8-feb-2000/#:~:text=McGonnell%20v%20The%20United%20Kingdom%3A%20ECHR%208%20Feb,into%20a%20converted%20packing%20shed%20on%20his%20land</w:t>
        </w:r>
      </w:hyperlink>
      <w:r w:rsidRPr="00377C01">
        <w:rPr>
          <w:rFonts w:ascii="Calibri" w:hAnsi="Calibri" w:cs="Calibri"/>
        </w:rPr>
        <w:t>.</w:t>
      </w:r>
    </w:p>
    <w:p w14:paraId="45942704" w14:textId="77777777" w:rsidR="000B6CBE" w:rsidRPr="00377C01" w:rsidRDefault="000B6CBE" w:rsidP="00377C01">
      <w:pPr>
        <w:jc w:val="both"/>
        <w:rPr>
          <w:rFonts w:ascii="Calibri" w:hAnsi="Calibri" w:cs="Calibri"/>
        </w:rPr>
      </w:pPr>
    </w:p>
    <w:p w14:paraId="5FA99A9E" w14:textId="77777777" w:rsidR="000B6CBE" w:rsidRPr="00377C01" w:rsidRDefault="000B6CBE" w:rsidP="00377C01">
      <w:pPr>
        <w:jc w:val="both"/>
        <w:rPr>
          <w:rFonts w:ascii="Calibri" w:hAnsi="Calibri" w:cs="Calibri"/>
        </w:rPr>
      </w:pPr>
    </w:p>
    <w:p w14:paraId="089D9B42" w14:textId="77777777" w:rsidR="000B6CBE" w:rsidRPr="00377C01" w:rsidRDefault="000B6CBE" w:rsidP="00377C01">
      <w:pPr>
        <w:jc w:val="both"/>
        <w:rPr>
          <w:rFonts w:ascii="Calibri" w:hAnsi="Calibri" w:cs="Calibri"/>
        </w:rPr>
      </w:pPr>
      <w:hyperlink r:id="rId15" w:history="1">
        <w:r w:rsidRPr="00377C01">
          <w:rPr>
            <w:rStyle w:val="Hyperlink"/>
            <w:rFonts w:ascii="Calibri" w:hAnsi="Calibri" w:cs="Calibri"/>
            <w:u w:val="none"/>
          </w:rPr>
          <w:t>https://www.legislation.gov.uk/ukpga/1981/54/section/11</w:t>
        </w:r>
      </w:hyperlink>
    </w:p>
    <w:p w14:paraId="2159F01F" w14:textId="77777777" w:rsidR="000B6CBE" w:rsidRPr="00377C01" w:rsidRDefault="000B6CBE" w:rsidP="00377C01">
      <w:pPr>
        <w:jc w:val="both"/>
        <w:rPr>
          <w:rFonts w:ascii="Calibri" w:hAnsi="Calibri" w:cs="Calibri"/>
        </w:rPr>
      </w:pPr>
    </w:p>
    <w:p w14:paraId="6B092E74" w14:textId="02BB1003" w:rsidR="00923235" w:rsidRPr="00377C01" w:rsidRDefault="000B6CBE" w:rsidP="00377C01">
      <w:pPr>
        <w:jc w:val="both"/>
        <w:rPr>
          <w:rFonts w:ascii="Calibri" w:hAnsi="Calibri" w:cs="Calibri"/>
        </w:rPr>
      </w:pPr>
      <w:hyperlink r:id="rId16" w:history="1">
        <w:r w:rsidRPr="00377C01">
          <w:rPr>
            <w:rStyle w:val="Hyperlink"/>
            <w:rFonts w:ascii="Calibri" w:hAnsi="Calibri" w:cs="Calibri"/>
            <w:u w:val="none"/>
          </w:rPr>
          <w:t>https://api.parliament.uk/historic-hansard/lords/2000/mar/02/lord-chancellor-mcgonnell-judgment</w:t>
        </w:r>
      </w:hyperlink>
    </w:p>
    <w:p w14:paraId="5D61EFE5" w14:textId="113D15DD" w:rsidR="00497A8B" w:rsidRPr="00377C01" w:rsidRDefault="00497A8B" w:rsidP="00377C01">
      <w:pPr>
        <w:jc w:val="both"/>
        <w:rPr>
          <w:rFonts w:ascii="Calibri" w:hAnsi="Calibri" w:cs="Calibri"/>
        </w:rPr>
      </w:pPr>
    </w:p>
    <w:p w14:paraId="0057E4E8" w14:textId="7214014B" w:rsidR="00497A8B" w:rsidRPr="00377C01" w:rsidRDefault="00497A8B" w:rsidP="00377C01">
      <w:pPr>
        <w:jc w:val="both"/>
        <w:rPr>
          <w:rFonts w:ascii="Calibri" w:hAnsi="Calibri" w:cs="Calibri"/>
        </w:rPr>
      </w:pPr>
    </w:p>
    <w:sectPr w:rsidR="00497A8B" w:rsidRPr="00377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D140E"/>
    <w:multiLevelType w:val="hybridMultilevel"/>
    <w:tmpl w:val="8FD447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45754"/>
    <w:multiLevelType w:val="hybridMultilevel"/>
    <w:tmpl w:val="C84CB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BA78B3"/>
    <w:multiLevelType w:val="hybridMultilevel"/>
    <w:tmpl w:val="5A2A677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B52F09"/>
    <w:multiLevelType w:val="hybridMultilevel"/>
    <w:tmpl w:val="441E96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F718B1"/>
    <w:multiLevelType w:val="hybridMultilevel"/>
    <w:tmpl w:val="3A9CB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246A68"/>
    <w:multiLevelType w:val="hybridMultilevel"/>
    <w:tmpl w:val="993E49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651"/>
    <w:rsid w:val="000B6CBE"/>
    <w:rsid w:val="0010381E"/>
    <w:rsid w:val="001919B0"/>
    <w:rsid w:val="001F4B91"/>
    <w:rsid w:val="002949AE"/>
    <w:rsid w:val="00377C01"/>
    <w:rsid w:val="003F69B8"/>
    <w:rsid w:val="00497A8B"/>
    <w:rsid w:val="00592A22"/>
    <w:rsid w:val="00687B30"/>
    <w:rsid w:val="00764651"/>
    <w:rsid w:val="00923235"/>
    <w:rsid w:val="009C3B24"/>
    <w:rsid w:val="00AC3CAB"/>
    <w:rsid w:val="00E74343"/>
    <w:rsid w:val="00FA5EDF"/>
    <w:rsid w:val="00FE2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A4EDCA"/>
  <w15:chartTrackingRefBased/>
  <w15:docId w15:val="{F3B976D0-AEF4-4246-9D3B-9BEA9DD35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19B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3235"/>
    <w:rPr>
      <w:color w:val="0563C1" w:themeColor="hyperlink"/>
      <w:u w:val="single"/>
    </w:rPr>
  </w:style>
  <w:style w:type="character" w:styleId="UnresolvedMention">
    <w:name w:val="Unresolved Mention"/>
    <w:basedOn w:val="DefaultParagraphFont"/>
    <w:uiPriority w:val="99"/>
    <w:semiHidden/>
    <w:unhideWhenUsed/>
    <w:rsid w:val="00923235"/>
    <w:rPr>
      <w:color w:val="605E5C"/>
      <w:shd w:val="clear" w:color="auto" w:fill="E1DFDD"/>
    </w:rPr>
  </w:style>
  <w:style w:type="paragraph" w:styleId="ListParagraph">
    <w:name w:val="List Paragraph"/>
    <w:basedOn w:val="Normal"/>
    <w:uiPriority w:val="34"/>
    <w:qFormat/>
    <w:rsid w:val="00923235"/>
    <w:pPr>
      <w:ind w:left="720"/>
      <w:contextualSpacing/>
    </w:pPr>
  </w:style>
  <w:style w:type="character" w:customStyle="1" w:styleId="Heading1Char">
    <w:name w:val="Heading 1 Char"/>
    <w:basedOn w:val="DefaultParagraphFont"/>
    <w:link w:val="Heading1"/>
    <w:uiPriority w:val="9"/>
    <w:rsid w:val="001919B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0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ackbench_Business_Committee#:~:text=The%20Backbench%20Business%20Committee%20of%20the%20British%20House,Commons%20in%20its%20report%20of%2012%20November%202009" TargetMode="External"/><Relationship Id="rId13" Type="http://schemas.openxmlformats.org/officeDocument/2006/relationships/hyperlink" Target="https://en.wikipedia.org/wiki/Burmah_Oil_Co_Ltd_v_Lord_Advocat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1/1/contents" TargetMode="External"/><Relationship Id="rId12" Type="http://schemas.openxmlformats.org/officeDocument/2006/relationships/hyperlink" Target="https://publications.parliament.uk/pa/ld200405/ldjudgmt/jd041216/a&amp;oth-1.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i.parliament.uk/historic-hansard/lords/2000/mar/02/lord-chancellor-mcgonnell-judgment" TargetMode="External"/><Relationship Id="rId1" Type="http://schemas.openxmlformats.org/officeDocument/2006/relationships/numbering" Target="numbering.xml"/><Relationship Id="rId6" Type="http://schemas.openxmlformats.org/officeDocument/2006/relationships/hyperlink" Target="https://en.wikipedia.org/wiki/House_of_Commons_Disqualification_Act_1975#:~:text=The%20House%20of%20Commons%20Disqualification%20Act%201975%20is,1957.%20The%20groups%20disqualified%20from%20all%20constituencies%20are%3A" TargetMode="External"/><Relationship Id="rId11" Type="http://schemas.openxmlformats.org/officeDocument/2006/relationships/hyperlink" Target="https://en.wikipedia.org/wiki/R_(Jackson)_v_Attorney_General#:~:text=R%20%28Jackson%29%20v%20Attorney%20General%20%5B2005%5D%20UKHL%2056,Parliament%20Acts%20to%20enact%20the%20Hunting%20Act%202004" TargetMode="External"/><Relationship Id="rId5" Type="http://schemas.openxmlformats.org/officeDocument/2006/relationships/hyperlink" Target="https://www.lawteacher.net/free-law-essays/family-law/separation-of-powers-in-the-uk.php" TargetMode="External"/><Relationship Id="rId15" Type="http://schemas.openxmlformats.org/officeDocument/2006/relationships/hyperlink" Target="https://www.legislation.gov.uk/ukpga/1981/54/section/11" TargetMode="External"/><Relationship Id="rId10" Type="http://schemas.openxmlformats.org/officeDocument/2006/relationships/hyperlink" Target="https://hansard.parliament.uk/Commons/2010-02-10/debates/10021063000004/HouseOfCommonsDisqualificationAct1975" TargetMode="External"/><Relationship Id="rId4" Type="http://schemas.openxmlformats.org/officeDocument/2006/relationships/webSettings" Target="webSettings.xml"/><Relationship Id="rId9" Type="http://schemas.openxmlformats.org/officeDocument/2006/relationships/hyperlink" Target="https://uklegalstudies.wordpress.com/tag/house-of-commons-disqualification-act-1975/#:~:text=The%20House%20of%20Commons%20Disqualification%20Act%201975%20is,members%20of%20the%20police%29%20from%20holding%20Parliamentary%20office" TargetMode="External"/><Relationship Id="rId14" Type="http://schemas.openxmlformats.org/officeDocument/2006/relationships/hyperlink" Target="https://swarb.co.uk/mcgonnell-v-the-united-kingdom-echr-8-feb-2000/#:~:text=McGonnell%20v%20The%20United%20Kingdom%3A%20ECHR%208%20Feb,into%20a%20converted%20packing%20shed%20on%20his%20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9</Pages>
  <Words>3132</Words>
  <Characters>17857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2021-07-01T14:37:00Z</dcterms:created>
  <dcterms:modified xsi:type="dcterms:W3CDTF">2021-07-01T19:17:00Z</dcterms:modified>
</cp:coreProperties>
</file>