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65ACB" w14:textId="09FED413" w:rsidR="00CF5640" w:rsidRDefault="00CF5640" w:rsidP="009048B6">
      <w:pPr>
        <w:pStyle w:val="Title"/>
        <w:spacing w:line="360" w:lineRule="auto"/>
        <w:jc w:val="center"/>
        <w:rPr>
          <w:rFonts w:ascii="Arial" w:hAnsi="Arial" w:cs="Arial"/>
          <w:sz w:val="24"/>
          <w:szCs w:val="24"/>
        </w:rPr>
      </w:pPr>
    </w:p>
    <w:p w14:paraId="101A96FA" w14:textId="671E9F87" w:rsidR="00CF5640" w:rsidRDefault="00CF5640" w:rsidP="00CF5640"/>
    <w:p w14:paraId="1CDAEC6A" w14:textId="15AC6757" w:rsidR="00CF5640" w:rsidRDefault="00CF5640" w:rsidP="00CF5640"/>
    <w:p w14:paraId="12053D5D" w14:textId="6E0FDA92" w:rsidR="00CF5640" w:rsidRDefault="00CF5640" w:rsidP="00CF5640"/>
    <w:p w14:paraId="7140FF4F" w14:textId="658F65AB" w:rsidR="00CF5640" w:rsidRDefault="00CF5640" w:rsidP="00CF5640"/>
    <w:p w14:paraId="493C4795" w14:textId="2892FFA3" w:rsidR="00CF5640" w:rsidRDefault="00CF5640" w:rsidP="00CF5640"/>
    <w:p w14:paraId="2A65E842" w14:textId="228BEFDD" w:rsidR="00CF5640" w:rsidRDefault="00CF5640" w:rsidP="00CF5640"/>
    <w:p w14:paraId="6D7DBA7D" w14:textId="77777777" w:rsidR="00CF5640" w:rsidRPr="00CF5640" w:rsidRDefault="00CF5640" w:rsidP="00CF5640"/>
    <w:p w14:paraId="0C0DE0BC" w14:textId="34AAB8F1" w:rsidR="00CF5640" w:rsidRPr="00F45ECE" w:rsidRDefault="00CF5640" w:rsidP="00CF5640">
      <w:pPr>
        <w:rPr>
          <w:rFonts w:ascii="Arial" w:hAnsi="Arial" w:cs="Arial"/>
          <w:b/>
          <w:bCs/>
          <w:sz w:val="24"/>
          <w:szCs w:val="24"/>
        </w:rPr>
      </w:pPr>
      <w:r w:rsidRPr="00F45ECE">
        <w:rPr>
          <w:rFonts w:ascii="Arial" w:hAnsi="Arial" w:cs="Arial"/>
          <w:b/>
          <w:bCs/>
          <w:sz w:val="24"/>
          <w:szCs w:val="24"/>
        </w:rPr>
        <w:t>Common Law</w:t>
      </w:r>
    </w:p>
    <w:p w14:paraId="0B73392F" w14:textId="77777777" w:rsidR="00CF5640" w:rsidRPr="00F45ECE" w:rsidRDefault="00CF5640" w:rsidP="00CF5640">
      <w:pPr>
        <w:rPr>
          <w:rFonts w:ascii="Arial" w:hAnsi="Arial" w:cs="Arial"/>
          <w:b/>
          <w:bCs/>
          <w:sz w:val="24"/>
          <w:szCs w:val="24"/>
        </w:rPr>
      </w:pPr>
    </w:p>
    <w:p w14:paraId="5E656BFB" w14:textId="77777777" w:rsidR="00CF5640" w:rsidRPr="00F45ECE" w:rsidRDefault="00CF5640" w:rsidP="00CF5640">
      <w:pPr>
        <w:rPr>
          <w:rFonts w:ascii="Arial" w:hAnsi="Arial" w:cs="Arial"/>
          <w:b/>
          <w:bCs/>
          <w:sz w:val="24"/>
          <w:szCs w:val="24"/>
        </w:rPr>
      </w:pPr>
    </w:p>
    <w:p w14:paraId="73EC66F4" w14:textId="77777777" w:rsidR="00CF5640" w:rsidRPr="00F45ECE" w:rsidRDefault="00CF5640" w:rsidP="00CF5640">
      <w:pPr>
        <w:rPr>
          <w:rFonts w:ascii="Arial" w:hAnsi="Arial" w:cs="Arial"/>
          <w:b/>
          <w:bCs/>
          <w:sz w:val="24"/>
          <w:szCs w:val="24"/>
        </w:rPr>
      </w:pPr>
    </w:p>
    <w:p w14:paraId="4F3698A0" w14:textId="0FB1D414" w:rsidR="00CF5640" w:rsidRPr="00F45ECE" w:rsidRDefault="00CF5640" w:rsidP="00CF5640">
      <w:pPr>
        <w:rPr>
          <w:rFonts w:ascii="Arial" w:hAnsi="Arial" w:cs="Arial"/>
          <w:b/>
          <w:bCs/>
          <w:sz w:val="24"/>
          <w:szCs w:val="24"/>
        </w:rPr>
      </w:pPr>
      <w:r w:rsidRPr="00F45ECE">
        <w:rPr>
          <w:rFonts w:ascii="Arial" w:hAnsi="Arial" w:cs="Arial"/>
          <w:b/>
          <w:bCs/>
          <w:sz w:val="24"/>
          <w:szCs w:val="24"/>
        </w:rPr>
        <w:t>Student name:</w:t>
      </w:r>
      <w:r w:rsidRPr="00F45ECE">
        <w:rPr>
          <w:rFonts w:ascii="Arial" w:hAnsi="Arial" w:cs="Arial"/>
          <w:b/>
          <w:bCs/>
          <w:sz w:val="24"/>
          <w:szCs w:val="24"/>
        </w:rPr>
        <w:tab/>
      </w:r>
      <w:r w:rsidRPr="00F45ECE">
        <w:rPr>
          <w:rFonts w:ascii="Arial" w:hAnsi="Arial" w:cs="Arial"/>
          <w:b/>
          <w:bCs/>
          <w:sz w:val="24"/>
          <w:szCs w:val="24"/>
        </w:rPr>
        <w:tab/>
      </w:r>
      <w:r w:rsidRPr="00F45ECE">
        <w:rPr>
          <w:rFonts w:ascii="Arial" w:hAnsi="Arial" w:cs="Arial"/>
          <w:b/>
          <w:bCs/>
          <w:sz w:val="24"/>
          <w:szCs w:val="24"/>
        </w:rPr>
        <w:t>Vasile Marian Dinu</w:t>
      </w:r>
    </w:p>
    <w:p w14:paraId="7C8A00DF" w14:textId="379C209F" w:rsidR="00CF5640" w:rsidRPr="00F45ECE" w:rsidRDefault="00CF5640" w:rsidP="00CF5640">
      <w:pPr>
        <w:rPr>
          <w:rFonts w:ascii="Arial" w:hAnsi="Arial" w:cs="Arial"/>
          <w:b/>
          <w:bCs/>
          <w:sz w:val="24"/>
          <w:szCs w:val="24"/>
        </w:rPr>
      </w:pPr>
      <w:r w:rsidRPr="00F45ECE">
        <w:rPr>
          <w:rFonts w:ascii="Arial" w:hAnsi="Arial" w:cs="Arial"/>
          <w:b/>
          <w:bCs/>
          <w:sz w:val="24"/>
          <w:szCs w:val="24"/>
        </w:rPr>
        <w:t>Student number:</w:t>
      </w:r>
      <w:r w:rsidRPr="00F45ECE">
        <w:rPr>
          <w:rFonts w:ascii="Arial" w:hAnsi="Arial" w:cs="Arial"/>
          <w:b/>
          <w:bCs/>
          <w:sz w:val="24"/>
          <w:szCs w:val="24"/>
        </w:rPr>
        <w:tab/>
      </w:r>
      <w:r w:rsidR="00F45ECE" w:rsidRPr="00F45ECE">
        <w:rPr>
          <w:rFonts w:ascii="Arial" w:hAnsi="Arial" w:cs="Arial"/>
          <w:b/>
          <w:bCs/>
          <w:sz w:val="24"/>
          <w:szCs w:val="24"/>
        </w:rPr>
        <w:tab/>
      </w:r>
      <w:r w:rsidRPr="00F45ECE">
        <w:rPr>
          <w:rFonts w:ascii="Arial" w:hAnsi="Arial" w:cs="Arial"/>
          <w:b/>
          <w:bCs/>
          <w:sz w:val="24"/>
          <w:szCs w:val="24"/>
        </w:rPr>
        <w:t>2209834</w:t>
      </w:r>
    </w:p>
    <w:p w14:paraId="5550678B" w14:textId="3421B41F" w:rsidR="00CF5640" w:rsidRPr="00F45ECE" w:rsidRDefault="00CF5640" w:rsidP="00CF5640">
      <w:pPr>
        <w:rPr>
          <w:rFonts w:ascii="Arial" w:hAnsi="Arial" w:cs="Arial"/>
          <w:b/>
          <w:bCs/>
          <w:sz w:val="24"/>
          <w:szCs w:val="24"/>
        </w:rPr>
      </w:pPr>
      <w:r w:rsidRPr="00F45ECE">
        <w:rPr>
          <w:rFonts w:ascii="Arial" w:hAnsi="Arial" w:cs="Arial"/>
          <w:b/>
          <w:bCs/>
          <w:sz w:val="24"/>
          <w:szCs w:val="24"/>
        </w:rPr>
        <w:t>Module</w:t>
      </w:r>
      <w:r w:rsidRPr="00F45ECE">
        <w:rPr>
          <w:rFonts w:ascii="Arial" w:hAnsi="Arial" w:cs="Arial"/>
          <w:b/>
          <w:bCs/>
          <w:sz w:val="24"/>
          <w:szCs w:val="24"/>
        </w:rPr>
        <w:t xml:space="preserve"> name</w:t>
      </w:r>
      <w:r w:rsidRPr="00F45ECE">
        <w:rPr>
          <w:rFonts w:ascii="Arial" w:hAnsi="Arial" w:cs="Arial"/>
          <w:b/>
          <w:bCs/>
          <w:sz w:val="24"/>
          <w:szCs w:val="24"/>
        </w:rPr>
        <w:t>:</w:t>
      </w:r>
      <w:r w:rsidRPr="00F45ECE">
        <w:rPr>
          <w:rFonts w:ascii="Arial" w:hAnsi="Arial" w:cs="Arial"/>
          <w:b/>
          <w:bCs/>
          <w:sz w:val="24"/>
          <w:szCs w:val="24"/>
        </w:rPr>
        <w:tab/>
      </w:r>
      <w:r w:rsidRPr="00F45ECE">
        <w:rPr>
          <w:rFonts w:ascii="Arial" w:hAnsi="Arial" w:cs="Arial"/>
          <w:b/>
          <w:bCs/>
          <w:sz w:val="24"/>
          <w:szCs w:val="24"/>
        </w:rPr>
        <w:tab/>
        <w:t>Legal Process</w:t>
      </w:r>
    </w:p>
    <w:p w14:paraId="3D6303DD" w14:textId="2258D3E2" w:rsidR="00CF5640" w:rsidRPr="00F45ECE" w:rsidRDefault="00CF5640" w:rsidP="00CF5640">
      <w:pPr>
        <w:rPr>
          <w:rFonts w:ascii="Arial" w:hAnsi="Arial" w:cs="Arial"/>
          <w:b/>
          <w:bCs/>
          <w:sz w:val="24"/>
          <w:szCs w:val="24"/>
        </w:rPr>
      </w:pPr>
      <w:r w:rsidRPr="00F45ECE">
        <w:rPr>
          <w:rFonts w:ascii="Arial" w:hAnsi="Arial" w:cs="Arial"/>
          <w:b/>
          <w:bCs/>
          <w:sz w:val="24"/>
          <w:szCs w:val="24"/>
        </w:rPr>
        <w:t xml:space="preserve">Module code: </w:t>
      </w:r>
      <w:r w:rsidRPr="00F45ECE">
        <w:rPr>
          <w:rFonts w:ascii="Arial" w:hAnsi="Arial" w:cs="Arial"/>
          <w:b/>
          <w:bCs/>
          <w:sz w:val="24"/>
          <w:szCs w:val="24"/>
        </w:rPr>
        <w:tab/>
      </w:r>
      <w:r w:rsidRPr="00F45ECE">
        <w:rPr>
          <w:rFonts w:ascii="Arial" w:hAnsi="Arial" w:cs="Arial"/>
          <w:b/>
          <w:bCs/>
          <w:sz w:val="24"/>
          <w:szCs w:val="24"/>
        </w:rPr>
        <w:tab/>
      </w:r>
      <w:r w:rsidRPr="00F45ECE">
        <w:rPr>
          <w:rFonts w:ascii="Arial" w:hAnsi="Arial" w:cs="Arial"/>
          <w:b/>
          <w:bCs/>
          <w:sz w:val="24"/>
          <w:szCs w:val="24"/>
        </w:rPr>
        <w:t>BMPL</w:t>
      </w:r>
      <w:r w:rsidRPr="00F45ECE">
        <w:rPr>
          <w:rFonts w:ascii="Arial" w:hAnsi="Arial" w:cs="Arial"/>
          <w:b/>
          <w:bCs/>
          <w:sz w:val="24"/>
          <w:szCs w:val="24"/>
        </w:rPr>
        <w:t>4011</w:t>
      </w:r>
    </w:p>
    <w:p w14:paraId="08A11525" w14:textId="5F237FE6" w:rsidR="00CF5640" w:rsidRPr="00F45ECE" w:rsidRDefault="00CF5640" w:rsidP="00CF5640">
      <w:pPr>
        <w:rPr>
          <w:rFonts w:ascii="Arial" w:hAnsi="Arial" w:cs="Arial"/>
          <w:b/>
          <w:bCs/>
          <w:sz w:val="24"/>
          <w:szCs w:val="24"/>
        </w:rPr>
      </w:pPr>
      <w:r w:rsidRPr="00F45ECE">
        <w:rPr>
          <w:rFonts w:ascii="Arial" w:hAnsi="Arial" w:cs="Arial"/>
          <w:b/>
          <w:bCs/>
          <w:sz w:val="24"/>
          <w:szCs w:val="24"/>
        </w:rPr>
        <w:t>Lecturer</w:t>
      </w:r>
      <w:r w:rsidRPr="00F45ECE">
        <w:rPr>
          <w:rFonts w:ascii="Arial" w:hAnsi="Arial" w:cs="Arial"/>
          <w:b/>
          <w:bCs/>
          <w:sz w:val="24"/>
          <w:szCs w:val="24"/>
        </w:rPr>
        <w:t xml:space="preserve">: </w:t>
      </w:r>
      <w:r w:rsidRPr="00F45ECE">
        <w:rPr>
          <w:rFonts w:ascii="Arial" w:hAnsi="Arial" w:cs="Arial"/>
          <w:b/>
          <w:bCs/>
          <w:sz w:val="24"/>
          <w:szCs w:val="24"/>
        </w:rPr>
        <w:tab/>
      </w:r>
      <w:r w:rsidRPr="00F45ECE">
        <w:rPr>
          <w:rFonts w:ascii="Arial" w:hAnsi="Arial" w:cs="Arial"/>
          <w:b/>
          <w:bCs/>
          <w:sz w:val="24"/>
          <w:szCs w:val="24"/>
        </w:rPr>
        <w:tab/>
      </w:r>
      <w:r w:rsidRPr="00F45ECE">
        <w:rPr>
          <w:rFonts w:ascii="Arial" w:hAnsi="Arial" w:cs="Arial"/>
          <w:b/>
          <w:bCs/>
          <w:sz w:val="24"/>
          <w:szCs w:val="24"/>
        </w:rPr>
        <w:tab/>
        <w:t>James Drew</w:t>
      </w:r>
    </w:p>
    <w:p w14:paraId="3075DF09" w14:textId="7B9C49ED" w:rsidR="00996F87" w:rsidRPr="009048B6" w:rsidRDefault="00CF5640" w:rsidP="00F45ECE">
      <w:pPr>
        <w:rPr>
          <w:rFonts w:ascii="Arial" w:hAnsi="Arial" w:cs="Arial"/>
          <w:sz w:val="24"/>
          <w:szCs w:val="24"/>
        </w:rPr>
      </w:pPr>
      <w:r w:rsidRPr="00F45ECE">
        <w:rPr>
          <w:rFonts w:ascii="Arial" w:hAnsi="Arial" w:cs="Arial"/>
          <w:sz w:val="24"/>
          <w:szCs w:val="24"/>
        </w:rPr>
        <w:br w:type="page"/>
      </w:r>
    </w:p>
    <w:p w14:paraId="0FD3ED10" w14:textId="2F5B624E" w:rsidR="00996F87" w:rsidRPr="00CF5640" w:rsidRDefault="00D76882" w:rsidP="009048B6">
      <w:pPr>
        <w:spacing w:line="360" w:lineRule="auto"/>
        <w:jc w:val="both"/>
        <w:rPr>
          <w:rFonts w:ascii="Arial" w:hAnsi="Arial" w:cs="Arial"/>
          <w:sz w:val="24"/>
          <w:szCs w:val="24"/>
        </w:rPr>
      </w:pPr>
      <w:r w:rsidRPr="00CF5640">
        <w:rPr>
          <w:rFonts w:ascii="Arial" w:hAnsi="Arial" w:cs="Arial"/>
          <w:sz w:val="24"/>
          <w:szCs w:val="24"/>
        </w:rPr>
        <w:lastRenderedPageBreak/>
        <w:t>The principles of common law are a collection of unwritten laws that have evolved over time through court decisions and publications. These laws are founded on past norms, practises, and judicial rulings. They are the primary source of English law and are not codified in statute or legislation</w:t>
      </w:r>
      <w:r w:rsidR="000C301E" w:rsidRPr="00CF5640">
        <w:rPr>
          <w:rFonts w:ascii="Arial" w:hAnsi="Arial" w:cs="Arial"/>
          <w:sz w:val="24"/>
          <w:szCs w:val="24"/>
        </w:rPr>
        <w:t xml:space="preserve"> (Crema, 2020</w:t>
      </w:r>
      <w:proofErr w:type="gramStart"/>
      <w:r w:rsidR="000C301E" w:rsidRPr="00CF5640">
        <w:rPr>
          <w:rFonts w:ascii="Arial" w:hAnsi="Arial" w:cs="Arial"/>
          <w:sz w:val="24"/>
          <w:szCs w:val="24"/>
        </w:rPr>
        <w:t xml:space="preserve">) </w:t>
      </w:r>
      <w:r w:rsidRPr="00CF5640">
        <w:rPr>
          <w:rFonts w:ascii="Arial" w:hAnsi="Arial" w:cs="Arial"/>
          <w:sz w:val="24"/>
          <w:szCs w:val="24"/>
        </w:rPr>
        <w:t>.</w:t>
      </w:r>
      <w:proofErr w:type="gramEnd"/>
      <w:r w:rsidRPr="00CF5640">
        <w:rPr>
          <w:rFonts w:ascii="Arial" w:hAnsi="Arial" w:cs="Arial"/>
          <w:sz w:val="24"/>
          <w:szCs w:val="24"/>
        </w:rPr>
        <w:t xml:space="preserve"> The English legal system is based on common law ideas, which judges interpret in order to make judgements and establish legal precedents. The laws that derive from these precedents are then incorporated into the common law and serve as the basis for future judicial decisions. This system of judicial precedent ensures that identical situations are dealt similarly, so making the law predictable and consistent.</w:t>
      </w:r>
      <w:r w:rsidR="00517159" w:rsidRPr="00CF5640">
        <w:rPr>
          <w:rFonts w:ascii="Arial" w:hAnsi="Arial" w:cs="Arial"/>
          <w:sz w:val="24"/>
          <w:szCs w:val="24"/>
        </w:rPr>
        <w:t xml:space="preserve"> </w:t>
      </w:r>
      <w:proofErr w:type="spellStart"/>
      <w:r w:rsidR="00517159" w:rsidRPr="00CF5640">
        <w:rPr>
          <w:rFonts w:ascii="Arial" w:hAnsi="Arial" w:cs="Arial"/>
          <w:sz w:val="24"/>
          <w:szCs w:val="24"/>
        </w:rPr>
        <w:t>Meyler</w:t>
      </w:r>
      <w:proofErr w:type="spellEnd"/>
      <w:r w:rsidR="00517159" w:rsidRPr="00CF5640">
        <w:rPr>
          <w:rFonts w:ascii="Arial" w:hAnsi="Arial" w:cs="Arial"/>
          <w:sz w:val="24"/>
          <w:szCs w:val="24"/>
        </w:rPr>
        <w:t xml:space="preserve"> (2006) contends that, at the time of the Founding, distinct strains of the common law, some originating from the colonies and others from England, some more archaic and others more progressive, coexisted. In addition, jurists and politicians of the founding generation were aware that the common law was a fragmented subject; in fact, the common law's jurisprudence suggests that its identity is considerably more malleable and prone to change than originalists assert.</w:t>
      </w:r>
    </w:p>
    <w:p w14:paraId="52F857F4" w14:textId="5C1FB554" w:rsidR="00D76882" w:rsidRPr="00CF5640" w:rsidRDefault="00D76882" w:rsidP="009048B6">
      <w:pPr>
        <w:spacing w:line="360" w:lineRule="auto"/>
        <w:jc w:val="both"/>
        <w:rPr>
          <w:rFonts w:ascii="Arial" w:hAnsi="Arial" w:cs="Arial"/>
          <w:sz w:val="24"/>
          <w:szCs w:val="24"/>
        </w:rPr>
      </w:pPr>
      <w:r w:rsidRPr="00CF5640">
        <w:rPr>
          <w:rFonts w:ascii="Arial" w:hAnsi="Arial" w:cs="Arial"/>
          <w:sz w:val="24"/>
          <w:szCs w:val="24"/>
        </w:rPr>
        <w:t xml:space="preserve">Common law is the body of law that is derived through judicial judgements as opposed to legislation or constitutions. Common law is founded on court-established principles and precedents, and it evolves via each case-specific judicial decision. Rather than simply obeying statutes and other laws, judges base their decisions on previous cases and decisions by higher courts. Common law is employed in the majority of the world's </w:t>
      </w:r>
      <w:proofErr w:type="gramStart"/>
      <w:r w:rsidRPr="00CF5640">
        <w:rPr>
          <w:rFonts w:ascii="Arial" w:hAnsi="Arial" w:cs="Arial"/>
          <w:sz w:val="24"/>
          <w:szCs w:val="24"/>
        </w:rPr>
        <w:t>nations,</w:t>
      </w:r>
      <w:proofErr w:type="gramEnd"/>
      <w:r w:rsidRPr="00CF5640">
        <w:rPr>
          <w:rFonts w:ascii="Arial" w:hAnsi="Arial" w:cs="Arial"/>
          <w:sz w:val="24"/>
          <w:szCs w:val="24"/>
        </w:rPr>
        <w:t xml:space="preserve"> however most nations also have statutes and other laws that can be construed in certain areas of the law.</w:t>
      </w:r>
    </w:p>
    <w:p w14:paraId="19736BF7" w14:textId="7C70F235" w:rsidR="00756515" w:rsidRPr="00CF5640" w:rsidRDefault="00756515" w:rsidP="009048B6">
      <w:pPr>
        <w:spacing w:line="360" w:lineRule="auto"/>
        <w:jc w:val="both"/>
        <w:rPr>
          <w:rFonts w:ascii="Arial" w:hAnsi="Arial" w:cs="Arial"/>
          <w:sz w:val="24"/>
          <w:szCs w:val="24"/>
        </w:rPr>
      </w:pPr>
      <w:r w:rsidRPr="00CF5640">
        <w:rPr>
          <w:rFonts w:ascii="Arial" w:hAnsi="Arial" w:cs="Arial"/>
          <w:sz w:val="24"/>
          <w:szCs w:val="24"/>
        </w:rPr>
        <w:t>The link between legislation, policies, and practises is essential for the efficient execution of laws and regulations. Law sets out the rules, regulations and legal framework that regulate a given activity or sector, while policies and practises ensure that those laws are being carried out and enforced.</w:t>
      </w:r>
    </w:p>
    <w:p w14:paraId="673F1AA5" w14:textId="789B3DAA" w:rsidR="00756515" w:rsidRPr="00CF5640" w:rsidRDefault="00756515" w:rsidP="009048B6">
      <w:pPr>
        <w:spacing w:line="360" w:lineRule="auto"/>
        <w:jc w:val="both"/>
        <w:rPr>
          <w:rFonts w:ascii="Arial" w:hAnsi="Arial" w:cs="Arial"/>
          <w:sz w:val="24"/>
          <w:szCs w:val="24"/>
        </w:rPr>
      </w:pPr>
      <w:r w:rsidRPr="00CF5640">
        <w:rPr>
          <w:rFonts w:ascii="Arial" w:hAnsi="Arial" w:cs="Arial"/>
          <w:sz w:val="24"/>
          <w:szCs w:val="24"/>
        </w:rPr>
        <w:t>Law is created to safeguard persons</w:t>
      </w:r>
      <w:r w:rsidR="001834BC" w:rsidRPr="00CF5640">
        <w:rPr>
          <w:rFonts w:ascii="Arial" w:hAnsi="Arial" w:cs="Arial"/>
          <w:color w:val="2C3E50"/>
          <w:sz w:val="24"/>
          <w:szCs w:val="24"/>
          <w:shd w:val="clear" w:color="auto" w:fill="FFFFFF"/>
        </w:rPr>
        <w:t xml:space="preserve"> </w:t>
      </w:r>
      <w:r w:rsidR="001834BC" w:rsidRPr="00CF5640">
        <w:rPr>
          <w:rFonts w:ascii="Arial" w:hAnsi="Arial" w:cs="Arial"/>
          <w:color w:val="2C3E50"/>
          <w:sz w:val="24"/>
          <w:szCs w:val="24"/>
          <w:shd w:val="clear" w:color="auto" w:fill="FFFFFF"/>
        </w:rPr>
        <w:t>(Department of Health, 2016)</w:t>
      </w:r>
      <w:r w:rsidRPr="00CF5640">
        <w:rPr>
          <w:rFonts w:ascii="Arial" w:hAnsi="Arial" w:cs="Arial"/>
          <w:sz w:val="24"/>
          <w:szCs w:val="24"/>
        </w:rPr>
        <w:t>, society</w:t>
      </w:r>
      <w:r w:rsidR="001834BC" w:rsidRPr="00CF5640">
        <w:rPr>
          <w:rFonts w:ascii="Arial" w:hAnsi="Arial" w:cs="Arial"/>
          <w:color w:val="2C3E50"/>
          <w:sz w:val="24"/>
          <w:szCs w:val="24"/>
          <w:shd w:val="clear" w:color="auto" w:fill="FFFFFF"/>
        </w:rPr>
        <w:t xml:space="preserve"> </w:t>
      </w:r>
      <w:r w:rsidR="001834BC" w:rsidRPr="00CF5640">
        <w:rPr>
          <w:rFonts w:ascii="Arial" w:hAnsi="Arial" w:cs="Arial"/>
          <w:color w:val="2C3E50"/>
          <w:sz w:val="24"/>
          <w:szCs w:val="24"/>
          <w:shd w:val="clear" w:color="auto" w:fill="FFFFFF"/>
        </w:rPr>
        <w:t>(Mind, 2017)</w:t>
      </w:r>
      <w:r w:rsidRPr="00CF5640">
        <w:rPr>
          <w:rFonts w:ascii="Arial" w:hAnsi="Arial" w:cs="Arial"/>
          <w:sz w:val="24"/>
          <w:szCs w:val="24"/>
        </w:rPr>
        <w:t>, and the environment</w:t>
      </w:r>
      <w:r w:rsidR="00816623" w:rsidRPr="00CF5640">
        <w:rPr>
          <w:rFonts w:ascii="Arial" w:hAnsi="Arial" w:cs="Arial"/>
          <w:color w:val="2C3E50"/>
          <w:sz w:val="24"/>
          <w:szCs w:val="24"/>
          <w:shd w:val="clear" w:color="auto" w:fill="FFFFFF"/>
        </w:rPr>
        <w:t xml:space="preserve"> </w:t>
      </w:r>
      <w:r w:rsidR="00816623" w:rsidRPr="00CF5640">
        <w:rPr>
          <w:rFonts w:ascii="Arial" w:hAnsi="Arial" w:cs="Arial"/>
          <w:color w:val="2C3E50"/>
          <w:sz w:val="24"/>
          <w:szCs w:val="24"/>
          <w:shd w:val="clear" w:color="auto" w:fill="FFFFFF"/>
        </w:rPr>
        <w:t>(Alexandre Charles Kiss and Shelton, 2004)</w:t>
      </w:r>
      <w:r w:rsidRPr="00CF5640">
        <w:rPr>
          <w:rFonts w:ascii="Arial" w:hAnsi="Arial" w:cs="Arial"/>
          <w:sz w:val="24"/>
          <w:szCs w:val="24"/>
        </w:rPr>
        <w:t>, hence it is necessary that any policies or practises are compliant with the applicable legislation. Hence, implementing policies and practises that adhere to the framework set by the applicable laws and regulations is crucial for avoiding legal complications and developing a compliant, effective system.</w:t>
      </w:r>
    </w:p>
    <w:p w14:paraId="19800E66" w14:textId="115B73AA" w:rsidR="00756515" w:rsidRPr="00CF5640" w:rsidRDefault="00756515" w:rsidP="009048B6">
      <w:pPr>
        <w:spacing w:line="360" w:lineRule="auto"/>
        <w:jc w:val="both"/>
        <w:rPr>
          <w:rFonts w:ascii="Arial" w:hAnsi="Arial" w:cs="Arial"/>
          <w:sz w:val="24"/>
          <w:szCs w:val="24"/>
        </w:rPr>
      </w:pPr>
      <w:r w:rsidRPr="00CF5640">
        <w:rPr>
          <w:rFonts w:ascii="Arial" w:hAnsi="Arial" w:cs="Arial"/>
          <w:sz w:val="24"/>
          <w:szCs w:val="24"/>
        </w:rPr>
        <w:lastRenderedPageBreak/>
        <w:t>This necessitates that organisations be aware of the laws and regulations that govern their industry and take actions to ensure that their policies and procedures comply with the appropriate laws and legal framework. This entails routinely reviewing and revising rules, creating training, implementing compliance procedures, and doing internal audits.</w:t>
      </w:r>
    </w:p>
    <w:p w14:paraId="477C4297" w14:textId="1408D6F7" w:rsidR="00756515" w:rsidRPr="00CF5640" w:rsidRDefault="00756515" w:rsidP="009048B6">
      <w:pPr>
        <w:spacing w:line="360" w:lineRule="auto"/>
        <w:jc w:val="both"/>
        <w:rPr>
          <w:rFonts w:ascii="Arial" w:hAnsi="Arial" w:cs="Arial"/>
          <w:sz w:val="24"/>
          <w:szCs w:val="24"/>
        </w:rPr>
      </w:pPr>
      <w:r w:rsidRPr="00CF5640">
        <w:rPr>
          <w:rFonts w:ascii="Arial" w:hAnsi="Arial" w:cs="Arial"/>
          <w:sz w:val="24"/>
          <w:szCs w:val="24"/>
        </w:rPr>
        <w:t>It is also vital to actively monitor changes in legislation. This requires routinely confirming that existing policies, procedures, and practises adhere to the most recent legal framework and actively seeking out updates, revisions, and modifications to existing laws.</w:t>
      </w:r>
    </w:p>
    <w:p w14:paraId="56A13ACB" w14:textId="7A7CB66F" w:rsidR="00756515" w:rsidRPr="00CF5640" w:rsidRDefault="00756515" w:rsidP="009048B6">
      <w:pPr>
        <w:spacing w:line="360" w:lineRule="auto"/>
        <w:jc w:val="both"/>
        <w:rPr>
          <w:rFonts w:ascii="Arial" w:hAnsi="Arial" w:cs="Arial"/>
          <w:sz w:val="24"/>
          <w:szCs w:val="24"/>
        </w:rPr>
      </w:pPr>
      <w:r w:rsidRPr="00CF5640">
        <w:rPr>
          <w:rFonts w:ascii="Arial" w:hAnsi="Arial" w:cs="Arial"/>
          <w:sz w:val="24"/>
          <w:szCs w:val="24"/>
        </w:rPr>
        <w:t>The primary technique of reasoning from precedent is when a judge or court renders a judgement based on past decisions in similar instances. This technique involves analysing the facts of previous cases and the underlying legal concepts so that a judge or court can predict the likely outcome of future cases. While making decisions, judges will consider the breadth, depth, and applicability of precedents</w:t>
      </w:r>
      <w:r w:rsidR="00390876" w:rsidRPr="00CF5640">
        <w:rPr>
          <w:rFonts w:ascii="Arial" w:hAnsi="Arial" w:cs="Arial"/>
          <w:color w:val="2C3E50"/>
          <w:sz w:val="24"/>
          <w:szCs w:val="24"/>
          <w:shd w:val="clear" w:color="auto" w:fill="FFFFFF"/>
        </w:rPr>
        <w:t xml:space="preserve"> </w:t>
      </w:r>
      <w:r w:rsidR="00390876" w:rsidRPr="00CF5640">
        <w:rPr>
          <w:rFonts w:ascii="Arial" w:hAnsi="Arial" w:cs="Arial"/>
          <w:color w:val="2C3E50"/>
          <w:sz w:val="24"/>
          <w:szCs w:val="24"/>
          <w:shd w:val="clear" w:color="auto" w:fill="FFFFFF"/>
        </w:rPr>
        <w:t>(</w:t>
      </w:r>
      <w:proofErr w:type="spellStart"/>
      <w:r w:rsidR="00390876" w:rsidRPr="00CF5640">
        <w:rPr>
          <w:rFonts w:ascii="Arial" w:hAnsi="Arial" w:cs="Arial"/>
          <w:color w:val="2C3E50"/>
          <w:sz w:val="24"/>
          <w:szCs w:val="24"/>
          <w:shd w:val="clear" w:color="auto" w:fill="FFFFFF"/>
        </w:rPr>
        <w:t>Horty</w:t>
      </w:r>
      <w:proofErr w:type="spellEnd"/>
      <w:r w:rsidR="00390876" w:rsidRPr="00CF5640">
        <w:rPr>
          <w:rFonts w:ascii="Arial" w:hAnsi="Arial" w:cs="Arial"/>
          <w:color w:val="2C3E50"/>
          <w:sz w:val="24"/>
          <w:szCs w:val="24"/>
          <w:shd w:val="clear" w:color="auto" w:fill="FFFFFF"/>
        </w:rPr>
        <w:t>, 2011</w:t>
      </w:r>
      <w:proofErr w:type="gramStart"/>
      <w:r w:rsidR="00390876" w:rsidRPr="00CF5640">
        <w:rPr>
          <w:rFonts w:ascii="Arial" w:hAnsi="Arial" w:cs="Arial"/>
          <w:color w:val="2C3E50"/>
          <w:sz w:val="24"/>
          <w:szCs w:val="24"/>
          <w:shd w:val="clear" w:color="auto" w:fill="FFFFFF"/>
        </w:rPr>
        <w:t>)</w:t>
      </w:r>
      <w:r w:rsidR="00390876" w:rsidRPr="00CF5640">
        <w:rPr>
          <w:rFonts w:ascii="Arial" w:hAnsi="Arial" w:cs="Arial"/>
          <w:sz w:val="24"/>
          <w:szCs w:val="24"/>
        </w:rPr>
        <w:t xml:space="preserve"> </w:t>
      </w:r>
      <w:r w:rsidRPr="00CF5640">
        <w:rPr>
          <w:rFonts w:ascii="Arial" w:hAnsi="Arial" w:cs="Arial"/>
          <w:sz w:val="24"/>
          <w:szCs w:val="24"/>
        </w:rPr>
        <w:t>.</w:t>
      </w:r>
      <w:proofErr w:type="gramEnd"/>
    </w:p>
    <w:p w14:paraId="781C864F" w14:textId="6EFF279F" w:rsidR="00756515" w:rsidRPr="00CF5640" w:rsidRDefault="00756515" w:rsidP="009048B6">
      <w:pPr>
        <w:spacing w:line="360" w:lineRule="auto"/>
        <w:jc w:val="both"/>
        <w:rPr>
          <w:rFonts w:ascii="Arial" w:hAnsi="Arial" w:cs="Arial"/>
          <w:sz w:val="24"/>
          <w:szCs w:val="24"/>
        </w:rPr>
      </w:pPr>
      <w:r w:rsidRPr="00CF5640">
        <w:rPr>
          <w:rFonts w:ascii="Arial" w:hAnsi="Arial" w:cs="Arial"/>
          <w:sz w:val="24"/>
          <w:szCs w:val="24"/>
        </w:rPr>
        <w:t>Statutes (or acts of law) interpretation is the process of identifying the meaning of a law, frequently beginning with its plain wording and concluding with its repercussions on society. This method is utilised when judges must apply a law to a particular case, since interpretation helps to determine the correct application of the law and enables the judge to obtain the desired result. This needs an understanding of the form and wording of the statute, the legislative history, and the known and predicted implications of the law on the public</w:t>
      </w:r>
      <w:r w:rsidR="002D20AA" w:rsidRPr="00CF5640">
        <w:rPr>
          <w:rFonts w:ascii="Arial" w:hAnsi="Arial" w:cs="Arial"/>
          <w:color w:val="2C3E50"/>
          <w:sz w:val="24"/>
          <w:szCs w:val="24"/>
          <w:shd w:val="clear" w:color="auto" w:fill="FFFFFF"/>
        </w:rPr>
        <w:t xml:space="preserve"> </w:t>
      </w:r>
      <w:r w:rsidR="002D20AA" w:rsidRPr="00CF5640">
        <w:rPr>
          <w:rFonts w:ascii="Arial" w:hAnsi="Arial" w:cs="Arial"/>
          <w:color w:val="2C3E50"/>
          <w:sz w:val="24"/>
          <w:szCs w:val="24"/>
          <w:shd w:val="clear" w:color="auto" w:fill="FFFFFF"/>
        </w:rPr>
        <w:t>(Law Commission, 1969</w:t>
      </w:r>
      <w:proofErr w:type="gramStart"/>
      <w:r w:rsidR="002D20AA" w:rsidRPr="00CF5640">
        <w:rPr>
          <w:rFonts w:ascii="Arial" w:hAnsi="Arial" w:cs="Arial"/>
          <w:color w:val="2C3E50"/>
          <w:sz w:val="24"/>
          <w:szCs w:val="24"/>
          <w:shd w:val="clear" w:color="auto" w:fill="FFFFFF"/>
        </w:rPr>
        <w:t>)</w:t>
      </w:r>
      <w:r w:rsidR="002D20AA" w:rsidRPr="00CF5640">
        <w:rPr>
          <w:rFonts w:ascii="Arial" w:hAnsi="Arial" w:cs="Arial"/>
          <w:sz w:val="24"/>
          <w:szCs w:val="24"/>
        </w:rPr>
        <w:t xml:space="preserve"> </w:t>
      </w:r>
      <w:r w:rsidRPr="00CF5640">
        <w:rPr>
          <w:rFonts w:ascii="Arial" w:hAnsi="Arial" w:cs="Arial"/>
          <w:sz w:val="24"/>
          <w:szCs w:val="24"/>
        </w:rPr>
        <w:t>.</w:t>
      </w:r>
      <w:proofErr w:type="gramEnd"/>
    </w:p>
    <w:p w14:paraId="322B7103" w14:textId="5829EC81" w:rsidR="00756515" w:rsidRPr="00CF5640" w:rsidRDefault="00756515" w:rsidP="009048B6">
      <w:pPr>
        <w:spacing w:line="360" w:lineRule="auto"/>
        <w:jc w:val="both"/>
        <w:rPr>
          <w:rFonts w:ascii="Arial" w:hAnsi="Arial" w:cs="Arial"/>
          <w:sz w:val="24"/>
          <w:szCs w:val="24"/>
        </w:rPr>
      </w:pPr>
      <w:r w:rsidRPr="00CF5640">
        <w:rPr>
          <w:rFonts w:ascii="Arial" w:hAnsi="Arial" w:cs="Arial"/>
          <w:sz w:val="24"/>
          <w:szCs w:val="24"/>
        </w:rPr>
        <w:t>Important in the legal process, fact-finding involves exploring the pertinent facts of the case prior to making a conclusion. This entails obtaining and analysing material, which is frequently submitted in court as testimony or evidence. In order to obtain the most accurate conclusion possible, judges may rely on the evidence of witnesses, record-keepers, and specialists, among other sources of information. Once the facts have been determined, they can be used to construct a more complete picture of the case and aid in determining the appropriate legislation</w:t>
      </w:r>
      <w:r w:rsidR="00390876" w:rsidRPr="00CF5640">
        <w:rPr>
          <w:rFonts w:ascii="Arial" w:hAnsi="Arial" w:cs="Arial"/>
          <w:sz w:val="24"/>
          <w:szCs w:val="24"/>
        </w:rPr>
        <w:t xml:space="preserve"> </w:t>
      </w:r>
      <w:r w:rsidR="00390876" w:rsidRPr="00CF5640">
        <w:rPr>
          <w:rFonts w:ascii="Arial" w:hAnsi="Arial" w:cs="Arial"/>
          <w:color w:val="2C3E50"/>
          <w:sz w:val="24"/>
          <w:szCs w:val="24"/>
          <w:shd w:val="clear" w:color="auto" w:fill="FFFFFF"/>
        </w:rPr>
        <w:t>(Courts and Tribunals Judiciary, n.d.)</w:t>
      </w:r>
      <w:r w:rsidRPr="00CF5640">
        <w:rPr>
          <w:rFonts w:ascii="Arial" w:hAnsi="Arial" w:cs="Arial"/>
          <w:sz w:val="24"/>
          <w:szCs w:val="24"/>
        </w:rPr>
        <w:t>.</w:t>
      </w:r>
    </w:p>
    <w:p w14:paraId="0041AE16" w14:textId="7EFB5260" w:rsidR="00D76882" w:rsidRPr="00CF5640" w:rsidRDefault="00D76882" w:rsidP="009048B6">
      <w:pPr>
        <w:spacing w:line="360" w:lineRule="auto"/>
        <w:jc w:val="both"/>
        <w:rPr>
          <w:rFonts w:ascii="Arial" w:hAnsi="Arial" w:cs="Arial"/>
          <w:sz w:val="24"/>
          <w:szCs w:val="24"/>
        </w:rPr>
      </w:pPr>
      <w:r w:rsidRPr="00CF5640">
        <w:rPr>
          <w:rFonts w:ascii="Arial" w:hAnsi="Arial" w:cs="Arial"/>
          <w:sz w:val="24"/>
          <w:szCs w:val="24"/>
        </w:rPr>
        <w:t xml:space="preserve">Civil law encompasses a broad spectrum of legal matters, including contracts, torts, property, family, and civil procedure. Civil law is concerned largely with providing remedies for the breach of duties and resolving disputes between persons or </w:t>
      </w:r>
      <w:r w:rsidRPr="00CF5640">
        <w:rPr>
          <w:rFonts w:ascii="Arial" w:hAnsi="Arial" w:cs="Arial"/>
          <w:sz w:val="24"/>
          <w:szCs w:val="24"/>
        </w:rPr>
        <w:lastRenderedPageBreak/>
        <w:t>organisations. It differs from criminal law, which focuses on state-prohibited actions and the implementation of suitable punishments for those behaviours</w:t>
      </w:r>
      <w:r w:rsidR="00CF5640" w:rsidRPr="00CF5640">
        <w:rPr>
          <w:rFonts w:ascii="Arial" w:hAnsi="Arial" w:cs="Arial"/>
          <w:color w:val="2C3E50"/>
          <w:sz w:val="24"/>
          <w:szCs w:val="24"/>
          <w:shd w:val="clear" w:color="auto" w:fill="FFFFFF"/>
        </w:rPr>
        <w:t xml:space="preserve"> </w:t>
      </w:r>
      <w:r w:rsidR="00CF5640" w:rsidRPr="00CF5640">
        <w:rPr>
          <w:rFonts w:ascii="Arial" w:hAnsi="Arial" w:cs="Arial"/>
          <w:color w:val="2C3E50"/>
          <w:sz w:val="24"/>
          <w:szCs w:val="24"/>
          <w:shd w:val="clear" w:color="auto" w:fill="FFFFFF"/>
        </w:rPr>
        <w:t>(Publisher, 2015)</w:t>
      </w:r>
      <w:r w:rsidRPr="00CF5640">
        <w:rPr>
          <w:rFonts w:ascii="Arial" w:hAnsi="Arial" w:cs="Arial"/>
          <w:sz w:val="24"/>
          <w:szCs w:val="24"/>
        </w:rPr>
        <w:t>.</w:t>
      </w:r>
    </w:p>
    <w:p w14:paraId="6C4D0D55" w14:textId="5E3AB93F" w:rsidR="00D76882" w:rsidRPr="00CF5640" w:rsidRDefault="00D76882" w:rsidP="009048B6">
      <w:pPr>
        <w:spacing w:line="360" w:lineRule="auto"/>
        <w:jc w:val="both"/>
        <w:rPr>
          <w:rFonts w:ascii="Arial" w:hAnsi="Arial" w:cs="Arial"/>
          <w:sz w:val="24"/>
          <w:szCs w:val="24"/>
        </w:rPr>
      </w:pPr>
      <w:r w:rsidRPr="00CF5640">
        <w:rPr>
          <w:rFonts w:ascii="Arial" w:hAnsi="Arial" w:cs="Arial"/>
          <w:sz w:val="24"/>
          <w:szCs w:val="24"/>
        </w:rPr>
        <w:t xml:space="preserve">The first system is a </w:t>
      </w:r>
      <w:bookmarkStart w:id="0" w:name="_Hlk128522429"/>
      <w:r w:rsidRPr="00CF5640">
        <w:rPr>
          <w:rFonts w:ascii="Arial" w:hAnsi="Arial" w:cs="Arial"/>
          <w:sz w:val="24"/>
          <w:szCs w:val="24"/>
        </w:rPr>
        <w:t>centralised system with a centralised authority that makes decisions and manages resources.</w:t>
      </w:r>
      <w:bookmarkEnd w:id="0"/>
      <w:r w:rsidRPr="00CF5640">
        <w:rPr>
          <w:rFonts w:ascii="Arial" w:hAnsi="Arial" w:cs="Arial"/>
          <w:sz w:val="24"/>
          <w:szCs w:val="24"/>
        </w:rPr>
        <w:t xml:space="preserve"> Typically, this system is hierarchical, with a few entities at the top making </w:t>
      </w:r>
      <w:proofErr w:type="gramStart"/>
      <w:r w:rsidRPr="00CF5640">
        <w:rPr>
          <w:rFonts w:ascii="Arial" w:hAnsi="Arial" w:cs="Arial"/>
          <w:sz w:val="24"/>
          <w:szCs w:val="24"/>
        </w:rPr>
        <w:t>the majority of</w:t>
      </w:r>
      <w:proofErr w:type="gramEnd"/>
      <w:r w:rsidRPr="00CF5640">
        <w:rPr>
          <w:rFonts w:ascii="Arial" w:hAnsi="Arial" w:cs="Arial"/>
          <w:sz w:val="24"/>
          <w:szCs w:val="24"/>
        </w:rPr>
        <w:t xml:space="preserve"> decisions and the rest of the participants being subject to those decisions. The centralised system is often more rigid and slow to adjust to changes in the environment</w:t>
      </w:r>
      <w:r w:rsidR="009048B6" w:rsidRPr="00CF5640">
        <w:rPr>
          <w:rFonts w:ascii="Arial" w:hAnsi="Arial" w:cs="Arial"/>
          <w:sz w:val="24"/>
          <w:szCs w:val="24"/>
        </w:rPr>
        <w:t xml:space="preserve"> </w:t>
      </w:r>
      <w:r w:rsidR="009048B6" w:rsidRPr="00CF5640">
        <w:rPr>
          <w:rFonts w:ascii="Arial" w:hAnsi="Arial" w:cs="Arial"/>
          <w:color w:val="2C3E50"/>
          <w:sz w:val="24"/>
          <w:szCs w:val="24"/>
          <w:shd w:val="clear" w:color="auto" w:fill="FFFFFF"/>
        </w:rPr>
        <w:t>(Baker, 2019)</w:t>
      </w:r>
      <w:r w:rsidRPr="00CF5640">
        <w:rPr>
          <w:rFonts w:ascii="Arial" w:hAnsi="Arial" w:cs="Arial"/>
          <w:sz w:val="24"/>
          <w:szCs w:val="24"/>
        </w:rPr>
        <w:t>.</w:t>
      </w:r>
    </w:p>
    <w:p w14:paraId="2E6B791D" w14:textId="0E58E4A0" w:rsidR="00D76882" w:rsidRPr="00CF5640" w:rsidRDefault="00D76882" w:rsidP="009048B6">
      <w:pPr>
        <w:spacing w:line="360" w:lineRule="auto"/>
        <w:jc w:val="both"/>
        <w:rPr>
          <w:rFonts w:ascii="Arial" w:hAnsi="Arial" w:cs="Arial"/>
          <w:sz w:val="24"/>
          <w:szCs w:val="24"/>
        </w:rPr>
      </w:pPr>
      <w:r w:rsidRPr="00CF5640">
        <w:rPr>
          <w:rFonts w:ascii="Arial" w:hAnsi="Arial" w:cs="Arial"/>
          <w:sz w:val="24"/>
          <w:szCs w:val="24"/>
        </w:rPr>
        <w:t xml:space="preserve">The second system is a decentralised system which is defined by decision-making power being spread among numerous entities. Decisions are made autonomously by each individual node, therefore there is no need for a central authority. The decentralised system is often </w:t>
      </w:r>
      <w:r w:rsidR="009048B6" w:rsidRPr="00CF5640">
        <w:rPr>
          <w:rFonts w:ascii="Arial" w:hAnsi="Arial" w:cs="Arial"/>
          <w:sz w:val="24"/>
          <w:szCs w:val="24"/>
        </w:rPr>
        <w:t>nimbler and more responsive</w:t>
      </w:r>
      <w:r w:rsidRPr="00CF5640">
        <w:rPr>
          <w:rFonts w:ascii="Arial" w:hAnsi="Arial" w:cs="Arial"/>
          <w:sz w:val="24"/>
          <w:szCs w:val="24"/>
        </w:rPr>
        <w:t xml:space="preserve"> to </w:t>
      </w:r>
      <w:r w:rsidR="00816623" w:rsidRPr="00CF5640">
        <w:rPr>
          <w:rFonts w:ascii="Arial" w:hAnsi="Arial" w:cs="Arial"/>
          <w:sz w:val="24"/>
          <w:szCs w:val="24"/>
        </w:rPr>
        <w:t>changes but</w:t>
      </w:r>
      <w:r w:rsidRPr="00CF5640">
        <w:rPr>
          <w:rFonts w:ascii="Arial" w:hAnsi="Arial" w:cs="Arial"/>
          <w:sz w:val="24"/>
          <w:szCs w:val="24"/>
        </w:rPr>
        <w:t xml:space="preserve"> can also have challenges when it comes to trust and coordination.</w:t>
      </w:r>
    </w:p>
    <w:p w14:paraId="25022715" w14:textId="0E98D956" w:rsidR="007265C7" w:rsidRPr="00CF5640" w:rsidRDefault="007265C7" w:rsidP="009048B6">
      <w:pPr>
        <w:spacing w:line="360" w:lineRule="auto"/>
        <w:jc w:val="both"/>
        <w:rPr>
          <w:rFonts w:ascii="Arial" w:hAnsi="Arial" w:cs="Arial"/>
          <w:sz w:val="24"/>
          <w:szCs w:val="24"/>
        </w:rPr>
      </w:pPr>
      <w:r w:rsidRPr="00CF5640">
        <w:rPr>
          <w:rFonts w:ascii="Arial" w:hAnsi="Arial" w:cs="Arial"/>
          <w:sz w:val="24"/>
          <w:szCs w:val="24"/>
        </w:rPr>
        <w:t>Common law is a legal system that has evolved over ages, originating from the mediaeval court system and local conventions. It developed in England during the Middle Ages and expanded to other countries, such as the United States, Canada, and Australia.</w:t>
      </w:r>
    </w:p>
    <w:p w14:paraId="18D681C0" w14:textId="5050A5B3" w:rsidR="00C0334F" w:rsidRPr="00CF5640" w:rsidRDefault="00E654EA" w:rsidP="009048B6">
      <w:pPr>
        <w:spacing w:line="360" w:lineRule="auto"/>
        <w:jc w:val="both"/>
        <w:rPr>
          <w:rFonts w:ascii="Arial" w:hAnsi="Arial" w:cs="Arial"/>
          <w:sz w:val="24"/>
          <w:szCs w:val="24"/>
        </w:rPr>
      </w:pPr>
      <w:r w:rsidRPr="00CF5640">
        <w:rPr>
          <w:rFonts w:ascii="Arial" w:hAnsi="Arial" w:cs="Arial"/>
          <w:sz w:val="24"/>
          <w:szCs w:val="24"/>
        </w:rPr>
        <w:t>Classical common law thought emerged at a time when modern English society and the modern state were developing from feudalism. Political power was becoming increasingly centralised, and absolutist ideology was making advances not only in Europe but also in England. With the Royal Court's increasing directive influence over society and the economy came the notion that law might be used to govern and direct society in service of the sovereign's objectives. The law is regarded as the most potent instrument in the sovereign's arsenal</w:t>
      </w:r>
      <w:r w:rsidRPr="00CF5640">
        <w:rPr>
          <w:rFonts w:ascii="Arial" w:hAnsi="Arial" w:cs="Arial"/>
          <w:sz w:val="24"/>
          <w:szCs w:val="24"/>
        </w:rPr>
        <w:t xml:space="preserve"> (</w:t>
      </w:r>
      <w:proofErr w:type="spellStart"/>
      <w:r w:rsidRPr="00CF5640">
        <w:rPr>
          <w:rFonts w:ascii="Arial" w:hAnsi="Arial" w:cs="Arial"/>
          <w:sz w:val="24"/>
          <w:szCs w:val="24"/>
        </w:rPr>
        <w:t>Postema</w:t>
      </w:r>
      <w:proofErr w:type="spellEnd"/>
      <w:r w:rsidRPr="00CF5640">
        <w:rPr>
          <w:rFonts w:ascii="Arial" w:hAnsi="Arial" w:cs="Arial"/>
          <w:sz w:val="24"/>
          <w:szCs w:val="24"/>
        </w:rPr>
        <w:t>, 2019)</w:t>
      </w:r>
      <w:r w:rsidRPr="00CF5640">
        <w:rPr>
          <w:rFonts w:ascii="Arial" w:hAnsi="Arial" w:cs="Arial"/>
          <w:sz w:val="24"/>
          <w:szCs w:val="24"/>
        </w:rPr>
        <w:t>.</w:t>
      </w:r>
    </w:p>
    <w:p w14:paraId="0A337E16" w14:textId="67BF2493" w:rsidR="007265C7" w:rsidRPr="00CF5640" w:rsidRDefault="007265C7" w:rsidP="009048B6">
      <w:pPr>
        <w:spacing w:line="360" w:lineRule="auto"/>
        <w:jc w:val="both"/>
        <w:rPr>
          <w:rFonts w:ascii="Arial" w:hAnsi="Arial" w:cs="Arial"/>
          <w:sz w:val="24"/>
          <w:szCs w:val="24"/>
        </w:rPr>
      </w:pPr>
      <w:r w:rsidRPr="00CF5640">
        <w:rPr>
          <w:rFonts w:ascii="Arial" w:hAnsi="Arial" w:cs="Arial"/>
          <w:sz w:val="24"/>
          <w:szCs w:val="24"/>
        </w:rPr>
        <w:t>The origins of common law can be traced back to the Medieval Ages, when English kings used ad hoc judges to settle disputes. These judges rendered judgements, which were then recorded by the court clerk and became part of the evolving body of case law. This body of case law became known as common law over time</w:t>
      </w:r>
      <w:r w:rsidR="00390876" w:rsidRPr="00CF5640">
        <w:rPr>
          <w:rFonts w:ascii="Arial" w:hAnsi="Arial" w:cs="Arial"/>
          <w:color w:val="2C3E50"/>
          <w:sz w:val="24"/>
          <w:szCs w:val="24"/>
          <w:shd w:val="clear" w:color="auto" w:fill="FFFFFF"/>
        </w:rPr>
        <w:t xml:space="preserve"> </w:t>
      </w:r>
      <w:r w:rsidR="00390876" w:rsidRPr="00CF5640">
        <w:rPr>
          <w:rFonts w:ascii="Arial" w:hAnsi="Arial" w:cs="Arial"/>
          <w:color w:val="2C3E50"/>
          <w:sz w:val="24"/>
          <w:szCs w:val="24"/>
          <w:shd w:val="clear" w:color="auto" w:fill="FFFFFF"/>
        </w:rPr>
        <w:t>(Milsom, 2014</w:t>
      </w:r>
      <w:proofErr w:type="gramStart"/>
      <w:r w:rsidR="00390876" w:rsidRPr="00CF5640">
        <w:rPr>
          <w:rFonts w:ascii="Arial" w:hAnsi="Arial" w:cs="Arial"/>
          <w:color w:val="2C3E50"/>
          <w:sz w:val="24"/>
          <w:szCs w:val="24"/>
          <w:shd w:val="clear" w:color="auto" w:fill="FFFFFF"/>
        </w:rPr>
        <w:t>)</w:t>
      </w:r>
      <w:r w:rsidR="00390876" w:rsidRPr="00CF5640">
        <w:rPr>
          <w:rFonts w:ascii="Arial" w:hAnsi="Arial" w:cs="Arial"/>
          <w:sz w:val="24"/>
          <w:szCs w:val="24"/>
        </w:rPr>
        <w:t xml:space="preserve"> </w:t>
      </w:r>
      <w:r w:rsidRPr="00CF5640">
        <w:rPr>
          <w:rFonts w:ascii="Arial" w:hAnsi="Arial" w:cs="Arial"/>
          <w:sz w:val="24"/>
          <w:szCs w:val="24"/>
        </w:rPr>
        <w:t>.</w:t>
      </w:r>
      <w:proofErr w:type="gramEnd"/>
    </w:p>
    <w:p w14:paraId="5784668B" w14:textId="2B7975D2" w:rsidR="007265C7" w:rsidRPr="00CF5640" w:rsidRDefault="007265C7" w:rsidP="009048B6">
      <w:pPr>
        <w:spacing w:line="360" w:lineRule="auto"/>
        <w:jc w:val="both"/>
        <w:rPr>
          <w:rFonts w:ascii="Arial" w:hAnsi="Arial" w:cs="Arial"/>
          <w:sz w:val="24"/>
          <w:szCs w:val="24"/>
        </w:rPr>
      </w:pPr>
      <w:r w:rsidRPr="00CF5640">
        <w:rPr>
          <w:rFonts w:ascii="Arial" w:hAnsi="Arial" w:cs="Arial"/>
          <w:sz w:val="24"/>
          <w:szCs w:val="24"/>
        </w:rPr>
        <w:t xml:space="preserve">Modern common law is founded on </w:t>
      </w:r>
      <w:proofErr w:type="gramStart"/>
      <w:r w:rsidRPr="00CF5640">
        <w:rPr>
          <w:rFonts w:ascii="Arial" w:hAnsi="Arial" w:cs="Arial"/>
          <w:sz w:val="24"/>
          <w:szCs w:val="24"/>
        </w:rPr>
        <w:t>a number of</w:t>
      </w:r>
      <w:proofErr w:type="gramEnd"/>
      <w:r w:rsidRPr="00CF5640">
        <w:rPr>
          <w:rFonts w:ascii="Arial" w:hAnsi="Arial" w:cs="Arial"/>
          <w:sz w:val="24"/>
          <w:szCs w:val="24"/>
        </w:rPr>
        <w:t xml:space="preserve"> essential ideas. In the first place, common law is precedent-based, which means that the law is created by the decisions </w:t>
      </w:r>
      <w:r w:rsidRPr="00CF5640">
        <w:rPr>
          <w:rFonts w:ascii="Arial" w:hAnsi="Arial" w:cs="Arial"/>
          <w:sz w:val="24"/>
          <w:szCs w:val="24"/>
        </w:rPr>
        <w:lastRenderedPageBreak/>
        <w:t>made in past instances. This is the foundation of the idea of stare decisis, which argues that earlier decisions should be observed while determining new cases.</w:t>
      </w:r>
    </w:p>
    <w:p w14:paraId="05A889B6" w14:textId="052F2C8B" w:rsidR="007265C7" w:rsidRPr="00CF5640" w:rsidRDefault="007265C7" w:rsidP="009048B6">
      <w:pPr>
        <w:spacing w:line="360" w:lineRule="auto"/>
        <w:jc w:val="both"/>
        <w:rPr>
          <w:rFonts w:ascii="Arial" w:hAnsi="Arial" w:cs="Arial"/>
          <w:sz w:val="24"/>
          <w:szCs w:val="24"/>
        </w:rPr>
      </w:pPr>
      <w:r w:rsidRPr="00CF5640">
        <w:rPr>
          <w:rFonts w:ascii="Arial" w:hAnsi="Arial" w:cs="Arial"/>
          <w:sz w:val="24"/>
          <w:szCs w:val="24"/>
        </w:rPr>
        <w:t>Separation of powers between the legislative and judicial branches is an additional essential concept of common law</w:t>
      </w:r>
      <w:r w:rsidR="00E654EA" w:rsidRPr="00CF5640">
        <w:rPr>
          <w:rFonts w:ascii="Arial" w:hAnsi="Arial" w:cs="Arial"/>
          <w:sz w:val="24"/>
          <w:szCs w:val="24"/>
        </w:rPr>
        <w:t xml:space="preserve"> </w:t>
      </w:r>
      <w:r w:rsidR="00E654EA" w:rsidRPr="00CF5640">
        <w:rPr>
          <w:rFonts w:ascii="Arial" w:hAnsi="Arial" w:cs="Arial"/>
          <w:color w:val="2C3E50"/>
          <w:sz w:val="24"/>
          <w:szCs w:val="24"/>
          <w:shd w:val="clear" w:color="auto" w:fill="FFFFFF"/>
        </w:rPr>
        <w:t>(www.lexisnexis.co.uk, n.d.)</w:t>
      </w:r>
      <w:r w:rsidRPr="00CF5640">
        <w:rPr>
          <w:rFonts w:ascii="Arial" w:hAnsi="Arial" w:cs="Arial"/>
          <w:sz w:val="24"/>
          <w:szCs w:val="24"/>
        </w:rPr>
        <w:t>. The legislative branch is responsible for defining a general legal framework, whereas the judicial branch interprets and applies the law</w:t>
      </w:r>
      <w:r w:rsidR="00E654EA" w:rsidRPr="00CF5640">
        <w:rPr>
          <w:rFonts w:ascii="Arial" w:hAnsi="Arial" w:cs="Arial"/>
          <w:color w:val="2C3E50"/>
          <w:sz w:val="24"/>
          <w:szCs w:val="24"/>
          <w:shd w:val="clear" w:color="auto" w:fill="FFFFFF"/>
        </w:rPr>
        <w:t xml:space="preserve"> </w:t>
      </w:r>
      <w:r w:rsidR="00E654EA" w:rsidRPr="00CF5640">
        <w:rPr>
          <w:rFonts w:ascii="Arial" w:hAnsi="Arial" w:cs="Arial"/>
          <w:color w:val="2C3E50"/>
          <w:sz w:val="24"/>
          <w:szCs w:val="24"/>
          <w:shd w:val="clear" w:color="auto" w:fill="FFFFFF"/>
        </w:rPr>
        <w:t>(</w:t>
      </w:r>
      <w:proofErr w:type="spellStart"/>
      <w:proofErr w:type="gramStart"/>
      <w:r w:rsidR="00E654EA" w:rsidRPr="00CF5640">
        <w:rPr>
          <w:rFonts w:ascii="Arial" w:hAnsi="Arial" w:cs="Arial"/>
          <w:color w:val="2C3E50"/>
          <w:sz w:val="24"/>
          <w:szCs w:val="24"/>
          <w:shd w:val="clear" w:color="auto" w:fill="FFFFFF"/>
        </w:rPr>
        <w:t>law.gov.wales</w:t>
      </w:r>
      <w:proofErr w:type="spellEnd"/>
      <w:proofErr w:type="gramEnd"/>
      <w:r w:rsidR="00E654EA" w:rsidRPr="00CF5640">
        <w:rPr>
          <w:rFonts w:ascii="Arial" w:hAnsi="Arial" w:cs="Arial"/>
          <w:color w:val="2C3E50"/>
          <w:sz w:val="24"/>
          <w:szCs w:val="24"/>
          <w:shd w:val="clear" w:color="auto" w:fill="FFFFFF"/>
        </w:rPr>
        <w:t>, 2021)</w:t>
      </w:r>
      <w:r w:rsidRPr="00CF5640">
        <w:rPr>
          <w:rFonts w:ascii="Arial" w:hAnsi="Arial" w:cs="Arial"/>
          <w:sz w:val="24"/>
          <w:szCs w:val="24"/>
        </w:rPr>
        <w:t>.</w:t>
      </w:r>
    </w:p>
    <w:p w14:paraId="6505FEE7" w14:textId="1DF0A5BB" w:rsidR="00D76882" w:rsidRPr="00CF5640" w:rsidRDefault="007265C7" w:rsidP="009048B6">
      <w:pPr>
        <w:spacing w:line="360" w:lineRule="auto"/>
        <w:jc w:val="both"/>
        <w:rPr>
          <w:rFonts w:ascii="Arial" w:hAnsi="Arial" w:cs="Arial"/>
          <w:sz w:val="24"/>
          <w:szCs w:val="24"/>
        </w:rPr>
      </w:pPr>
      <w:r w:rsidRPr="00CF5640">
        <w:rPr>
          <w:rFonts w:ascii="Arial" w:hAnsi="Arial" w:cs="Arial"/>
          <w:sz w:val="24"/>
          <w:szCs w:val="24"/>
        </w:rPr>
        <w:t xml:space="preserve">While opinions can change over time and previous cases might be reconsidered </w:t>
      </w:r>
      <w:proofErr w:type="gramStart"/>
      <w:r w:rsidRPr="00CF5640">
        <w:rPr>
          <w:rFonts w:ascii="Arial" w:hAnsi="Arial" w:cs="Arial"/>
          <w:sz w:val="24"/>
          <w:szCs w:val="24"/>
        </w:rPr>
        <w:t>in light of</w:t>
      </w:r>
      <w:proofErr w:type="gramEnd"/>
      <w:r w:rsidRPr="00CF5640">
        <w:rPr>
          <w:rFonts w:ascii="Arial" w:hAnsi="Arial" w:cs="Arial"/>
          <w:sz w:val="24"/>
          <w:szCs w:val="24"/>
        </w:rPr>
        <w:t xml:space="preserve"> new legal advances, the common law continues to develop. In the United States, for instance, the Supreme Court plays a significant role in the development of the common law, as it is the highest court and can make binding decisions.</w:t>
      </w:r>
    </w:p>
    <w:p w14:paraId="3412CC34" w14:textId="6FEC1A89" w:rsidR="007265C7" w:rsidRPr="00CF5640" w:rsidRDefault="007265C7" w:rsidP="009048B6">
      <w:pPr>
        <w:spacing w:line="360" w:lineRule="auto"/>
        <w:jc w:val="both"/>
        <w:rPr>
          <w:rFonts w:ascii="Arial" w:hAnsi="Arial" w:cs="Arial"/>
          <w:sz w:val="24"/>
          <w:szCs w:val="24"/>
        </w:rPr>
      </w:pPr>
      <w:r w:rsidRPr="00CF5640">
        <w:rPr>
          <w:rFonts w:ascii="Arial" w:hAnsi="Arial" w:cs="Arial"/>
          <w:sz w:val="24"/>
          <w:szCs w:val="24"/>
        </w:rPr>
        <w:t>The common law is a system of law that relies heavily on precedent, in which a previous judgement serves as a basis for future decisions. Here are some instances of the common law in action</w:t>
      </w:r>
      <w:r w:rsidRPr="00CF5640">
        <w:rPr>
          <w:rFonts w:ascii="Arial" w:hAnsi="Arial" w:cs="Arial"/>
          <w:sz w:val="24"/>
          <w:szCs w:val="24"/>
        </w:rPr>
        <w:t xml:space="preserve"> like: a</w:t>
      </w:r>
      <w:r w:rsidRPr="00CF5640">
        <w:rPr>
          <w:rFonts w:ascii="Arial" w:hAnsi="Arial" w:cs="Arial"/>
          <w:sz w:val="24"/>
          <w:szCs w:val="24"/>
        </w:rPr>
        <w:t xml:space="preserve"> court strikes down a law that is deemed unconstitutional</w:t>
      </w:r>
      <w:r w:rsidRPr="00CF5640">
        <w:rPr>
          <w:rFonts w:ascii="Arial" w:hAnsi="Arial" w:cs="Arial"/>
          <w:sz w:val="24"/>
          <w:szCs w:val="24"/>
        </w:rPr>
        <w:t>; a</w:t>
      </w:r>
      <w:r w:rsidRPr="00CF5640">
        <w:rPr>
          <w:rFonts w:ascii="Arial" w:hAnsi="Arial" w:cs="Arial"/>
          <w:sz w:val="24"/>
          <w:szCs w:val="24"/>
        </w:rPr>
        <w:t xml:space="preserve"> judge disregards a precedent to establish a new legal rule</w:t>
      </w:r>
      <w:r w:rsidRPr="00CF5640">
        <w:rPr>
          <w:rFonts w:ascii="Arial" w:hAnsi="Arial" w:cs="Arial"/>
          <w:sz w:val="24"/>
          <w:szCs w:val="24"/>
        </w:rPr>
        <w:t>; a</w:t>
      </w:r>
      <w:r w:rsidRPr="00CF5640">
        <w:rPr>
          <w:rFonts w:ascii="Arial" w:hAnsi="Arial" w:cs="Arial"/>
          <w:sz w:val="24"/>
          <w:szCs w:val="24"/>
        </w:rPr>
        <w:t xml:space="preserve"> higher court analyses a lower court's ruling and overturns it</w:t>
      </w:r>
      <w:r w:rsidRPr="00CF5640">
        <w:rPr>
          <w:rFonts w:ascii="Arial" w:hAnsi="Arial" w:cs="Arial"/>
          <w:sz w:val="24"/>
          <w:szCs w:val="24"/>
        </w:rPr>
        <w:t>; a</w:t>
      </w:r>
      <w:r w:rsidRPr="00CF5640">
        <w:rPr>
          <w:rFonts w:ascii="Arial" w:hAnsi="Arial" w:cs="Arial"/>
          <w:sz w:val="24"/>
          <w:szCs w:val="24"/>
        </w:rPr>
        <w:t xml:space="preserve"> criminal defendant may claim an alibi as a defence because precedent has been established in earlier cases</w:t>
      </w:r>
      <w:r w:rsidRPr="00CF5640">
        <w:rPr>
          <w:rFonts w:ascii="Arial" w:hAnsi="Arial" w:cs="Arial"/>
          <w:sz w:val="24"/>
          <w:szCs w:val="24"/>
        </w:rPr>
        <w:t xml:space="preserve">; </w:t>
      </w:r>
      <w:r w:rsidRPr="00CF5640">
        <w:rPr>
          <w:rFonts w:ascii="Arial" w:hAnsi="Arial" w:cs="Arial"/>
          <w:sz w:val="24"/>
          <w:szCs w:val="24"/>
        </w:rPr>
        <w:t xml:space="preserve">Based on the common law theory of "duty of care," </w:t>
      </w:r>
      <w:r w:rsidR="00390876" w:rsidRPr="00CF5640">
        <w:rPr>
          <w:rFonts w:ascii="Arial" w:hAnsi="Arial" w:cs="Arial"/>
          <w:color w:val="2C3E50"/>
          <w:sz w:val="24"/>
          <w:szCs w:val="24"/>
          <w:shd w:val="clear" w:color="auto" w:fill="FFFFFF"/>
        </w:rPr>
        <w:t>(February 2018, n.d.)</w:t>
      </w:r>
      <w:r w:rsidR="00390876" w:rsidRPr="00CF5640">
        <w:rPr>
          <w:rFonts w:ascii="Arial" w:hAnsi="Arial" w:cs="Arial"/>
          <w:color w:val="2C3E50"/>
          <w:sz w:val="24"/>
          <w:szCs w:val="24"/>
          <w:shd w:val="clear" w:color="auto" w:fill="FFFFFF"/>
        </w:rPr>
        <w:t xml:space="preserve"> </w:t>
      </w:r>
      <w:r w:rsidRPr="00CF5640">
        <w:rPr>
          <w:rFonts w:ascii="Arial" w:hAnsi="Arial" w:cs="Arial"/>
          <w:sz w:val="24"/>
          <w:szCs w:val="24"/>
        </w:rPr>
        <w:t>a plaintiff receives compensation for a bodily injury caused by another's negligence.</w:t>
      </w:r>
    </w:p>
    <w:p w14:paraId="4FC2F9BF" w14:textId="05F3F785" w:rsidR="009048B6" w:rsidRPr="00CF5640" w:rsidRDefault="009048B6">
      <w:pPr>
        <w:rPr>
          <w:rFonts w:ascii="Arial" w:hAnsi="Arial" w:cs="Arial"/>
          <w:sz w:val="24"/>
          <w:szCs w:val="24"/>
        </w:rPr>
      </w:pPr>
      <w:r w:rsidRPr="00CF5640">
        <w:rPr>
          <w:rFonts w:ascii="Arial" w:hAnsi="Arial" w:cs="Arial"/>
          <w:sz w:val="24"/>
          <w:szCs w:val="24"/>
        </w:rPr>
        <w:br w:type="page"/>
      </w:r>
    </w:p>
    <w:p w14:paraId="4778D2CB" w14:textId="6F218E3B" w:rsidR="00D76882" w:rsidRPr="00CF5640" w:rsidRDefault="00756515" w:rsidP="009048B6">
      <w:pPr>
        <w:spacing w:line="360" w:lineRule="auto"/>
        <w:jc w:val="both"/>
        <w:rPr>
          <w:rFonts w:ascii="Arial" w:hAnsi="Arial" w:cs="Arial"/>
          <w:sz w:val="24"/>
          <w:szCs w:val="24"/>
        </w:rPr>
      </w:pPr>
      <w:r w:rsidRPr="00CF5640">
        <w:rPr>
          <w:rFonts w:ascii="Arial" w:hAnsi="Arial" w:cs="Arial"/>
          <w:sz w:val="24"/>
          <w:szCs w:val="24"/>
        </w:rPr>
        <w:lastRenderedPageBreak/>
        <w:t>Reference</w:t>
      </w:r>
    </w:p>
    <w:p w14:paraId="2297B0CF" w14:textId="3066C84C" w:rsidR="00816623" w:rsidRPr="00CF5640" w:rsidRDefault="00816623" w:rsidP="00816623">
      <w:pPr>
        <w:pStyle w:val="NormalWeb"/>
        <w:spacing w:before="0" w:beforeAutospacing="0" w:after="0" w:afterAutospacing="0" w:line="360" w:lineRule="atLeast"/>
        <w:rPr>
          <w:rFonts w:ascii="Arial" w:hAnsi="Arial" w:cs="Arial"/>
          <w:color w:val="000000"/>
        </w:rPr>
      </w:pPr>
      <w:bookmarkStart w:id="1" w:name="_Hlk128515827"/>
      <w:r w:rsidRPr="00CF5640">
        <w:rPr>
          <w:rFonts w:ascii="Arial" w:hAnsi="Arial" w:cs="Arial"/>
          <w:color w:val="000000"/>
        </w:rPr>
        <w:t>Alexandre Charles Kiss and Shelton, D. (2004). </w:t>
      </w:r>
      <w:r w:rsidRPr="00CF5640">
        <w:rPr>
          <w:rFonts w:ascii="Arial" w:hAnsi="Arial" w:cs="Arial"/>
          <w:i/>
          <w:iCs/>
          <w:color w:val="000000"/>
        </w:rPr>
        <w:t>International environmental law</w:t>
      </w:r>
      <w:r w:rsidRPr="00CF5640">
        <w:rPr>
          <w:rFonts w:ascii="Arial" w:hAnsi="Arial" w:cs="Arial"/>
          <w:color w:val="000000"/>
        </w:rPr>
        <w:t>. Ardsley, New York: Transnational Publishers.</w:t>
      </w:r>
    </w:p>
    <w:p w14:paraId="721ECFF1" w14:textId="77777777" w:rsidR="00816623" w:rsidRPr="00CF5640" w:rsidRDefault="00816623" w:rsidP="00816623">
      <w:pPr>
        <w:pStyle w:val="NormalWeb"/>
        <w:spacing w:before="0" w:beforeAutospacing="0" w:after="0" w:afterAutospacing="0" w:line="360" w:lineRule="atLeast"/>
        <w:rPr>
          <w:rFonts w:ascii="Arial" w:hAnsi="Arial" w:cs="Arial"/>
          <w:color w:val="000000"/>
        </w:rPr>
      </w:pPr>
    </w:p>
    <w:p w14:paraId="60263022" w14:textId="07E5D03D" w:rsidR="0060090D" w:rsidRPr="00CF5640" w:rsidRDefault="009048B6" w:rsidP="0060090D">
      <w:pPr>
        <w:spacing w:line="360" w:lineRule="auto"/>
        <w:jc w:val="both"/>
        <w:rPr>
          <w:rFonts w:ascii="Arial" w:hAnsi="Arial" w:cs="Arial"/>
          <w:color w:val="000000"/>
          <w:sz w:val="24"/>
          <w:szCs w:val="24"/>
        </w:rPr>
      </w:pPr>
      <w:r w:rsidRPr="00CF5640">
        <w:rPr>
          <w:rFonts w:ascii="Arial" w:hAnsi="Arial" w:cs="Arial"/>
          <w:color w:val="000000"/>
          <w:sz w:val="24"/>
          <w:szCs w:val="24"/>
        </w:rPr>
        <w:t>Baker, J.H. (2019). </w:t>
      </w:r>
      <w:r w:rsidRPr="00CF5640">
        <w:rPr>
          <w:rFonts w:ascii="Arial" w:hAnsi="Arial" w:cs="Arial"/>
          <w:i/>
          <w:iCs/>
          <w:color w:val="000000"/>
          <w:sz w:val="24"/>
          <w:szCs w:val="24"/>
        </w:rPr>
        <w:t>An introduction to English legal history</w:t>
      </w:r>
      <w:r w:rsidRPr="00CF5640">
        <w:rPr>
          <w:rFonts w:ascii="Arial" w:hAnsi="Arial" w:cs="Arial"/>
          <w:color w:val="000000"/>
          <w:sz w:val="24"/>
          <w:szCs w:val="24"/>
        </w:rPr>
        <w:t>. Oxford, United Kingdom: Oxford University Press.</w:t>
      </w:r>
    </w:p>
    <w:p w14:paraId="755A4EC3" w14:textId="2456286D" w:rsidR="00756515" w:rsidRPr="00CF5640" w:rsidRDefault="00756515" w:rsidP="009048B6">
      <w:pPr>
        <w:spacing w:line="360" w:lineRule="auto"/>
        <w:jc w:val="both"/>
        <w:rPr>
          <w:rFonts w:ascii="Arial" w:hAnsi="Arial" w:cs="Arial"/>
          <w:color w:val="555555"/>
          <w:sz w:val="24"/>
          <w:szCs w:val="24"/>
          <w:shd w:val="clear" w:color="auto" w:fill="FFFFFF"/>
        </w:rPr>
      </w:pPr>
      <w:r w:rsidRPr="00CF5640">
        <w:rPr>
          <w:rFonts w:ascii="Arial" w:hAnsi="Arial" w:cs="Arial"/>
          <w:color w:val="555555"/>
          <w:sz w:val="24"/>
          <w:szCs w:val="24"/>
          <w:shd w:val="clear" w:color="auto" w:fill="FFFFFF"/>
        </w:rPr>
        <w:t>C</w:t>
      </w:r>
      <w:r w:rsidR="00CF5640">
        <w:rPr>
          <w:rFonts w:ascii="Arial" w:hAnsi="Arial" w:cs="Arial"/>
          <w:color w:val="555555"/>
          <w:sz w:val="24"/>
          <w:szCs w:val="24"/>
          <w:shd w:val="clear" w:color="auto" w:fill="FFFFFF"/>
        </w:rPr>
        <w:t>rema</w:t>
      </w:r>
      <w:r w:rsidRPr="00CF5640">
        <w:rPr>
          <w:rFonts w:ascii="Arial" w:hAnsi="Arial" w:cs="Arial"/>
          <w:color w:val="555555"/>
          <w:sz w:val="24"/>
          <w:szCs w:val="24"/>
          <w:shd w:val="clear" w:color="auto" w:fill="FFFFFF"/>
        </w:rPr>
        <w:t>, L., 2020</w:t>
      </w:r>
      <w:bookmarkEnd w:id="1"/>
      <w:r w:rsidRPr="00CF5640">
        <w:rPr>
          <w:rFonts w:ascii="Arial" w:hAnsi="Arial" w:cs="Arial"/>
          <w:color w:val="555555"/>
          <w:sz w:val="24"/>
          <w:szCs w:val="24"/>
          <w:shd w:val="clear" w:color="auto" w:fill="FFFFFF"/>
        </w:rPr>
        <w:t>. The Common Law (And Not Roman) Origins of 0RW1S34RfeSDcfkexd09rT2Amicus Curiae1RW1S34RfeSDcfkexd09rT2 in International Law – Debunking a Fake News Item. </w:t>
      </w:r>
      <w:r w:rsidRPr="00CF5640">
        <w:rPr>
          <w:rFonts w:ascii="Arial" w:hAnsi="Arial" w:cs="Arial"/>
          <w:i/>
          <w:iCs/>
          <w:color w:val="555555"/>
          <w:sz w:val="24"/>
          <w:szCs w:val="24"/>
          <w:shd w:val="clear" w:color="auto" w:fill="FFFFFF"/>
        </w:rPr>
        <w:t>Global Jurist, </w:t>
      </w:r>
      <w:r w:rsidRPr="00CF5640">
        <w:rPr>
          <w:rFonts w:ascii="Arial" w:hAnsi="Arial" w:cs="Arial"/>
          <w:b/>
          <w:bCs/>
          <w:color w:val="555555"/>
          <w:sz w:val="24"/>
          <w:szCs w:val="24"/>
          <w:shd w:val="clear" w:color="auto" w:fill="FFFFFF"/>
        </w:rPr>
        <w:t>20</w:t>
      </w:r>
      <w:r w:rsidRPr="00CF5640">
        <w:rPr>
          <w:rFonts w:ascii="Arial" w:hAnsi="Arial" w:cs="Arial"/>
          <w:color w:val="555555"/>
          <w:sz w:val="24"/>
          <w:szCs w:val="24"/>
          <w:shd w:val="clear" w:color="auto" w:fill="FFFFFF"/>
        </w:rPr>
        <w:t>(1),</w:t>
      </w:r>
    </w:p>
    <w:p w14:paraId="3EFB1581" w14:textId="50500F21" w:rsidR="009048B6" w:rsidRPr="00CF5640" w:rsidRDefault="009048B6" w:rsidP="009048B6">
      <w:pPr>
        <w:pStyle w:val="NormalWeb"/>
        <w:spacing w:before="0" w:beforeAutospacing="0" w:after="0" w:afterAutospacing="0" w:line="360" w:lineRule="auto"/>
        <w:rPr>
          <w:rFonts w:ascii="Arial" w:hAnsi="Arial" w:cs="Arial"/>
          <w:color w:val="000000"/>
        </w:rPr>
      </w:pPr>
      <w:r w:rsidRPr="00CF5640">
        <w:rPr>
          <w:rFonts w:ascii="Arial" w:hAnsi="Arial" w:cs="Arial"/>
          <w:color w:val="000000"/>
        </w:rPr>
        <w:t>Courts and Tribunals Judiciary. (n.d.). </w:t>
      </w:r>
      <w:r w:rsidRPr="00CF5640">
        <w:rPr>
          <w:rFonts w:ascii="Arial" w:hAnsi="Arial" w:cs="Arial"/>
          <w:i/>
          <w:iCs/>
          <w:color w:val="000000"/>
        </w:rPr>
        <w:t xml:space="preserve">Fact-finding hearings and domestic abuse in Private Law </w:t>
      </w:r>
      <w:proofErr w:type="gramStart"/>
      <w:r w:rsidRPr="00CF5640">
        <w:rPr>
          <w:rFonts w:ascii="Arial" w:hAnsi="Arial" w:cs="Arial"/>
          <w:i/>
          <w:iCs/>
          <w:color w:val="000000"/>
        </w:rPr>
        <w:t>children</w:t>
      </w:r>
      <w:proofErr w:type="gramEnd"/>
      <w:r w:rsidRPr="00CF5640">
        <w:rPr>
          <w:rFonts w:ascii="Arial" w:hAnsi="Arial" w:cs="Arial"/>
          <w:i/>
          <w:iCs/>
          <w:color w:val="000000"/>
        </w:rPr>
        <w:t xml:space="preserve"> proceedings - Guidance for Judges and Magistrates</w:t>
      </w:r>
      <w:r w:rsidRPr="00CF5640">
        <w:rPr>
          <w:rFonts w:ascii="Arial" w:hAnsi="Arial" w:cs="Arial"/>
          <w:color w:val="000000"/>
        </w:rPr>
        <w:t>. [online] Available at: https://www.judiciary.uk/guidance-and-resources/fact-finding-hearings-and-domestic-abuse-in-private-law-children-proceedings-guidance-for-judges-and-magistrates/ [Accessed 28 Feb. 2023].</w:t>
      </w:r>
    </w:p>
    <w:p w14:paraId="2A615648" w14:textId="77777777" w:rsidR="009048B6" w:rsidRPr="00CF5640" w:rsidRDefault="009048B6" w:rsidP="009048B6">
      <w:pPr>
        <w:pStyle w:val="NormalWeb"/>
        <w:spacing w:before="0" w:beforeAutospacing="0" w:after="0" w:afterAutospacing="0" w:line="360" w:lineRule="auto"/>
        <w:rPr>
          <w:rFonts w:ascii="Arial" w:hAnsi="Arial" w:cs="Arial"/>
          <w:color w:val="000000"/>
        </w:rPr>
      </w:pPr>
    </w:p>
    <w:p w14:paraId="0BC08CB8" w14:textId="5DA49024" w:rsidR="009048B6" w:rsidRPr="00CF5640" w:rsidRDefault="009048B6" w:rsidP="009048B6">
      <w:pPr>
        <w:pStyle w:val="NormalWeb"/>
        <w:spacing w:before="0" w:beforeAutospacing="0" w:after="0" w:afterAutospacing="0" w:line="360" w:lineRule="auto"/>
        <w:rPr>
          <w:rFonts w:ascii="Arial" w:hAnsi="Arial" w:cs="Arial"/>
          <w:color w:val="000000"/>
        </w:rPr>
      </w:pPr>
      <w:r w:rsidRPr="00CF5640">
        <w:rPr>
          <w:rFonts w:ascii="Arial" w:hAnsi="Arial" w:cs="Arial"/>
          <w:color w:val="000000"/>
        </w:rPr>
        <w:t>Department of Health (2016). </w:t>
      </w:r>
      <w:r w:rsidRPr="00CF5640">
        <w:rPr>
          <w:rFonts w:ascii="Arial" w:hAnsi="Arial" w:cs="Arial"/>
          <w:i/>
          <w:iCs/>
          <w:color w:val="000000"/>
        </w:rPr>
        <w:t>The Common Law Duty of Confidentiality | Department of Health</w:t>
      </w:r>
      <w:r w:rsidRPr="00CF5640">
        <w:rPr>
          <w:rFonts w:ascii="Arial" w:hAnsi="Arial" w:cs="Arial"/>
          <w:color w:val="000000"/>
        </w:rPr>
        <w:t>. [online] Department of Health. Available at: https://www.health-ni.gov.uk/articles/common-law-duty-confidentiality.</w:t>
      </w:r>
      <w:r w:rsidRPr="00CF5640">
        <w:rPr>
          <w:rFonts w:ascii="Arial" w:hAnsi="Arial" w:cs="Arial"/>
          <w:color w:val="000000"/>
        </w:rPr>
        <w:t xml:space="preserve"> </w:t>
      </w:r>
    </w:p>
    <w:p w14:paraId="188A53CA" w14:textId="77777777" w:rsidR="00816623" w:rsidRPr="00CF5640" w:rsidRDefault="00816623" w:rsidP="009048B6">
      <w:pPr>
        <w:pStyle w:val="NormalWeb"/>
        <w:spacing w:before="0" w:beforeAutospacing="0" w:after="0" w:afterAutospacing="0" w:line="360" w:lineRule="auto"/>
        <w:rPr>
          <w:rFonts w:ascii="Arial" w:hAnsi="Arial" w:cs="Arial"/>
          <w:color w:val="000000"/>
        </w:rPr>
      </w:pPr>
    </w:p>
    <w:p w14:paraId="44F7487C" w14:textId="77777777" w:rsidR="00816623" w:rsidRPr="00CF5640" w:rsidRDefault="00816623" w:rsidP="00816623">
      <w:pPr>
        <w:pStyle w:val="NormalWeb"/>
        <w:spacing w:before="0" w:beforeAutospacing="0" w:after="0" w:afterAutospacing="0" w:line="360" w:lineRule="auto"/>
        <w:rPr>
          <w:rFonts w:ascii="Arial" w:hAnsi="Arial" w:cs="Arial"/>
          <w:color w:val="000000"/>
        </w:rPr>
      </w:pPr>
      <w:r w:rsidRPr="00CF5640">
        <w:rPr>
          <w:rFonts w:ascii="Arial" w:hAnsi="Arial" w:cs="Arial"/>
          <w:color w:val="000000"/>
        </w:rPr>
        <w:t>February 2018, M.J. (n.d.). </w:t>
      </w:r>
      <w:r w:rsidRPr="00CF5640">
        <w:rPr>
          <w:rFonts w:ascii="Arial" w:hAnsi="Arial" w:cs="Arial"/>
          <w:i/>
          <w:iCs/>
          <w:color w:val="000000"/>
        </w:rPr>
        <w:t>Common law duty of care</w:t>
      </w:r>
      <w:r w:rsidRPr="00CF5640">
        <w:rPr>
          <w:rFonts w:ascii="Arial" w:hAnsi="Arial" w:cs="Arial"/>
          <w:color w:val="000000"/>
        </w:rPr>
        <w:t>. [online] Law Gazette. Available at: https://www.lawgazette.co.uk/legal-updates/common-law-duty-of-care/5064900.article.</w:t>
      </w:r>
    </w:p>
    <w:p w14:paraId="49800BC3" w14:textId="77777777" w:rsidR="009048B6" w:rsidRPr="00CF5640" w:rsidRDefault="009048B6" w:rsidP="009048B6">
      <w:pPr>
        <w:pStyle w:val="NormalWeb"/>
        <w:spacing w:before="0" w:beforeAutospacing="0" w:after="0" w:afterAutospacing="0" w:line="360" w:lineRule="auto"/>
        <w:rPr>
          <w:rFonts w:ascii="Arial" w:hAnsi="Arial" w:cs="Arial"/>
          <w:color w:val="000000"/>
        </w:rPr>
      </w:pPr>
    </w:p>
    <w:p w14:paraId="4499F424" w14:textId="0B45F638" w:rsidR="009048B6" w:rsidRPr="00CF5640" w:rsidRDefault="009048B6" w:rsidP="009048B6">
      <w:pPr>
        <w:pStyle w:val="NormalWeb"/>
        <w:spacing w:before="0" w:beforeAutospacing="0" w:after="0" w:afterAutospacing="0" w:line="360" w:lineRule="auto"/>
        <w:rPr>
          <w:rFonts w:ascii="Arial" w:hAnsi="Arial" w:cs="Arial"/>
          <w:color w:val="000000"/>
        </w:rPr>
      </w:pPr>
      <w:proofErr w:type="spellStart"/>
      <w:r w:rsidRPr="00CF5640">
        <w:rPr>
          <w:rFonts w:ascii="Arial" w:hAnsi="Arial" w:cs="Arial"/>
          <w:color w:val="000000"/>
        </w:rPr>
        <w:t>Horty</w:t>
      </w:r>
      <w:proofErr w:type="spellEnd"/>
      <w:r w:rsidRPr="00CF5640">
        <w:rPr>
          <w:rFonts w:ascii="Arial" w:hAnsi="Arial" w:cs="Arial"/>
          <w:color w:val="000000"/>
        </w:rPr>
        <w:t>, J.F. (2011). RULES AND REASONS IN THE THEORY OF PRECEDENT. </w:t>
      </w:r>
      <w:r w:rsidRPr="00CF5640">
        <w:rPr>
          <w:rFonts w:ascii="Arial" w:hAnsi="Arial" w:cs="Arial"/>
          <w:i/>
          <w:iCs/>
          <w:color w:val="000000"/>
        </w:rPr>
        <w:t>Legal Theory</w:t>
      </w:r>
      <w:r w:rsidRPr="00CF5640">
        <w:rPr>
          <w:rFonts w:ascii="Arial" w:hAnsi="Arial" w:cs="Arial"/>
          <w:color w:val="000000"/>
        </w:rPr>
        <w:t xml:space="preserve">, 17(1), pp.1–33. </w:t>
      </w:r>
      <w:proofErr w:type="spellStart"/>
      <w:r w:rsidR="00816623" w:rsidRPr="00CF5640">
        <w:rPr>
          <w:rFonts w:ascii="Arial" w:hAnsi="Arial" w:cs="Arial"/>
          <w:color w:val="000000"/>
        </w:rPr>
        <w:t>doi</w:t>
      </w:r>
      <w:proofErr w:type="spellEnd"/>
      <w:r w:rsidR="00816623" w:rsidRPr="00CF5640">
        <w:rPr>
          <w:rFonts w:ascii="Arial" w:hAnsi="Arial" w:cs="Arial"/>
          <w:color w:val="000000"/>
        </w:rPr>
        <w:t>: https://doi.org/10.1017/s1352325211000036</w:t>
      </w:r>
      <w:r w:rsidRPr="00CF5640">
        <w:rPr>
          <w:rFonts w:ascii="Arial" w:hAnsi="Arial" w:cs="Arial"/>
          <w:color w:val="000000"/>
        </w:rPr>
        <w:t>.</w:t>
      </w:r>
      <w:r w:rsidRPr="00CF5640">
        <w:rPr>
          <w:rFonts w:ascii="Arial" w:hAnsi="Arial" w:cs="Arial"/>
          <w:color w:val="000000"/>
        </w:rPr>
        <w:t xml:space="preserve"> </w:t>
      </w:r>
    </w:p>
    <w:p w14:paraId="36E6F9DE" w14:textId="1D290D72" w:rsidR="009048B6" w:rsidRPr="00CF5640" w:rsidRDefault="009048B6" w:rsidP="009048B6">
      <w:pPr>
        <w:pStyle w:val="NormalWeb"/>
        <w:spacing w:before="0" w:beforeAutospacing="0" w:after="0" w:afterAutospacing="0" w:line="360" w:lineRule="auto"/>
        <w:rPr>
          <w:rFonts w:ascii="Arial" w:hAnsi="Arial" w:cs="Arial"/>
          <w:color w:val="000000"/>
        </w:rPr>
      </w:pPr>
    </w:p>
    <w:p w14:paraId="1D74FC70" w14:textId="1033B570" w:rsidR="009048B6" w:rsidRPr="00CF5640" w:rsidRDefault="009048B6" w:rsidP="009048B6">
      <w:pPr>
        <w:spacing w:line="360" w:lineRule="auto"/>
        <w:jc w:val="both"/>
        <w:rPr>
          <w:rFonts w:ascii="Arial" w:hAnsi="Arial" w:cs="Arial"/>
          <w:color w:val="000000"/>
          <w:sz w:val="24"/>
          <w:szCs w:val="24"/>
        </w:rPr>
      </w:pPr>
      <w:r w:rsidRPr="00CF5640">
        <w:rPr>
          <w:rFonts w:ascii="Arial" w:hAnsi="Arial" w:cs="Arial"/>
          <w:color w:val="000000"/>
          <w:sz w:val="24"/>
          <w:szCs w:val="24"/>
        </w:rPr>
        <w:t>Law Commission (1969). </w:t>
      </w:r>
      <w:r w:rsidRPr="00CF5640">
        <w:rPr>
          <w:rFonts w:ascii="Arial" w:hAnsi="Arial" w:cs="Arial"/>
          <w:i/>
          <w:iCs/>
          <w:color w:val="000000"/>
          <w:sz w:val="24"/>
          <w:szCs w:val="24"/>
        </w:rPr>
        <w:t>The interpretation of statutes</w:t>
      </w:r>
      <w:r w:rsidRPr="00CF5640">
        <w:rPr>
          <w:rFonts w:ascii="Arial" w:hAnsi="Arial" w:cs="Arial"/>
          <w:color w:val="000000"/>
          <w:sz w:val="24"/>
          <w:szCs w:val="24"/>
        </w:rPr>
        <w:t>. [online] GOV.UK. Available at: https://www.gov.uk/government/publications/the-interpretation-of-statutes.</w:t>
      </w:r>
    </w:p>
    <w:p w14:paraId="6D3370C4" w14:textId="77777777" w:rsidR="009048B6" w:rsidRPr="00CF5640" w:rsidRDefault="009048B6" w:rsidP="009048B6">
      <w:pPr>
        <w:pStyle w:val="NormalWeb"/>
        <w:spacing w:before="0" w:beforeAutospacing="0" w:after="0" w:afterAutospacing="0" w:line="360" w:lineRule="auto"/>
        <w:rPr>
          <w:rFonts w:ascii="Arial" w:hAnsi="Arial" w:cs="Arial"/>
          <w:color w:val="000000"/>
        </w:rPr>
      </w:pPr>
    </w:p>
    <w:p w14:paraId="5312EC16" w14:textId="1543E839" w:rsidR="009048B6" w:rsidRDefault="009048B6" w:rsidP="00CF5640">
      <w:pPr>
        <w:pStyle w:val="NormalWeb"/>
        <w:spacing w:before="0" w:beforeAutospacing="0" w:after="0" w:afterAutospacing="0" w:line="360" w:lineRule="auto"/>
        <w:rPr>
          <w:rFonts w:ascii="Arial" w:hAnsi="Arial" w:cs="Arial"/>
          <w:color w:val="000000"/>
        </w:rPr>
      </w:pPr>
      <w:proofErr w:type="spellStart"/>
      <w:proofErr w:type="gramStart"/>
      <w:r w:rsidRPr="00CF5640">
        <w:rPr>
          <w:rFonts w:ascii="Arial" w:hAnsi="Arial" w:cs="Arial"/>
          <w:color w:val="000000"/>
        </w:rPr>
        <w:t>law.gov.wales</w:t>
      </w:r>
      <w:proofErr w:type="spellEnd"/>
      <w:proofErr w:type="gramEnd"/>
      <w:r w:rsidRPr="00CF5640">
        <w:rPr>
          <w:rFonts w:ascii="Arial" w:hAnsi="Arial" w:cs="Arial"/>
          <w:color w:val="000000"/>
        </w:rPr>
        <w:t>. (2021). </w:t>
      </w:r>
      <w:r w:rsidRPr="00CF5640">
        <w:rPr>
          <w:rFonts w:ascii="Arial" w:hAnsi="Arial" w:cs="Arial"/>
          <w:i/>
          <w:iCs/>
          <w:color w:val="000000"/>
        </w:rPr>
        <w:t>The three branches of government | Law Wales</w:t>
      </w:r>
      <w:r w:rsidRPr="00CF5640">
        <w:rPr>
          <w:rFonts w:ascii="Arial" w:hAnsi="Arial" w:cs="Arial"/>
          <w:color w:val="000000"/>
        </w:rPr>
        <w:t xml:space="preserve">. [online] Available at: </w:t>
      </w:r>
      <w:r w:rsidR="00CF5640" w:rsidRPr="00F45ECE">
        <w:rPr>
          <w:rFonts w:ascii="Arial" w:hAnsi="Arial" w:cs="Arial"/>
          <w:color w:val="000000"/>
        </w:rPr>
        <w:t>https://law.gov.wales/three-branches-government</w:t>
      </w:r>
      <w:r w:rsidRPr="00CF5640">
        <w:rPr>
          <w:rFonts w:ascii="Arial" w:hAnsi="Arial" w:cs="Arial"/>
          <w:color w:val="000000"/>
        </w:rPr>
        <w:t>.</w:t>
      </w:r>
    </w:p>
    <w:p w14:paraId="7BEA75A3" w14:textId="77777777" w:rsidR="00CF5640" w:rsidRPr="00CF5640" w:rsidRDefault="00CF5640" w:rsidP="00CF5640">
      <w:pPr>
        <w:pStyle w:val="NormalWeb"/>
        <w:spacing w:before="0" w:beforeAutospacing="0" w:after="0" w:afterAutospacing="0" w:line="360" w:lineRule="auto"/>
        <w:rPr>
          <w:rFonts w:ascii="Arial" w:hAnsi="Arial" w:cs="Arial"/>
          <w:color w:val="000000"/>
        </w:rPr>
      </w:pPr>
    </w:p>
    <w:p w14:paraId="67971DEB" w14:textId="46D71067" w:rsidR="008B1E72" w:rsidRPr="00CF5640" w:rsidRDefault="008B1E72" w:rsidP="009048B6">
      <w:pPr>
        <w:spacing w:line="360" w:lineRule="auto"/>
        <w:jc w:val="both"/>
        <w:rPr>
          <w:rFonts w:ascii="Arial" w:hAnsi="Arial" w:cs="Arial"/>
          <w:color w:val="555555"/>
          <w:sz w:val="24"/>
          <w:szCs w:val="24"/>
          <w:shd w:val="clear" w:color="auto" w:fill="FFFFFF"/>
        </w:rPr>
      </w:pPr>
      <w:proofErr w:type="spellStart"/>
      <w:r w:rsidRPr="00CF5640">
        <w:rPr>
          <w:rFonts w:ascii="Arial" w:hAnsi="Arial" w:cs="Arial"/>
          <w:color w:val="555555"/>
          <w:sz w:val="24"/>
          <w:szCs w:val="24"/>
          <w:shd w:val="clear" w:color="auto" w:fill="FFFFFF"/>
        </w:rPr>
        <w:t>M</w:t>
      </w:r>
      <w:r w:rsidR="00CF5640">
        <w:rPr>
          <w:rFonts w:ascii="Arial" w:hAnsi="Arial" w:cs="Arial"/>
          <w:color w:val="555555"/>
          <w:sz w:val="24"/>
          <w:szCs w:val="24"/>
          <w:shd w:val="clear" w:color="auto" w:fill="FFFFFF"/>
        </w:rPr>
        <w:t>eyler</w:t>
      </w:r>
      <w:proofErr w:type="spellEnd"/>
      <w:r w:rsidRPr="00CF5640">
        <w:rPr>
          <w:rFonts w:ascii="Arial" w:hAnsi="Arial" w:cs="Arial"/>
          <w:color w:val="555555"/>
          <w:sz w:val="24"/>
          <w:szCs w:val="24"/>
          <w:shd w:val="clear" w:color="auto" w:fill="FFFFFF"/>
        </w:rPr>
        <w:t>, B., 2006. T</w:t>
      </w:r>
      <w:r w:rsidR="00CF5640">
        <w:rPr>
          <w:rFonts w:ascii="Arial" w:hAnsi="Arial" w:cs="Arial"/>
          <w:color w:val="555555"/>
          <w:sz w:val="24"/>
          <w:szCs w:val="24"/>
          <w:shd w:val="clear" w:color="auto" w:fill="FFFFFF"/>
        </w:rPr>
        <w:t>owards</w:t>
      </w:r>
      <w:r w:rsidRPr="00CF5640">
        <w:rPr>
          <w:rFonts w:ascii="Arial" w:hAnsi="Arial" w:cs="Arial"/>
          <w:color w:val="555555"/>
          <w:sz w:val="24"/>
          <w:szCs w:val="24"/>
          <w:shd w:val="clear" w:color="auto" w:fill="FFFFFF"/>
        </w:rPr>
        <w:t xml:space="preserve"> </w:t>
      </w:r>
      <w:r w:rsidR="00CF5640">
        <w:rPr>
          <w:rFonts w:ascii="Arial" w:hAnsi="Arial" w:cs="Arial"/>
          <w:color w:val="555555"/>
          <w:sz w:val="24"/>
          <w:szCs w:val="24"/>
          <w:shd w:val="clear" w:color="auto" w:fill="FFFFFF"/>
        </w:rPr>
        <w:t>a</w:t>
      </w:r>
      <w:r w:rsidRPr="00CF5640">
        <w:rPr>
          <w:rFonts w:ascii="Arial" w:hAnsi="Arial" w:cs="Arial"/>
          <w:color w:val="555555"/>
          <w:sz w:val="24"/>
          <w:szCs w:val="24"/>
          <w:shd w:val="clear" w:color="auto" w:fill="FFFFFF"/>
        </w:rPr>
        <w:t xml:space="preserve"> </w:t>
      </w:r>
      <w:r w:rsidR="00CF5640">
        <w:rPr>
          <w:rFonts w:ascii="Arial" w:hAnsi="Arial" w:cs="Arial"/>
          <w:color w:val="555555"/>
          <w:sz w:val="24"/>
          <w:szCs w:val="24"/>
          <w:shd w:val="clear" w:color="auto" w:fill="FFFFFF"/>
        </w:rPr>
        <w:t>common</w:t>
      </w:r>
      <w:r w:rsidRPr="00CF5640">
        <w:rPr>
          <w:rFonts w:ascii="Arial" w:hAnsi="Arial" w:cs="Arial"/>
          <w:color w:val="555555"/>
          <w:sz w:val="24"/>
          <w:szCs w:val="24"/>
          <w:shd w:val="clear" w:color="auto" w:fill="FFFFFF"/>
        </w:rPr>
        <w:t xml:space="preserve"> </w:t>
      </w:r>
      <w:r w:rsidR="00CF5640">
        <w:rPr>
          <w:rFonts w:ascii="Arial" w:hAnsi="Arial" w:cs="Arial"/>
          <w:color w:val="555555"/>
          <w:sz w:val="24"/>
          <w:szCs w:val="24"/>
          <w:shd w:val="clear" w:color="auto" w:fill="FFFFFF"/>
        </w:rPr>
        <w:t>law</w:t>
      </w:r>
      <w:r w:rsidRPr="00CF5640">
        <w:rPr>
          <w:rFonts w:ascii="Arial" w:hAnsi="Arial" w:cs="Arial"/>
          <w:color w:val="555555"/>
          <w:sz w:val="24"/>
          <w:szCs w:val="24"/>
          <w:shd w:val="clear" w:color="auto" w:fill="FFFFFF"/>
        </w:rPr>
        <w:t xml:space="preserve"> </w:t>
      </w:r>
      <w:r w:rsidR="00CF5640">
        <w:rPr>
          <w:rFonts w:ascii="Arial" w:hAnsi="Arial" w:cs="Arial"/>
          <w:color w:val="555555"/>
          <w:sz w:val="24"/>
          <w:szCs w:val="24"/>
          <w:shd w:val="clear" w:color="auto" w:fill="FFFFFF"/>
        </w:rPr>
        <w:t>originalism</w:t>
      </w:r>
      <w:r w:rsidRPr="00CF5640">
        <w:rPr>
          <w:rFonts w:ascii="Arial" w:hAnsi="Arial" w:cs="Arial"/>
          <w:color w:val="555555"/>
          <w:sz w:val="24"/>
          <w:szCs w:val="24"/>
          <w:shd w:val="clear" w:color="auto" w:fill="FFFFFF"/>
        </w:rPr>
        <w:t>. </w:t>
      </w:r>
      <w:r w:rsidRPr="00CF5640">
        <w:rPr>
          <w:rFonts w:ascii="Arial" w:hAnsi="Arial" w:cs="Arial"/>
          <w:i/>
          <w:iCs/>
          <w:color w:val="555555"/>
          <w:sz w:val="24"/>
          <w:szCs w:val="24"/>
          <w:shd w:val="clear" w:color="auto" w:fill="FFFFFF"/>
        </w:rPr>
        <w:t>Stanford law review, </w:t>
      </w:r>
      <w:r w:rsidRPr="00CF5640">
        <w:rPr>
          <w:rFonts w:ascii="Arial" w:hAnsi="Arial" w:cs="Arial"/>
          <w:b/>
          <w:bCs/>
          <w:color w:val="555555"/>
          <w:sz w:val="24"/>
          <w:szCs w:val="24"/>
          <w:shd w:val="clear" w:color="auto" w:fill="FFFFFF"/>
        </w:rPr>
        <w:t>59</w:t>
      </w:r>
      <w:r w:rsidRPr="00CF5640">
        <w:rPr>
          <w:rFonts w:ascii="Arial" w:hAnsi="Arial" w:cs="Arial"/>
          <w:color w:val="555555"/>
          <w:sz w:val="24"/>
          <w:szCs w:val="24"/>
          <w:shd w:val="clear" w:color="auto" w:fill="FFFFFF"/>
        </w:rPr>
        <w:t>(3), pp. 551-600.</w:t>
      </w:r>
    </w:p>
    <w:p w14:paraId="7A1D9A47" w14:textId="7A82E18A" w:rsidR="009048B6" w:rsidRPr="00CF5640" w:rsidRDefault="009048B6" w:rsidP="009048B6">
      <w:pPr>
        <w:spacing w:line="360" w:lineRule="auto"/>
        <w:jc w:val="both"/>
        <w:rPr>
          <w:rFonts w:ascii="Arial" w:hAnsi="Arial" w:cs="Arial"/>
          <w:color w:val="555555"/>
          <w:sz w:val="24"/>
          <w:szCs w:val="24"/>
          <w:shd w:val="clear" w:color="auto" w:fill="FFFFFF"/>
        </w:rPr>
      </w:pPr>
      <w:r w:rsidRPr="00CF5640">
        <w:rPr>
          <w:rFonts w:ascii="Arial" w:hAnsi="Arial" w:cs="Arial"/>
          <w:color w:val="000000"/>
          <w:sz w:val="24"/>
          <w:szCs w:val="24"/>
        </w:rPr>
        <w:t>Mind (2017). </w:t>
      </w:r>
      <w:r w:rsidRPr="00CF5640">
        <w:rPr>
          <w:rFonts w:ascii="Arial" w:hAnsi="Arial" w:cs="Arial"/>
          <w:i/>
          <w:iCs/>
          <w:color w:val="000000"/>
          <w:sz w:val="24"/>
          <w:szCs w:val="24"/>
        </w:rPr>
        <w:t>Safeguarding in social care | Mind, the mental health charity - help for mental health problems</w:t>
      </w:r>
      <w:r w:rsidRPr="00CF5640">
        <w:rPr>
          <w:rFonts w:ascii="Arial" w:hAnsi="Arial" w:cs="Arial"/>
          <w:color w:val="000000"/>
          <w:sz w:val="24"/>
          <w:szCs w:val="24"/>
        </w:rPr>
        <w:t>. [online] Mind.org.uk. Available at: https://www.mind.org.uk/information-support/legal-rights/health-and-social-care-rights/safeguarding-in-social-care/.</w:t>
      </w:r>
    </w:p>
    <w:p w14:paraId="5E02BB2B" w14:textId="2C050EE9" w:rsidR="009048B6" w:rsidRPr="00CF5640" w:rsidRDefault="009048B6" w:rsidP="009048B6">
      <w:pPr>
        <w:pStyle w:val="NormalWeb"/>
        <w:spacing w:before="0" w:beforeAutospacing="0" w:after="0" w:afterAutospacing="0" w:line="360" w:lineRule="auto"/>
        <w:rPr>
          <w:rFonts w:ascii="Arial" w:hAnsi="Arial" w:cs="Arial"/>
          <w:color w:val="000000"/>
        </w:rPr>
      </w:pPr>
      <w:r w:rsidRPr="00CF5640">
        <w:rPr>
          <w:rFonts w:ascii="Arial" w:hAnsi="Arial" w:cs="Arial"/>
          <w:color w:val="000000"/>
        </w:rPr>
        <w:t>Milsom, C. (2014). </w:t>
      </w:r>
      <w:r w:rsidRPr="00CF5640">
        <w:rPr>
          <w:rFonts w:ascii="Arial" w:hAnsi="Arial" w:cs="Arial"/>
          <w:i/>
          <w:iCs/>
          <w:color w:val="000000"/>
        </w:rPr>
        <w:t>Historical Foundations of the Common Law</w:t>
      </w:r>
      <w:r w:rsidRPr="00CF5640">
        <w:rPr>
          <w:rFonts w:ascii="Arial" w:hAnsi="Arial" w:cs="Arial"/>
          <w:color w:val="000000"/>
        </w:rPr>
        <w:t>. Butterworth-Heinemann.</w:t>
      </w:r>
    </w:p>
    <w:p w14:paraId="5919B94A" w14:textId="77777777" w:rsidR="009048B6" w:rsidRPr="00CF5640" w:rsidRDefault="009048B6" w:rsidP="009048B6">
      <w:pPr>
        <w:pStyle w:val="NormalWeb"/>
        <w:spacing w:before="0" w:beforeAutospacing="0" w:after="0" w:afterAutospacing="0" w:line="360" w:lineRule="auto"/>
        <w:rPr>
          <w:rFonts w:ascii="Arial" w:hAnsi="Arial" w:cs="Arial"/>
          <w:color w:val="000000"/>
        </w:rPr>
      </w:pPr>
    </w:p>
    <w:p w14:paraId="413A58B5" w14:textId="2990730B" w:rsidR="000C301E" w:rsidRPr="00CF5640" w:rsidRDefault="000C301E" w:rsidP="009048B6">
      <w:pPr>
        <w:pStyle w:val="NormalWeb"/>
        <w:spacing w:before="0" w:beforeAutospacing="0" w:after="0" w:afterAutospacing="0" w:line="360" w:lineRule="auto"/>
        <w:rPr>
          <w:rFonts w:ascii="Arial" w:hAnsi="Arial" w:cs="Arial"/>
          <w:color w:val="000000"/>
        </w:rPr>
      </w:pPr>
      <w:proofErr w:type="spellStart"/>
      <w:r w:rsidRPr="00CF5640">
        <w:rPr>
          <w:rFonts w:ascii="Arial" w:hAnsi="Arial" w:cs="Arial"/>
          <w:color w:val="000000"/>
        </w:rPr>
        <w:t>Postema</w:t>
      </w:r>
      <w:proofErr w:type="spellEnd"/>
      <w:r w:rsidRPr="00CF5640">
        <w:rPr>
          <w:rFonts w:ascii="Arial" w:hAnsi="Arial" w:cs="Arial"/>
          <w:color w:val="000000"/>
        </w:rPr>
        <w:t>, G.J. (2019). </w:t>
      </w:r>
      <w:r w:rsidRPr="00CF5640">
        <w:rPr>
          <w:rFonts w:ascii="Arial" w:hAnsi="Arial" w:cs="Arial"/>
          <w:i/>
          <w:iCs/>
          <w:color w:val="000000"/>
        </w:rPr>
        <w:t>Bentham and the common law tradition</w:t>
      </w:r>
      <w:r w:rsidRPr="00CF5640">
        <w:rPr>
          <w:rFonts w:ascii="Arial" w:hAnsi="Arial" w:cs="Arial"/>
          <w:color w:val="000000"/>
        </w:rPr>
        <w:t>. Oxford, United Kingdom: Oxford University Press.</w:t>
      </w:r>
    </w:p>
    <w:p w14:paraId="259A38D3" w14:textId="77777777" w:rsidR="00CF5640" w:rsidRPr="00CF5640" w:rsidRDefault="00CF5640" w:rsidP="009048B6">
      <w:pPr>
        <w:pStyle w:val="NormalWeb"/>
        <w:spacing w:before="0" w:beforeAutospacing="0" w:after="0" w:afterAutospacing="0" w:line="360" w:lineRule="auto"/>
        <w:rPr>
          <w:rFonts w:ascii="Arial" w:hAnsi="Arial" w:cs="Arial"/>
          <w:color w:val="000000"/>
        </w:rPr>
      </w:pPr>
    </w:p>
    <w:p w14:paraId="126B7409" w14:textId="77777777" w:rsidR="00CF5640" w:rsidRPr="00CF5640" w:rsidRDefault="00CF5640" w:rsidP="00CF5640">
      <w:pPr>
        <w:pStyle w:val="NormalWeb"/>
        <w:spacing w:before="0" w:beforeAutospacing="0" w:after="0" w:afterAutospacing="0" w:line="360" w:lineRule="atLeast"/>
        <w:rPr>
          <w:rFonts w:ascii="Arial" w:hAnsi="Arial" w:cs="Arial"/>
          <w:color w:val="000000"/>
        </w:rPr>
      </w:pPr>
      <w:r w:rsidRPr="00CF5640">
        <w:rPr>
          <w:rFonts w:ascii="Arial" w:hAnsi="Arial" w:cs="Arial"/>
          <w:color w:val="000000"/>
        </w:rPr>
        <w:t>Publisher, A. removed at request of original (2015). </w:t>
      </w:r>
      <w:r w:rsidRPr="00CF5640">
        <w:rPr>
          <w:rFonts w:ascii="Arial" w:hAnsi="Arial" w:cs="Arial"/>
          <w:i/>
          <w:iCs/>
          <w:color w:val="000000"/>
        </w:rPr>
        <w:t>1.3 The Difference between Civil and Criminal Law</w:t>
      </w:r>
      <w:r w:rsidRPr="00CF5640">
        <w:rPr>
          <w:rFonts w:ascii="Arial" w:hAnsi="Arial" w:cs="Arial"/>
          <w:color w:val="000000"/>
        </w:rPr>
        <w:t>. [online] open.lib.umn.edu. Available at: https://open.lib.umn.edu/criminallaw/chapter/1-3-the-difference-between-civil-and-criminal-law/.</w:t>
      </w:r>
    </w:p>
    <w:p w14:paraId="6E33F945" w14:textId="77777777" w:rsidR="00E654EA" w:rsidRPr="00CF5640" w:rsidRDefault="00E654EA" w:rsidP="009048B6">
      <w:pPr>
        <w:pStyle w:val="NormalWeb"/>
        <w:spacing w:before="0" w:beforeAutospacing="0" w:after="0" w:afterAutospacing="0" w:line="360" w:lineRule="auto"/>
        <w:rPr>
          <w:rFonts w:ascii="Arial" w:hAnsi="Arial" w:cs="Arial"/>
          <w:color w:val="000000"/>
        </w:rPr>
      </w:pPr>
    </w:p>
    <w:p w14:paraId="3E1ED40F" w14:textId="7C1966AB" w:rsidR="00E654EA" w:rsidRPr="00CF5640" w:rsidRDefault="000C301E" w:rsidP="009048B6">
      <w:pPr>
        <w:pStyle w:val="NormalWeb"/>
        <w:spacing w:before="0" w:beforeAutospacing="0" w:after="0" w:afterAutospacing="0" w:line="360" w:lineRule="auto"/>
        <w:rPr>
          <w:rFonts w:ascii="Arial" w:hAnsi="Arial" w:cs="Arial"/>
          <w:color w:val="000000"/>
        </w:rPr>
      </w:pPr>
      <w:r w:rsidRPr="00CF5640">
        <w:rPr>
          <w:rFonts w:ascii="Arial" w:hAnsi="Arial" w:cs="Arial"/>
          <w:color w:val="000000"/>
        </w:rPr>
        <w:t>‌</w:t>
      </w:r>
      <w:r w:rsidR="00E654EA" w:rsidRPr="00CF5640">
        <w:rPr>
          <w:rFonts w:ascii="Arial" w:hAnsi="Arial" w:cs="Arial"/>
          <w:color w:val="000000"/>
        </w:rPr>
        <w:t xml:space="preserve"> </w:t>
      </w:r>
      <w:r w:rsidR="00E654EA" w:rsidRPr="00CF5640">
        <w:rPr>
          <w:rFonts w:ascii="Arial" w:hAnsi="Arial" w:cs="Arial"/>
          <w:color w:val="000000"/>
        </w:rPr>
        <w:t>www.lexisnexis.co.uk. (n.d.). </w:t>
      </w:r>
      <w:r w:rsidR="00E654EA" w:rsidRPr="00CF5640">
        <w:rPr>
          <w:rFonts w:ascii="Arial" w:hAnsi="Arial" w:cs="Arial"/>
          <w:i/>
          <w:iCs/>
          <w:color w:val="000000"/>
        </w:rPr>
        <w:t>Separation of powers—legislative, executive and judiciary | Legal Guidance | LexisNexis</w:t>
      </w:r>
      <w:r w:rsidR="00E654EA" w:rsidRPr="00CF5640">
        <w:rPr>
          <w:rFonts w:ascii="Arial" w:hAnsi="Arial" w:cs="Arial"/>
          <w:color w:val="000000"/>
        </w:rPr>
        <w:t xml:space="preserve">. [online] Available at: </w:t>
      </w:r>
      <w:r w:rsidR="0034108C" w:rsidRPr="00CF5640">
        <w:rPr>
          <w:rFonts w:ascii="Arial" w:hAnsi="Arial" w:cs="Arial"/>
          <w:color w:val="000000"/>
        </w:rPr>
        <w:t>https://www.lexisnexis.co.uk/legal/guidance/separation-of-powers-legislative-executive-judiciary</w:t>
      </w:r>
      <w:r w:rsidR="00E654EA" w:rsidRPr="00CF5640">
        <w:rPr>
          <w:rFonts w:ascii="Arial" w:hAnsi="Arial" w:cs="Arial"/>
          <w:color w:val="000000"/>
        </w:rPr>
        <w:t>.</w:t>
      </w:r>
    </w:p>
    <w:p w14:paraId="30CC3772" w14:textId="77777777" w:rsidR="0034108C" w:rsidRPr="00CF5640" w:rsidRDefault="0034108C" w:rsidP="009048B6">
      <w:pPr>
        <w:pStyle w:val="NormalWeb"/>
        <w:spacing w:before="0" w:beforeAutospacing="0" w:after="0" w:afterAutospacing="0" w:line="360" w:lineRule="auto"/>
        <w:rPr>
          <w:rFonts w:ascii="Arial" w:hAnsi="Arial" w:cs="Arial"/>
          <w:color w:val="000000"/>
        </w:rPr>
      </w:pPr>
    </w:p>
    <w:p w14:paraId="4646AF69" w14:textId="7E49E03C" w:rsidR="00E654EA" w:rsidRPr="00CF5640" w:rsidRDefault="00E654EA" w:rsidP="009048B6">
      <w:pPr>
        <w:pStyle w:val="NormalWeb"/>
        <w:spacing w:before="0" w:beforeAutospacing="0" w:after="0" w:afterAutospacing="0" w:line="360" w:lineRule="auto"/>
        <w:rPr>
          <w:rFonts w:ascii="Arial" w:hAnsi="Arial" w:cs="Arial"/>
          <w:color w:val="000000"/>
        </w:rPr>
      </w:pPr>
      <w:r w:rsidRPr="00CF5640">
        <w:rPr>
          <w:rFonts w:ascii="Arial" w:hAnsi="Arial" w:cs="Arial"/>
          <w:color w:val="000000"/>
        </w:rPr>
        <w:t>‌</w:t>
      </w:r>
      <w:r w:rsidRPr="00CF5640">
        <w:rPr>
          <w:rFonts w:ascii="Arial" w:hAnsi="Arial" w:cs="Arial"/>
          <w:color w:val="000000"/>
        </w:rPr>
        <w:t xml:space="preserve"> </w:t>
      </w:r>
    </w:p>
    <w:p w14:paraId="7639CD22" w14:textId="77777777" w:rsidR="0034108C" w:rsidRPr="00CF5640" w:rsidRDefault="0034108C" w:rsidP="009048B6">
      <w:pPr>
        <w:pStyle w:val="NormalWeb"/>
        <w:spacing w:before="0" w:beforeAutospacing="0" w:after="0" w:afterAutospacing="0" w:line="360" w:lineRule="auto"/>
        <w:rPr>
          <w:rFonts w:ascii="Arial" w:hAnsi="Arial" w:cs="Arial"/>
          <w:color w:val="000000"/>
        </w:rPr>
      </w:pPr>
    </w:p>
    <w:p w14:paraId="20D6C2D6" w14:textId="10C5E9CF" w:rsidR="0034108C" w:rsidRPr="00CF5640" w:rsidRDefault="00E654EA" w:rsidP="009048B6">
      <w:pPr>
        <w:pStyle w:val="NormalWeb"/>
        <w:spacing w:before="0" w:beforeAutospacing="0" w:after="0" w:afterAutospacing="0" w:line="360" w:lineRule="auto"/>
        <w:rPr>
          <w:rFonts w:ascii="Arial" w:hAnsi="Arial" w:cs="Arial"/>
          <w:color w:val="000000"/>
        </w:rPr>
      </w:pPr>
      <w:r w:rsidRPr="00CF5640">
        <w:rPr>
          <w:rFonts w:ascii="Arial" w:hAnsi="Arial" w:cs="Arial"/>
          <w:color w:val="000000"/>
        </w:rPr>
        <w:t>‌</w:t>
      </w:r>
      <w:r w:rsidR="0034108C" w:rsidRPr="00CF5640">
        <w:rPr>
          <w:rFonts w:ascii="Arial" w:hAnsi="Arial" w:cs="Arial"/>
          <w:color w:val="000000"/>
        </w:rPr>
        <w:t xml:space="preserve"> </w:t>
      </w:r>
    </w:p>
    <w:p w14:paraId="3FB624AD" w14:textId="77777777" w:rsidR="008B1E72" w:rsidRPr="00CF5640" w:rsidRDefault="008B1E72" w:rsidP="00D76882">
      <w:pPr>
        <w:spacing w:line="360" w:lineRule="auto"/>
        <w:jc w:val="both"/>
        <w:rPr>
          <w:rFonts w:ascii="Arial" w:hAnsi="Arial" w:cs="Arial"/>
          <w:sz w:val="24"/>
          <w:szCs w:val="24"/>
        </w:rPr>
      </w:pPr>
    </w:p>
    <w:sectPr w:rsidR="008B1E72" w:rsidRPr="00CF5640">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ADB60" w14:textId="77777777" w:rsidR="006E0795" w:rsidRDefault="006E0795" w:rsidP="00F45ECE">
      <w:pPr>
        <w:spacing w:after="0" w:line="240" w:lineRule="auto"/>
      </w:pPr>
      <w:r>
        <w:separator/>
      </w:r>
    </w:p>
  </w:endnote>
  <w:endnote w:type="continuationSeparator" w:id="0">
    <w:p w14:paraId="0D0FC139" w14:textId="77777777" w:rsidR="006E0795" w:rsidRDefault="006E0795" w:rsidP="00F45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546003"/>
      <w:docPartObj>
        <w:docPartGallery w:val="Page Numbers (Bottom of Page)"/>
        <w:docPartUnique/>
      </w:docPartObj>
    </w:sdtPr>
    <w:sdtEndPr>
      <w:rPr>
        <w:noProof/>
      </w:rPr>
    </w:sdtEndPr>
    <w:sdtContent>
      <w:p w14:paraId="52D3BC86" w14:textId="783F08EF" w:rsidR="00F45ECE" w:rsidRDefault="00F45E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D0536D" w14:textId="77777777" w:rsidR="00F45ECE" w:rsidRDefault="00F45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4BBFD" w14:textId="77777777" w:rsidR="006E0795" w:rsidRDefault="006E0795" w:rsidP="00F45ECE">
      <w:pPr>
        <w:spacing w:after="0" w:line="240" w:lineRule="auto"/>
      </w:pPr>
      <w:r>
        <w:separator/>
      </w:r>
    </w:p>
  </w:footnote>
  <w:footnote w:type="continuationSeparator" w:id="0">
    <w:p w14:paraId="72E2A8FE" w14:textId="77777777" w:rsidR="006E0795" w:rsidRDefault="006E0795" w:rsidP="00F45E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D88"/>
    <w:rsid w:val="000C301E"/>
    <w:rsid w:val="001834BC"/>
    <w:rsid w:val="002D20AA"/>
    <w:rsid w:val="0034108C"/>
    <w:rsid w:val="00390876"/>
    <w:rsid w:val="00467377"/>
    <w:rsid w:val="00517159"/>
    <w:rsid w:val="0060090D"/>
    <w:rsid w:val="006E0795"/>
    <w:rsid w:val="007265C7"/>
    <w:rsid w:val="00756515"/>
    <w:rsid w:val="00816623"/>
    <w:rsid w:val="008B1E72"/>
    <w:rsid w:val="009048B6"/>
    <w:rsid w:val="00996F87"/>
    <w:rsid w:val="00C0334F"/>
    <w:rsid w:val="00CF5640"/>
    <w:rsid w:val="00D76882"/>
    <w:rsid w:val="00E654EA"/>
    <w:rsid w:val="00F10D88"/>
    <w:rsid w:val="00F45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7B8F4"/>
  <w15:chartTrackingRefBased/>
  <w15:docId w15:val="{92E6A7FA-A3C5-4D80-9C0B-1021E171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96F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F87"/>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0C30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4108C"/>
    <w:rPr>
      <w:color w:val="0563C1" w:themeColor="hyperlink"/>
      <w:u w:val="single"/>
    </w:rPr>
  </w:style>
  <w:style w:type="character" w:styleId="UnresolvedMention">
    <w:name w:val="Unresolved Mention"/>
    <w:basedOn w:val="DefaultParagraphFont"/>
    <w:uiPriority w:val="99"/>
    <w:semiHidden/>
    <w:unhideWhenUsed/>
    <w:rsid w:val="0034108C"/>
    <w:rPr>
      <w:color w:val="605E5C"/>
      <w:shd w:val="clear" w:color="auto" w:fill="E1DFDD"/>
    </w:rPr>
  </w:style>
  <w:style w:type="paragraph" w:styleId="Header">
    <w:name w:val="header"/>
    <w:basedOn w:val="Normal"/>
    <w:link w:val="HeaderChar"/>
    <w:uiPriority w:val="99"/>
    <w:unhideWhenUsed/>
    <w:rsid w:val="00F45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ECE"/>
  </w:style>
  <w:style w:type="paragraph" w:styleId="Footer">
    <w:name w:val="footer"/>
    <w:basedOn w:val="Normal"/>
    <w:link w:val="FooterChar"/>
    <w:uiPriority w:val="99"/>
    <w:unhideWhenUsed/>
    <w:rsid w:val="00F45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E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92220">
      <w:bodyDiv w:val="1"/>
      <w:marLeft w:val="0"/>
      <w:marRight w:val="0"/>
      <w:marTop w:val="0"/>
      <w:marBottom w:val="0"/>
      <w:divBdr>
        <w:top w:val="none" w:sz="0" w:space="0" w:color="auto"/>
        <w:left w:val="none" w:sz="0" w:space="0" w:color="auto"/>
        <w:bottom w:val="none" w:sz="0" w:space="0" w:color="auto"/>
        <w:right w:val="none" w:sz="0" w:space="0" w:color="auto"/>
      </w:divBdr>
    </w:div>
    <w:div w:id="237059070">
      <w:bodyDiv w:val="1"/>
      <w:marLeft w:val="0"/>
      <w:marRight w:val="0"/>
      <w:marTop w:val="0"/>
      <w:marBottom w:val="0"/>
      <w:divBdr>
        <w:top w:val="none" w:sz="0" w:space="0" w:color="auto"/>
        <w:left w:val="none" w:sz="0" w:space="0" w:color="auto"/>
        <w:bottom w:val="none" w:sz="0" w:space="0" w:color="auto"/>
        <w:right w:val="none" w:sz="0" w:space="0" w:color="auto"/>
      </w:divBdr>
    </w:div>
    <w:div w:id="256057195">
      <w:bodyDiv w:val="1"/>
      <w:marLeft w:val="0"/>
      <w:marRight w:val="0"/>
      <w:marTop w:val="0"/>
      <w:marBottom w:val="0"/>
      <w:divBdr>
        <w:top w:val="none" w:sz="0" w:space="0" w:color="auto"/>
        <w:left w:val="none" w:sz="0" w:space="0" w:color="auto"/>
        <w:bottom w:val="none" w:sz="0" w:space="0" w:color="auto"/>
        <w:right w:val="none" w:sz="0" w:space="0" w:color="auto"/>
      </w:divBdr>
    </w:div>
    <w:div w:id="458690891">
      <w:bodyDiv w:val="1"/>
      <w:marLeft w:val="0"/>
      <w:marRight w:val="0"/>
      <w:marTop w:val="0"/>
      <w:marBottom w:val="0"/>
      <w:divBdr>
        <w:top w:val="none" w:sz="0" w:space="0" w:color="auto"/>
        <w:left w:val="none" w:sz="0" w:space="0" w:color="auto"/>
        <w:bottom w:val="none" w:sz="0" w:space="0" w:color="auto"/>
        <w:right w:val="none" w:sz="0" w:space="0" w:color="auto"/>
      </w:divBdr>
    </w:div>
    <w:div w:id="670064513">
      <w:bodyDiv w:val="1"/>
      <w:marLeft w:val="0"/>
      <w:marRight w:val="0"/>
      <w:marTop w:val="0"/>
      <w:marBottom w:val="0"/>
      <w:divBdr>
        <w:top w:val="none" w:sz="0" w:space="0" w:color="auto"/>
        <w:left w:val="none" w:sz="0" w:space="0" w:color="auto"/>
        <w:bottom w:val="none" w:sz="0" w:space="0" w:color="auto"/>
        <w:right w:val="none" w:sz="0" w:space="0" w:color="auto"/>
      </w:divBdr>
    </w:div>
    <w:div w:id="742489260">
      <w:bodyDiv w:val="1"/>
      <w:marLeft w:val="0"/>
      <w:marRight w:val="0"/>
      <w:marTop w:val="0"/>
      <w:marBottom w:val="0"/>
      <w:divBdr>
        <w:top w:val="none" w:sz="0" w:space="0" w:color="auto"/>
        <w:left w:val="none" w:sz="0" w:space="0" w:color="auto"/>
        <w:bottom w:val="none" w:sz="0" w:space="0" w:color="auto"/>
        <w:right w:val="none" w:sz="0" w:space="0" w:color="auto"/>
      </w:divBdr>
    </w:div>
    <w:div w:id="926421496">
      <w:bodyDiv w:val="1"/>
      <w:marLeft w:val="0"/>
      <w:marRight w:val="0"/>
      <w:marTop w:val="0"/>
      <w:marBottom w:val="0"/>
      <w:divBdr>
        <w:top w:val="none" w:sz="0" w:space="0" w:color="auto"/>
        <w:left w:val="none" w:sz="0" w:space="0" w:color="auto"/>
        <w:bottom w:val="none" w:sz="0" w:space="0" w:color="auto"/>
        <w:right w:val="none" w:sz="0" w:space="0" w:color="auto"/>
      </w:divBdr>
    </w:div>
    <w:div w:id="1102646757">
      <w:bodyDiv w:val="1"/>
      <w:marLeft w:val="0"/>
      <w:marRight w:val="0"/>
      <w:marTop w:val="0"/>
      <w:marBottom w:val="0"/>
      <w:divBdr>
        <w:top w:val="none" w:sz="0" w:space="0" w:color="auto"/>
        <w:left w:val="none" w:sz="0" w:space="0" w:color="auto"/>
        <w:bottom w:val="none" w:sz="0" w:space="0" w:color="auto"/>
        <w:right w:val="none" w:sz="0" w:space="0" w:color="auto"/>
      </w:divBdr>
    </w:div>
    <w:div w:id="1131828422">
      <w:bodyDiv w:val="1"/>
      <w:marLeft w:val="0"/>
      <w:marRight w:val="0"/>
      <w:marTop w:val="0"/>
      <w:marBottom w:val="0"/>
      <w:divBdr>
        <w:top w:val="none" w:sz="0" w:space="0" w:color="auto"/>
        <w:left w:val="none" w:sz="0" w:space="0" w:color="auto"/>
        <w:bottom w:val="none" w:sz="0" w:space="0" w:color="auto"/>
        <w:right w:val="none" w:sz="0" w:space="0" w:color="auto"/>
      </w:divBdr>
    </w:div>
    <w:div w:id="1364674299">
      <w:bodyDiv w:val="1"/>
      <w:marLeft w:val="0"/>
      <w:marRight w:val="0"/>
      <w:marTop w:val="0"/>
      <w:marBottom w:val="0"/>
      <w:divBdr>
        <w:top w:val="none" w:sz="0" w:space="0" w:color="auto"/>
        <w:left w:val="none" w:sz="0" w:space="0" w:color="auto"/>
        <w:bottom w:val="none" w:sz="0" w:space="0" w:color="auto"/>
        <w:right w:val="none" w:sz="0" w:space="0" w:color="auto"/>
      </w:divBdr>
    </w:div>
    <w:div w:id="1488476656">
      <w:bodyDiv w:val="1"/>
      <w:marLeft w:val="0"/>
      <w:marRight w:val="0"/>
      <w:marTop w:val="0"/>
      <w:marBottom w:val="0"/>
      <w:divBdr>
        <w:top w:val="none" w:sz="0" w:space="0" w:color="auto"/>
        <w:left w:val="none" w:sz="0" w:space="0" w:color="auto"/>
        <w:bottom w:val="none" w:sz="0" w:space="0" w:color="auto"/>
        <w:right w:val="none" w:sz="0" w:space="0" w:color="auto"/>
      </w:divBdr>
    </w:div>
    <w:div w:id="1825313146">
      <w:bodyDiv w:val="1"/>
      <w:marLeft w:val="0"/>
      <w:marRight w:val="0"/>
      <w:marTop w:val="0"/>
      <w:marBottom w:val="0"/>
      <w:divBdr>
        <w:top w:val="none" w:sz="0" w:space="0" w:color="auto"/>
        <w:left w:val="none" w:sz="0" w:space="0" w:color="auto"/>
        <w:bottom w:val="none" w:sz="0" w:space="0" w:color="auto"/>
        <w:right w:val="none" w:sz="0" w:space="0" w:color="auto"/>
      </w:divBdr>
    </w:div>
    <w:div w:id="1831864341">
      <w:bodyDiv w:val="1"/>
      <w:marLeft w:val="0"/>
      <w:marRight w:val="0"/>
      <w:marTop w:val="0"/>
      <w:marBottom w:val="0"/>
      <w:divBdr>
        <w:top w:val="none" w:sz="0" w:space="0" w:color="auto"/>
        <w:left w:val="none" w:sz="0" w:space="0" w:color="auto"/>
        <w:bottom w:val="none" w:sz="0" w:space="0" w:color="auto"/>
        <w:right w:val="none" w:sz="0" w:space="0" w:color="auto"/>
      </w:divBdr>
    </w:div>
    <w:div w:id="203549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1717</Words>
  <Characters>9788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Marian Dinu (2209834)</dc:creator>
  <cp:keywords/>
  <dc:description/>
  <cp:lastModifiedBy>Vasile Marian Dinu (2209834)</cp:lastModifiedBy>
  <cp:revision>2</cp:revision>
  <dcterms:created xsi:type="dcterms:W3CDTF">2023-03-01T00:43:00Z</dcterms:created>
  <dcterms:modified xsi:type="dcterms:W3CDTF">2023-03-01T00:43:00Z</dcterms:modified>
</cp:coreProperties>
</file>