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3CE" w:rsidRPr="001F1383" w:rsidRDefault="005503CE" w:rsidP="005503CE">
      <w:pPr>
        <w:rPr>
          <w:rFonts w:cs="Arial"/>
          <w:color w:val="58595B"/>
          <w:sz w:val="32"/>
          <w:szCs w:val="32"/>
        </w:rPr>
      </w:pPr>
      <w:r w:rsidRPr="001F1383">
        <w:rPr>
          <w:rFonts w:cs="Arial"/>
          <w:color w:val="58595B"/>
          <w:sz w:val="32"/>
          <w:szCs w:val="32"/>
        </w:rPr>
        <w:t xml:space="preserve">Qualification: </w:t>
      </w:r>
    </w:p>
    <w:p w:rsidR="005503CE" w:rsidRPr="001F1383" w:rsidRDefault="005503CE" w:rsidP="005503CE">
      <w:pPr>
        <w:jc w:val="center"/>
        <w:rPr>
          <w:rFonts w:cs="Arial"/>
          <w:color w:val="58595B"/>
          <w:sz w:val="32"/>
          <w:szCs w:val="32"/>
        </w:rPr>
      </w:pPr>
      <w:r w:rsidRPr="001F1383">
        <w:rPr>
          <w:rFonts w:cs="Arial"/>
          <w:b/>
          <w:color w:val="58595B"/>
          <w:sz w:val="32"/>
          <w:szCs w:val="32"/>
        </w:rPr>
        <w:t>CIPD Diploma in Applied Human Resources</w:t>
      </w:r>
    </w:p>
    <w:p w:rsidR="005503CE" w:rsidRPr="001F1383" w:rsidRDefault="005503CE" w:rsidP="005503CE">
      <w:pPr>
        <w:rPr>
          <w:rFonts w:cs="Arial"/>
          <w:color w:val="58595B"/>
          <w:sz w:val="32"/>
          <w:szCs w:val="32"/>
        </w:rPr>
      </w:pPr>
      <w:r w:rsidRPr="001F1383">
        <w:rPr>
          <w:rFonts w:cs="Arial"/>
          <w:color w:val="58595B"/>
          <w:sz w:val="32"/>
          <w:szCs w:val="32"/>
        </w:rPr>
        <w:t xml:space="preserve">Module Name: </w:t>
      </w:r>
      <w:r w:rsidRPr="001F1383">
        <w:rPr>
          <w:rFonts w:cs="Arial"/>
          <w:color w:val="58595B"/>
          <w:sz w:val="32"/>
          <w:szCs w:val="32"/>
        </w:rPr>
        <w:tab/>
      </w:r>
    </w:p>
    <w:p w:rsidR="005503CE" w:rsidRPr="001F1383" w:rsidRDefault="005503CE" w:rsidP="005503CE">
      <w:pPr>
        <w:jc w:val="center"/>
        <w:rPr>
          <w:rFonts w:cs="Arial"/>
          <w:b/>
          <w:color w:val="58595B"/>
          <w:sz w:val="32"/>
          <w:szCs w:val="32"/>
        </w:rPr>
      </w:pPr>
      <w:r>
        <w:rPr>
          <w:rFonts w:cs="Arial"/>
          <w:b/>
          <w:color w:val="58595B"/>
          <w:sz w:val="32"/>
          <w:szCs w:val="32"/>
        </w:rPr>
        <w:t>Understanding Employee Engagement</w:t>
      </w:r>
    </w:p>
    <w:p w:rsidR="005503CE" w:rsidRPr="001F1383" w:rsidRDefault="005503CE" w:rsidP="005503CE">
      <w:pPr>
        <w:rPr>
          <w:rFonts w:cs="Arial"/>
          <w:b/>
          <w:color w:val="58595B"/>
          <w:sz w:val="32"/>
          <w:szCs w:val="32"/>
        </w:rPr>
      </w:pPr>
      <w:r w:rsidRPr="001F1383">
        <w:rPr>
          <w:rFonts w:cs="Arial"/>
          <w:b/>
          <w:color w:val="58595B"/>
          <w:sz w:val="32"/>
          <w:szCs w:val="32"/>
        </w:rPr>
        <w:tab/>
      </w:r>
    </w:p>
    <w:p w:rsidR="005503CE" w:rsidRPr="001F1383" w:rsidRDefault="005503CE" w:rsidP="005503CE">
      <w:pPr>
        <w:rPr>
          <w:rFonts w:cs="Arial"/>
          <w:b/>
          <w:color w:val="58595B"/>
          <w:sz w:val="32"/>
          <w:szCs w:val="32"/>
        </w:rPr>
      </w:pPr>
      <w:r w:rsidRPr="001F1383">
        <w:rPr>
          <w:rFonts w:cs="Arial"/>
          <w:color w:val="58595B"/>
          <w:sz w:val="32"/>
          <w:szCs w:val="32"/>
        </w:rPr>
        <w:tab/>
      </w:r>
      <w:r>
        <w:rPr>
          <w:rFonts w:cs="Arial"/>
          <w:color w:val="58595B"/>
          <w:sz w:val="32"/>
          <w:szCs w:val="32"/>
        </w:rPr>
        <w:tab/>
      </w:r>
    </w:p>
    <w:p w:rsidR="005503CE" w:rsidRPr="001F1383" w:rsidRDefault="005503CE" w:rsidP="005503CE">
      <w:pPr>
        <w:rPr>
          <w:rFonts w:cs="Arial"/>
          <w:color w:val="58595B"/>
          <w:sz w:val="32"/>
          <w:szCs w:val="32"/>
        </w:rPr>
      </w:pPr>
      <w:r w:rsidRPr="001F1383">
        <w:rPr>
          <w:rFonts w:cs="Arial"/>
          <w:color w:val="58595B"/>
          <w:sz w:val="32"/>
          <w:szCs w:val="32"/>
        </w:rPr>
        <w:t>Total Word Count:</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Pr>
          <w:rFonts w:cs="Arial"/>
          <w:color w:val="58595B"/>
          <w:sz w:val="32"/>
          <w:szCs w:val="32"/>
        </w:rPr>
        <w:t xml:space="preserve">    </w:t>
      </w:r>
      <w:r w:rsidRPr="001F1383">
        <w:rPr>
          <w:rFonts w:cs="Arial"/>
          <w:b/>
          <w:color w:val="58595B"/>
          <w:sz w:val="32"/>
          <w:szCs w:val="32"/>
        </w:rPr>
        <w:t xml:space="preserve"> </w:t>
      </w:r>
      <w:r>
        <w:rPr>
          <w:rFonts w:cs="Arial"/>
          <w:b/>
          <w:color w:val="58595B"/>
          <w:sz w:val="32"/>
          <w:szCs w:val="32"/>
        </w:rPr>
        <w:tab/>
      </w:r>
      <w:r w:rsidR="00B0197C">
        <w:rPr>
          <w:rFonts w:cs="Arial"/>
          <w:b/>
          <w:color w:val="58595B"/>
          <w:sz w:val="32"/>
          <w:szCs w:val="32"/>
        </w:rPr>
        <w:t>3,300</w:t>
      </w:r>
      <w:r w:rsidR="00AB791C">
        <w:rPr>
          <w:rFonts w:cs="Arial"/>
          <w:b/>
          <w:color w:val="58595B"/>
          <w:sz w:val="32"/>
          <w:szCs w:val="32"/>
        </w:rPr>
        <w:t xml:space="preserve"> </w:t>
      </w:r>
      <w:r w:rsidRPr="001F1383">
        <w:rPr>
          <w:rFonts w:cs="Arial"/>
          <w:b/>
          <w:color w:val="58595B"/>
          <w:sz w:val="32"/>
          <w:szCs w:val="32"/>
        </w:rPr>
        <w:t>words</w:t>
      </w:r>
    </w:p>
    <w:p w:rsidR="005503CE" w:rsidRPr="001F1383" w:rsidRDefault="005503CE" w:rsidP="005503CE">
      <w:pPr>
        <w:rPr>
          <w:rFonts w:cs="Arial"/>
          <w:color w:val="58595B"/>
          <w:sz w:val="32"/>
          <w:szCs w:val="32"/>
        </w:rPr>
      </w:pPr>
      <w:r w:rsidRPr="001F1383">
        <w:rPr>
          <w:rFonts w:cs="Arial"/>
          <w:color w:val="58595B"/>
          <w:sz w:val="32"/>
          <w:szCs w:val="32"/>
        </w:rPr>
        <w:t>Student Name:</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Pr>
          <w:rFonts w:cs="Arial"/>
          <w:color w:val="58595B"/>
          <w:sz w:val="32"/>
          <w:szCs w:val="32"/>
        </w:rPr>
        <w:tab/>
      </w:r>
      <w:r w:rsidRPr="001F1383">
        <w:rPr>
          <w:rFonts w:cs="Arial"/>
          <w:color w:val="58595B"/>
          <w:sz w:val="32"/>
          <w:szCs w:val="32"/>
        </w:rPr>
        <w:t>Kate Houston</w:t>
      </w:r>
    </w:p>
    <w:p w:rsidR="005503CE" w:rsidRPr="001F1383" w:rsidRDefault="005503CE" w:rsidP="005503CE">
      <w:pPr>
        <w:rPr>
          <w:rFonts w:cs="Arial"/>
          <w:color w:val="58595B"/>
          <w:sz w:val="32"/>
          <w:szCs w:val="32"/>
        </w:rPr>
      </w:pPr>
      <w:r w:rsidRPr="001F1383">
        <w:rPr>
          <w:rFonts w:cs="Arial"/>
          <w:color w:val="58595B"/>
          <w:sz w:val="32"/>
          <w:szCs w:val="32"/>
        </w:rPr>
        <w:t>Student Number:</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t>1403228</w:t>
      </w:r>
    </w:p>
    <w:p w:rsidR="005503CE" w:rsidRPr="001F1383" w:rsidRDefault="005503CE" w:rsidP="005503CE">
      <w:pPr>
        <w:rPr>
          <w:rFonts w:cs="Arial"/>
          <w:color w:val="58595B"/>
          <w:sz w:val="32"/>
          <w:szCs w:val="32"/>
        </w:rPr>
      </w:pPr>
      <w:r w:rsidRPr="001F1383">
        <w:rPr>
          <w:rFonts w:cs="Arial"/>
          <w:color w:val="58595B"/>
          <w:sz w:val="32"/>
          <w:szCs w:val="32"/>
        </w:rPr>
        <w:t>CIPD Membership Number:</w:t>
      </w:r>
      <w:r w:rsidRPr="001F1383">
        <w:rPr>
          <w:rFonts w:cs="Arial"/>
          <w:color w:val="58595B"/>
          <w:sz w:val="32"/>
          <w:szCs w:val="32"/>
        </w:rPr>
        <w:tab/>
      </w:r>
      <w:r w:rsidRPr="001F1383">
        <w:rPr>
          <w:rFonts w:cs="Arial"/>
          <w:color w:val="58595B"/>
          <w:sz w:val="32"/>
          <w:szCs w:val="32"/>
        </w:rPr>
        <w:tab/>
      </w:r>
      <w:r>
        <w:rPr>
          <w:rFonts w:cs="Arial"/>
          <w:color w:val="58595B"/>
          <w:sz w:val="32"/>
          <w:szCs w:val="32"/>
        </w:rPr>
        <w:tab/>
      </w:r>
      <w:r w:rsidRPr="001F1383">
        <w:rPr>
          <w:rFonts w:eastAsia="Times New Roman" w:cs="Arial"/>
          <w:color w:val="58595B"/>
          <w:sz w:val="32"/>
          <w:szCs w:val="32"/>
        </w:rPr>
        <w:t>49777067</w:t>
      </w:r>
    </w:p>
    <w:p w:rsidR="005503CE" w:rsidRPr="001F1383" w:rsidRDefault="005503CE" w:rsidP="005503CE">
      <w:pPr>
        <w:rPr>
          <w:rFonts w:cs="Arial"/>
          <w:color w:val="58595B"/>
          <w:sz w:val="32"/>
          <w:szCs w:val="32"/>
        </w:rPr>
      </w:pPr>
      <w:r w:rsidRPr="001F1383">
        <w:rPr>
          <w:rFonts w:cs="Arial"/>
          <w:color w:val="58595B"/>
          <w:sz w:val="32"/>
          <w:szCs w:val="32"/>
        </w:rPr>
        <w:t>By signing below, I confirm that the work/evidence presented is my own, unaided work. I understand the regulations pertaining to candidate malpractice and the action that may be taken as a result.</w:t>
      </w:r>
    </w:p>
    <w:p w:rsidR="005503CE" w:rsidRPr="001F1383" w:rsidRDefault="005503CE" w:rsidP="005503CE">
      <w:pPr>
        <w:rPr>
          <w:rFonts w:cs="Arial"/>
          <w:color w:val="58595B"/>
          <w:sz w:val="32"/>
          <w:szCs w:val="32"/>
        </w:rPr>
      </w:pPr>
    </w:p>
    <w:p w:rsidR="005503CE" w:rsidRPr="001F1383" w:rsidRDefault="005503CE" w:rsidP="005503CE">
      <w:pPr>
        <w:rPr>
          <w:rFonts w:cs="Arial"/>
          <w:color w:val="58595B"/>
          <w:sz w:val="32"/>
          <w:szCs w:val="32"/>
        </w:rPr>
      </w:pPr>
      <w:r w:rsidRPr="001F1383">
        <w:rPr>
          <w:rFonts w:cs="Arial"/>
          <w:color w:val="58595B"/>
          <w:sz w:val="32"/>
          <w:szCs w:val="32"/>
        </w:rPr>
        <w:t xml:space="preserve">Signed: </w:t>
      </w:r>
      <w:r w:rsidRPr="001F1383">
        <w:rPr>
          <w:noProof/>
          <w:sz w:val="32"/>
          <w:szCs w:val="32"/>
          <w:lang w:eastAsia="en-GB"/>
        </w:rPr>
        <w:drawing>
          <wp:inline distT="0" distB="0" distL="0" distR="0" wp14:anchorId="748C0EF9" wp14:editId="3C276490">
            <wp:extent cx="1170305" cy="3022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0305" cy="302260"/>
                    </a:xfrm>
                    <a:prstGeom prst="rect">
                      <a:avLst/>
                    </a:prstGeom>
                    <a:noFill/>
                    <a:ln>
                      <a:noFill/>
                    </a:ln>
                  </pic:spPr>
                </pic:pic>
              </a:graphicData>
            </a:graphic>
          </wp:inline>
        </w:drawing>
      </w:r>
      <w:r w:rsidRPr="001F1383">
        <w:rPr>
          <w:rFonts w:cs="Arial"/>
          <w:color w:val="58595B"/>
          <w:sz w:val="32"/>
          <w:szCs w:val="32"/>
        </w:rPr>
        <w:t>Kate Houston</w:t>
      </w:r>
    </w:p>
    <w:p w:rsidR="005503CE" w:rsidRDefault="005503CE" w:rsidP="005503CE">
      <w:pPr>
        <w:ind w:left="1440" w:hanging="1440"/>
        <w:rPr>
          <w:rFonts w:cs="Arial"/>
          <w:color w:val="58595B"/>
          <w:sz w:val="32"/>
          <w:szCs w:val="32"/>
        </w:rPr>
      </w:pPr>
      <w:r w:rsidRPr="001F1383">
        <w:rPr>
          <w:rFonts w:cs="Arial"/>
          <w:color w:val="58595B"/>
          <w:sz w:val="32"/>
          <w:szCs w:val="32"/>
        </w:rPr>
        <w:t xml:space="preserve">Date:  </w:t>
      </w:r>
      <w:r w:rsidRPr="001F1383">
        <w:rPr>
          <w:rFonts w:cs="Arial"/>
          <w:color w:val="58595B"/>
          <w:sz w:val="32"/>
          <w:szCs w:val="32"/>
        </w:rPr>
        <w:tab/>
      </w:r>
      <w:r w:rsidRPr="001F1383">
        <w:rPr>
          <w:rFonts w:cs="Arial"/>
          <w:color w:val="58595B"/>
          <w:sz w:val="32"/>
          <w:szCs w:val="32"/>
        </w:rPr>
        <w:tab/>
      </w:r>
      <w:r w:rsidRPr="001F1383">
        <w:rPr>
          <w:rFonts w:cs="Arial"/>
          <w:color w:val="58595B"/>
          <w:sz w:val="32"/>
          <w:szCs w:val="32"/>
        </w:rPr>
        <w:tab/>
      </w:r>
      <w:r>
        <w:rPr>
          <w:rFonts w:cs="Arial"/>
          <w:color w:val="58595B"/>
          <w:sz w:val="32"/>
          <w:szCs w:val="32"/>
        </w:rPr>
        <w:t>1</w:t>
      </w:r>
      <w:r w:rsidR="00B0197C">
        <w:rPr>
          <w:rFonts w:cs="Arial"/>
          <w:color w:val="58595B"/>
          <w:sz w:val="32"/>
          <w:szCs w:val="32"/>
        </w:rPr>
        <w:t>6</w:t>
      </w:r>
      <w:r w:rsidRPr="005503CE">
        <w:rPr>
          <w:rFonts w:cs="Arial"/>
          <w:color w:val="58595B"/>
          <w:sz w:val="32"/>
          <w:szCs w:val="32"/>
          <w:vertAlign w:val="superscript"/>
        </w:rPr>
        <w:t>th</w:t>
      </w:r>
      <w:r>
        <w:rPr>
          <w:rFonts w:cs="Arial"/>
          <w:color w:val="58595B"/>
          <w:sz w:val="32"/>
          <w:szCs w:val="32"/>
        </w:rPr>
        <w:t xml:space="preserve"> September</w:t>
      </w:r>
      <w:r w:rsidRPr="001F1383">
        <w:rPr>
          <w:rFonts w:cs="Arial"/>
          <w:color w:val="58595B"/>
          <w:sz w:val="32"/>
          <w:szCs w:val="32"/>
        </w:rPr>
        <w:t xml:space="preserve"> 2019</w:t>
      </w:r>
    </w:p>
    <w:p w:rsidR="005503CE" w:rsidRDefault="005503CE">
      <w:pPr>
        <w:spacing w:after="160" w:line="259" w:lineRule="auto"/>
        <w:rPr>
          <w:rFonts w:ascii="Arial" w:hAnsi="Arial" w:cs="Arial"/>
          <w:b/>
          <w:sz w:val="24"/>
          <w:szCs w:val="24"/>
        </w:rPr>
      </w:pPr>
      <w:r>
        <w:rPr>
          <w:rFonts w:ascii="Arial" w:hAnsi="Arial" w:cs="Arial"/>
          <w:b/>
          <w:sz w:val="24"/>
          <w:szCs w:val="24"/>
        </w:rPr>
        <w:br w:type="page"/>
      </w:r>
    </w:p>
    <w:p w:rsidR="00310430" w:rsidRPr="003B5D56" w:rsidRDefault="00A929FD" w:rsidP="003B788A">
      <w:pPr>
        <w:pStyle w:val="ListParagraph"/>
        <w:ind w:left="360"/>
        <w:jc w:val="center"/>
        <w:rPr>
          <w:rFonts w:cs="Arial"/>
          <w:sz w:val="24"/>
          <w:szCs w:val="24"/>
        </w:rPr>
      </w:pPr>
      <w:r w:rsidRPr="003B5D56">
        <w:rPr>
          <w:rFonts w:cs="Arial"/>
          <w:b/>
          <w:sz w:val="24"/>
          <w:szCs w:val="24"/>
        </w:rPr>
        <w:lastRenderedPageBreak/>
        <w:t xml:space="preserve">Understanding </w:t>
      </w:r>
      <w:r w:rsidR="00D802D2" w:rsidRPr="003B5D56">
        <w:rPr>
          <w:rFonts w:cs="Arial"/>
          <w:b/>
          <w:sz w:val="24"/>
          <w:szCs w:val="24"/>
        </w:rPr>
        <w:t>employee engagement</w:t>
      </w:r>
      <w:r w:rsidR="001E2AD0" w:rsidRPr="003B5D56">
        <w:rPr>
          <w:rFonts w:cs="Arial"/>
          <w:b/>
          <w:sz w:val="24"/>
          <w:szCs w:val="24"/>
        </w:rPr>
        <w:br/>
      </w:r>
      <w:r w:rsidR="001E2AD0" w:rsidRPr="003B5D56">
        <w:rPr>
          <w:rFonts w:cs="Arial"/>
          <w:sz w:val="24"/>
          <w:szCs w:val="24"/>
        </w:rPr>
        <w:br/>
      </w:r>
    </w:p>
    <w:p w:rsidR="00310430" w:rsidRPr="003B5D56" w:rsidRDefault="00310430" w:rsidP="00310430">
      <w:pPr>
        <w:pStyle w:val="ListParagraph"/>
        <w:numPr>
          <w:ilvl w:val="0"/>
          <w:numId w:val="1"/>
        </w:numPr>
        <w:rPr>
          <w:rFonts w:cs="Arial"/>
          <w:b/>
          <w:sz w:val="24"/>
          <w:szCs w:val="24"/>
        </w:rPr>
      </w:pPr>
      <w:r w:rsidRPr="003B5D56">
        <w:rPr>
          <w:rFonts w:cs="Arial"/>
          <w:b/>
          <w:sz w:val="24"/>
          <w:szCs w:val="24"/>
        </w:rPr>
        <w:t>Introduction</w:t>
      </w:r>
      <w:r w:rsidRPr="003B5D56">
        <w:rPr>
          <w:rFonts w:cs="Arial"/>
          <w:b/>
          <w:sz w:val="24"/>
          <w:szCs w:val="24"/>
        </w:rPr>
        <w:br/>
      </w:r>
    </w:p>
    <w:p w:rsidR="00DF16D6" w:rsidRPr="003B5D56" w:rsidRDefault="00DF16D6" w:rsidP="00DF16D6">
      <w:pPr>
        <w:pStyle w:val="ListParagraph"/>
        <w:ind w:left="360"/>
        <w:rPr>
          <w:rFonts w:cs="Arial"/>
          <w:sz w:val="24"/>
          <w:szCs w:val="24"/>
        </w:rPr>
      </w:pPr>
      <w:r w:rsidRPr="003B5D56">
        <w:rPr>
          <w:rFonts w:cs="Arial"/>
          <w:sz w:val="24"/>
          <w:szCs w:val="24"/>
        </w:rPr>
        <w:t xml:space="preserve">MacLeod and Clarke (2009) sparked a UK movement on employee engagement (EE) stating it is the heart of the relationship and key to unlocking productivity impacting positively on UK competiveness and performance.  Due to a lack of one universal definition organisations’ must establish what it means to them and whether striving for an engaged workforce will experience superior performance and profitability (Johns and Ellis, 2016; Bridger, 2018).  </w:t>
      </w:r>
    </w:p>
    <w:p w:rsidR="00002B7B" w:rsidRPr="003B5D56" w:rsidRDefault="00002B7B" w:rsidP="00310430">
      <w:pPr>
        <w:pStyle w:val="ListParagraph"/>
        <w:ind w:left="360"/>
        <w:rPr>
          <w:rFonts w:cs="Arial"/>
          <w:sz w:val="24"/>
          <w:szCs w:val="24"/>
        </w:rPr>
      </w:pPr>
    </w:p>
    <w:p w:rsidR="00310430" w:rsidRPr="003B5D56" w:rsidRDefault="0095426F" w:rsidP="00310430">
      <w:pPr>
        <w:pStyle w:val="ListParagraph"/>
        <w:numPr>
          <w:ilvl w:val="0"/>
          <w:numId w:val="1"/>
        </w:numPr>
        <w:rPr>
          <w:rFonts w:cs="Arial"/>
          <w:b/>
          <w:sz w:val="24"/>
          <w:szCs w:val="24"/>
        </w:rPr>
      </w:pPr>
      <w:r w:rsidRPr="003B5D56">
        <w:rPr>
          <w:rFonts w:cs="Arial"/>
          <w:b/>
          <w:sz w:val="24"/>
          <w:szCs w:val="24"/>
        </w:rPr>
        <w:t>Defining</w:t>
      </w:r>
      <w:r w:rsidR="003B788A" w:rsidRPr="003B5D56">
        <w:rPr>
          <w:rFonts w:cs="Arial"/>
          <w:b/>
          <w:sz w:val="24"/>
          <w:szCs w:val="24"/>
        </w:rPr>
        <w:t xml:space="preserve"> </w:t>
      </w:r>
      <w:r w:rsidR="002B62BB" w:rsidRPr="003B5D56">
        <w:rPr>
          <w:rFonts w:cs="Arial"/>
          <w:b/>
          <w:sz w:val="24"/>
          <w:szCs w:val="24"/>
        </w:rPr>
        <w:t>employee engagement</w:t>
      </w:r>
    </w:p>
    <w:p w:rsidR="00F91DC6" w:rsidRPr="003B5D56" w:rsidRDefault="00F91DC6" w:rsidP="00310430">
      <w:pPr>
        <w:pStyle w:val="ListParagraph"/>
        <w:ind w:left="360"/>
        <w:rPr>
          <w:rFonts w:cs="Arial"/>
          <w:sz w:val="24"/>
          <w:szCs w:val="24"/>
        </w:rPr>
      </w:pPr>
    </w:p>
    <w:p w:rsidR="00E353F2" w:rsidRPr="003B5D56" w:rsidRDefault="00E353F2" w:rsidP="00E353F2">
      <w:pPr>
        <w:pStyle w:val="ListParagraph"/>
        <w:ind w:left="360"/>
        <w:rPr>
          <w:rFonts w:cs="Arial"/>
          <w:sz w:val="24"/>
          <w:szCs w:val="24"/>
        </w:rPr>
      </w:pPr>
      <w:r w:rsidRPr="003B5D56">
        <w:rPr>
          <w:rFonts w:cs="Arial"/>
          <w:sz w:val="24"/>
          <w:szCs w:val="24"/>
        </w:rPr>
        <w:t xml:space="preserve">Trust, two-way commitment and communication describes </w:t>
      </w:r>
      <w:r w:rsidR="002B62BB" w:rsidRPr="003B5D56">
        <w:rPr>
          <w:rFonts w:cs="Arial"/>
          <w:sz w:val="24"/>
          <w:szCs w:val="24"/>
        </w:rPr>
        <w:t>EE</w:t>
      </w:r>
      <w:r w:rsidRPr="003B5D56">
        <w:rPr>
          <w:rFonts w:cs="Arial"/>
          <w:sz w:val="24"/>
          <w:szCs w:val="24"/>
        </w:rPr>
        <w:t xml:space="preserve"> contributing to an organisation’s and individual performance, productivity and wellbeing.  It offers a workplace approach creating the right conditions allowing employees to offer more capability and potential (Engage for Success, ND).  </w:t>
      </w:r>
    </w:p>
    <w:p w:rsidR="00E353F2" w:rsidRPr="003B5D56" w:rsidRDefault="00E353F2" w:rsidP="00E353F2">
      <w:pPr>
        <w:pStyle w:val="ListParagraph"/>
        <w:ind w:left="360"/>
        <w:rPr>
          <w:rFonts w:cs="Arial"/>
          <w:sz w:val="24"/>
          <w:szCs w:val="24"/>
        </w:rPr>
      </w:pPr>
    </w:p>
    <w:p w:rsidR="00E353F2" w:rsidRPr="003B5D56" w:rsidRDefault="002B62BB" w:rsidP="00E353F2">
      <w:pPr>
        <w:pStyle w:val="ListParagraph"/>
        <w:ind w:left="360"/>
        <w:rPr>
          <w:rFonts w:cs="Arial"/>
          <w:sz w:val="24"/>
          <w:szCs w:val="24"/>
        </w:rPr>
      </w:pPr>
      <w:r w:rsidRPr="003B5D56">
        <w:rPr>
          <w:rFonts w:cs="Arial"/>
          <w:sz w:val="24"/>
          <w:szCs w:val="24"/>
        </w:rPr>
        <w:t>EE</w:t>
      </w:r>
      <w:r w:rsidR="00E353F2" w:rsidRPr="003B5D56">
        <w:rPr>
          <w:rFonts w:cs="Arial"/>
          <w:sz w:val="24"/>
          <w:szCs w:val="24"/>
        </w:rPr>
        <w:t xml:space="preserve"> is a key determinant of performance repackaging concepts of motivat</w:t>
      </w:r>
      <w:r w:rsidR="001849A9" w:rsidRPr="003B5D56">
        <w:rPr>
          <w:rFonts w:cs="Arial"/>
          <w:sz w:val="24"/>
          <w:szCs w:val="24"/>
        </w:rPr>
        <w:t xml:space="preserve">ion and commitment enhancing </w:t>
      </w:r>
      <w:r w:rsidR="00E353F2" w:rsidRPr="003B5D56">
        <w:rPr>
          <w:rFonts w:cs="Arial"/>
          <w:sz w:val="24"/>
          <w:szCs w:val="24"/>
        </w:rPr>
        <w:t>employees</w:t>
      </w:r>
      <w:r w:rsidR="001849A9" w:rsidRPr="003B5D56">
        <w:rPr>
          <w:rFonts w:cs="Arial"/>
          <w:sz w:val="24"/>
          <w:szCs w:val="24"/>
        </w:rPr>
        <w:t>’</w:t>
      </w:r>
      <w:r w:rsidR="00E353F2" w:rsidRPr="003B5D56">
        <w:rPr>
          <w:rFonts w:cs="Arial"/>
          <w:sz w:val="24"/>
          <w:szCs w:val="24"/>
        </w:rPr>
        <w:t xml:space="preserve"> wellbeing and performance</w:t>
      </w:r>
      <w:r w:rsidR="00437B17" w:rsidRPr="003B5D56">
        <w:rPr>
          <w:rFonts w:cs="Arial"/>
          <w:sz w:val="24"/>
          <w:szCs w:val="24"/>
        </w:rPr>
        <w:t xml:space="preserve"> (Hutchinson, 2013)</w:t>
      </w:r>
      <w:r w:rsidR="00E353F2" w:rsidRPr="003B5D56">
        <w:rPr>
          <w:rFonts w:cs="Arial"/>
          <w:sz w:val="24"/>
          <w:szCs w:val="24"/>
        </w:rPr>
        <w:t>.  It offers mutual gains in the employment relationship seeking the good of both</w:t>
      </w:r>
      <w:r w:rsidR="0002013C" w:rsidRPr="003B5D56">
        <w:rPr>
          <w:rFonts w:cs="Arial"/>
          <w:sz w:val="24"/>
          <w:szCs w:val="24"/>
        </w:rPr>
        <w:t xml:space="preserve"> parties</w:t>
      </w:r>
      <w:r w:rsidR="00E353F2" w:rsidRPr="003B5D56">
        <w:rPr>
          <w:rFonts w:cs="Arial"/>
          <w:sz w:val="24"/>
          <w:szCs w:val="24"/>
        </w:rPr>
        <w:t xml:space="preserve"> (CIPD, 2018). IES cite engaged employees blend job satisfaction, job involvement, organisational commitment and feelings of empowerment (MacLeod and Clarke, 2009).</w:t>
      </w:r>
    </w:p>
    <w:p w:rsidR="00E353F2" w:rsidRPr="003B5D56" w:rsidRDefault="00E353F2" w:rsidP="00E353F2">
      <w:pPr>
        <w:pStyle w:val="ListParagraph"/>
        <w:ind w:left="360"/>
        <w:rPr>
          <w:rFonts w:cs="Arial"/>
          <w:sz w:val="24"/>
          <w:szCs w:val="24"/>
        </w:rPr>
      </w:pPr>
    </w:p>
    <w:p w:rsidR="00E353F2" w:rsidRPr="003B5D56" w:rsidRDefault="00E353F2" w:rsidP="00E353F2">
      <w:pPr>
        <w:pStyle w:val="ListParagraph"/>
        <w:ind w:left="360"/>
        <w:rPr>
          <w:rFonts w:cs="Arial"/>
          <w:sz w:val="24"/>
          <w:szCs w:val="24"/>
        </w:rPr>
      </w:pPr>
      <w:r w:rsidRPr="003B5D56">
        <w:rPr>
          <w:rFonts w:cs="Arial"/>
          <w:sz w:val="24"/>
          <w:szCs w:val="24"/>
        </w:rPr>
        <w:t>Herzberg and Maslow developed the concept of work motivation albeit Katz’s organisational citizenship behaviour closely relates; other concepts associated are work effort, shared purpose, energy and job satisfaction (CIPD, 2018).</w:t>
      </w:r>
    </w:p>
    <w:p w:rsidR="00E353F2" w:rsidRPr="003B5D56" w:rsidRDefault="00E353F2" w:rsidP="00E353F2">
      <w:pPr>
        <w:pStyle w:val="ListParagraph"/>
        <w:ind w:left="360"/>
        <w:rPr>
          <w:rFonts w:cs="Arial"/>
          <w:sz w:val="24"/>
          <w:szCs w:val="24"/>
        </w:rPr>
      </w:pPr>
    </w:p>
    <w:p w:rsidR="00E353F2" w:rsidRPr="003B5D56" w:rsidRDefault="00E353F2" w:rsidP="00E353F2">
      <w:pPr>
        <w:pStyle w:val="ListParagraph"/>
        <w:ind w:left="360"/>
        <w:rPr>
          <w:rFonts w:cs="Arial"/>
          <w:sz w:val="24"/>
          <w:szCs w:val="24"/>
        </w:rPr>
      </w:pPr>
      <w:r w:rsidRPr="003B5D56">
        <w:rPr>
          <w:rFonts w:cs="Arial"/>
          <w:sz w:val="24"/>
          <w:szCs w:val="24"/>
        </w:rPr>
        <w:t>Kahn (1990, p</w:t>
      </w:r>
      <w:r w:rsidR="00565F37" w:rsidRPr="003B5D56">
        <w:rPr>
          <w:rFonts w:cs="Arial"/>
          <w:sz w:val="24"/>
          <w:szCs w:val="24"/>
        </w:rPr>
        <w:t>.</w:t>
      </w:r>
      <w:r w:rsidRPr="003B5D56">
        <w:rPr>
          <w:rFonts w:cs="Arial"/>
          <w:sz w:val="24"/>
          <w:szCs w:val="24"/>
        </w:rPr>
        <w:t>694) cite ‘in engagement, people employ and express themselves physically, cognitively and emotionally’, focussed on how people interact in their work roles and to behaviour where employees express discretionary effort ‘going the extra mile’.  The three-dimensional concept:</w:t>
      </w:r>
      <w:r w:rsidR="00F76AD4" w:rsidRPr="003B5D56">
        <w:rPr>
          <w:rFonts w:cs="Arial"/>
          <w:sz w:val="24"/>
          <w:szCs w:val="24"/>
        </w:rPr>
        <w:t xml:space="preserve">- </w:t>
      </w:r>
      <w:r w:rsidRPr="003B5D56">
        <w:rPr>
          <w:rFonts w:cs="Arial"/>
          <w:sz w:val="24"/>
          <w:szCs w:val="24"/>
        </w:rPr>
        <w:br/>
      </w:r>
    </w:p>
    <w:p w:rsidR="00E353F2" w:rsidRPr="003B5D56" w:rsidRDefault="00E353F2" w:rsidP="00E353F2">
      <w:pPr>
        <w:pStyle w:val="ListParagraph"/>
        <w:numPr>
          <w:ilvl w:val="0"/>
          <w:numId w:val="3"/>
        </w:numPr>
        <w:rPr>
          <w:rFonts w:cs="Arial"/>
          <w:sz w:val="24"/>
          <w:szCs w:val="24"/>
        </w:rPr>
      </w:pPr>
      <w:r w:rsidRPr="003B5D56">
        <w:rPr>
          <w:rFonts w:cs="Arial"/>
          <w:b/>
          <w:sz w:val="24"/>
          <w:szCs w:val="24"/>
        </w:rPr>
        <w:t>Physical</w:t>
      </w:r>
      <w:r w:rsidR="00F76AD4" w:rsidRPr="003B5D56">
        <w:rPr>
          <w:rFonts w:cs="Arial"/>
          <w:b/>
          <w:sz w:val="24"/>
          <w:szCs w:val="24"/>
        </w:rPr>
        <w:t>:</w:t>
      </w:r>
      <w:r w:rsidRPr="003B5D56">
        <w:rPr>
          <w:rFonts w:cs="Arial"/>
          <w:sz w:val="24"/>
          <w:szCs w:val="24"/>
        </w:rPr>
        <w:t xml:space="preserve"> high levels of energy including mental resilience and willingness to work.</w:t>
      </w:r>
    </w:p>
    <w:p w:rsidR="00E353F2" w:rsidRPr="003B5D56" w:rsidRDefault="00F76AD4" w:rsidP="00E353F2">
      <w:pPr>
        <w:pStyle w:val="ListParagraph"/>
        <w:numPr>
          <w:ilvl w:val="0"/>
          <w:numId w:val="3"/>
        </w:numPr>
        <w:rPr>
          <w:rFonts w:cs="Arial"/>
          <w:sz w:val="24"/>
          <w:szCs w:val="24"/>
        </w:rPr>
      </w:pPr>
      <w:r w:rsidRPr="003B5D56">
        <w:rPr>
          <w:rFonts w:cs="Arial"/>
          <w:b/>
          <w:sz w:val="24"/>
          <w:szCs w:val="24"/>
        </w:rPr>
        <w:t>Cognitive:</w:t>
      </w:r>
      <w:r w:rsidR="00E353F2" w:rsidRPr="003B5D56">
        <w:rPr>
          <w:rFonts w:cs="Arial"/>
          <w:sz w:val="24"/>
          <w:szCs w:val="24"/>
        </w:rPr>
        <w:t xml:space="preserve"> engrossed where time passes quickly unable to detach oneself from work.</w:t>
      </w:r>
    </w:p>
    <w:p w:rsidR="00E353F2" w:rsidRPr="003B5D56" w:rsidRDefault="00F76AD4" w:rsidP="00E353F2">
      <w:pPr>
        <w:pStyle w:val="ListParagraph"/>
        <w:numPr>
          <w:ilvl w:val="0"/>
          <w:numId w:val="3"/>
        </w:numPr>
        <w:rPr>
          <w:rFonts w:cs="Arial"/>
          <w:sz w:val="24"/>
          <w:szCs w:val="24"/>
        </w:rPr>
      </w:pPr>
      <w:r w:rsidRPr="003B5D56">
        <w:rPr>
          <w:rFonts w:cs="Arial"/>
          <w:b/>
          <w:sz w:val="24"/>
          <w:szCs w:val="24"/>
        </w:rPr>
        <w:t xml:space="preserve">Emotional: </w:t>
      </w:r>
      <w:r w:rsidR="00E353F2" w:rsidRPr="003B5D56">
        <w:rPr>
          <w:rFonts w:cs="Arial"/>
          <w:sz w:val="24"/>
          <w:szCs w:val="24"/>
        </w:rPr>
        <w:t>strong involvement in</w:t>
      </w:r>
      <w:r w:rsidR="0002013C" w:rsidRPr="003B5D56">
        <w:rPr>
          <w:rFonts w:cs="Arial"/>
          <w:sz w:val="24"/>
          <w:szCs w:val="24"/>
        </w:rPr>
        <w:t xml:space="preserve"> one’s work experiencing pride and enthusiasm.</w:t>
      </w:r>
    </w:p>
    <w:p w:rsidR="00E353F2" w:rsidRPr="003B5D56" w:rsidRDefault="00E353F2" w:rsidP="00E353F2">
      <w:pPr>
        <w:pStyle w:val="ListParagraph"/>
        <w:ind w:left="360"/>
        <w:rPr>
          <w:rFonts w:cs="Arial"/>
          <w:sz w:val="24"/>
          <w:szCs w:val="24"/>
        </w:rPr>
      </w:pPr>
    </w:p>
    <w:p w:rsidR="00E353F2" w:rsidRPr="003B5D56" w:rsidRDefault="00E353F2" w:rsidP="00E353F2">
      <w:pPr>
        <w:ind w:firstLine="360"/>
        <w:rPr>
          <w:rFonts w:ascii="Arial" w:hAnsi="Arial" w:cs="Arial"/>
          <w:sz w:val="24"/>
          <w:szCs w:val="24"/>
        </w:rPr>
      </w:pPr>
      <w:r w:rsidRPr="003B5D56">
        <w:rPr>
          <w:rFonts w:ascii="Arial" w:hAnsi="Arial" w:cs="Arial"/>
          <w:sz w:val="24"/>
          <w:szCs w:val="24"/>
        </w:rPr>
        <w:t>(John</w:t>
      </w:r>
      <w:r w:rsidR="00F96EBB" w:rsidRPr="003B5D56">
        <w:rPr>
          <w:rFonts w:ascii="Arial" w:hAnsi="Arial" w:cs="Arial"/>
          <w:sz w:val="24"/>
          <w:szCs w:val="24"/>
        </w:rPr>
        <w:t>s</w:t>
      </w:r>
      <w:r w:rsidRPr="003B5D56">
        <w:rPr>
          <w:rFonts w:ascii="Arial" w:hAnsi="Arial" w:cs="Arial"/>
          <w:sz w:val="24"/>
          <w:szCs w:val="24"/>
        </w:rPr>
        <w:t xml:space="preserve"> and Ellis, 2016; CIPD, 2018; Hope-Hailey et al, 2012; Armstrong 2009).</w:t>
      </w:r>
    </w:p>
    <w:p w:rsidR="00E353F2" w:rsidRPr="003B5D56" w:rsidRDefault="00E353F2" w:rsidP="00E353F2">
      <w:pPr>
        <w:ind w:left="360"/>
        <w:rPr>
          <w:rFonts w:ascii="Arial" w:hAnsi="Arial" w:cs="Arial"/>
          <w:sz w:val="24"/>
          <w:szCs w:val="24"/>
        </w:rPr>
      </w:pPr>
      <w:r w:rsidRPr="003B5D56">
        <w:rPr>
          <w:rFonts w:ascii="Arial" w:hAnsi="Arial" w:cs="Arial"/>
          <w:sz w:val="24"/>
          <w:szCs w:val="24"/>
        </w:rPr>
        <w:t xml:space="preserve">CIPD (2012) reflect engagement is: </w:t>
      </w:r>
      <w:r w:rsidRPr="003B5D56">
        <w:rPr>
          <w:rFonts w:ascii="Arial" w:hAnsi="Arial" w:cs="Arial"/>
          <w:b/>
          <w:sz w:val="24"/>
          <w:szCs w:val="24"/>
        </w:rPr>
        <w:t xml:space="preserve">emotional </w:t>
      </w:r>
      <w:r w:rsidRPr="003B5D56">
        <w:rPr>
          <w:rFonts w:ascii="Arial" w:hAnsi="Arial" w:cs="Arial"/>
          <w:sz w:val="24"/>
          <w:szCs w:val="24"/>
        </w:rPr>
        <w:t xml:space="preserve">where employees are engaged having attachment to one or more aspects of their work which is deeper than; </w:t>
      </w:r>
      <w:r w:rsidRPr="003B5D56">
        <w:rPr>
          <w:rFonts w:ascii="Arial" w:hAnsi="Arial" w:cs="Arial"/>
          <w:b/>
          <w:sz w:val="24"/>
          <w:szCs w:val="24"/>
        </w:rPr>
        <w:t>transactional</w:t>
      </w:r>
      <w:r w:rsidRPr="003B5D56">
        <w:rPr>
          <w:rFonts w:ascii="Arial" w:hAnsi="Arial" w:cs="Arial"/>
          <w:sz w:val="24"/>
          <w:szCs w:val="24"/>
        </w:rPr>
        <w:t xml:space="preserve"> which is superficial</w:t>
      </w:r>
      <w:r w:rsidRPr="003B5D56">
        <w:rPr>
          <w:rFonts w:ascii="Arial" w:hAnsi="Arial" w:cs="Arial"/>
          <w:b/>
          <w:sz w:val="24"/>
          <w:szCs w:val="24"/>
        </w:rPr>
        <w:t xml:space="preserve"> </w:t>
      </w:r>
      <w:r w:rsidRPr="003B5D56">
        <w:rPr>
          <w:rFonts w:ascii="Arial" w:hAnsi="Arial" w:cs="Arial"/>
          <w:sz w:val="24"/>
          <w:szCs w:val="24"/>
        </w:rPr>
        <w:t xml:space="preserve">when one is happy and displays engagement </w:t>
      </w:r>
      <w:r w:rsidR="00002B7B" w:rsidRPr="003B5D56">
        <w:rPr>
          <w:rFonts w:ascii="Arial" w:hAnsi="Arial" w:cs="Arial"/>
          <w:sz w:val="24"/>
          <w:szCs w:val="24"/>
        </w:rPr>
        <w:t>yet</w:t>
      </w:r>
      <w:r w:rsidRPr="003B5D56">
        <w:rPr>
          <w:rFonts w:ascii="Arial" w:hAnsi="Arial" w:cs="Arial"/>
          <w:sz w:val="24"/>
          <w:szCs w:val="24"/>
        </w:rPr>
        <w:t xml:space="preserve"> not committed to their job or organisation leaving for better opportunities thus dis-engaged (Johns and Ellis, 2016).</w:t>
      </w:r>
      <w:r w:rsidRPr="003B5D56">
        <w:rPr>
          <w:rFonts w:ascii="Arial" w:hAnsi="Arial" w:cs="Arial"/>
          <w:sz w:val="24"/>
          <w:szCs w:val="24"/>
        </w:rPr>
        <w:br/>
      </w:r>
      <w:r w:rsidRPr="003B5D56">
        <w:rPr>
          <w:rFonts w:ascii="Arial" w:hAnsi="Arial" w:cs="Arial"/>
          <w:sz w:val="24"/>
          <w:szCs w:val="24"/>
        </w:rPr>
        <w:br/>
        <w:t xml:space="preserve">The three-dimensional concept which is discretionary and CIPD’s (2012) </w:t>
      </w:r>
      <w:r w:rsidR="00F76AD4" w:rsidRPr="003B5D56">
        <w:rPr>
          <w:rFonts w:ascii="Arial" w:hAnsi="Arial" w:cs="Arial"/>
          <w:sz w:val="24"/>
          <w:szCs w:val="24"/>
        </w:rPr>
        <w:t>two-</w:t>
      </w:r>
      <w:r w:rsidRPr="003B5D56">
        <w:rPr>
          <w:rFonts w:ascii="Arial" w:hAnsi="Arial" w:cs="Arial"/>
          <w:sz w:val="24"/>
          <w:szCs w:val="24"/>
        </w:rPr>
        <w:t>types of engagement reflect ‘one size does not fit all’</w:t>
      </w:r>
      <w:r w:rsidR="001849A9" w:rsidRPr="003B5D56">
        <w:rPr>
          <w:rFonts w:ascii="Arial" w:hAnsi="Arial" w:cs="Arial"/>
          <w:sz w:val="24"/>
          <w:szCs w:val="24"/>
        </w:rPr>
        <w:t xml:space="preserve">, </w:t>
      </w:r>
      <w:r w:rsidRPr="003B5D56">
        <w:rPr>
          <w:rFonts w:ascii="Arial" w:hAnsi="Arial" w:cs="Arial"/>
          <w:sz w:val="24"/>
          <w:szCs w:val="24"/>
        </w:rPr>
        <w:t>employers need to understand the different drivers of engagement within their business (John</w:t>
      </w:r>
      <w:r w:rsidR="00F96EBB" w:rsidRPr="003B5D56">
        <w:rPr>
          <w:rFonts w:ascii="Arial" w:hAnsi="Arial" w:cs="Arial"/>
          <w:sz w:val="24"/>
          <w:szCs w:val="24"/>
        </w:rPr>
        <w:t>s</w:t>
      </w:r>
      <w:r w:rsidRPr="003B5D56">
        <w:rPr>
          <w:rFonts w:ascii="Arial" w:hAnsi="Arial" w:cs="Arial"/>
          <w:sz w:val="24"/>
          <w:szCs w:val="24"/>
        </w:rPr>
        <w:t xml:space="preserve"> and Ellis, 2016).</w:t>
      </w:r>
    </w:p>
    <w:p w:rsidR="00B0197C" w:rsidRPr="003B5D56" w:rsidRDefault="00E353F2" w:rsidP="00E353F2">
      <w:pPr>
        <w:ind w:left="360"/>
        <w:rPr>
          <w:rFonts w:ascii="Arial" w:hAnsi="Arial" w:cs="Arial"/>
          <w:sz w:val="24"/>
          <w:szCs w:val="24"/>
        </w:rPr>
      </w:pPr>
      <w:r w:rsidRPr="003B5D56">
        <w:rPr>
          <w:rFonts w:ascii="Arial" w:hAnsi="Arial" w:cs="Arial"/>
          <w:sz w:val="24"/>
          <w:szCs w:val="24"/>
        </w:rPr>
        <w:t xml:space="preserve">Organisational commitment relates to individuals’ psychological attachment to an organisation. Commitment is contrasted against individual attitudes and organisational identification with involvement of an organisation </w:t>
      </w:r>
      <w:r w:rsidR="001849A9" w:rsidRPr="003B5D56">
        <w:rPr>
          <w:rFonts w:ascii="Arial" w:hAnsi="Arial" w:cs="Arial"/>
          <w:sz w:val="24"/>
          <w:szCs w:val="24"/>
        </w:rPr>
        <w:t>like</w:t>
      </w:r>
      <w:r w:rsidRPr="003B5D56">
        <w:rPr>
          <w:rFonts w:ascii="Arial" w:hAnsi="Arial" w:cs="Arial"/>
          <w:sz w:val="24"/>
          <w:szCs w:val="24"/>
        </w:rPr>
        <w:t xml:space="preserve"> job satisfaction. Individual commitment is characterised as:</w:t>
      </w:r>
    </w:p>
    <w:p w:rsidR="00B0197C" w:rsidRPr="003B5D56" w:rsidRDefault="00B0197C">
      <w:pPr>
        <w:spacing w:after="160" w:line="259" w:lineRule="auto"/>
        <w:rPr>
          <w:rFonts w:ascii="Arial" w:hAnsi="Arial" w:cs="Arial"/>
          <w:sz w:val="24"/>
          <w:szCs w:val="24"/>
        </w:rPr>
      </w:pPr>
      <w:r w:rsidRPr="003B5D56">
        <w:rPr>
          <w:rFonts w:ascii="Arial" w:hAnsi="Arial" w:cs="Arial"/>
          <w:sz w:val="24"/>
          <w:szCs w:val="24"/>
        </w:rPr>
        <w:br w:type="page"/>
      </w:r>
    </w:p>
    <w:p w:rsidR="00E353F2" w:rsidRPr="003B5D56" w:rsidRDefault="00E353F2" w:rsidP="00E353F2">
      <w:pPr>
        <w:ind w:left="360"/>
        <w:rPr>
          <w:rFonts w:ascii="Arial" w:hAnsi="Arial" w:cs="Arial"/>
          <w:sz w:val="24"/>
          <w:szCs w:val="24"/>
        </w:rPr>
      </w:pPr>
    </w:p>
    <w:p w:rsidR="00E353F2" w:rsidRPr="003B5D56" w:rsidRDefault="00E353F2" w:rsidP="00E353F2">
      <w:pPr>
        <w:pStyle w:val="ListParagraph"/>
        <w:numPr>
          <w:ilvl w:val="0"/>
          <w:numId w:val="4"/>
        </w:numPr>
        <w:rPr>
          <w:rFonts w:cs="Arial"/>
          <w:b/>
          <w:sz w:val="24"/>
          <w:szCs w:val="24"/>
        </w:rPr>
      </w:pPr>
      <w:r w:rsidRPr="003B5D56">
        <w:rPr>
          <w:rFonts w:cs="Arial"/>
          <w:b/>
          <w:sz w:val="24"/>
          <w:szCs w:val="24"/>
        </w:rPr>
        <w:t>Affective</w:t>
      </w:r>
      <w:r w:rsidR="00F76AD4" w:rsidRPr="003B5D56">
        <w:rPr>
          <w:rFonts w:cs="Arial"/>
          <w:b/>
          <w:sz w:val="24"/>
          <w:szCs w:val="24"/>
        </w:rPr>
        <w:t xml:space="preserve">: </w:t>
      </w:r>
      <w:r w:rsidRPr="003B5D56">
        <w:rPr>
          <w:rFonts w:cs="Arial"/>
          <w:sz w:val="24"/>
          <w:szCs w:val="24"/>
        </w:rPr>
        <w:t>positive emotional attachment to the organisation’s goals and strong identification.</w:t>
      </w:r>
    </w:p>
    <w:p w:rsidR="00E353F2" w:rsidRPr="003B5D56" w:rsidRDefault="00E353F2" w:rsidP="00E353F2">
      <w:pPr>
        <w:pStyle w:val="ListParagraph"/>
        <w:numPr>
          <w:ilvl w:val="0"/>
          <w:numId w:val="4"/>
        </w:numPr>
        <w:rPr>
          <w:rFonts w:cs="Arial"/>
          <w:b/>
          <w:sz w:val="24"/>
          <w:szCs w:val="24"/>
        </w:rPr>
      </w:pPr>
      <w:r w:rsidRPr="003B5D56">
        <w:rPr>
          <w:rFonts w:cs="Arial"/>
          <w:b/>
          <w:sz w:val="24"/>
          <w:szCs w:val="24"/>
        </w:rPr>
        <w:t>Continuance</w:t>
      </w:r>
      <w:r w:rsidR="00F76AD4" w:rsidRPr="003B5D56">
        <w:rPr>
          <w:rFonts w:cs="Arial"/>
          <w:b/>
          <w:sz w:val="24"/>
          <w:szCs w:val="24"/>
        </w:rPr>
        <w:t>:</w:t>
      </w:r>
      <w:r w:rsidRPr="003B5D56">
        <w:rPr>
          <w:rFonts w:cs="Arial"/>
          <w:sz w:val="24"/>
          <w:szCs w:val="24"/>
        </w:rPr>
        <w:t xml:space="preserve"> due to economic</w:t>
      </w:r>
      <w:r w:rsidR="00002B7B" w:rsidRPr="003B5D56">
        <w:rPr>
          <w:rFonts w:cs="Arial"/>
          <w:sz w:val="24"/>
          <w:szCs w:val="24"/>
        </w:rPr>
        <w:t xml:space="preserve">, </w:t>
      </w:r>
      <w:r w:rsidRPr="003B5D56">
        <w:rPr>
          <w:rFonts w:cs="Arial"/>
          <w:sz w:val="24"/>
          <w:szCs w:val="24"/>
        </w:rPr>
        <w:t xml:space="preserve">social costs and risks with leaving the organisation </w:t>
      </w:r>
      <w:r w:rsidR="00F76AD4" w:rsidRPr="003B5D56">
        <w:rPr>
          <w:rFonts w:cs="Arial"/>
          <w:sz w:val="24"/>
          <w:szCs w:val="24"/>
        </w:rPr>
        <w:t>like</w:t>
      </w:r>
      <w:r w:rsidRPr="003B5D56">
        <w:rPr>
          <w:rFonts w:cs="Arial"/>
          <w:sz w:val="24"/>
          <w:szCs w:val="24"/>
        </w:rPr>
        <w:t xml:space="preserve"> pension rights or fear of unemployment, remaining because they ‘have to’.</w:t>
      </w:r>
    </w:p>
    <w:p w:rsidR="00E353F2" w:rsidRPr="003B5D56" w:rsidRDefault="00E353F2" w:rsidP="00E353F2">
      <w:pPr>
        <w:pStyle w:val="ListParagraph"/>
        <w:numPr>
          <w:ilvl w:val="0"/>
          <w:numId w:val="4"/>
        </w:numPr>
        <w:rPr>
          <w:rFonts w:cs="Arial"/>
          <w:b/>
          <w:sz w:val="24"/>
          <w:szCs w:val="24"/>
        </w:rPr>
      </w:pPr>
      <w:r w:rsidRPr="003B5D56">
        <w:rPr>
          <w:rFonts w:cs="Arial"/>
          <w:b/>
          <w:sz w:val="24"/>
          <w:szCs w:val="24"/>
        </w:rPr>
        <w:t>Normative</w:t>
      </w:r>
      <w:r w:rsidR="00F76AD4" w:rsidRPr="003B5D56">
        <w:rPr>
          <w:rFonts w:cs="Arial"/>
          <w:b/>
          <w:sz w:val="24"/>
          <w:szCs w:val="24"/>
        </w:rPr>
        <w:t xml:space="preserve">: </w:t>
      </w:r>
      <w:r w:rsidRPr="003B5D56">
        <w:rPr>
          <w:rFonts w:cs="Arial"/>
          <w:sz w:val="24"/>
          <w:szCs w:val="24"/>
        </w:rPr>
        <w:t>‘feeling they must remain’ due to training and development repaying the debt.</w:t>
      </w:r>
    </w:p>
    <w:p w:rsidR="00E353F2" w:rsidRPr="003B5D56" w:rsidRDefault="00E353F2" w:rsidP="00E353F2">
      <w:pPr>
        <w:pStyle w:val="ListParagraph"/>
        <w:ind w:left="1080"/>
        <w:rPr>
          <w:rFonts w:cs="Arial"/>
          <w:sz w:val="24"/>
          <w:szCs w:val="24"/>
        </w:rPr>
      </w:pPr>
      <w:r w:rsidRPr="003B5D56">
        <w:rPr>
          <w:rFonts w:cs="Arial"/>
          <w:sz w:val="24"/>
          <w:szCs w:val="24"/>
        </w:rPr>
        <w:t>(Johns and Ellis, 2016, Hutchinson, 2013)</w:t>
      </w:r>
    </w:p>
    <w:p w:rsidR="00E353F2" w:rsidRPr="003B5D56" w:rsidRDefault="00E353F2" w:rsidP="00E353F2">
      <w:pPr>
        <w:pStyle w:val="ListParagraph"/>
        <w:ind w:left="1080"/>
        <w:rPr>
          <w:rFonts w:cs="Arial"/>
          <w:b/>
          <w:sz w:val="24"/>
          <w:szCs w:val="24"/>
        </w:rPr>
      </w:pPr>
    </w:p>
    <w:p w:rsidR="00E353F2" w:rsidRPr="003B5D56" w:rsidRDefault="00E353F2" w:rsidP="00E353F2">
      <w:pPr>
        <w:ind w:left="360"/>
        <w:rPr>
          <w:rFonts w:ascii="Arial" w:hAnsi="Arial" w:cs="Arial"/>
          <w:sz w:val="24"/>
          <w:szCs w:val="24"/>
        </w:rPr>
      </w:pPr>
      <w:r w:rsidRPr="003B5D56">
        <w:rPr>
          <w:rFonts w:ascii="Arial" w:hAnsi="Arial" w:cs="Arial"/>
          <w:sz w:val="24"/>
          <w:szCs w:val="24"/>
        </w:rPr>
        <w:t xml:space="preserve">Differences between organisational commitment, engagement and job satisfaction are: organisational commitment relates to emotional responses to an organisation </w:t>
      </w:r>
      <w:r w:rsidR="00F76AD4" w:rsidRPr="003B5D56">
        <w:rPr>
          <w:rFonts w:ascii="Arial" w:hAnsi="Arial" w:cs="Arial"/>
          <w:sz w:val="24"/>
          <w:szCs w:val="24"/>
        </w:rPr>
        <w:t>like</w:t>
      </w:r>
      <w:r w:rsidRPr="003B5D56">
        <w:rPr>
          <w:rFonts w:ascii="Arial" w:hAnsi="Arial" w:cs="Arial"/>
          <w:sz w:val="24"/>
          <w:szCs w:val="24"/>
        </w:rPr>
        <w:t xml:space="preserve"> positive links to values and objectives however, employees can be disengaged; engagement relates to intrinsic attitudes like enthusiasm; job satisfaction relates towards any job regardless of organisation.  Engaged employees can be engaged in their work but not committed to the organisation.  Organisations should recognise the three types of commitment as these influence how long an individual remains with an organisation aiming to encourage affective commitment.  Committed employees add value to the organisation, are highly productive, less likely to be absent in comparison to non-committed employees who can work against the organisation and its success (Wainwright, 2018; Werf, 2018).</w:t>
      </w:r>
    </w:p>
    <w:p w:rsidR="000840A8" w:rsidRPr="003B5D56" w:rsidRDefault="005F51D5" w:rsidP="00292F6E">
      <w:pPr>
        <w:pStyle w:val="ListParagraph"/>
        <w:numPr>
          <w:ilvl w:val="0"/>
          <w:numId w:val="1"/>
        </w:numPr>
        <w:spacing w:after="160" w:line="259" w:lineRule="auto"/>
        <w:rPr>
          <w:rFonts w:cs="Arial"/>
          <w:sz w:val="24"/>
          <w:szCs w:val="24"/>
        </w:rPr>
      </w:pPr>
      <w:r w:rsidRPr="003B5D56">
        <w:rPr>
          <w:rFonts w:cs="Arial"/>
          <w:b/>
          <w:sz w:val="24"/>
          <w:szCs w:val="24"/>
        </w:rPr>
        <w:t xml:space="preserve">Key </w:t>
      </w:r>
      <w:r w:rsidR="0095426F" w:rsidRPr="003B5D56">
        <w:rPr>
          <w:rFonts w:cs="Arial"/>
          <w:b/>
          <w:sz w:val="24"/>
          <w:szCs w:val="24"/>
        </w:rPr>
        <w:t>characteristics</w:t>
      </w:r>
      <w:r w:rsidRPr="003B5D56">
        <w:rPr>
          <w:rFonts w:cs="Arial"/>
          <w:b/>
          <w:sz w:val="24"/>
          <w:szCs w:val="24"/>
        </w:rPr>
        <w:t xml:space="preserve"> of </w:t>
      </w:r>
      <w:r w:rsidR="0095426F" w:rsidRPr="003B5D56">
        <w:rPr>
          <w:rFonts w:cs="Arial"/>
          <w:b/>
          <w:sz w:val="24"/>
          <w:szCs w:val="24"/>
        </w:rPr>
        <w:t xml:space="preserve">high </w:t>
      </w:r>
      <w:r w:rsidR="002B62BB" w:rsidRPr="003B5D56">
        <w:rPr>
          <w:rFonts w:cs="Arial"/>
          <w:b/>
          <w:sz w:val="24"/>
          <w:szCs w:val="24"/>
        </w:rPr>
        <w:t>employee engagement</w:t>
      </w:r>
    </w:p>
    <w:p w:rsidR="00DD39AA" w:rsidRPr="003B5D56" w:rsidRDefault="00DD39AA" w:rsidP="00DD39AA">
      <w:pPr>
        <w:ind w:left="360"/>
        <w:rPr>
          <w:rFonts w:ascii="Arial" w:hAnsi="Arial" w:cs="Arial"/>
          <w:sz w:val="24"/>
          <w:szCs w:val="24"/>
        </w:rPr>
      </w:pPr>
      <w:r w:rsidRPr="003B5D56">
        <w:rPr>
          <w:rFonts w:ascii="Arial" w:hAnsi="Arial" w:cs="Arial"/>
          <w:sz w:val="24"/>
          <w:szCs w:val="24"/>
        </w:rPr>
        <w:t>Sanders (2012) reflect trust is vital enabling growth and organisations are likely to prosper, employees will share information, work well within teams, have higher levels of job satisfaction, less likely to leave the organisation, willing to recommend their employer and are less resistant to change (Dix and Oxenbridge, 2003).  Trust</w:t>
      </w:r>
      <w:r w:rsidR="005C3E1D" w:rsidRPr="003B5D56">
        <w:rPr>
          <w:rFonts w:ascii="Arial" w:hAnsi="Arial" w:cs="Arial"/>
          <w:sz w:val="24"/>
          <w:szCs w:val="24"/>
        </w:rPr>
        <w:t xml:space="preserve"> between HR, management teams, U</w:t>
      </w:r>
      <w:r w:rsidRPr="003B5D56">
        <w:rPr>
          <w:rFonts w:ascii="Arial" w:hAnsi="Arial" w:cs="Arial"/>
          <w:sz w:val="24"/>
          <w:szCs w:val="24"/>
        </w:rPr>
        <w:t>nion’s and employee representatives create constructive relationships supporting business.  Trust stems from behaviours of line-managers and leadership; key characteristics of trust are ability, benevolence, integrity and predictability (Hope-Hailey et al, 2012).</w:t>
      </w:r>
    </w:p>
    <w:p w:rsidR="00DD39AA" w:rsidRPr="003B5D56" w:rsidRDefault="00DD39AA" w:rsidP="00DD39AA">
      <w:pPr>
        <w:ind w:left="360"/>
        <w:rPr>
          <w:rFonts w:ascii="Arial" w:hAnsi="Arial" w:cs="Arial"/>
          <w:sz w:val="24"/>
          <w:szCs w:val="24"/>
        </w:rPr>
      </w:pPr>
      <w:r w:rsidRPr="003B5D56">
        <w:rPr>
          <w:rFonts w:ascii="Arial" w:hAnsi="Arial" w:cs="Arial"/>
          <w:sz w:val="24"/>
          <w:szCs w:val="24"/>
        </w:rPr>
        <w:t>Line-manager trust is developed by consistent behaviours including feedback, goal setting and concern for employee wellbeing (Sanders, 2012) this promotes an EE culture which research supports:-</w:t>
      </w:r>
    </w:p>
    <w:p w:rsidR="00DD39AA" w:rsidRPr="003B5D56" w:rsidRDefault="00DD39AA" w:rsidP="00DD39AA">
      <w:pPr>
        <w:ind w:left="360"/>
        <w:rPr>
          <w:rFonts w:ascii="Arial" w:hAnsi="Arial" w:cs="Arial"/>
          <w:sz w:val="24"/>
          <w:szCs w:val="24"/>
        </w:rPr>
      </w:pPr>
      <w:r w:rsidRPr="003B5D56">
        <w:rPr>
          <w:rFonts w:ascii="Arial" w:hAnsi="Arial" w:cs="Arial"/>
          <w:sz w:val="24"/>
          <w:szCs w:val="24"/>
        </w:rPr>
        <w:t>Purcell (2010) identified drivers to engagement as building blocks, derived from an employee survey linking organisational commitment and engagement including: employee trust in management; decision-making; satisfaction with pay and work itself; job challenge; quality of relationships; and sense of achievement from work.  Thus the importance of policies and practices towards creating and sustaining good relationships between employees and management encourage employees to exhibit discretionary behaviour (Johns and Ellis, 2016).</w:t>
      </w:r>
    </w:p>
    <w:p w:rsidR="00DD39AA" w:rsidRPr="003B5D56" w:rsidRDefault="00DD39AA" w:rsidP="00DD39AA">
      <w:pPr>
        <w:ind w:left="360"/>
        <w:rPr>
          <w:rFonts w:ascii="Arial" w:hAnsi="Arial" w:cs="Arial"/>
          <w:sz w:val="24"/>
          <w:szCs w:val="24"/>
        </w:rPr>
      </w:pPr>
      <w:r w:rsidRPr="003B5D56">
        <w:rPr>
          <w:rFonts w:ascii="Arial" w:hAnsi="Arial" w:cs="Arial"/>
          <w:sz w:val="24"/>
          <w:szCs w:val="24"/>
        </w:rPr>
        <w:t>MacLeod (2009) identified four enablers emphasising the role of line-managers promoting an engaging culture:-</w:t>
      </w:r>
    </w:p>
    <w:p w:rsidR="00DD39AA" w:rsidRPr="003B5D56" w:rsidRDefault="00DD39AA" w:rsidP="00DD39AA">
      <w:pPr>
        <w:ind w:left="360"/>
        <w:rPr>
          <w:rFonts w:ascii="Arial" w:hAnsi="Arial" w:cs="Arial"/>
          <w:b/>
          <w:sz w:val="24"/>
          <w:szCs w:val="24"/>
        </w:rPr>
      </w:pPr>
      <w:r w:rsidRPr="003B5D56">
        <w:rPr>
          <w:rFonts w:ascii="Arial" w:hAnsi="Arial" w:cs="Arial"/>
          <w:b/>
          <w:sz w:val="24"/>
          <w:szCs w:val="24"/>
        </w:rPr>
        <w:t>Leadership:</w:t>
      </w:r>
    </w:p>
    <w:p w:rsidR="00DD39AA" w:rsidRPr="003B5D56" w:rsidRDefault="00DD39AA" w:rsidP="00DD39AA">
      <w:pPr>
        <w:ind w:left="360"/>
        <w:rPr>
          <w:rFonts w:ascii="Arial" w:hAnsi="Arial" w:cs="Arial"/>
          <w:sz w:val="24"/>
          <w:szCs w:val="24"/>
        </w:rPr>
      </w:pPr>
      <w:r w:rsidRPr="003B5D56">
        <w:rPr>
          <w:rFonts w:ascii="Arial" w:hAnsi="Arial" w:cs="Arial"/>
          <w:sz w:val="24"/>
          <w:szCs w:val="24"/>
        </w:rPr>
        <w:t>A strong strategic narrative thus a transparent culture gives employees a line of sight between the organisation’s aims and vision to their job where ownership and commitment from managers and employees are at all levels (John</w:t>
      </w:r>
      <w:r w:rsidR="00F96EBB" w:rsidRPr="003B5D56">
        <w:rPr>
          <w:rFonts w:ascii="Arial" w:hAnsi="Arial" w:cs="Arial"/>
          <w:sz w:val="24"/>
          <w:szCs w:val="24"/>
        </w:rPr>
        <w:t>s</w:t>
      </w:r>
      <w:r w:rsidRPr="003B5D56">
        <w:rPr>
          <w:rFonts w:ascii="Arial" w:hAnsi="Arial" w:cs="Arial"/>
          <w:sz w:val="24"/>
          <w:szCs w:val="24"/>
        </w:rPr>
        <w:t xml:space="preserve"> and Ellis, 2016; Marchington, 2016; MacLeod and Clarke, 2009).  </w:t>
      </w:r>
      <w:r w:rsidRPr="003B5D56">
        <w:rPr>
          <w:rFonts w:ascii="Arial" w:hAnsi="Arial" w:cs="Arial"/>
          <w:sz w:val="24"/>
          <w:szCs w:val="24"/>
        </w:rPr>
        <w:br/>
      </w:r>
      <w:r w:rsidRPr="003B5D56">
        <w:rPr>
          <w:rFonts w:ascii="Arial" w:hAnsi="Arial" w:cs="Arial"/>
          <w:sz w:val="24"/>
          <w:szCs w:val="24"/>
        </w:rPr>
        <w:br/>
        <w:t>Purcell et al, (2003) concluded successful companies express ‘the big idea’ where a clear sense of mission is underpinned by values and culture of the company and the relationship with customers and employees like B&amp;Q (Armstrong 2009; Personnel Today, 2000).</w:t>
      </w:r>
    </w:p>
    <w:p w:rsidR="00DD39AA" w:rsidRPr="003B5D56" w:rsidRDefault="00DD39AA" w:rsidP="00DD39AA">
      <w:pPr>
        <w:ind w:left="360"/>
        <w:rPr>
          <w:rFonts w:ascii="Arial" w:hAnsi="Arial" w:cs="Arial"/>
          <w:sz w:val="24"/>
          <w:szCs w:val="24"/>
        </w:rPr>
      </w:pPr>
      <w:r w:rsidRPr="003B5D56">
        <w:rPr>
          <w:rFonts w:ascii="Arial" w:hAnsi="Arial" w:cs="Arial"/>
          <w:b/>
          <w:sz w:val="24"/>
          <w:szCs w:val="24"/>
        </w:rPr>
        <w:lastRenderedPageBreak/>
        <w:t xml:space="preserve">Engaging managers: </w:t>
      </w:r>
      <w:r w:rsidRPr="003B5D56">
        <w:rPr>
          <w:rFonts w:ascii="Arial" w:hAnsi="Arial" w:cs="Arial"/>
          <w:b/>
          <w:sz w:val="24"/>
          <w:szCs w:val="24"/>
        </w:rPr>
        <w:br/>
      </w:r>
      <w:r w:rsidRPr="003B5D56">
        <w:rPr>
          <w:rFonts w:ascii="Arial" w:hAnsi="Arial" w:cs="Arial"/>
          <w:b/>
          <w:sz w:val="24"/>
          <w:szCs w:val="24"/>
        </w:rPr>
        <w:br/>
      </w:r>
      <w:r w:rsidRPr="003B5D56">
        <w:rPr>
          <w:rFonts w:ascii="Arial" w:hAnsi="Arial" w:cs="Arial"/>
          <w:sz w:val="24"/>
          <w:szCs w:val="24"/>
        </w:rPr>
        <w:t>Treating employees as individuals; organising work efficiently and effectively facilitating and empowering rather than controlling and restricting employees (John</w:t>
      </w:r>
      <w:r w:rsidR="00F96EBB" w:rsidRPr="003B5D56">
        <w:rPr>
          <w:rFonts w:ascii="Arial" w:hAnsi="Arial" w:cs="Arial"/>
          <w:sz w:val="24"/>
          <w:szCs w:val="24"/>
        </w:rPr>
        <w:t>s</w:t>
      </w:r>
      <w:r w:rsidRPr="003B5D56">
        <w:rPr>
          <w:rFonts w:ascii="Arial" w:hAnsi="Arial" w:cs="Arial"/>
          <w:sz w:val="24"/>
          <w:szCs w:val="24"/>
        </w:rPr>
        <w:t xml:space="preserve"> and Ellis, 2016; Marchington, 2016; MacLeod and Clarke, 2009). </w:t>
      </w:r>
    </w:p>
    <w:p w:rsidR="00DD39AA" w:rsidRPr="003B5D56" w:rsidRDefault="00DD39AA" w:rsidP="00DD39AA">
      <w:pPr>
        <w:ind w:left="360"/>
        <w:rPr>
          <w:rFonts w:ascii="Arial" w:hAnsi="Arial" w:cs="Arial"/>
          <w:b/>
          <w:sz w:val="24"/>
          <w:szCs w:val="24"/>
        </w:rPr>
      </w:pPr>
      <w:r w:rsidRPr="003B5D56">
        <w:rPr>
          <w:rFonts w:ascii="Arial" w:hAnsi="Arial" w:cs="Arial"/>
          <w:b/>
          <w:sz w:val="24"/>
          <w:szCs w:val="24"/>
        </w:rPr>
        <w:t>Voice:</w:t>
      </w:r>
    </w:p>
    <w:p w:rsidR="00DD39AA" w:rsidRPr="003B5D56" w:rsidRDefault="00DD39AA" w:rsidP="00DD39AA">
      <w:pPr>
        <w:ind w:left="360"/>
        <w:rPr>
          <w:rFonts w:ascii="Arial" w:hAnsi="Arial" w:cs="Arial"/>
          <w:sz w:val="24"/>
          <w:szCs w:val="24"/>
        </w:rPr>
      </w:pPr>
      <w:r w:rsidRPr="003B5D56">
        <w:rPr>
          <w:rFonts w:ascii="Arial" w:hAnsi="Arial" w:cs="Arial"/>
          <w:sz w:val="24"/>
          <w:szCs w:val="24"/>
        </w:rPr>
        <w:t>To make a difference employees views must be sought and listened to where mutual trust is paramount (John</w:t>
      </w:r>
      <w:r w:rsidR="00F96EBB" w:rsidRPr="003B5D56">
        <w:rPr>
          <w:rFonts w:ascii="Arial" w:hAnsi="Arial" w:cs="Arial"/>
          <w:sz w:val="24"/>
          <w:szCs w:val="24"/>
        </w:rPr>
        <w:t>s</w:t>
      </w:r>
      <w:r w:rsidRPr="003B5D56">
        <w:rPr>
          <w:rFonts w:ascii="Arial" w:hAnsi="Arial" w:cs="Arial"/>
          <w:sz w:val="24"/>
          <w:szCs w:val="24"/>
        </w:rPr>
        <w:t xml:space="preserve"> and Ellis, 2016; Marchington, 2016; MacLeod and Clarke, 2009, Sanders, 2012).  Without trust, information sharing and engaging in open and honest dialogue between </w:t>
      </w:r>
      <w:r w:rsidR="005C3E1D" w:rsidRPr="003B5D56">
        <w:rPr>
          <w:rFonts w:ascii="Arial" w:hAnsi="Arial" w:cs="Arial"/>
          <w:sz w:val="24"/>
          <w:szCs w:val="24"/>
        </w:rPr>
        <w:t>U</w:t>
      </w:r>
      <w:r w:rsidRPr="003B5D56">
        <w:rPr>
          <w:rFonts w:ascii="Arial" w:hAnsi="Arial" w:cs="Arial"/>
          <w:sz w:val="24"/>
          <w:szCs w:val="24"/>
        </w:rPr>
        <w:t>nion, employees and management will see relationships suffer.  MacLeod and Clarke (2009) referred to First Direct where high levels of trust in employees provided solutions resulting in higher customer service performance and engagement data.</w:t>
      </w:r>
    </w:p>
    <w:p w:rsidR="00DD39AA" w:rsidRPr="003B5D56" w:rsidRDefault="00DD39AA" w:rsidP="00DD39AA">
      <w:pPr>
        <w:ind w:left="360"/>
        <w:rPr>
          <w:rFonts w:ascii="Arial" w:hAnsi="Arial" w:cs="Arial"/>
          <w:b/>
          <w:sz w:val="24"/>
          <w:szCs w:val="24"/>
        </w:rPr>
      </w:pPr>
      <w:r w:rsidRPr="003B5D56">
        <w:rPr>
          <w:rFonts w:ascii="Arial" w:hAnsi="Arial" w:cs="Arial"/>
          <w:b/>
          <w:sz w:val="24"/>
          <w:szCs w:val="24"/>
        </w:rPr>
        <w:t>Integrity:</w:t>
      </w:r>
    </w:p>
    <w:p w:rsidR="00DD39AA" w:rsidRPr="003B5D56" w:rsidRDefault="00DD39AA" w:rsidP="00DD39AA">
      <w:pPr>
        <w:ind w:left="360"/>
        <w:rPr>
          <w:rFonts w:ascii="Arial" w:hAnsi="Arial" w:cs="Arial"/>
          <w:sz w:val="24"/>
          <w:szCs w:val="24"/>
        </w:rPr>
      </w:pPr>
      <w:r w:rsidRPr="003B5D56">
        <w:rPr>
          <w:rFonts w:ascii="Arial" w:hAnsi="Arial" w:cs="Arial"/>
          <w:sz w:val="24"/>
          <w:szCs w:val="24"/>
        </w:rPr>
        <w:t>Living the values of an organisation and promoting trust is essential to an engaged workforce.  The Eden Project successfully embodied its values in the working lives of its employees (John</w:t>
      </w:r>
      <w:r w:rsidR="00F96EBB" w:rsidRPr="003B5D56">
        <w:rPr>
          <w:rFonts w:ascii="Arial" w:hAnsi="Arial" w:cs="Arial"/>
          <w:sz w:val="24"/>
          <w:szCs w:val="24"/>
        </w:rPr>
        <w:t>s</w:t>
      </w:r>
      <w:r w:rsidRPr="003B5D56">
        <w:rPr>
          <w:rFonts w:ascii="Arial" w:hAnsi="Arial" w:cs="Arial"/>
          <w:sz w:val="24"/>
          <w:szCs w:val="24"/>
        </w:rPr>
        <w:t xml:space="preserve"> and Ellis, 2016; Marchington, 2016; MacLeod and Clarke, 2009; Sanders, 2012).  MacLeod and Clarke (2009), cite a direct link between leadership behaviours and the values of an organisation when there is gap a reduction in trust occurs.  </w:t>
      </w:r>
    </w:p>
    <w:p w:rsidR="00DD39AA" w:rsidRPr="003B5D56" w:rsidRDefault="00DD39AA" w:rsidP="00DD39AA">
      <w:pPr>
        <w:ind w:left="360"/>
        <w:rPr>
          <w:rFonts w:ascii="Arial" w:hAnsi="Arial" w:cs="Arial"/>
          <w:sz w:val="24"/>
          <w:szCs w:val="24"/>
        </w:rPr>
      </w:pPr>
      <w:r w:rsidRPr="003B5D56">
        <w:rPr>
          <w:rFonts w:ascii="Arial" w:hAnsi="Arial" w:cs="Arial"/>
          <w:sz w:val="24"/>
          <w:szCs w:val="24"/>
        </w:rPr>
        <w:t>Robinson and Hayday (2009)</w:t>
      </w:r>
      <w:r w:rsidR="00296A25" w:rsidRPr="003B5D56">
        <w:rPr>
          <w:rFonts w:ascii="Arial" w:hAnsi="Arial" w:cs="Arial"/>
          <w:sz w:val="24"/>
          <w:szCs w:val="24"/>
        </w:rPr>
        <w:t xml:space="preserve"> stated </w:t>
      </w:r>
      <w:r w:rsidRPr="003B5D56">
        <w:rPr>
          <w:rFonts w:ascii="Arial" w:hAnsi="Arial" w:cs="Arial"/>
          <w:sz w:val="24"/>
          <w:szCs w:val="24"/>
        </w:rPr>
        <w:t>regardless of sector, organisation or employee group, line-manager relationship was crucial.  Research on line-managers behaviour concluded there was little in common between managers other than the consistency to engage their teams via broadly the same behaviours.</w:t>
      </w:r>
    </w:p>
    <w:p w:rsidR="009746BE" w:rsidRPr="003B5D56" w:rsidRDefault="00DD39AA" w:rsidP="00B0197C">
      <w:pPr>
        <w:ind w:left="360"/>
        <w:rPr>
          <w:rFonts w:ascii="Arial" w:hAnsi="Arial" w:cs="Arial"/>
          <w:sz w:val="24"/>
          <w:szCs w:val="24"/>
        </w:rPr>
      </w:pPr>
      <w:r w:rsidRPr="003B5D56">
        <w:rPr>
          <w:rFonts w:ascii="Arial" w:hAnsi="Arial" w:cs="Arial"/>
          <w:sz w:val="24"/>
          <w:szCs w:val="24"/>
        </w:rPr>
        <w:t>Google exemplifies high levels of EE and high performance through its culture and opportunity including their social mission and purpose: ensuring the highest average salaries, employees work because they want to rather than need to; ensuring employees exert daily control over tasks; their relationships with co-workers and bosses; work-life balance; providing growth opportunities; benefits; and employee voice through Google-O-Meter (Phelps, 2014).</w:t>
      </w:r>
    </w:p>
    <w:p w:rsidR="00DA50C6" w:rsidRPr="003B5D56" w:rsidRDefault="0095426F" w:rsidP="00A929FD">
      <w:pPr>
        <w:pStyle w:val="ListParagraph"/>
        <w:numPr>
          <w:ilvl w:val="0"/>
          <w:numId w:val="1"/>
        </w:numPr>
        <w:rPr>
          <w:rFonts w:cs="Arial"/>
          <w:b/>
          <w:sz w:val="24"/>
          <w:szCs w:val="24"/>
        </w:rPr>
      </w:pPr>
      <w:r w:rsidRPr="003B5D56">
        <w:rPr>
          <w:rFonts w:cs="Arial"/>
          <w:b/>
          <w:sz w:val="24"/>
          <w:szCs w:val="24"/>
        </w:rPr>
        <w:t xml:space="preserve">Why </w:t>
      </w:r>
      <w:r w:rsidR="002B62BB" w:rsidRPr="003B5D56">
        <w:rPr>
          <w:rFonts w:cs="Arial"/>
          <w:b/>
          <w:sz w:val="24"/>
          <w:szCs w:val="24"/>
        </w:rPr>
        <w:t>employee engagement</w:t>
      </w:r>
      <w:r w:rsidRPr="003B5D56">
        <w:rPr>
          <w:rFonts w:cs="Arial"/>
          <w:b/>
          <w:sz w:val="24"/>
          <w:szCs w:val="24"/>
        </w:rPr>
        <w:t xml:space="preserve"> is increasingly vital</w:t>
      </w:r>
    </w:p>
    <w:p w:rsidR="00583D7B" w:rsidRPr="003B5D56" w:rsidRDefault="00583D7B" w:rsidP="00583D7B">
      <w:pPr>
        <w:pStyle w:val="ListParagraph"/>
        <w:ind w:left="360"/>
        <w:rPr>
          <w:rFonts w:cs="Arial"/>
          <w:sz w:val="24"/>
          <w:szCs w:val="24"/>
        </w:rPr>
      </w:pPr>
    </w:p>
    <w:p w:rsidR="0009022F" w:rsidRPr="003B5D56" w:rsidRDefault="0009022F" w:rsidP="0009022F">
      <w:pPr>
        <w:pStyle w:val="ListParagraph"/>
        <w:ind w:left="360"/>
        <w:rPr>
          <w:rFonts w:cs="Arial"/>
          <w:sz w:val="24"/>
          <w:szCs w:val="24"/>
        </w:rPr>
      </w:pPr>
      <w:r w:rsidRPr="003B5D56">
        <w:rPr>
          <w:rFonts w:cs="Arial"/>
          <w:sz w:val="24"/>
          <w:szCs w:val="24"/>
        </w:rPr>
        <w:t xml:space="preserve">Culture and engagement are business and HR issues, studies imply engaged workforces’ are not only good for employees but organisations’; realising it is good for customers and the organisation’s performance.  An engaged workforce are happier and more satisfied with their jobs however, the main reason for engagement is organisational results. High levels of engagement </w:t>
      </w:r>
      <w:r w:rsidR="00805E12" w:rsidRPr="003B5D56">
        <w:rPr>
          <w:rFonts w:cs="Arial"/>
          <w:sz w:val="24"/>
          <w:szCs w:val="24"/>
        </w:rPr>
        <w:t>link to</w:t>
      </w:r>
      <w:r w:rsidRPr="003B5D56">
        <w:rPr>
          <w:rFonts w:cs="Arial"/>
          <w:sz w:val="24"/>
          <w:szCs w:val="24"/>
        </w:rPr>
        <w:t xml:space="preserve">; more profitability and bottom-line results, innovation, productivity, beneficial discretionary behaviour, stronger customer satisfaction, loyalty and retention, have the lowest voluntary turnover rates, organisational citizenship and corporate social responsibility, reduces absence, safety, sabotage and other negative behaviours (Brown et al., 2015; Bridger, 2018; MacLeod and Clarke, 2009; Insights, </w:t>
      </w:r>
      <w:r w:rsidR="00E95EE1" w:rsidRPr="003B5D56">
        <w:rPr>
          <w:rFonts w:cs="Arial"/>
          <w:sz w:val="24"/>
          <w:szCs w:val="24"/>
        </w:rPr>
        <w:t>ND</w:t>
      </w:r>
      <w:r w:rsidRPr="003B5D56">
        <w:rPr>
          <w:rFonts w:cs="Arial"/>
          <w:sz w:val="24"/>
          <w:szCs w:val="24"/>
        </w:rPr>
        <w:t>).</w:t>
      </w:r>
      <w:r w:rsidRPr="003B5D56">
        <w:rPr>
          <w:rFonts w:cs="Arial"/>
          <w:sz w:val="24"/>
          <w:szCs w:val="24"/>
        </w:rPr>
        <w:br/>
      </w:r>
      <w:r w:rsidRPr="003B5D56">
        <w:rPr>
          <w:rFonts w:cs="Arial"/>
          <w:sz w:val="24"/>
          <w:szCs w:val="24"/>
        </w:rPr>
        <w:br/>
        <w:t>Initiating engagement because it is thought to be a ‘good idea’ will not deliver results as engagement can face blockers; those in higher-hierarchy positions like senior management who believe the promotion is for unjustified reasons.  Organisational investment into people must be plausible considering financial investment with clear ambiguous objectives as a business case to succeed.  The decision to proceed factors; investment return such as higher productivity, customer retention and lower turnover not just wishful thinking (Johns and Ellis, 2016).</w:t>
      </w:r>
    </w:p>
    <w:p w:rsidR="0009022F" w:rsidRPr="003B5D56" w:rsidRDefault="0009022F" w:rsidP="0009022F">
      <w:pPr>
        <w:pStyle w:val="ListParagraph"/>
        <w:ind w:left="360"/>
        <w:rPr>
          <w:rFonts w:cs="Arial"/>
          <w:sz w:val="24"/>
          <w:szCs w:val="24"/>
          <w:highlight w:val="yellow"/>
        </w:rPr>
      </w:pPr>
    </w:p>
    <w:p w:rsidR="0009022F" w:rsidRPr="003B5D56" w:rsidRDefault="0009022F" w:rsidP="0009022F">
      <w:pPr>
        <w:pStyle w:val="ListParagraph"/>
        <w:ind w:left="360"/>
        <w:rPr>
          <w:rFonts w:cs="Arial"/>
          <w:sz w:val="24"/>
          <w:szCs w:val="24"/>
        </w:rPr>
      </w:pPr>
      <w:r w:rsidRPr="003B5D56">
        <w:rPr>
          <w:rFonts w:cs="Arial"/>
          <w:sz w:val="24"/>
          <w:szCs w:val="24"/>
        </w:rPr>
        <w:lastRenderedPageBreak/>
        <w:t xml:space="preserve">Delivering engagement is influenced by HR policies and strategies together </w:t>
      </w:r>
      <w:r w:rsidR="00805E12" w:rsidRPr="003B5D56">
        <w:rPr>
          <w:rFonts w:cs="Arial"/>
          <w:sz w:val="24"/>
          <w:szCs w:val="24"/>
        </w:rPr>
        <w:t xml:space="preserve">which inform </w:t>
      </w:r>
      <w:r w:rsidRPr="003B5D56">
        <w:rPr>
          <w:rFonts w:cs="Arial"/>
          <w:sz w:val="24"/>
          <w:szCs w:val="24"/>
        </w:rPr>
        <w:t>contextual factors; the wider economy, market conditions, industry sector, governance and ownership, organisational size and internal structures.  The economy poses challenges to organisations which act as barriers to organisations securing discretionary effort from their employees highlighting the requirement for organisational context aligned to the external environment; both public and private sectors are operating in competitive environments facing costs cuts to increase efficiencies driving higher performance due to the recession.  HR’s role is critical ensuring policies frame appointment, development and progressions of all managers aligned to the values and purpose of the organisation (Johns and Ellis, 2016; CIPD, 2012).</w:t>
      </w:r>
    </w:p>
    <w:p w:rsidR="0009022F" w:rsidRPr="003B5D56" w:rsidRDefault="0009022F" w:rsidP="0009022F">
      <w:pPr>
        <w:pStyle w:val="ListParagraph"/>
        <w:spacing w:before="240"/>
        <w:ind w:left="360"/>
        <w:rPr>
          <w:rFonts w:cs="Arial"/>
          <w:sz w:val="24"/>
          <w:szCs w:val="24"/>
        </w:rPr>
      </w:pPr>
    </w:p>
    <w:p w:rsidR="0009022F" w:rsidRPr="003B5D56" w:rsidRDefault="0009022F" w:rsidP="0009022F">
      <w:pPr>
        <w:pStyle w:val="ListParagraph"/>
        <w:spacing w:before="240"/>
        <w:ind w:left="360"/>
        <w:rPr>
          <w:rFonts w:cs="Arial"/>
          <w:sz w:val="24"/>
          <w:szCs w:val="24"/>
        </w:rPr>
      </w:pPr>
      <w:r w:rsidRPr="003B5D56">
        <w:rPr>
          <w:rFonts w:cs="Arial"/>
          <w:sz w:val="24"/>
          <w:szCs w:val="24"/>
        </w:rPr>
        <w:t>HR are responsible for creating an engagement strategy aligned and integrated into the organisation’s vision, culture, policies, procedures and strategy preferably being the same.  This is uncommon</w:t>
      </w:r>
      <w:r w:rsidR="00805E12" w:rsidRPr="003B5D56">
        <w:rPr>
          <w:rFonts w:cs="Arial"/>
          <w:sz w:val="24"/>
          <w:szCs w:val="24"/>
        </w:rPr>
        <w:t>;</w:t>
      </w:r>
      <w:r w:rsidRPr="003B5D56">
        <w:rPr>
          <w:rFonts w:cs="Arial"/>
          <w:sz w:val="24"/>
          <w:szCs w:val="24"/>
        </w:rPr>
        <w:t xml:space="preserve"> 42 percent of HR practitioners stating one is in place. It is important key stakeholders within organisations’ understand the importance, where it is going, in order to motivate the workforce achieving alignment.  An objective of HR could be gaining entry to the UK’s Sunday Times Best 100 companies or becoming an </w:t>
      </w:r>
      <w:r w:rsidR="00805E12" w:rsidRPr="003B5D56">
        <w:rPr>
          <w:rFonts w:cs="Arial"/>
          <w:sz w:val="24"/>
          <w:szCs w:val="24"/>
        </w:rPr>
        <w:t>‘</w:t>
      </w:r>
      <w:r w:rsidRPr="003B5D56">
        <w:rPr>
          <w:rFonts w:cs="Arial"/>
          <w:sz w:val="24"/>
          <w:szCs w:val="24"/>
        </w:rPr>
        <w:t>employer of choice</w:t>
      </w:r>
      <w:r w:rsidR="00805E12" w:rsidRPr="003B5D56">
        <w:rPr>
          <w:rFonts w:cs="Arial"/>
          <w:sz w:val="24"/>
          <w:szCs w:val="24"/>
        </w:rPr>
        <w:t>’</w:t>
      </w:r>
      <w:r w:rsidRPr="003B5D56">
        <w:rPr>
          <w:rFonts w:cs="Arial"/>
          <w:sz w:val="24"/>
          <w:szCs w:val="24"/>
        </w:rPr>
        <w:t>, these are organisations goals.  HR practitioners are responsible for aligning goals to an organisation’s outcomes and strategy adding value to the organisation (Bridger, 2018).</w:t>
      </w:r>
    </w:p>
    <w:p w:rsidR="0009022F" w:rsidRPr="003B5D56" w:rsidRDefault="0009022F" w:rsidP="0009022F">
      <w:pPr>
        <w:pStyle w:val="ListParagraph"/>
        <w:spacing w:before="240"/>
        <w:ind w:left="360"/>
        <w:rPr>
          <w:rFonts w:cs="Arial"/>
          <w:sz w:val="24"/>
          <w:szCs w:val="24"/>
        </w:rPr>
      </w:pPr>
    </w:p>
    <w:p w:rsidR="0009022F" w:rsidRPr="003B5D56" w:rsidRDefault="00384E44" w:rsidP="0009022F">
      <w:pPr>
        <w:pStyle w:val="ListParagraph"/>
        <w:ind w:left="360"/>
        <w:rPr>
          <w:rFonts w:cs="Arial"/>
          <w:color w:val="000000"/>
          <w:sz w:val="24"/>
          <w:szCs w:val="24"/>
          <w:shd w:val="clear" w:color="auto" w:fill="FFFFFF"/>
        </w:rPr>
      </w:pPr>
      <w:r w:rsidRPr="003B5D56">
        <w:rPr>
          <w:rFonts w:cs="Arial"/>
          <w:color w:val="000000"/>
          <w:sz w:val="24"/>
          <w:szCs w:val="24"/>
          <w:shd w:val="clear" w:color="auto" w:fill="FFFFFF"/>
        </w:rPr>
        <w:t>Gallup (2003)</w:t>
      </w:r>
      <w:r w:rsidR="0009022F" w:rsidRPr="003B5D56">
        <w:rPr>
          <w:rFonts w:cs="Arial"/>
          <w:color w:val="000000"/>
          <w:sz w:val="24"/>
          <w:szCs w:val="24"/>
          <w:shd w:val="clear" w:color="auto" w:fill="FFFFFF"/>
        </w:rPr>
        <w:t xml:space="preserve"> identified engaged employees illustrate loyalty and higher customer satisfaction than less engaged employees.  B&amp;Q utilised Gallup’s Q12 questionnaire measuring engagement and employees’ emotional commitment to their jobs.  Results; statistic proof that engaged employees are drivers to customer engagement, greater productivity and higher profits.  Mike Cutt, Human Resources Director reinforced people and policies make a bottom-line difference in a company stating “what gets measured gets done”.</w:t>
      </w:r>
    </w:p>
    <w:p w:rsidR="0009022F" w:rsidRPr="003B5D56" w:rsidRDefault="0009022F" w:rsidP="0009022F">
      <w:pPr>
        <w:pStyle w:val="ListParagraph"/>
        <w:spacing w:before="240"/>
        <w:ind w:left="360"/>
        <w:rPr>
          <w:rFonts w:cs="Arial"/>
          <w:sz w:val="24"/>
          <w:szCs w:val="24"/>
        </w:rPr>
      </w:pPr>
    </w:p>
    <w:p w:rsidR="0009022F" w:rsidRPr="003B5D56" w:rsidRDefault="0009022F" w:rsidP="0009022F">
      <w:pPr>
        <w:pStyle w:val="ListParagraph"/>
        <w:ind w:left="360"/>
        <w:rPr>
          <w:rFonts w:cs="Arial"/>
          <w:sz w:val="24"/>
          <w:szCs w:val="24"/>
        </w:rPr>
      </w:pPr>
      <w:r w:rsidRPr="003B5D56">
        <w:rPr>
          <w:rFonts w:cs="Arial"/>
          <w:sz w:val="24"/>
          <w:szCs w:val="24"/>
        </w:rPr>
        <w:t xml:space="preserve">An engaged workforce outperforms a disengaged workforce, HR are required to know what requires focus; making a difference turning around a disengaged workforce creating competitive advantage.  Engaged employees who display job satisfaction play a powerful role in promoting their organisation as an ‘employer of choice’ (Johns and Ellis, 2016; Bridger, 2018).  </w:t>
      </w:r>
    </w:p>
    <w:p w:rsidR="0009022F" w:rsidRPr="003B5D56" w:rsidRDefault="0009022F" w:rsidP="0009022F">
      <w:pPr>
        <w:pStyle w:val="ListParagraph"/>
        <w:ind w:left="360"/>
        <w:rPr>
          <w:rFonts w:cs="Arial"/>
          <w:sz w:val="24"/>
          <w:szCs w:val="24"/>
        </w:rPr>
      </w:pPr>
    </w:p>
    <w:p w:rsidR="0009022F" w:rsidRPr="003B5D56" w:rsidRDefault="0009022F" w:rsidP="0009022F">
      <w:pPr>
        <w:pStyle w:val="ListParagraph"/>
        <w:ind w:left="360"/>
        <w:rPr>
          <w:rFonts w:cs="Arial"/>
          <w:sz w:val="24"/>
          <w:szCs w:val="24"/>
        </w:rPr>
      </w:pPr>
      <w:r w:rsidRPr="003B5D56">
        <w:rPr>
          <w:rFonts w:cs="Arial"/>
          <w:sz w:val="24"/>
          <w:szCs w:val="24"/>
        </w:rPr>
        <w:t xml:space="preserve">The Job Quality Index 2018 (CIPD, 2018) identifies the role of HR ensuring they understand what good work looks like, what are the biggest impacts and how it is reflected in today’s market.  Productivity, well-being and engagement are drivers; affecting job quality as there is growing concern to stress and wellbeing at work.  Job quality and good work are highlighted in the Taylor Review as important factors to sustaining a healthy economy and social driver to improve job quality; creating jobs which are productive with good-quality work and employment.  </w:t>
      </w:r>
    </w:p>
    <w:p w:rsidR="0009022F" w:rsidRPr="003B5D56" w:rsidRDefault="0009022F" w:rsidP="0009022F">
      <w:pPr>
        <w:pStyle w:val="ListParagraph"/>
        <w:spacing w:before="240"/>
        <w:ind w:left="360"/>
        <w:rPr>
          <w:rFonts w:cs="Arial"/>
          <w:sz w:val="24"/>
          <w:szCs w:val="24"/>
        </w:rPr>
      </w:pPr>
    </w:p>
    <w:p w:rsidR="0009022F" w:rsidRPr="003B5D56" w:rsidRDefault="00384E44" w:rsidP="0009022F">
      <w:pPr>
        <w:pStyle w:val="ListParagraph"/>
        <w:ind w:left="360"/>
        <w:rPr>
          <w:rFonts w:cs="Arial"/>
          <w:sz w:val="24"/>
          <w:szCs w:val="24"/>
        </w:rPr>
      </w:pPr>
      <w:r w:rsidRPr="003B5D56">
        <w:rPr>
          <w:rFonts w:cs="Arial"/>
          <w:sz w:val="24"/>
          <w:szCs w:val="24"/>
        </w:rPr>
        <w:t>T</w:t>
      </w:r>
      <w:r w:rsidR="0009022F" w:rsidRPr="003B5D56">
        <w:rPr>
          <w:rFonts w:cs="Arial"/>
          <w:sz w:val="24"/>
          <w:szCs w:val="24"/>
        </w:rPr>
        <w:t>o maintain an organisation’s reputati</w:t>
      </w:r>
      <w:r w:rsidRPr="003B5D56">
        <w:rPr>
          <w:rFonts w:cs="Arial"/>
          <w:sz w:val="24"/>
          <w:szCs w:val="24"/>
        </w:rPr>
        <w:t>on and loyalty of its customers’</w:t>
      </w:r>
      <w:r w:rsidR="0009022F" w:rsidRPr="003B5D56">
        <w:rPr>
          <w:rFonts w:cs="Arial"/>
          <w:sz w:val="24"/>
          <w:szCs w:val="24"/>
        </w:rPr>
        <w:t xml:space="preserve"> organisations’ are required to attract, retain, and engage their workforce maintaining positive relationships with a range of stakeholders; customers, employees, local communities and regulators.  This creates transparency, reduces silos, providing credibility, building trust and consistency through their actions (Deloitte Global Human Capital Trends Report, 2018).</w:t>
      </w:r>
    </w:p>
    <w:p w:rsidR="002E0E73" w:rsidRPr="003B5D56" w:rsidRDefault="002E0E73" w:rsidP="002E0E73">
      <w:pPr>
        <w:pStyle w:val="ListParagraph"/>
        <w:ind w:left="360"/>
        <w:rPr>
          <w:rFonts w:cs="Arial"/>
          <w:sz w:val="24"/>
          <w:szCs w:val="24"/>
        </w:rPr>
      </w:pPr>
    </w:p>
    <w:p w:rsidR="006625F2" w:rsidRPr="003B5D56" w:rsidRDefault="0095426F" w:rsidP="009010B8">
      <w:pPr>
        <w:pStyle w:val="ListParagraph"/>
        <w:numPr>
          <w:ilvl w:val="0"/>
          <w:numId w:val="1"/>
        </w:numPr>
        <w:rPr>
          <w:rFonts w:cs="Arial"/>
          <w:b/>
          <w:sz w:val="24"/>
          <w:szCs w:val="24"/>
        </w:rPr>
      </w:pPr>
      <w:r w:rsidRPr="003B5D56">
        <w:rPr>
          <w:rFonts w:cs="Arial"/>
          <w:b/>
          <w:sz w:val="24"/>
          <w:szCs w:val="24"/>
        </w:rPr>
        <w:t xml:space="preserve">Sources of </w:t>
      </w:r>
      <w:r w:rsidR="002B62BB" w:rsidRPr="003B5D56">
        <w:rPr>
          <w:rFonts w:cs="Arial"/>
          <w:b/>
          <w:sz w:val="24"/>
          <w:szCs w:val="24"/>
        </w:rPr>
        <w:t>employee engagement</w:t>
      </w:r>
      <w:r w:rsidRPr="003B5D56">
        <w:rPr>
          <w:rFonts w:cs="Arial"/>
          <w:b/>
          <w:sz w:val="24"/>
          <w:szCs w:val="24"/>
        </w:rPr>
        <w:t xml:space="preserve"> data</w:t>
      </w:r>
    </w:p>
    <w:p w:rsidR="006625F2" w:rsidRPr="003B5D56" w:rsidRDefault="006625F2" w:rsidP="006625F2">
      <w:pPr>
        <w:pStyle w:val="ListParagraph"/>
        <w:ind w:left="360"/>
        <w:rPr>
          <w:rFonts w:cs="Arial"/>
          <w:sz w:val="24"/>
          <w:szCs w:val="24"/>
        </w:rPr>
      </w:pPr>
    </w:p>
    <w:p w:rsidR="0095426F" w:rsidRPr="003B5D56" w:rsidRDefault="0095426F" w:rsidP="0095426F">
      <w:pPr>
        <w:pStyle w:val="ListParagraph"/>
        <w:ind w:left="360"/>
        <w:rPr>
          <w:rFonts w:cs="Arial"/>
          <w:sz w:val="24"/>
          <w:szCs w:val="24"/>
        </w:rPr>
      </w:pPr>
      <w:r w:rsidRPr="003B5D56">
        <w:rPr>
          <w:rFonts w:cs="Arial"/>
          <w:sz w:val="24"/>
          <w:szCs w:val="24"/>
        </w:rPr>
        <w:t>UK Working Lives (</w:t>
      </w:r>
      <w:r w:rsidR="00B34635" w:rsidRPr="003B5D56">
        <w:rPr>
          <w:rFonts w:cs="Arial"/>
          <w:sz w:val="24"/>
          <w:szCs w:val="24"/>
        </w:rPr>
        <w:t xml:space="preserve">CIPD, </w:t>
      </w:r>
      <w:r w:rsidRPr="003B5D56">
        <w:rPr>
          <w:rFonts w:cs="Arial"/>
          <w:sz w:val="24"/>
          <w:szCs w:val="24"/>
        </w:rPr>
        <w:t>2018) cited; only 18 percent were ‘very satisfied’, 46 percent ‘satisfied’ and 18 percent ‘dissatisfied’ of which one fifth reported their intention to quit wit</w:t>
      </w:r>
      <w:r w:rsidR="00384E44" w:rsidRPr="003B5D56">
        <w:rPr>
          <w:rFonts w:cs="Arial"/>
          <w:sz w:val="24"/>
          <w:szCs w:val="24"/>
        </w:rPr>
        <w:t xml:space="preserve">hin 12 months; 59 percent </w:t>
      </w:r>
      <w:r w:rsidRPr="003B5D56">
        <w:rPr>
          <w:rFonts w:cs="Arial"/>
          <w:sz w:val="24"/>
          <w:szCs w:val="24"/>
        </w:rPr>
        <w:t xml:space="preserve">work regardless of money displaying a positive intrinsic value to their jobs; overload is an substantive problem in middle-managers who deliver the organisation’s vision and implement the culture; 28 percent of middle-managers reflect work affects their mental </w:t>
      </w:r>
      <w:r w:rsidRPr="003B5D56">
        <w:rPr>
          <w:rFonts w:cs="Arial"/>
          <w:sz w:val="24"/>
          <w:szCs w:val="24"/>
        </w:rPr>
        <w:lastRenderedPageBreak/>
        <w:t>health; 80 percent of employees rate managers positively; low-skilled employees remain satisfied with their jobs of which only 35 percent reflect opportunities to develop; senior leaders and managers are the most satisfied at 72 percent however their work-life balance is affected.</w:t>
      </w:r>
    </w:p>
    <w:p w:rsidR="0095426F" w:rsidRPr="003B5D56" w:rsidRDefault="0095426F" w:rsidP="0095426F">
      <w:pPr>
        <w:pStyle w:val="ListParagraph"/>
        <w:ind w:left="360"/>
        <w:rPr>
          <w:rFonts w:cs="Arial"/>
          <w:sz w:val="24"/>
          <w:szCs w:val="24"/>
        </w:rPr>
      </w:pPr>
    </w:p>
    <w:p w:rsidR="0095426F" w:rsidRPr="003B5D56" w:rsidRDefault="00F96EBB" w:rsidP="0095426F">
      <w:pPr>
        <w:pStyle w:val="ListParagraph"/>
        <w:ind w:left="360"/>
        <w:rPr>
          <w:rFonts w:cs="Arial"/>
          <w:sz w:val="24"/>
          <w:szCs w:val="24"/>
        </w:rPr>
      </w:pPr>
      <w:r w:rsidRPr="003B5D56">
        <w:rPr>
          <w:rFonts w:cs="Arial"/>
          <w:sz w:val="24"/>
          <w:szCs w:val="24"/>
        </w:rPr>
        <w:t>S</w:t>
      </w:r>
      <w:r w:rsidR="0095426F" w:rsidRPr="003B5D56">
        <w:rPr>
          <w:rFonts w:cs="Arial"/>
          <w:sz w:val="24"/>
          <w:szCs w:val="24"/>
        </w:rPr>
        <w:t>eemann (2019) state 20 percent of worldwide employees are very likely to lea</w:t>
      </w:r>
      <w:r w:rsidR="00384E44" w:rsidRPr="003B5D56">
        <w:rPr>
          <w:rFonts w:cs="Arial"/>
          <w:sz w:val="24"/>
          <w:szCs w:val="24"/>
        </w:rPr>
        <w:t xml:space="preserve">ve their job next year and </w:t>
      </w:r>
      <w:r w:rsidR="0095426F" w:rsidRPr="003B5D56">
        <w:rPr>
          <w:rFonts w:cs="Arial"/>
          <w:sz w:val="24"/>
          <w:szCs w:val="24"/>
        </w:rPr>
        <w:t xml:space="preserve">15 percent of employees are engaged; employees want to be rewarded and invested in to feel loyalty.  </w:t>
      </w:r>
      <w:r w:rsidR="00384E44" w:rsidRPr="003B5D56">
        <w:rPr>
          <w:rFonts w:cs="Arial"/>
          <w:sz w:val="24"/>
          <w:szCs w:val="24"/>
        </w:rPr>
        <w:t xml:space="preserve">Forty-one percent of employees do </w:t>
      </w:r>
      <w:r w:rsidR="0095426F" w:rsidRPr="003B5D56">
        <w:rPr>
          <w:rFonts w:cs="Arial"/>
          <w:sz w:val="24"/>
          <w:szCs w:val="24"/>
        </w:rPr>
        <w:t>not feel aligned to their organisations goals. TINYpulse (2019) reflect 43 percent of employees</w:t>
      </w:r>
      <w:r w:rsidR="00384E44" w:rsidRPr="003B5D56">
        <w:rPr>
          <w:rFonts w:cs="Arial"/>
          <w:sz w:val="24"/>
          <w:szCs w:val="24"/>
        </w:rPr>
        <w:t>’</w:t>
      </w:r>
      <w:r w:rsidR="0095426F" w:rsidRPr="003B5D56">
        <w:rPr>
          <w:rFonts w:cs="Arial"/>
          <w:sz w:val="24"/>
          <w:szCs w:val="24"/>
        </w:rPr>
        <w:t xml:space="preserve"> state they would leave, if offered a 10 percent increase in salary elsewhere; weak organisational culture is blamed together with poor </w:t>
      </w:r>
      <w:r w:rsidR="00384E44" w:rsidRPr="003B5D56">
        <w:rPr>
          <w:rFonts w:cs="Arial"/>
          <w:sz w:val="24"/>
          <w:szCs w:val="24"/>
        </w:rPr>
        <w:t xml:space="preserve">leadership </w:t>
      </w:r>
      <w:r w:rsidR="0095426F" w:rsidRPr="003B5D56">
        <w:rPr>
          <w:rFonts w:cs="Arial"/>
          <w:sz w:val="24"/>
          <w:szCs w:val="24"/>
        </w:rPr>
        <w:t>self–awareness however, 91 percent of employees rate their working relationships positively.</w:t>
      </w:r>
    </w:p>
    <w:p w:rsidR="0095426F" w:rsidRPr="003B5D56" w:rsidRDefault="0095426F" w:rsidP="0095426F">
      <w:pPr>
        <w:pStyle w:val="ListParagraph"/>
        <w:ind w:left="360"/>
        <w:rPr>
          <w:rFonts w:cs="Arial"/>
          <w:sz w:val="24"/>
          <w:szCs w:val="24"/>
        </w:rPr>
      </w:pPr>
    </w:p>
    <w:p w:rsidR="0095426F" w:rsidRPr="003B5D56" w:rsidRDefault="0095426F" w:rsidP="0095426F">
      <w:pPr>
        <w:pStyle w:val="ListParagraph"/>
        <w:ind w:left="360"/>
        <w:rPr>
          <w:rFonts w:cs="Arial"/>
          <w:sz w:val="24"/>
          <w:szCs w:val="24"/>
        </w:rPr>
      </w:pPr>
      <w:r w:rsidRPr="003B5D56">
        <w:rPr>
          <w:rFonts w:cs="Arial"/>
          <w:sz w:val="24"/>
          <w:szCs w:val="24"/>
        </w:rPr>
        <w:t xml:space="preserve">Agrawal (2019) </w:t>
      </w:r>
      <w:r w:rsidR="00716633" w:rsidRPr="003B5D56">
        <w:rPr>
          <w:rFonts w:cs="Arial"/>
          <w:sz w:val="24"/>
          <w:szCs w:val="24"/>
        </w:rPr>
        <w:t xml:space="preserve">refer to Gallup’s latest survey; </w:t>
      </w:r>
      <w:r w:rsidRPr="003B5D56">
        <w:rPr>
          <w:rFonts w:cs="Arial"/>
          <w:sz w:val="24"/>
          <w:szCs w:val="24"/>
        </w:rPr>
        <w:t>85 percent of employees are actively engaged and organisations’ wishing to retain talent must ensure engagement such as providing opportunities for personal and professional growth like training as an effective way to build engagement enhancing retention. Biro (2018) refer to LinkedIn’s 20</w:t>
      </w:r>
      <w:r w:rsidR="00716633" w:rsidRPr="003B5D56">
        <w:rPr>
          <w:rFonts w:cs="Arial"/>
          <w:sz w:val="24"/>
          <w:szCs w:val="24"/>
        </w:rPr>
        <w:t xml:space="preserve">18 Workforce Learning Report </w:t>
      </w:r>
      <w:r w:rsidRPr="003B5D56">
        <w:rPr>
          <w:rFonts w:cs="Arial"/>
          <w:sz w:val="24"/>
          <w:szCs w:val="24"/>
        </w:rPr>
        <w:t xml:space="preserve">which 93 percent of employees stated they would stay longer with an organisation if there was investment in their careers.  </w:t>
      </w:r>
    </w:p>
    <w:p w:rsidR="0095426F" w:rsidRPr="003B5D56" w:rsidRDefault="0095426F" w:rsidP="0095426F">
      <w:pPr>
        <w:pStyle w:val="ListParagraph"/>
        <w:ind w:left="360"/>
        <w:rPr>
          <w:rFonts w:cs="Arial"/>
          <w:sz w:val="24"/>
          <w:szCs w:val="24"/>
        </w:rPr>
      </w:pPr>
    </w:p>
    <w:p w:rsidR="0095426F" w:rsidRPr="003B5D56" w:rsidRDefault="0095426F" w:rsidP="0095426F">
      <w:pPr>
        <w:pStyle w:val="ListParagraph"/>
        <w:ind w:left="360"/>
        <w:rPr>
          <w:rFonts w:cs="Arial"/>
          <w:sz w:val="24"/>
          <w:szCs w:val="24"/>
        </w:rPr>
      </w:pPr>
      <w:r w:rsidRPr="003B5D56">
        <w:rPr>
          <w:rFonts w:cs="Arial"/>
          <w:sz w:val="24"/>
          <w:szCs w:val="24"/>
        </w:rPr>
        <w:t xml:space="preserve">Aon reported </w:t>
      </w:r>
      <w:r w:rsidR="002B62BB" w:rsidRPr="003B5D56">
        <w:rPr>
          <w:rFonts w:cs="Arial"/>
          <w:sz w:val="24"/>
          <w:szCs w:val="24"/>
        </w:rPr>
        <w:t>EE</w:t>
      </w:r>
      <w:r w:rsidRPr="003B5D56">
        <w:rPr>
          <w:rFonts w:cs="Arial"/>
          <w:sz w:val="24"/>
          <w:szCs w:val="24"/>
        </w:rPr>
        <w:t xml:space="preserve"> has retracted in 2017 with a global score of 63 percent in 2017 compared to 65 percent in 2016.  Several benchmarking reports are available differing from report to report, despite these differences there are clear improvements to be made (Bridger, 2018).</w:t>
      </w:r>
    </w:p>
    <w:p w:rsidR="0095426F" w:rsidRPr="003B5D56" w:rsidRDefault="0095426F" w:rsidP="0095426F">
      <w:pPr>
        <w:pStyle w:val="ListParagraph"/>
        <w:ind w:left="360"/>
        <w:rPr>
          <w:rFonts w:cs="Arial"/>
          <w:sz w:val="24"/>
          <w:szCs w:val="24"/>
        </w:rPr>
      </w:pPr>
    </w:p>
    <w:p w:rsidR="0095426F" w:rsidRPr="003B5D56" w:rsidRDefault="0095426F" w:rsidP="0095426F">
      <w:pPr>
        <w:pStyle w:val="ListParagraph"/>
        <w:ind w:left="360"/>
        <w:rPr>
          <w:rFonts w:cs="Arial"/>
          <w:sz w:val="24"/>
          <w:szCs w:val="24"/>
        </w:rPr>
      </w:pPr>
      <w:r w:rsidRPr="003B5D56">
        <w:rPr>
          <w:rFonts w:cs="Arial"/>
          <w:sz w:val="24"/>
          <w:szCs w:val="24"/>
        </w:rPr>
        <w:t>Deloitte Global Human Capital Trends Report (2018) cite 66 percent state wellbeing programmes are critical to an organisation’s brand and culture.  Organisations’ are judged on their relationships with their workers, customers and communities transforming into social enterprises.  No longer are organisations’ judged on metrics, financial performance or quality of goods and services but on their social capital.</w:t>
      </w:r>
    </w:p>
    <w:p w:rsidR="0095426F" w:rsidRPr="003B5D56" w:rsidRDefault="0095426F" w:rsidP="0095426F">
      <w:pPr>
        <w:pStyle w:val="ListParagraph"/>
        <w:ind w:left="360"/>
        <w:rPr>
          <w:rFonts w:cs="Arial"/>
          <w:sz w:val="24"/>
          <w:szCs w:val="24"/>
        </w:rPr>
      </w:pPr>
    </w:p>
    <w:p w:rsidR="008E0E36" w:rsidRPr="003B5D56" w:rsidRDefault="0095426F" w:rsidP="0095426F">
      <w:pPr>
        <w:pStyle w:val="ListParagraph"/>
        <w:ind w:left="360"/>
        <w:rPr>
          <w:rFonts w:cs="Arial"/>
          <w:sz w:val="24"/>
          <w:szCs w:val="24"/>
        </w:rPr>
      </w:pPr>
      <w:r w:rsidRPr="003B5D56">
        <w:rPr>
          <w:rFonts w:cs="Arial"/>
          <w:sz w:val="24"/>
          <w:szCs w:val="24"/>
        </w:rPr>
        <w:t>The CIPD Job Quality Index 2018 (CIPD, 2018) reflects: the workplace is underinvested; we are under-utilising the skills of our workforces and the quality of people management requires improvement.  These drivers concern</w:t>
      </w:r>
      <w:r w:rsidR="00716633" w:rsidRPr="003B5D56">
        <w:rPr>
          <w:rFonts w:cs="Arial"/>
          <w:sz w:val="24"/>
          <w:szCs w:val="24"/>
        </w:rPr>
        <w:t xml:space="preserve"> </w:t>
      </w:r>
      <w:r w:rsidRPr="003B5D56">
        <w:rPr>
          <w:rFonts w:cs="Arial"/>
          <w:sz w:val="24"/>
          <w:szCs w:val="24"/>
        </w:rPr>
        <w:t>stress and wellbeing at work and slow productivity growth.  With advances in technology, better choic</w:t>
      </w:r>
      <w:r w:rsidR="00716633" w:rsidRPr="003B5D56">
        <w:rPr>
          <w:rFonts w:cs="Arial"/>
          <w:sz w:val="24"/>
          <w:szCs w:val="24"/>
        </w:rPr>
        <w:t>e of where and how employees</w:t>
      </w:r>
      <w:r w:rsidRPr="003B5D56">
        <w:rPr>
          <w:rFonts w:cs="Arial"/>
          <w:sz w:val="24"/>
          <w:szCs w:val="24"/>
        </w:rPr>
        <w:t xml:space="preserve"> work, post-Brexit economy highlights the importance of the need for creation of more good jobs.</w:t>
      </w:r>
      <w:r w:rsidRPr="003B5D56">
        <w:rPr>
          <w:rFonts w:cs="Arial"/>
          <w:sz w:val="24"/>
          <w:szCs w:val="24"/>
        </w:rPr>
        <w:br/>
      </w:r>
      <w:r w:rsidRPr="003B5D56">
        <w:rPr>
          <w:rFonts w:cs="Arial"/>
          <w:sz w:val="24"/>
          <w:szCs w:val="24"/>
        </w:rPr>
        <w:br/>
        <w:t>A strong employment growth has tightened the labour market; leading to fewer applicants in lowly-skilled roles this could be attributed to the fall in EU net migration although applicants in medium to-high-skilled roles remain unchanged compared to 2018 report softening recruitment difficulties (Labour Market Outlook, 2019).</w:t>
      </w:r>
      <w:r w:rsidRPr="003B5D56">
        <w:rPr>
          <w:rFonts w:cs="Arial"/>
          <w:sz w:val="24"/>
          <w:szCs w:val="24"/>
        </w:rPr>
        <w:br/>
      </w:r>
    </w:p>
    <w:p w:rsidR="00BD0E70" w:rsidRPr="003B5D56" w:rsidRDefault="007217D6" w:rsidP="00BD0E70">
      <w:pPr>
        <w:pStyle w:val="ListParagraph"/>
        <w:numPr>
          <w:ilvl w:val="0"/>
          <w:numId w:val="1"/>
        </w:numPr>
        <w:rPr>
          <w:rFonts w:cs="Arial"/>
          <w:b/>
          <w:sz w:val="24"/>
          <w:szCs w:val="24"/>
        </w:rPr>
      </w:pPr>
      <w:r w:rsidRPr="003B5D56">
        <w:rPr>
          <w:rFonts w:cs="Arial"/>
          <w:b/>
          <w:sz w:val="24"/>
          <w:szCs w:val="24"/>
        </w:rPr>
        <w:t>D</w:t>
      </w:r>
      <w:r w:rsidR="00A929FD" w:rsidRPr="003B5D56">
        <w:rPr>
          <w:rFonts w:cs="Arial"/>
          <w:b/>
          <w:sz w:val="24"/>
          <w:szCs w:val="24"/>
        </w:rPr>
        <w:t>emographic and other factors influenc</w:t>
      </w:r>
      <w:r w:rsidRPr="003B5D56">
        <w:rPr>
          <w:rFonts w:cs="Arial"/>
          <w:b/>
          <w:sz w:val="24"/>
          <w:szCs w:val="24"/>
        </w:rPr>
        <w:t>ing engagement</w:t>
      </w:r>
      <w:r w:rsidR="00F24297" w:rsidRPr="003B5D56">
        <w:rPr>
          <w:rFonts w:cs="Arial"/>
          <w:b/>
          <w:sz w:val="24"/>
          <w:szCs w:val="24"/>
        </w:rPr>
        <w:br/>
      </w:r>
      <w:r w:rsidR="00BD0E70" w:rsidRPr="003B5D56">
        <w:rPr>
          <w:rFonts w:cs="Arial"/>
          <w:b/>
          <w:sz w:val="24"/>
          <w:szCs w:val="24"/>
        </w:rPr>
        <w:br/>
      </w:r>
      <w:r w:rsidR="00BD0E70" w:rsidRPr="003B5D56">
        <w:rPr>
          <w:rFonts w:cs="Arial"/>
          <w:sz w:val="24"/>
          <w:szCs w:val="24"/>
        </w:rPr>
        <w:t>Millennials and Generation Z’s; would consider the gig economy rather than working full-time although the percentage is low at 6 percent.  Drivers were; earning more and achieving work-life balances however</w:t>
      </w:r>
      <w:r w:rsidR="008C3434" w:rsidRPr="003B5D56">
        <w:rPr>
          <w:rFonts w:cs="Arial"/>
          <w:sz w:val="24"/>
          <w:szCs w:val="24"/>
        </w:rPr>
        <w:t>,</w:t>
      </w:r>
      <w:r w:rsidR="00BD0E70" w:rsidRPr="003B5D56">
        <w:rPr>
          <w:rFonts w:cs="Arial"/>
          <w:sz w:val="24"/>
          <w:szCs w:val="24"/>
        </w:rPr>
        <w:t xml:space="preserve"> 51 percent stated the unpredictability could cause stress.  Gig economy is more prevalent in higher-level occupations.  Forty-nine percent stated leaving their current jobs in the next two years; in 2017 this was 38 percent.  A quarter of these left their employer in the past 24-months due to dissatisfaction with pay and career advancement.  Organisations’ are working with the younger generation including social enterprise issues; 44 percent of business and HR leaders reflecting this as a factor over the last three year</w:t>
      </w:r>
      <w:r w:rsidR="008C3434" w:rsidRPr="003B5D56">
        <w:rPr>
          <w:rFonts w:cs="Arial"/>
          <w:sz w:val="24"/>
          <w:szCs w:val="24"/>
        </w:rPr>
        <w:t xml:space="preserve">s to increase loyalty.  In 2010, </w:t>
      </w:r>
      <w:r w:rsidR="00BD0E70" w:rsidRPr="003B5D56">
        <w:rPr>
          <w:rFonts w:cs="Arial"/>
          <w:sz w:val="24"/>
          <w:szCs w:val="24"/>
        </w:rPr>
        <w:t xml:space="preserve">30 percent of 13 million jobs created were highly-digital roles which millennials who are tech-savvy filled easier than other generations.  As millennials seek such roles the skill gap between generations widens (Deloitte, 2019; </w:t>
      </w:r>
      <w:r w:rsidR="008C3434" w:rsidRPr="003B5D56">
        <w:rPr>
          <w:rFonts w:cs="Arial"/>
          <w:sz w:val="24"/>
          <w:szCs w:val="24"/>
        </w:rPr>
        <w:t>CIPD</w:t>
      </w:r>
      <w:r w:rsidR="00565F37" w:rsidRPr="003B5D56">
        <w:rPr>
          <w:rFonts w:cs="Arial"/>
          <w:sz w:val="24"/>
          <w:szCs w:val="24"/>
        </w:rPr>
        <w:t>, 2019</w:t>
      </w:r>
      <w:r w:rsidR="00BD0E70" w:rsidRPr="003B5D56">
        <w:rPr>
          <w:rFonts w:cs="Arial"/>
          <w:sz w:val="24"/>
          <w:szCs w:val="24"/>
        </w:rPr>
        <w:t>).</w:t>
      </w:r>
    </w:p>
    <w:p w:rsidR="000A07E9" w:rsidRPr="003B5D56" w:rsidRDefault="000A07E9" w:rsidP="000A07E9">
      <w:pPr>
        <w:pStyle w:val="ListParagraph"/>
        <w:ind w:left="360"/>
        <w:rPr>
          <w:rFonts w:cs="Arial"/>
          <w:b/>
          <w:sz w:val="24"/>
          <w:szCs w:val="24"/>
        </w:rPr>
      </w:pPr>
    </w:p>
    <w:p w:rsidR="00BD0E70" w:rsidRPr="003B5D56" w:rsidRDefault="00BD0E70" w:rsidP="00BD0E70">
      <w:pPr>
        <w:ind w:left="360"/>
        <w:rPr>
          <w:rFonts w:ascii="Arial" w:hAnsi="Arial" w:cs="Arial"/>
          <w:sz w:val="24"/>
          <w:szCs w:val="24"/>
        </w:rPr>
      </w:pPr>
      <w:r w:rsidRPr="003B5D56">
        <w:rPr>
          <w:rFonts w:ascii="Arial" w:hAnsi="Arial" w:cs="Arial"/>
          <w:sz w:val="24"/>
          <w:szCs w:val="24"/>
        </w:rPr>
        <w:t xml:space="preserve">The (CIPD, 2018) reflected no differences between men and women in their enthusiasm for their jobs; greater enthusiasm was applied to voluntary sector and higher-level occupations. </w:t>
      </w:r>
    </w:p>
    <w:p w:rsidR="00BD0E70" w:rsidRPr="003B5D56" w:rsidRDefault="00BD0E70" w:rsidP="00BD0E70">
      <w:pPr>
        <w:ind w:left="360"/>
        <w:rPr>
          <w:rFonts w:ascii="Arial" w:hAnsi="Arial" w:cs="Arial"/>
          <w:sz w:val="24"/>
          <w:szCs w:val="24"/>
        </w:rPr>
      </w:pPr>
      <w:r w:rsidRPr="003B5D56">
        <w:rPr>
          <w:rFonts w:ascii="Arial" w:hAnsi="Arial" w:cs="Arial"/>
          <w:sz w:val="24"/>
          <w:szCs w:val="24"/>
        </w:rPr>
        <w:t>The UK Working Lives stated record levels of employment displaying a ‘jobs miracle’ as it recovers from global recession and uncertainty around Brexit</w:t>
      </w:r>
      <w:r w:rsidR="000A07E9" w:rsidRPr="003B5D56">
        <w:rPr>
          <w:rFonts w:ascii="Arial" w:hAnsi="Arial" w:cs="Arial"/>
          <w:sz w:val="24"/>
          <w:szCs w:val="24"/>
        </w:rPr>
        <w:t xml:space="preserve"> (CIPD, 2019)</w:t>
      </w:r>
      <w:r w:rsidRPr="003B5D56">
        <w:rPr>
          <w:rFonts w:ascii="Arial" w:hAnsi="Arial" w:cs="Arial"/>
          <w:sz w:val="24"/>
          <w:szCs w:val="24"/>
        </w:rPr>
        <w:t>.  Employment levels alone do not relate to the health of the labour market, wellbeing or its workforce it is instead centred on the quality of jobs including:-</w:t>
      </w:r>
    </w:p>
    <w:p w:rsidR="00BD0E70" w:rsidRPr="003B5D56" w:rsidRDefault="00BD0E70" w:rsidP="00BD0E70">
      <w:pPr>
        <w:ind w:left="360"/>
        <w:rPr>
          <w:rFonts w:ascii="Arial" w:hAnsi="Arial" w:cs="Arial"/>
          <w:sz w:val="24"/>
          <w:szCs w:val="24"/>
        </w:rPr>
      </w:pPr>
      <w:r w:rsidRPr="003B5D56">
        <w:rPr>
          <w:rFonts w:ascii="Arial" w:hAnsi="Arial" w:cs="Arial"/>
          <w:b/>
          <w:sz w:val="24"/>
          <w:szCs w:val="24"/>
        </w:rPr>
        <w:t>Work-life balance and flexible working</w:t>
      </w:r>
      <w:r w:rsidRPr="003B5D56">
        <w:rPr>
          <w:rFonts w:ascii="Arial" w:hAnsi="Arial" w:cs="Arial"/>
          <w:sz w:val="24"/>
          <w:szCs w:val="24"/>
        </w:rPr>
        <w:t xml:space="preserve"> </w:t>
      </w:r>
    </w:p>
    <w:p w:rsidR="00BD0E70" w:rsidRPr="003B5D56" w:rsidRDefault="00BD0E70" w:rsidP="00BD0E70">
      <w:pPr>
        <w:ind w:left="360"/>
        <w:rPr>
          <w:rFonts w:ascii="Arial" w:hAnsi="Arial" w:cs="Arial"/>
          <w:sz w:val="24"/>
          <w:szCs w:val="24"/>
        </w:rPr>
      </w:pPr>
      <w:r w:rsidRPr="003B5D56">
        <w:rPr>
          <w:rFonts w:ascii="Arial" w:hAnsi="Arial" w:cs="Arial"/>
          <w:sz w:val="24"/>
          <w:szCs w:val="24"/>
        </w:rPr>
        <w:t>Fifty-four percent of UK workers are working flexibly with 35 percent attributing flexitime working to maintaining full-time hours.  Seventy percent would like this option, other options include compressed, reduced hours and working from home; with often higher-level occupations working this way.  Higher-level occupations utilise working flexibly managing work-life, challenges and demanding employment.  Women reducing hours face negative implications due to caring responsibilities harming careers.</w:t>
      </w:r>
    </w:p>
    <w:p w:rsidR="00BD0E70" w:rsidRPr="003B5D56" w:rsidRDefault="00BD0E70" w:rsidP="00BD0E70">
      <w:pPr>
        <w:ind w:left="360"/>
        <w:rPr>
          <w:rFonts w:ascii="Arial" w:hAnsi="Arial" w:cs="Arial"/>
          <w:sz w:val="24"/>
          <w:szCs w:val="24"/>
        </w:rPr>
      </w:pPr>
      <w:r w:rsidRPr="003B5D56">
        <w:rPr>
          <w:rFonts w:ascii="Arial" w:hAnsi="Arial" w:cs="Arial"/>
          <w:sz w:val="24"/>
          <w:szCs w:val="24"/>
        </w:rPr>
        <w:t>Caring is a primary reason for flexible working at 23 percent; 18 percent is caring for children, 5 percent caring for vulnerable adults. This is attributed to the changing UK demography; caring for the elderly.  Forty percent of women work part-time due to care compared to 14 percent of men working flexibly to increase leisure activities and avoiding commuting.</w:t>
      </w:r>
    </w:p>
    <w:p w:rsidR="00BD0E70" w:rsidRPr="003B5D56" w:rsidRDefault="00BD0E70" w:rsidP="00BD0E70">
      <w:pPr>
        <w:ind w:left="360"/>
        <w:rPr>
          <w:rFonts w:ascii="Arial" w:hAnsi="Arial" w:cs="Arial"/>
          <w:sz w:val="24"/>
          <w:szCs w:val="24"/>
        </w:rPr>
      </w:pPr>
      <w:r w:rsidRPr="003B5D56">
        <w:rPr>
          <w:rFonts w:ascii="Arial" w:hAnsi="Arial" w:cs="Arial"/>
          <w:sz w:val="24"/>
          <w:szCs w:val="24"/>
        </w:rPr>
        <w:t>Reducing hours reflects gender differences linked to caring responsibilities with 18 percent of women compared to 8 percent of men.  Sixty-three percent of women between the ages of 35-44 use flexible working compared with half of other gender groups.</w:t>
      </w:r>
    </w:p>
    <w:p w:rsidR="00BD0E70" w:rsidRPr="003B5D56" w:rsidRDefault="00BD0E70" w:rsidP="00BD0E70">
      <w:pPr>
        <w:ind w:left="360"/>
        <w:rPr>
          <w:rFonts w:ascii="Arial" w:hAnsi="Arial" w:cs="Arial"/>
          <w:sz w:val="24"/>
          <w:szCs w:val="24"/>
        </w:rPr>
      </w:pPr>
      <w:r w:rsidRPr="003B5D56">
        <w:rPr>
          <w:rFonts w:ascii="Arial" w:hAnsi="Arial" w:cs="Arial"/>
          <w:b/>
          <w:sz w:val="24"/>
          <w:szCs w:val="24"/>
        </w:rPr>
        <w:t>Pay and benefits</w:t>
      </w:r>
      <w:r w:rsidRPr="003B5D56">
        <w:rPr>
          <w:rFonts w:ascii="Arial" w:hAnsi="Arial" w:cs="Arial"/>
          <w:sz w:val="24"/>
          <w:szCs w:val="24"/>
        </w:rPr>
        <w:t xml:space="preserve"> </w:t>
      </w:r>
    </w:p>
    <w:p w:rsidR="00BD0E70" w:rsidRPr="003B5D56" w:rsidRDefault="00BD0E70" w:rsidP="00BD0E70">
      <w:pPr>
        <w:ind w:left="360"/>
        <w:rPr>
          <w:rFonts w:ascii="Arial" w:hAnsi="Arial" w:cs="Arial"/>
          <w:sz w:val="24"/>
          <w:szCs w:val="24"/>
        </w:rPr>
      </w:pPr>
      <w:r w:rsidRPr="003B5D56">
        <w:rPr>
          <w:rFonts w:ascii="Arial" w:hAnsi="Arial" w:cs="Arial"/>
          <w:sz w:val="24"/>
          <w:szCs w:val="24"/>
        </w:rPr>
        <w:t>Dissatisfaction with pay in the public sector is higher than other sectors relating to pay-cuts over the last decade.  Middle-age group reflect they are satisfied with pay compared to 45 percent of other age groups; no differences occur by gender.</w:t>
      </w:r>
    </w:p>
    <w:p w:rsidR="00BD0E70" w:rsidRPr="003B5D56" w:rsidRDefault="00BD0E70" w:rsidP="00BD0E70">
      <w:pPr>
        <w:ind w:left="360"/>
        <w:rPr>
          <w:rFonts w:ascii="Arial" w:hAnsi="Arial" w:cs="Arial"/>
          <w:sz w:val="24"/>
          <w:szCs w:val="24"/>
        </w:rPr>
      </w:pPr>
      <w:r w:rsidRPr="003B5D56">
        <w:rPr>
          <w:rFonts w:ascii="Arial" w:hAnsi="Arial" w:cs="Arial"/>
          <w:b/>
          <w:sz w:val="24"/>
          <w:szCs w:val="24"/>
        </w:rPr>
        <w:t>Nature of jobs and job-design</w:t>
      </w:r>
      <w:r w:rsidRPr="003B5D56">
        <w:rPr>
          <w:rFonts w:ascii="Arial" w:hAnsi="Arial" w:cs="Arial"/>
          <w:sz w:val="24"/>
          <w:szCs w:val="24"/>
        </w:rPr>
        <w:t xml:space="preserve"> </w:t>
      </w:r>
    </w:p>
    <w:p w:rsidR="00BD0E70" w:rsidRPr="003B5D56" w:rsidRDefault="00BD0E70" w:rsidP="00BD0E70">
      <w:pPr>
        <w:ind w:left="360"/>
        <w:rPr>
          <w:rFonts w:ascii="Arial" w:hAnsi="Arial" w:cs="Arial"/>
          <w:sz w:val="24"/>
          <w:szCs w:val="24"/>
        </w:rPr>
      </w:pPr>
      <w:r w:rsidRPr="003B5D56">
        <w:rPr>
          <w:rFonts w:ascii="Arial" w:hAnsi="Arial" w:cs="Arial"/>
          <w:sz w:val="24"/>
          <w:szCs w:val="24"/>
        </w:rPr>
        <w:t>Half of UK workers cite their skills match their job, 37 percent are over-skilled and 12 percent are under-skilled.  Younger age groups report greater development and skill opportunities compared to those aged 55 and over; this could signify differing careers stages with older workforce in the higher-level occupations.</w:t>
      </w:r>
    </w:p>
    <w:p w:rsidR="00BD0E70" w:rsidRPr="003B5D56" w:rsidRDefault="00BD0E70" w:rsidP="00BD0E70">
      <w:pPr>
        <w:ind w:left="360"/>
        <w:rPr>
          <w:rFonts w:ascii="Arial" w:hAnsi="Arial" w:cs="Arial"/>
          <w:b/>
          <w:sz w:val="24"/>
          <w:szCs w:val="24"/>
        </w:rPr>
      </w:pPr>
      <w:r w:rsidRPr="003B5D56">
        <w:rPr>
          <w:rFonts w:ascii="Arial" w:hAnsi="Arial" w:cs="Arial"/>
          <w:b/>
          <w:sz w:val="24"/>
          <w:szCs w:val="24"/>
        </w:rPr>
        <w:t>Relationships at work</w:t>
      </w:r>
    </w:p>
    <w:p w:rsidR="00BD0E70" w:rsidRPr="003B5D56" w:rsidRDefault="00BD0E70" w:rsidP="00BD0E70">
      <w:pPr>
        <w:ind w:left="360"/>
        <w:rPr>
          <w:rFonts w:ascii="Arial" w:hAnsi="Arial" w:cs="Arial"/>
          <w:sz w:val="24"/>
          <w:szCs w:val="24"/>
        </w:rPr>
      </w:pPr>
      <w:r w:rsidRPr="003B5D56">
        <w:rPr>
          <w:rFonts w:ascii="Arial" w:hAnsi="Arial" w:cs="Arial"/>
          <w:sz w:val="24"/>
          <w:szCs w:val="24"/>
        </w:rPr>
        <w:t>Conflict differs by gender; women experiencing unwanted sexual attention, harassment or being undermined whilst men experience physical threats and false allegations.</w:t>
      </w:r>
      <w:r w:rsidRPr="003B5D56">
        <w:rPr>
          <w:rFonts w:ascii="Arial" w:hAnsi="Arial" w:cs="Arial"/>
          <w:sz w:val="24"/>
          <w:szCs w:val="24"/>
        </w:rPr>
        <w:br/>
      </w:r>
      <w:r w:rsidRPr="003B5D56">
        <w:rPr>
          <w:rFonts w:ascii="Arial" w:hAnsi="Arial" w:cs="Arial"/>
          <w:sz w:val="24"/>
          <w:szCs w:val="24"/>
        </w:rPr>
        <w:br/>
        <w:t xml:space="preserve">Three-quarters trust their colleagues acting with integrity, two-thirds stating a colleague would not undermine them.  A fifth feel their manager would proportion blame if they made a mistake. </w:t>
      </w:r>
    </w:p>
    <w:p w:rsidR="00BD0E70" w:rsidRPr="003B5D56" w:rsidRDefault="00BD0E70" w:rsidP="00BD0E70">
      <w:pPr>
        <w:ind w:left="360"/>
        <w:rPr>
          <w:rFonts w:ascii="Arial" w:hAnsi="Arial" w:cs="Arial"/>
          <w:b/>
          <w:sz w:val="24"/>
          <w:szCs w:val="24"/>
        </w:rPr>
      </w:pPr>
      <w:r w:rsidRPr="003B5D56">
        <w:rPr>
          <w:rFonts w:ascii="Arial" w:hAnsi="Arial" w:cs="Arial"/>
          <w:b/>
          <w:sz w:val="24"/>
          <w:szCs w:val="24"/>
        </w:rPr>
        <w:t>Voice and representation</w:t>
      </w:r>
    </w:p>
    <w:p w:rsidR="00BD0E70" w:rsidRPr="003B5D56" w:rsidRDefault="00BD0E70" w:rsidP="00BD0E70">
      <w:pPr>
        <w:ind w:left="360"/>
        <w:rPr>
          <w:rFonts w:ascii="Arial" w:hAnsi="Arial" w:cs="Arial"/>
          <w:sz w:val="24"/>
          <w:szCs w:val="24"/>
        </w:rPr>
      </w:pPr>
      <w:r w:rsidRPr="003B5D56">
        <w:rPr>
          <w:rFonts w:ascii="Arial" w:hAnsi="Arial" w:cs="Arial"/>
          <w:sz w:val="24"/>
          <w:szCs w:val="24"/>
        </w:rPr>
        <w:t>Greater opportunities exist in the public and voluntary sectors.  Union representative is above average in the UK ranked 10</w:t>
      </w:r>
      <w:r w:rsidRPr="003B5D56">
        <w:rPr>
          <w:rFonts w:ascii="Arial" w:hAnsi="Arial" w:cs="Arial"/>
          <w:sz w:val="24"/>
          <w:szCs w:val="24"/>
          <w:vertAlign w:val="superscript"/>
        </w:rPr>
        <w:t>th</w:t>
      </w:r>
      <w:r w:rsidRPr="003B5D56">
        <w:rPr>
          <w:rFonts w:ascii="Arial" w:hAnsi="Arial" w:cs="Arial"/>
          <w:sz w:val="24"/>
          <w:szCs w:val="24"/>
        </w:rPr>
        <w:t xml:space="preserve"> out of 25 comparator countries.</w:t>
      </w:r>
    </w:p>
    <w:p w:rsidR="00BD0E70" w:rsidRPr="003B5D56" w:rsidRDefault="00BD0E70" w:rsidP="00BD0E70">
      <w:pPr>
        <w:ind w:left="360"/>
        <w:rPr>
          <w:rFonts w:ascii="Arial" w:hAnsi="Arial" w:cs="Arial"/>
          <w:b/>
          <w:sz w:val="24"/>
          <w:szCs w:val="24"/>
        </w:rPr>
      </w:pPr>
      <w:r w:rsidRPr="003B5D56">
        <w:rPr>
          <w:rFonts w:ascii="Arial" w:hAnsi="Arial" w:cs="Arial"/>
          <w:b/>
          <w:sz w:val="24"/>
          <w:szCs w:val="24"/>
        </w:rPr>
        <w:t>Health and wellbeing</w:t>
      </w:r>
    </w:p>
    <w:p w:rsidR="00BD0E70" w:rsidRPr="003B5D56" w:rsidRDefault="00BD0E70" w:rsidP="00BD0E70">
      <w:pPr>
        <w:ind w:left="360"/>
        <w:rPr>
          <w:rFonts w:ascii="Arial" w:hAnsi="Arial" w:cs="Arial"/>
          <w:sz w:val="24"/>
          <w:szCs w:val="24"/>
        </w:rPr>
      </w:pPr>
      <w:r w:rsidRPr="003B5D56">
        <w:rPr>
          <w:rFonts w:ascii="Arial" w:hAnsi="Arial" w:cs="Arial"/>
          <w:sz w:val="24"/>
          <w:szCs w:val="24"/>
        </w:rPr>
        <w:t>Gender differences between women and men are evident; 29 percent of women report anxiety higher than a fifth of men.  Higher-managerial and administrative occupations score higher than the overall mean for the index.</w:t>
      </w:r>
    </w:p>
    <w:p w:rsidR="00E95EE1" w:rsidRPr="003B5D56" w:rsidRDefault="00E95EE1" w:rsidP="00BD0E70">
      <w:pPr>
        <w:ind w:left="360"/>
        <w:rPr>
          <w:rFonts w:ascii="Arial" w:hAnsi="Arial" w:cs="Arial"/>
          <w:sz w:val="24"/>
          <w:szCs w:val="24"/>
        </w:rPr>
      </w:pPr>
      <w:r w:rsidRPr="003B5D56">
        <w:rPr>
          <w:rFonts w:ascii="Arial" w:hAnsi="Arial" w:cs="Arial"/>
          <w:sz w:val="24"/>
          <w:szCs w:val="24"/>
        </w:rPr>
        <w:lastRenderedPageBreak/>
        <w:t>(CIPD, 2</w:t>
      </w:r>
      <w:bookmarkStart w:id="0" w:name="_GoBack"/>
      <w:bookmarkEnd w:id="0"/>
      <w:r w:rsidRPr="003B5D56">
        <w:rPr>
          <w:rFonts w:ascii="Arial" w:hAnsi="Arial" w:cs="Arial"/>
          <w:sz w:val="24"/>
          <w:szCs w:val="24"/>
        </w:rPr>
        <w:t>019)</w:t>
      </w:r>
    </w:p>
    <w:p w:rsidR="00C44331" w:rsidRPr="003B5D56" w:rsidRDefault="003C1F44" w:rsidP="00AA2715">
      <w:pPr>
        <w:pStyle w:val="ListParagraph"/>
        <w:numPr>
          <w:ilvl w:val="0"/>
          <w:numId w:val="1"/>
        </w:numPr>
        <w:rPr>
          <w:rFonts w:cs="Arial"/>
          <w:sz w:val="24"/>
          <w:szCs w:val="24"/>
        </w:rPr>
      </w:pPr>
      <w:r w:rsidRPr="003B5D56">
        <w:rPr>
          <w:rFonts w:cs="Arial"/>
          <w:b/>
          <w:sz w:val="24"/>
          <w:szCs w:val="24"/>
        </w:rPr>
        <w:t xml:space="preserve">Conclusion </w:t>
      </w:r>
    </w:p>
    <w:p w:rsidR="009C0594" w:rsidRPr="003B5D56" w:rsidRDefault="009010B8" w:rsidP="009C0594">
      <w:pPr>
        <w:ind w:left="360"/>
        <w:rPr>
          <w:rFonts w:ascii="Arial" w:hAnsi="Arial" w:cs="Arial"/>
          <w:sz w:val="24"/>
          <w:szCs w:val="24"/>
        </w:rPr>
      </w:pPr>
      <w:r w:rsidRPr="003B5D56">
        <w:rPr>
          <w:rFonts w:ascii="Arial" w:hAnsi="Arial" w:cs="Arial"/>
          <w:b/>
          <w:sz w:val="24"/>
          <w:szCs w:val="24"/>
        </w:rPr>
        <w:br/>
      </w:r>
      <w:r w:rsidR="009C0594" w:rsidRPr="003B5D56">
        <w:rPr>
          <w:rFonts w:ascii="Arial" w:hAnsi="Arial" w:cs="Arial"/>
          <w:sz w:val="24"/>
          <w:szCs w:val="24"/>
        </w:rPr>
        <w:t>To ensure future engagement managers and leaders are crucial in embedding and managing employees by; clear HR policies and procedures, taking health and safety seriously, avoiding discrimination and harassment, role-modelling, customer-focused, working collaboratively to expressing the ‘Big idea’ (Johns and Ellis, 2016).</w:t>
      </w:r>
    </w:p>
    <w:p w:rsidR="009C0594" w:rsidRPr="003B5D56" w:rsidRDefault="009C0594" w:rsidP="009C0594">
      <w:pPr>
        <w:ind w:left="360"/>
        <w:rPr>
          <w:rFonts w:ascii="Arial" w:hAnsi="Arial" w:cs="Arial"/>
          <w:sz w:val="24"/>
          <w:szCs w:val="24"/>
        </w:rPr>
      </w:pPr>
      <w:r w:rsidRPr="003B5D56">
        <w:rPr>
          <w:rFonts w:ascii="Arial" w:hAnsi="Arial" w:cs="Arial"/>
          <w:sz w:val="24"/>
          <w:szCs w:val="24"/>
        </w:rPr>
        <w:t>Organisations are required to differentiate themselves with their competitors by its culture in order to retain employees.  With a strong economy and job opportunities employees are likely to demand higher salaries or leave, unless the culture in the organisation is high (TINYpulse, 2019).  Development opportunities will ensure employee growth and talent management; 75 percent of executives state this is a key factor over the next decade recognising employees decide where to work and obtaining their long-term loyalty.  Learning and Development professionals reflect those in learning are the most highly engaged employees; building better skills, stronger teams and leaders for the future.  Great companies focus on employees’ personal growth; 87 percent of millennials state development and career growth are key to stopping them leaving an</w:t>
      </w:r>
      <w:r w:rsidR="00F96EBB" w:rsidRPr="003B5D56">
        <w:rPr>
          <w:rFonts w:ascii="Arial" w:hAnsi="Arial" w:cs="Arial"/>
          <w:sz w:val="24"/>
          <w:szCs w:val="24"/>
        </w:rPr>
        <w:t xml:space="preserve"> organisation (Agrawal, 2019; S</w:t>
      </w:r>
      <w:r w:rsidRPr="003B5D56">
        <w:rPr>
          <w:rFonts w:ascii="Arial" w:hAnsi="Arial" w:cs="Arial"/>
          <w:sz w:val="24"/>
          <w:szCs w:val="24"/>
        </w:rPr>
        <w:t xml:space="preserve">eemann, 2019; GLINT, 2019).  </w:t>
      </w:r>
    </w:p>
    <w:p w:rsidR="009C0594" w:rsidRPr="003B5D56" w:rsidRDefault="009C0594" w:rsidP="009C0594">
      <w:pPr>
        <w:ind w:left="360"/>
        <w:rPr>
          <w:rFonts w:ascii="Arial" w:hAnsi="Arial" w:cs="Arial"/>
          <w:sz w:val="24"/>
          <w:szCs w:val="24"/>
        </w:rPr>
      </w:pPr>
      <w:r w:rsidRPr="003B5D56">
        <w:rPr>
          <w:rFonts w:ascii="Arial" w:hAnsi="Arial" w:cs="Arial"/>
          <w:sz w:val="24"/>
          <w:szCs w:val="24"/>
        </w:rPr>
        <w:t>HR will play an active role as ‘insight-driven function’ meeting new challenges and insights into organisational fitness and readiness for the future thus being mindful of wider economic, political and social context of the business not just corporate business agendas.  The CIPD Next Generation research suggests HR take an active stewardship role challenging leadership and the reputation of the business reviving its previous role as ‘the conscience of the organisation’ on matters such as ethical and integrity issues.  Ensuring this trust, openness, transparency, straight-talking and dialogue-centred culture ensures employees and public believe in the organisation and is trustworthy (Hope-Hailey et al, 2012).</w:t>
      </w:r>
    </w:p>
    <w:p w:rsidR="009C0594" w:rsidRPr="003B5D56" w:rsidRDefault="009C0594" w:rsidP="009C0594">
      <w:pPr>
        <w:ind w:left="360"/>
        <w:rPr>
          <w:rFonts w:ascii="Arial" w:hAnsi="Arial" w:cs="Arial"/>
          <w:sz w:val="24"/>
          <w:szCs w:val="24"/>
        </w:rPr>
      </w:pPr>
      <w:r w:rsidRPr="003B5D56">
        <w:rPr>
          <w:rFonts w:ascii="Arial" w:hAnsi="Arial" w:cs="Arial"/>
          <w:sz w:val="24"/>
          <w:szCs w:val="24"/>
        </w:rPr>
        <w:t>Future considerations include the need to differentiate between engagement and employee satisfaction with leadership viewing engagement as a driver of discretionary effort effecting performance results.  Leadership behaviours together with trust, clear internal communication are essential to building EE (GLINT, 2019).</w:t>
      </w:r>
    </w:p>
    <w:p w:rsidR="004E4431" w:rsidRPr="003B5D56" w:rsidRDefault="009C0594" w:rsidP="009C0594">
      <w:pPr>
        <w:ind w:left="360"/>
        <w:rPr>
          <w:rFonts w:ascii="Arial" w:hAnsi="Arial" w:cs="Arial"/>
          <w:sz w:val="24"/>
          <w:szCs w:val="24"/>
          <w:highlight w:val="yellow"/>
        </w:rPr>
      </w:pPr>
      <w:r w:rsidRPr="003B5D56">
        <w:rPr>
          <w:rFonts w:ascii="Arial" w:hAnsi="Arial" w:cs="Arial"/>
          <w:sz w:val="24"/>
          <w:szCs w:val="24"/>
        </w:rPr>
        <w:t xml:space="preserve">New technologies and an increased job market power has shifted from employer to the employee (Brown et al., 2015).  Employees are now customers who utilise websites including Glassdoor and LinkedIn providing transparency viewing new job opportunities and gaining intelligence about an organisations’ culture.  Communication and transparency are important, technology can be utilised on a global scale whether the information is good or bad ensuring the workforce hears news first-hand (Mait, 2019).  </w:t>
      </w:r>
    </w:p>
    <w:p w:rsidR="00D40F97" w:rsidRPr="003B5D56" w:rsidRDefault="007C47B5" w:rsidP="00D40F97">
      <w:pPr>
        <w:spacing w:after="0"/>
        <w:rPr>
          <w:rFonts w:ascii="Arial" w:hAnsi="Arial" w:cs="Arial"/>
          <w:b/>
          <w:color w:val="808080" w:themeColor="background1" w:themeShade="80"/>
          <w:sz w:val="24"/>
          <w:szCs w:val="24"/>
        </w:rPr>
      </w:pPr>
      <w:r w:rsidRPr="003B5D56">
        <w:rPr>
          <w:rFonts w:ascii="Arial" w:hAnsi="Arial" w:cs="Arial"/>
          <w:b/>
          <w:color w:val="808080" w:themeColor="background1" w:themeShade="80"/>
          <w:sz w:val="24"/>
          <w:szCs w:val="24"/>
        </w:rPr>
        <w:br w:type="page"/>
      </w:r>
    </w:p>
    <w:p w:rsidR="0086143C" w:rsidRPr="003B5D56" w:rsidRDefault="0086143C" w:rsidP="0086143C">
      <w:pPr>
        <w:spacing w:after="0"/>
        <w:rPr>
          <w:rFonts w:ascii="Arial" w:hAnsi="Arial" w:cs="Arial"/>
          <w:b/>
          <w:color w:val="808080" w:themeColor="background1" w:themeShade="80"/>
          <w:sz w:val="24"/>
          <w:szCs w:val="24"/>
        </w:rPr>
      </w:pPr>
      <w:r w:rsidRPr="003B5D56">
        <w:rPr>
          <w:rFonts w:ascii="Arial" w:hAnsi="Arial" w:cs="Arial"/>
          <w:b/>
          <w:color w:val="808080" w:themeColor="background1" w:themeShade="80"/>
          <w:sz w:val="24"/>
          <w:szCs w:val="24"/>
        </w:rPr>
        <w:lastRenderedPageBreak/>
        <w:t>Bibliography</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Agrawal, H. (2019) </w:t>
      </w:r>
      <w:r w:rsidRPr="003B5D56">
        <w:rPr>
          <w:rFonts w:ascii="Arial" w:hAnsi="Arial" w:cs="Arial"/>
          <w:i/>
          <w:color w:val="808080" w:themeColor="background1" w:themeShade="80"/>
          <w:sz w:val="24"/>
          <w:szCs w:val="24"/>
        </w:rPr>
        <w:t>Employee Retention and Engagement: Call for Continuous Learning.</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9" w:history="1">
        <w:r w:rsidRPr="003B5D56">
          <w:rPr>
            <w:rFonts w:ascii="Arial" w:hAnsi="Arial" w:cs="Arial"/>
            <w:color w:val="808080" w:themeColor="background1" w:themeShade="80"/>
            <w:sz w:val="24"/>
            <w:szCs w:val="24"/>
          </w:rPr>
          <w:t>https://www.hrtechnologist.com/articles/employee-engagement/employee-retention-and-engagement-call-for-continuous-learning/</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27th August 2019).</w:t>
      </w:r>
    </w:p>
    <w:p w:rsidR="000D01F4" w:rsidRPr="003B5D56" w:rsidRDefault="000D01F4" w:rsidP="000D01F4">
      <w:pPr>
        <w:spacing w:after="0"/>
        <w:rPr>
          <w:rStyle w:val="Emphasis"/>
          <w:rFonts w:ascii="Arial" w:hAnsi="Arial" w:cs="Arial"/>
          <w:color w:val="808080" w:themeColor="background1" w:themeShade="80"/>
          <w:sz w:val="24"/>
          <w:szCs w:val="24"/>
          <w:bdr w:val="none" w:sz="0" w:space="0" w:color="auto" w:frame="1"/>
          <w:shd w:val="clear" w:color="auto" w:fill="FFFFFF"/>
        </w:rPr>
      </w:pPr>
    </w:p>
    <w:p w:rsidR="000D01F4" w:rsidRPr="003B5D56" w:rsidRDefault="000D01F4" w:rsidP="000D01F4">
      <w:pPr>
        <w:spacing w:after="0"/>
        <w:rPr>
          <w:rFonts w:ascii="Arial" w:hAnsi="Arial" w:cs="Arial"/>
          <w:color w:val="808080" w:themeColor="background1" w:themeShade="80"/>
          <w:sz w:val="24"/>
          <w:szCs w:val="24"/>
        </w:rPr>
      </w:pPr>
      <w:r w:rsidRPr="003B5D56">
        <w:rPr>
          <w:rStyle w:val="Emphasis"/>
          <w:rFonts w:ascii="Arial" w:hAnsi="Arial" w:cs="Arial"/>
          <w:i w:val="0"/>
          <w:color w:val="808080" w:themeColor="background1" w:themeShade="80"/>
          <w:sz w:val="24"/>
          <w:szCs w:val="24"/>
          <w:bdr w:val="none" w:sz="0" w:space="0" w:color="auto" w:frame="1"/>
          <w:shd w:val="clear" w:color="auto" w:fill="FFFFFF"/>
        </w:rPr>
        <w:t>Armstrong, M. (2009)</w:t>
      </w:r>
      <w:r w:rsidRPr="003B5D56">
        <w:rPr>
          <w:rStyle w:val="Emphasis"/>
          <w:rFonts w:ascii="Arial" w:hAnsi="Arial" w:cs="Arial"/>
          <w:color w:val="808080" w:themeColor="background1" w:themeShade="80"/>
          <w:sz w:val="24"/>
          <w:szCs w:val="24"/>
          <w:bdr w:val="none" w:sz="0" w:space="0" w:color="auto" w:frame="1"/>
          <w:shd w:val="clear" w:color="auto" w:fill="FFFFFF"/>
        </w:rPr>
        <w:t xml:space="preserve"> Armstrong’s Handbook of Human Resource Management Practice. </w:t>
      </w:r>
      <w:r w:rsidRPr="003B5D56">
        <w:rPr>
          <w:rFonts w:ascii="Arial" w:hAnsi="Arial" w:cs="Arial"/>
          <w:color w:val="808080" w:themeColor="background1" w:themeShade="80"/>
          <w:sz w:val="24"/>
          <w:szCs w:val="24"/>
        </w:rPr>
        <w:t>(11</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edn). London: Kogan Page Limited.</w:t>
      </w:r>
    </w:p>
    <w:p w:rsidR="00CD2708" w:rsidRPr="003B5D56" w:rsidRDefault="00CD2708" w:rsidP="000D01F4">
      <w:pPr>
        <w:spacing w:after="0"/>
        <w:rPr>
          <w:rFonts w:ascii="Arial" w:hAnsi="Arial" w:cs="Arial"/>
          <w:color w:val="808080" w:themeColor="background1" w:themeShade="80"/>
          <w:sz w:val="24"/>
          <w:szCs w:val="24"/>
        </w:rPr>
      </w:pPr>
    </w:p>
    <w:p w:rsidR="00CD2708" w:rsidRPr="003B5D56" w:rsidRDefault="00CD2708" w:rsidP="000D01F4">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Biro, M. (2018) </w:t>
      </w:r>
      <w:r w:rsidRPr="003B5D56">
        <w:rPr>
          <w:rFonts w:ascii="Arial" w:hAnsi="Arial" w:cs="Arial"/>
          <w:i/>
          <w:color w:val="808080" w:themeColor="background1" w:themeShade="80"/>
          <w:sz w:val="24"/>
          <w:szCs w:val="24"/>
        </w:rPr>
        <w:t>Developing Your Employees Is The Key To Retention – Here are 4 Smart Ways To Start.</w:t>
      </w:r>
    </w:p>
    <w:p w:rsidR="0086143C" w:rsidRPr="003B5D56" w:rsidRDefault="00CD2708" w:rsidP="00CD2708">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10" w:anchor="1608b6163734" w:history="1">
        <w:r w:rsidRPr="003B5D56">
          <w:rPr>
            <w:rStyle w:val="Hyperlink"/>
            <w:rFonts w:ascii="Arial" w:hAnsi="Arial" w:cs="Arial"/>
            <w:color w:val="808080" w:themeColor="background1" w:themeShade="80"/>
            <w:sz w:val="24"/>
            <w:szCs w:val="24"/>
            <w:u w:val="none"/>
          </w:rPr>
          <w:t>https://www.forbes.com/sites/meghanbiro/2018/07/23/developing-your-employees-is-the-key-to-retention-here-are-4-smart-ways-to-start/#1608b6163734</w:t>
        </w:r>
      </w:hyperlink>
    </w:p>
    <w:p w:rsidR="00A101E0" w:rsidRDefault="00CD2708"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July 2019).</w:t>
      </w:r>
    </w:p>
    <w:p w:rsidR="00A101E0" w:rsidRDefault="00A101E0"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Bridger, E. (2018) </w:t>
      </w:r>
      <w:r w:rsidRPr="003B5D56">
        <w:rPr>
          <w:rFonts w:ascii="Arial" w:hAnsi="Arial" w:cs="Arial"/>
          <w:i/>
          <w:color w:val="808080" w:themeColor="background1" w:themeShade="80"/>
          <w:sz w:val="24"/>
          <w:szCs w:val="24"/>
        </w:rPr>
        <w:t>Employee Engagement.</w:t>
      </w:r>
      <w:r w:rsidR="00395D0B" w:rsidRPr="003B5D56">
        <w:rPr>
          <w:rFonts w:ascii="Arial" w:hAnsi="Arial" w:cs="Arial"/>
          <w:color w:val="808080" w:themeColor="background1" w:themeShade="80"/>
          <w:sz w:val="24"/>
          <w:szCs w:val="24"/>
        </w:rPr>
        <w:t xml:space="preserve"> </w:t>
      </w:r>
      <w:r w:rsidR="00395D0B" w:rsidRPr="003B5D56">
        <w:rPr>
          <w:rFonts w:ascii="Arial" w:hAnsi="Arial" w:cs="Arial"/>
          <w:i/>
          <w:color w:val="808080" w:themeColor="background1" w:themeShade="80"/>
          <w:sz w:val="24"/>
          <w:szCs w:val="24"/>
        </w:rPr>
        <w:t xml:space="preserve"> </w:t>
      </w:r>
      <w:r w:rsidR="00395D0B" w:rsidRPr="003B5D56">
        <w:rPr>
          <w:rFonts w:ascii="Arial" w:hAnsi="Arial" w:cs="Arial"/>
          <w:color w:val="808080" w:themeColor="background1" w:themeShade="80"/>
          <w:sz w:val="24"/>
          <w:szCs w:val="24"/>
        </w:rPr>
        <w:t>2</w:t>
      </w:r>
      <w:r w:rsidR="00395D0B" w:rsidRPr="003B5D56">
        <w:rPr>
          <w:rFonts w:ascii="Arial" w:hAnsi="Arial" w:cs="Arial"/>
          <w:color w:val="808080" w:themeColor="background1" w:themeShade="80"/>
          <w:sz w:val="24"/>
          <w:szCs w:val="24"/>
          <w:vertAlign w:val="superscript"/>
        </w:rPr>
        <w:t>nd</w:t>
      </w:r>
      <w:r w:rsidR="00395D0B" w:rsidRPr="003B5D56">
        <w:rPr>
          <w:rFonts w:ascii="Arial" w:hAnsi="Arial" w:cs="Arial"/>
          <w:color w:val="808080" w:themeColor="background1" w:themeShade="80"/>
          <w:sz w:val="24"/>
          <w:szCs w:val="24"/>
        </w:rPr>
        <w:t xml:space="preserve"> edn</w:t>
      </w:r>
      <w:r w:rsidR="00395D0B" w:rsidRPr="003B5D56">
        <w:rPr>
          <w:rFonts w:ascii="Arial" w:hAnsi="Arial" w:cs="Arial"/>
          <w:color w:val="808080" w:themeColor="background1" w:themeShade="80"/>
          <w:sz w:val="24"/>
          <w:szCs w:val="24"/>
        </w:rPr>
        <w:t>. London:</w:t>
      </w:r>
      <w:r w:rsidRPr="003B5D56">
        <w:rPr>
          <w:rFonts w:ascii="Arial" w:hAnsi="Arial" w:cs="Arial"/>
          <w:color w:val="808080" w:themeColor="background1" w:themeShade="80"/>
          <w:sz w:val="24"/>
          <w:szCs w:val="24"/>
        </w:rPr>
        <w:t xml:space="preserve"> Kogan Page Limited. </w:t>
      </w:r>
    </w:p>
    <w:p w:rsidR="00395D0B" w:rsidRPr="003B5D56" w:rsidRDefault="00395D0B"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Brown, D., Melian, V., Solow, M., Ccheng, S. and Parker, S. (2015) </w:t>
      </w:r>
      <w:r w:rsidRPr="003B5D56">
        <w:rPr>
          <w:rFonts w:ascii="Arial" w:hAnsi="Arial" w:cs="Arial"/>
          <w:i/>
          <w:color w:val="808080" w:themeColor="background1" w:themeShade="80"/>
          <w:sz w:val="24"/>
          <w:szCs w:val="24"/>
        </w:rPr>
        <w:t>Culture and engagement.  The naked organization.</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11" w:history="1">
        <w:r w:rsidRPr="003B5D56">
          <w:rPr>
            <w:rFonts w:ascii="Arial" w:hAnsi="Arial" w:cs="Arial"/>
            <w:color w:val="808080" w:themeColor="background1" w:themeShade="80"/>
            <w:sz w:val="24"/>
            <w:szCs w:val="24"/>
          </w:rPr>
          <w:t>https://www2.deloitte.com/us/en/insights/focus/human-capital-trends/2015/employee-engagement-culture-human-capital-trends-2015.html</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July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CIPD (2012)</w:t>
      </w:r>
      <w:r w:rsidRPr="003B5D56">
        <w:rPr>
          <w:rFonts w:ascii="Arial" w:hAnsi="Arial" w:cs="Arial"/>
          <w:i/>
          <w:color w:val="808080" w:themeColor="background1" w:themeShade="80"/>
          <w:sz w:val="24"/>
          <w:szCs w:val="24"/>
        </w:rPr>
        <w:t xml:space="preserve"> Leading Culture Change: Employee Engagement and Public Service Transformation.</w:t>
      </w:r>
    </w:p>
    <w:p w:rsidR="0086143C" w:rsidRPr="003B5D56" w:rsidRDefault="0086143C" w:rsidP="0086143C">
      <w:pPr>
        <w:shd w:val="clear" w:color="auto" w:fill="FFFFFF"/>
        <w:spacing w:after="0" w:line="216" w:lineRule="atLeast"/>
        <w:rPr>
          <w:rFonts w:ascii="Arial" w:eastAsia="Times New Roman" w:hAnsi="Arial" w:cs="Arial"/>
          <w:color w:val="808080" w:themeColor="background1" w:themeShade="80"/>
          <w:sz w:val="24"/>
          <w:szCs w:val="24"/>
          <w:lang w:eastAsia="en-GB"/>
        </w:rPr>
      </w:pPr>
      <w:r w:rsidRPr="003B5D56">
        <w:rPr>
          <w:rFonts w:ascii="Arial" w:hAnsi="Arial" w:cs="Arial"/>
          <w:color w:val="808080" w:themeColor="background1" w:themeShade="80"/>
          <w:sz w:val="24"/>
          <w:szCs w:val="24"/>
        </w:rPr>
        <w:t xml:space="preserve">Available at:  </w:t>
      </w:r>
      <w:hyperlink r:id="rId12" w:history="1">
        <w:r w:rsidRPr="003B5D56">
          <w:rPr>
            <w:rStyle w:val="Hyperlink"/>
            <w:rFonts w:ascii="Arial" w:hAnsi="Arial" w:cs="Arial"/>
            <w:color w:val="808080" w:themeColor="background1" w:themeShade="80"/>
            <w:sz w:val="24"/>
            <w:szCs w:val="24"/>
            <w:u w:val="none"/>
          </w:rPr>
          <w:t>https://www.cipd.co.uk/Images/leading-culture-change-employee-engagement-and-public-service-transformation_2012_tcm18-14116.pdf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July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CIPD (2012) </w:t>
      </w:r>
      <w:r w:rsidRPr="003B5D56">
        <w:rPr>
          <w:rFonts w:ascii="Arial" w:hAnsi="Arial" w:cs="Arial"/>
          <w:i/>
          <w:color w:val="808080" w:themeColor="background1" w:themeShade="80"/>
          <w:sz w:val="24"/>
          <w:szCs w:val="24"/>
        </w:rPr>
        <w:t>Managing for sustainable employee engagement. Guidance for employers and managers.</w:t>
      </w:r>
    </w:p>
    <w:p w:rsidR="0086143C" w:rsidRPr="003B5D56" w:rsidRDefault="0086143C" w:rsidP="0086143C">
      <w:pPr>
        <w:shd w:val="clear" w:color="auto" w:fill="FFFFFF"/>
        <w:spacing w:after="0" w:line="216" w:lineRule="atLeast"/>
        <w:rPr>
          <w:rFonts w:ascii="Arial" w:eastAsia="Times New Roman" w:hAnsi="Arial" w:cs="Arial"/>
          <w:color w:val="808080" w:themeColor="background1" w:themeShade="80"/>
          <w:sz w:val="24"/>
          <w:szCs w:val="24"/>
          <w:lang w:eastAsia="en-GB"/>
        </w:rPr>
      </w:pPr>
      <w:r w:rsidRPr="003B5D56">
        <w:rPr>
          <w:rFonts w:ascii="Arial" w:hAnsi="Arial" w:cs="Arial"/>
          <w:color w:val="808080" w:themeColor="background1" w:themeShade="80"/>
          <w:sz w:val="24"/>
          <w:szCs w:val="24"/>
        </w:rPr>
        <w:t xml:space="preserve">Available at:  </w:t>
      </w:r>
      <w:hyperlink r:id="rId13" w:history="1">
        <w:r w:rsidRPr="003B5D56">
          <w:rPr>
            <w:rStyle w:val="Hyperlink"/>
            <w:rFonts w:ascii="Arial" w:hAnsi="Arial" w:cs="Arial"/>
            <w:color w:val="808080" w:themeColor="background1" w:themeShade="80"/>
            <w:sz w:val="24"/>
            <w:szCs w:val="24"/>
            <w:u w:val="none"/>
          </w:rPr>
          <w:t>https://www.cipd.co.uk/Images/managing-for-sustainable-employee-engagement-guidance-for-employers-and-managers_2012_tcm18-10753.pdf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(2012) </w:t>
      </w:r>
      <w:r w:rsidRPr="003B5D56">
        <w:rPr>
          <w:rFonts w:ascii="Arial" w:hAnsi="Arial" w:cs="Arial"/>
          <w:i/>
          <w:color w:val="808080" w:themeColor="background1" w:themeShade="80"/>
          <w:sz w:val="24"/>
          <w:szCs w:val="24"/>
        </w:rPr>
        <w:t>Managing for sustainable employee engagement: Guidance setting out a framework of management behaviours and competence to build employee engagement.</w:t>
      </w:r>
    </w:p>
    <w:p w:rsidR="0086143C" w:rsidRPr="003B5D56" w:rsidRDefault="0086143C" w:rsidP="0086143C">
      <w:pPr>
        <w:shd w:val="clear" w:color="auto" w:fill="FFFFFF"/>
        <w:spacing w:after="0" w:line="216" w:lineRule="atLeast"/>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p>
    <w:p w:rsidR="0086143C" w:rsidRPr="003B5D56" w:rsidRDefault="00A101E0" w:rsidP="0086143C">
      <w:pPr>
        <w:spacing w:after="0"/>
        <w:rPr>
          <w:rFonts w:ascii="Arial" w:hAnsi="Arial" w:cs="Arial"/>
          <w:color w:val="808080" w:themeColor="background1" w:themeShade="80"/>
          <w:sz w:val="24"/>
          <w:szCs w:val="24"/>
        </w:rPr>
      </w:pPr>
      <w:hyperlink r:id="rId14" w:history="1">
        <w:r w:rsidR="0086143C" w:rsidRPr="003B5D56">
          <w:rPr>
            <w:rFonts w:ascii="Arial" w:hAnsi="Arial" w:cs="Arial"/>
            <w:color w:val="808080" w:themeColor="background1" w:themeShade="80"/>
            <w:sz w:val="24"/>
            <w:szCs w:val="24"/>
          </w:rPr>
          <w:t>https://www.cipd.co.uk/knowledge/fundamentals/relations/engagement/management-guide</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30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(2012) </w:t>
      </w:r>
      <w:r w:rsidRPr="003B5D56">
        <w:rPr>
          <w:rFonts w:ascii="Arial" w:hAnsi="Arial" w:cs="Arial"/>
          <w:i/>
          <w:color w:val="808080" w:themeColor="background1" w:themeShade="80"/>
          <w:sz w:val="24"/>
          <w:szCs w:val="24"/>
        </w:rPr>
        <w:t>Where has all the trust gone?</w:t>
      </w:r>
      <w:r w:rsidRPr="003B5D56">
        <w:rPr>
          <w:rFonts w:ascii="Arial" w:hAnsi="Arial" w:cs="Arial"/>
          <w:color w:val="808080" w:themeColor="background1" w:themeShade="80"/>
          <w:sz w:val="24"/>
          <w:szCs w:val="24"/>
        </w:rPr>
        <w:br/>
        <w:t xml:space="preserve">Available at:  </w:t>
      </w:r>
      <w:hyperlink r:id="rId15" w:history="1">
        <w:r w:rsidRPr="003B5D56">
          <w:rPr>
            <w:rFonts w:ascii="Arial" w:hAnsi="Arial" w:cs="Arial"/>
            <w:color w:val="808080" w:themeColor="background1" w:themeShade="80"/>
            <w:sz w:val="24"/>
            <w:szCs w:val="24"/>
          </w:rPr>
          <w:t>https://www.cipd.co.uk/knowledge/culture/ethics/has-trust-gone-report</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CIPD (2018) </w:t>
      </w:r>
      <w:r w:rsidRPr="003B5D56">
        <w:rPr>
          <w:rFonts w:ascii="Arial" w:hAnsi="Arial" w:cs="Arial"/>
          <w:i/>
          <w:color w:val="808080" w:themeColor="background1" w:themeShade="80"/>
          <w:sz w:val="24"/>
          <w:szCs w:val="24"/>
        </w:rPr>
        <w:t>Employee engagement and motivation.</w:t>
      </w:r>
    </w:p>
    <w:p w:rsidR="0086143C" w:rsidRPr="003B5D56" w:rsidRDefault="0086143C" w:rsidP="0086143C">
      <w:pPr>
        <w:shd w:val="clear" w:color="auto" w:fill="FFFFFF"/>
        <w:spacing w:after="0" w:line="216" w:lineRule="atLeast"/>
        <w:rPr>
          <w:rFonts w:ascii="Arial" w:eastAsia="Times New Roman" w:hAnsi="Arial" w:cs="Arial"/>
          <w:color w:val="808080" w:themeColor="background1" w:themeShade="80"/>
          <w:sz w:val="24"/>
          <w:szCs w:val="24"/>
          <w:lang w:eastAsia="en-GB"/>
        </w:rPr>
      </w:pPr>
      <w:r w:rsidRPr="003B5D56">
        <w:rPr>
          <w:rFonts w:ascii="Arial" w:hAnsi="Arial" w:cs="Arial"/>
          <w:color w:val="808080" w:themeColor="background1" w:themeShade="80"/>
          <w:sz w:val="24"/>
          <w:szCs w:val="24"/>
        </w:rPr>
        <w:t xml:space="preserve">Available at:  </w:t>
      </w:r>
      <w:hyperlink r:id="rId16" w:history="1">
        <w:r w:rsidRPr="003B5D56">
          <w:rPr>
            <w:rStyle w:val="Hyperlink"/>
            <w:rFonts w:ascii="Arial" w:hAnsi="Arial" w:cs="Arial"/>
            <w:color w:val="808080" w:themeColor="background1" w:themeShade="80"/>
            <w:sz w:val="24"/>
            <w:szCs w:val="24"/>
            <w:u w:val="none"/>
          </w:rPr>
          <w:t>https://www.cipd.co.uk/knowledge/fundamentals/relations/engagement/factsheet</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(2018) </w:t>
      </w:r>
      <w:r w:rsidRPr="003B5D56">
        <w:rPr>
          <w:rFonts w:ascii="Arial" w:hAnsi="Arial" w:cs="Arial"/>
          <w:i/>
          <w:color w:val="808080" w:themeColor="background1" w:themeShade="80"/>
          <w:sz w:val="24"/>
          <w:szCs w:val="24"/>
        </w:rPr>
        <w:t>Labour Market. Outlook Autumn 2018.</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17" w:history="1">
        <w:r w:rsidRPr="003B5D56">
          <w:rPr>
            <w:rStyle w:val="Hyperlink"/>
            <w:rFonts w:ascii="Arial" w:hAnsi="Arial" w:cs="Arial"/>
            <w:color w:val="808080" w:themeColor="background1" w:themeShade="80"/>
            <w:sz w:val="24"/>
            <w:szCs w:val="24"/>
            <w:u w:val="none"/>
          </w:rPr>
          <w:t>https://www.cipd.co.uk/Images/labour-market-outlook_2018-autumn-2018_tcm18-50460.pdf</w:t>
        </w:r>
      </w:hyperlink>
      <w:r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(2018) </w:t>
      </w:r>
      <w:r w:rsidRPr="003B5D56">
        <w:rPr>
          <w:rFonts w:ascii="Arial" w:hAnsi="Arial" w:cs="Arial"/>
          <w:i/>
          <w:color w:val="808080" w:themeColor="background1" w:themeShade="80"/>
          <w:sz w:val="24"/>
          <w:szCs w:val="24"/>
        </w:rPr>
        <w:t>UK Working Lives.</w:t>
      </w:r>
      <w:r w:rsidR="003B5D56" w:rsidRPr="003B5D56">
        <w:rPr>
          <w:rFonts w:ascii="Arial" w:hAnsi="Arial" w:cs="Arial"/>
          <w:i/>
          <w:color w:val="808080" w:themeColor="background1" w:themeShade="80"/>
          <w:sz w:val="24"/>
          <w:szCs w:val="24"/>
        </w:rPr>
        <w:t xml:space="preserve">  </w:t>
      </w:r>
      <w:r w:rsidR="003B5D56" w:rsidRPr="003B5D56">
        <w:rPr>
          <w:rFonts w:ascii="Arial" w:hAnsi="Arial" w:cs="Arial"/>
          <w:i/>
          <w:color w:val="808080" w:themeColor="background1" w:themeShade="80"/>
          <w:sz w:val="24"/>
          <w:szCs w:val="24"/>
        </w:rPr>
        <w:t>The CIPD Job Quality Index.</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Available at</w:t>
      </w:r>
      <w:r w:rsidR="003B5D56" w:rsidRPr="003B5D56">
        <w:rPr>
          <w:rFonts w:ascii="Arial" w:hAnsi="Arial" w:cs="Arial"/>
          <w:color w:val="808080" w:themeColor="background1" w:themeShade="80"/>
          <w:sz w:val="24"/>
          <w:szCs w:val="24"/>
        </w:rPr>
        <w:t xml:space="preserve">: </w:t>
      </w:r>
      <w:hyperlink r:id="rId18" w:history="1">
        <w:r w:rsidR="003B5D56" w:rsidRPr="003B5D56">
          <w:rPr>
            <w:rStyle w:val="Hyperlink"/>
            <w:rFonts w:ascii="Arial" w:hAnsi="Arial" w:cs="Arial"/>
            <w:color w:val="808080" w:themeColor="background1" w:themeShade="80"/>
            <w:sz w:val="24"/>
            <w:szCs w:val="24"/>
            <w:u w:val="none"/>
          </w:rPr>
          <w:t>https://www.cipd.co.uk/Images/UK-working-lives-2_tcm18-40225.pdf</w:t>
        </w:r>
      </w:hyperlink>
      <w:r w:rsidR="003B5D56"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3B5D56" w:rsidRPr="003B5D56" w:rsidRDefault="003B5D56" w:rsidP="003B5D56">
      <w:pPr>
        <w:spacing w:after="0"/>
        <w:rPr>
          <w:rFonts w:ascii="Arial" w:hAnsi="Arial" w:cs="Arial"/>
          <w:color w:val="808080" w:themeColor="background1" w:themeShade="80"/>
          <w:sz w:val="24"/>
          <w:szCs w:val="24"/>
        </w:rPr>
      </w:pPr>
    </w:p>
    <w:p w:rsidR="003B5D56" w:rsidRPr="003B5D56" w:rsidRDefault="003B5D56" w:rsidP="003B5D56">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(2018) </w:t>
      </w:r>
      <w:r w:rsidRPr="003B5D56">
        <w:rPr>
          <w:rFonts w:ascii="Arial" w:hAnsi="Arial" w:cs="Arial"/>
          <w:i/>
          <w:color w:val="808080" w:themeColor="background1" w:themeShade="80"/>
          <w:sz w:val="24"/>
          <w:szCs w:val="24"/>
        </w:rPr>
        <w:t>UK Working Lives. In search of job quality.</w:t>
      </w:r>
    </w:p>
    <w:p w:rsidR="003B5D56" w:rsidRPr="003B5D56" w:rsidRDefault="003B5D56" w:rsidP="003B5D56">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19" w:history="1">
        <w:r w:rsidRPr="003B5D56">
          <w:rPr>
            <w:rFonts w:ascii="Arial" w:hAnsi="Arial" w:cs="Arial"/>
            <w:color w:val="808080" w:themeColor="background1" w:themeShade="80"/>
            <w:sz w:val="24"/>
            <w:szCs w:val="24"/>
          </w:rPr>
          <w:t>https://www.cipd.co.uk/Images/uk-working-lives-summary_tcm18-40233.pdf</w:t>
        </w:r>
      </w:hyperlink>
    </w:p>
    <w:p w:rsidR="003B5D56" w:rsidRPr="003B5D56" w:rsidRDefault="003B5D56" w:rsidP="003B5D56">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(2019) </w:t>
      </w:r>
      <w:r w:rsidRPr="003B5D56">
        <w:rPr>
          <w:rFonts w:ascii="Arial" w:hAnsi="Arial" w:cs="Arial"/>
          <w:i/>
          <w:color w:val="808080" w:themeColor="background1" w:themeShade="80"/>
          <w:sz w:val="24"/>
          <w:szCs w:val="24"/>
        </w:rPr>
        <w:t>Labour Market. Outlook Summer 2019.</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0" w:history="1">
        <w:r w:rsidRPr="003B5D56">
          <w:rPr>
            <w:rStyle w:val="Hyperlink"/>
            <w:rFonts w:ascii="Arial" w:hAnsi="Arial" w:cs="Arial"/>
            <w:color w:val="808080" w:themeColor="background1" w:themeShade="80"/>
            <w:sz w:val="24"/>
            <w:szCs w:val="24"/>
            <w:u w:val="none"/>
          </w:rPr>
          <w:t>https://www.cipd.co.uk/Images/labour-market-outlook-summer-2019_tcm18-62411.pdf</w:t>
        </w:r>
      </w:hyperlink>
      <w:r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(2019) </w:t>
      </w:r>
      <w:r w:rsidRPr="003B5D56">
        <w:rPr>
          <w:rFonts w:ascii="Arial" w:hAnsi="Arial" w:cs="Arial"/>
          <w:i/>
          <w:color w:val="808080" w:themeColor="background1" w:themeShade="80"/>
          <w:sz w:val="24"/>
          <w:szCs w:val="24"/>
        </w:rPr>
        <w:t>UK Working Lives. In search of job quality.</w:t>
      </w:r>
    </w:p>
    <w:p w:rsidR="003B5D56"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1" w:history="1">
        <w:r w:rsidRPr="003B5D56">
          <w:rPr>
            <w:rStyle w:val="Hyperlink"/>
            <w:rFonts w:ascii="Arial" w:hAnsi="Arial" w:cs="Arial"/>
            <w:color w:val="808080" w:themeColor="background1" w:themeShade="80"/>
            <w:sz w:val="24"/>
            <w:szCs w:val="24"/>
            <w:u w:val="none"/>
          </w:rPr>
          <w:t>https://www.cipd.co.uk/Images/uk-working-lives-2019-v1_tcm18-58585.pdf</w:t>
        </w:r>
      </w:hyperlink>
      <w:r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3B5D56" w:rsidRPr="003B5D56" w:rsidRDefault="003B5D56" w:rsidP="003B5D56">
      <w:pPr>
        <w:spacing w:after="0"/>
        <w:rPr>
          <w:rFonts w:ascii="Arial" w:hAnsi="Arial" w:cs="Arial"/>
          <w:color w:val="808080" w:themeColor="background1" w:themeShade="80"/>
          <w:sz w:val="24"/>
          <w:szCs w:val="24"/>
        </w:rPr>
      </w:pPr>
    </w:p>
    <w:p w:rsidR="003B5D56" w:rsidRPr="003B5D56" w:rsidRDefault="003B5D56" w:rsidP="003B5D56">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CIPD (2019) </w:t>
      </w:r>
      <w:r w:rsidRPr="003B5D56">
        <w:rPr>
          <w:rFonts w:ascii="Arial" w:hAnsi="Arial" w:cs="Arial"/>
          <w:i/>
          <w:color w:val="808080" w:themeColor="background1" w:themeShade="80"/>
          <w:sz w:val="24"/>
          <w:szCs w:val="24"/>
        </w:rPr>
        <w:t>UK Working Lives.  The CIPD Job Quality Index</w:t>
      </w:r>
      <w:r w:rsidRPr="003B5D56">
        <w:rPr>
          <w:rFonts w:ascii="Arial" w:hAnsi="Arial" w:cs="Arial"/>
          <w:i/>
          <w:color w:val="808080" w:themeColor="background1" w:themeShade="80"/>
          <w:sz w:val="24"/>
          <w:szCs w:val="24"/>
        </w:rPr>
        <w:t>.</w:t>
      </w:r>
    </w:p>
    <w:p w:rsidR="003B5D56" w:rsidRPr="003B5D56" w:rsidRDefault="003B5D56" w:rsidP="003B5D56">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2" w:history="1"/>
      <w:r w:rsidRPr="003B5D56">
        <w:rPr>
          <w:rFonts w:ascii="Arial" w:hAnsi="Arial" w:cs="Arial"/>
          <w:color w:val="808080" w:themeColor="background1" w:themeShade="80"/>
          <w:sz w:val="24"/>
          <w:szCs w:val="24"/>
        </w:rPr>
        <w:t xml:space="preserve"> </w:t>
      </w:r>
      <w:hyperlink r:id="rId23" w:history="1">
        <w:r w:rsidRPr="003B5D56">
          <w:rPr>
            <w:rStyle w:val="Hyperlink"/>
            <w:rFonts w:ascii="Arial" w:hAnsi="Arial" w:cs="Arial"/>
            <w:color w:val="808080" w:themeColor="background1" w:themeShade="80"/>
            <w:sz w:val="24"/>
            <w:szCs w:val="24"/>
            <w:u w:val="none"/>
          </w:rPr>
          <w:t>https://www.cipd.co.uk/Images/uk-working-lives-summary-2019-v1_tcm18-58584.pdf</w:t>
        </w:r>
      </w:hyperlink>
    </w:p>
    <w:p w:rsidR="003B5D56" w:rsidRPr="003B5D56" w:rsidRDefault="003B5D56" w:rsidP="003B5D56">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Deloittte Insights (2018) </w:t>
      </w:r>
      <w:r w:rsidRPr="003B5D56">
        <w:rPr>
          <w:rFonts w:ascii="Arial" w:hAnsi="Arial" w:cs="Arial"/>
          <w:i/>
          <w:color w:val="808080" w:themeColor="background1" w:themeShade="80"/>
          <w:sz w:val="24"/>
          <w:szCs w:val="24"/>
        </w:rPr>
        <w:t>The Rise of the social enterprise 2018 Deloitte Global Human Capital Trends.</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4" w:history="1">
        <w:r w:rsidRPr="003B5D56">
          <w:rPr>
            <w:rFonts w:ascii="Arial" w:hAnsi="Arial" w:cs="Arial"/>
            <w:color w:val="808080" w:themeColor="background1" w:themeShade="80"/>
            <w:sz w:val="24"/>
            <w:szCs w:val="24"/>
          </w:rPr>
          <w:t>https://www2.deloitte.com/content/dam/Deloitte/at/Documents/human-capital/at-2018-deloitte-human-capital-trends.pdf</w:t>
        </w:r>
      </w:hyperlink>
      <w:r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27th August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Style w:val="Hyperlink"/>
          <w:rFonts w:ascii="Arial" w:hAnsi="Arial" w:cs="Arial"/>
          <w:color w:val="808080" w:themeColor="background1" w:themeShade="80"/>
          <w:sz w:val="24"/>
          <w:szCs w:val="24"/>
          <w:u w:val="none"/>
        </w:rPr>
      </w:pPr>
      <w:r w:rsidRPr="003B5D56">
        <w:rPr>
          <w:rFonts w:ascii="Arial" w:hAnsi="Arial" w:cs="Arial"/>
          <w:color w:val="808080" w:themeColor="background1" w:themeShade="80"/>
          <w:sz w:val="24"/>
          <w:szCs w:val="24"/>
        </w:rPr>
        <w:t xml:space="preserve">Deloittte (2019) </w:t>
      </w:r>
      <w:r w:rsidRPr="003B5D56">
        <w:rPr>
          <w:rFonts w:ascii="Arial" w:hAnsi="Arial" w:cs="Arial"/>
          <w:i/>
          <w:color w:val="808080" w:themeColor="background1" w:themeShade="80"/>
          <w:sz w:val="24"/>
          <w:szCs w:val="24"/>
        </w:rPr>
        <w:t>The Deloitte Global Millennial Survey 2019.</w:t>
      </w:r>
      <w:r w:rsidRPr="003B5D56">
        <w:rPr>
          <w:rFonts w:ascii="Arial" w:hAnsi="Arial" w:cs="Arial"/>
          <w:i/>
          <w:color w:val="808080" w:themeColor="background1" w:themeShade="80"/>
          <w:sz w:val="24"/>
          <w:szCs w:val="24"/>
        </w:rPr>
        <w:br/>
      </w:r>
      <w:r w:rsidRPr="003B5D56">
        <w:rPr>
          <w:rFonts w:ascii="Arial" w:hAnsi="Arial" w:cs="Arial"/>
          <w:color w:val="808080" w:themeColor="background1" w:themeShade="80"/>
          <w:sz w:val="24"/>
          <w:szCs w:val="24"/>
        </w:rPr>
        <w:t xml:space="preserve">Available at:  </w:t>
      </w:r>
      <w:hyperlink r:id="rId25" w:history="1">
        <w:r w:rsidRPr="003B5D56">
          <w:rPr>
            <w:rStyle w:val="Hyperlink"/>
            <w:rFonts w:ascii="Arial" w:hAnsi="Arial" w:cs="Arial"/>
            <w:color w:val="808080" w:themeColor="background1" w:themeShade="80"/>
            <w:sz w:val="24"/>
            <w:szCs w:val="24"/>
            <w:u w:val="none"/>
          </w:rPr>
          <w:t>https://www2.deloitte.com/global/en/pages/about-deloitte/articles/millennialsurvey.html</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September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Dix, G and Oxenbridge, S (2003). I</w:t>
      </w:r>
      <w:r w:rsidRPr="003B5D56">
        <w:rPr>
          <w:rFonts w:ascii="Arial" w:hAnsi="Arial" w:cs="Arial"/>
          <w:i/>
          <w:color w:val="808080" w:themeColor="background1" w:themeShade="80"/>
          <w:sz w:val="24"/>
          <w:szCs w:val="24"/>
        </w:rPr>
        <w:t xml:space="preserve">nformation and consultation at work – from challenges to good practice. Acas Research and Evaluation </w:t>
      </w:r>
      <w:r w:rsidR="00B76955" w:rsidRPr="003B5D56">
        <w:rPr>
          <w:rFonts w:ascii="Arial" w:hAnsi="Arial" w:cs="Arial"/>
          <w:color w:val="808080" w:themeColor="background1" w:themeShade="80"/>
          <w:sz w:val="24"/>
          <w:szCs w:val="24"/>
        </w:rPr>
        <w:t>section.</w:t>
      </w:r>
    </w:p>
    <w:p w:rsidR="00B76955" w:rsidRPr="003B5D56" w:rsidRDefault="00B76955"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6" w:history="1">
        <w:r w:rsidRPr="003B5D56">
          <w:rPr>
            <w:rStyle w:val="Hyperlink"/>
            <w:rFonts w:ascii="Arial" w:hAnsi="Arial" w:cs="Arial"/>
            <w:color w:val="808080" w:themeColor="background1" w:themeShade="80"/>
            <w:sz w:val="24"/>
            <w:szCs w:val="24"/>
            <w:u w:val="none"/>
          </w:rPr>
          <w:t>https://www.acas.org.uk/media/333/Information-and-consultation-at-work-from-challenges-to-good-practice/pdf/Information_and_consultation_at_work_03_03-accessible-version-Jan-2012.pdf</w:t>
        </w:r>
      </w:hyperlink>
    </w:p>
    <w:p w:rsidR="00B76955" w:rsidRPr="003B5D56" w:rsidRDefault="00B76955" w:rsidP="00B76955">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B76955" w:rsidRPr="003B5D56" w:rsidRDefault="00B76955"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Engage for Success (no date) </w:t>
      </w:r>
      <w:r w:rsidRPr="003B5D56">
        <w:rPr>
          <w:rFonts w:ascii="Arial" w:hAnsi="Arial" w:cs="Arial"/>
          <w:i/>
          <w:color w:val="808080" w:themeColor="background1" w:themeShade="80"/>
          <w:sz w:val="24"/>
          <w:szCs w:val="24"/>
        </w:rPr>
        <w:t>What is Employee Engagement.</w:t>
      </w:r>
      <w:r w:rsidRPr="003B5D56">
        <w:rPr>
          <w:rFonts w:ascii="Arial" w:hAnsi="Arial" w:cs="Arial"/>
          <w:color w:val="808080" w:themeColor="background1" w:themeShade="80"/>
          <w:sz w:val="24"/>
          <w:szCs w:val="24"/>
        </w:rPr>
        <w:t xml:space="preserve">  </w:t>
      </w:r>
      <w:r w:rsidRPr="003B5D56">
        <w:rPr>
          <w:rFonts w:ascii="Arial" w:hAnsi="Arial" w:cs="Arial"/>
          <w:i/>
          <w:color w:val="808080" w:themeColor="background1" w:themeShade="80"/>
          <w:sz w:val="24"/>
          <w:szCs w:val="24"/>
        </w:rPr>
        <w:t>What are the Four Enablers?</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7" w:history="1">
        <w:r w:rsidRPr="003B5D56">
          <w:rPr>
            <w:rStyle w:val="Hyperlink"/>
            <w:rFonts w:ascii="Arial" w:hAnsi="Arial" w:cs="Arial"/>
            <w:color w:val="808080" w:themeColor="background1" w:themeShade="80"/>
            <w:sz w:val="24"/>
            <w:szCs w:val="24"/>
            <w:u w:val="none"/>
          </w:rPr>
          <w:t>https://engageforsuccess.org/what-is-employee-engagement</w:t>
        </w:r>
      </w:hyperlink>
      <w:r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hd w:val="clear" w:color="auto" w:fill="FFFFFF"/>
        <w:spacing w:after="0"/>
        <w:outlineLvl w:val="1"/>
        <w:rPr>
          <w:rFonts w:ascii="Arial" w:eastAsia="Times New Roman" w:hAnsi="Arial" w:cs="Arial"/>
          <w:color w:val="808080" w:themeColor="background1" w:themeShade="80"/>
          <w:sz w:val="24"/>
          <w:szCs w:val="24"/>
          <w:lang w:eastAsia="en-GB"/>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Gallup (2003) </w:t>
      </w:r>
      <w:r w:rsidRPr="003B5D56">
        <w:rPr>
          <w:rFonts w:ascii="Arial" w:hAnsi="Arial" w:cs="Arial"/>
          <w:i/>
          <w:color w:val="808080" w:themeColor="background1" w:themeShade="80"/>
          <w:sz w:val="24"/>
          <w:szCs w:val="24"/>
        </w:rPr>
        <w:t>B&amp;Q Boosts Employee Engagement - and Profits</w:t>
      </w: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i/>
          <w:color w:val="808080" w:themeColor="background1" w:themeShade="80"/>
          <w:sz w:val="24"/>
          <w:szCs w:val="24"/>
        </w:rPr>
        <w:t>The retailer always believed its people made a bottom-line difference to the company. Now they have proof.</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p>
    <w:p w:rsidR="0086143C" w:rsidRPr="003B5D56" w:rsidRDefault="00A101E0" w:rsidP="0086143C">
      <w:pPr>
        <w:spacing w:after="0"/>
        <w:rPr>
          <w:rFonts w:ascii="Arial" w:hAnsi="Arial" w:cs="Arial"/>
          <w:color w:val="808080" w:themeColor="background1" w:themeShade="80"/>
          <w:sz w:val="24"/>
          <w:szCs w:val="24"/>
        </w:rPr>
      </w:pPr>
      <w:hyperlink r:id="rId28" w:history="1">
        <w:r w:rsidR="0086143C" w:rsidRPr="003B5D56">
          <w:rPr>
            <w:rFonts w:ascii="Arial" w:hAnsi="Arial" w:cs="Arial"/>
            <w:color w:val="808080" w:themeColor="background1" w:themeShade="80"/>
            <w:sz w:val="24"/>
            <w:szCs w:val="24"/>
          </w:rPr>
          <w:t>https://news.gallup.com/businessjournal/1036/bq-boosts-employee-engagement-profits.aspx</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3B5D56" w:rsidRPr="003B5D56" w:rsidRDefault="003B5D56">
      <w:pPr>
        <w:spacing w:after="160" w:line="259" w:lineRule="auto"/>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br w:type="page"/>
      </w: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lastRenderedPageBreak/>
        <w:t xml:space="preserve">GLINT (2019) </w:t>
      </w:r>
      <w:r w:rsidRPr="003B5D56">
        <w:rPr>
          <w:rFonts w:ascii="Arial" w:hAnsi="Arial" w:cs="Arial"/>
          <w:i/>
          <w:color w:val="808080" w:themeColor="background1" w:themeShade="80"/>
          <w:sz w:val="24"/>
          <w:szCs w:val="24"/>
        </w:rPr>
        <w:t>The State of Employee Engagement.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29" w:history="1">
        <w:r w:rsidRPr="003B5D56">
          <w:rPr>
            <w:rStyle w:val="Hyperlink"/>
            <w:rFonts w:ascii="Arial" w:hAnsi="Arial" w:cs="Arial"/>
            <w:color w:val="808080" w:themeColor="background1" w:themeShade="80"/>
            <w:sz w:val="24"/>
            <w:szCs w:val="24"/>
            <w:u w:val="none"/>
          </w:rPr>
          <w:t>https://info.glintinc.com/rs/586-OTD-288/images/The_State_of_Employee_Engagement_2019_ResearchReport_hrdotcom_Glint.pdf?mkt_tok=eyJpIjoiTjJaa01HWmhZVFZoTUdaaSIsInQiOiJFQzhmanVsK3FyUCtNUzdLMUcxUVdCclRudjNWdHVZb2JreHgzbHJiRkY4SlBnREhJb1RkVThtVUtjajdPK1JKd1VZYlwvRHdmTmRNXC9nTWwxNUppSXZ3THJyYWJOR29PcGljTURTR1FlZ1wvSDVxd0tScVRYVFZMTU4zRUxZTjVCZCJ9</w:t>
        </w:r>
      </w:hyperlink>
      <w:r w:rsidRPr="003B5D56">
        <w:rPr>
          <w:rFonts w:ascii="Arial" w:hAnsi="Arial" w:cs="Arial"/>
          <w:color w:val="808080" w:themeColor="background1" w:themeShade="80"/>
          <w:sz w:val="24"/>
          <w:szCs w:val="24"/>
        </w:rPr>
        <w:t xml:space="preserve"> </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August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Hagel, J. (2014) </w:t>
      </w:r>
      <w:r w:rsidRPr="003B5D56">
        <w:rPr>
          <w:rFonts w:ascii="Arial" w:hAnsi="Arial" w:cs="Arial"/>
          <w:i/>
          <w:color w:val="808080" w:themeColor="background1" w:themeShade="80"/>
          <w:sz w:val="24"/>
          <w:szCs w:val="24"/>
        </w:rPr>
        <w:t>Passion versus ambition.</w:t>
      </w:r>
      <w:r w:rsidRPr="003B5D56">
        <w:rPr>
          <w:rFonts w:ascii="Arial" w:hAnsi="Arial" w:cs="Arial"/>
          <w:color w:val="808080" w:themeColor="background1" w:themeShade="80"/>
          <w:sz w:val="24"/>
          <w:szCs w:val="24"/>
        </w:rPr>
        <w:br/>
        <w:t xml:space="preserve">Available at:  </w:t>
      </w:r>
      <w:hyperlink r:id="rId30" w:history="1">
        <w:r w:rsidRPr="003B5D56">
          <w:rPr>
            <w:rFonts w:ascii="Arial" w:hAnsi="Arial" w:cs="Arial"/>
            <w:color w:val="808080" w:themeColor="background1" w:themeShade="80"/>
            <w:sz w:val="24"/>
            <w:szCs w:val="24"/>
          </w:rPr>
          <w:t>https://www2.deloitte.com/insights/us/en/topics/employee-engagement/employee-passion-ambition.html</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July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Holbeche, L. (2015) </w:t>
      </w:r>
      <w:r w:rsidRPr="003B5D56">
        <w:rPr>
          <w:rFonts w:ascii="Arial" w:hAnsi="Arial" w:cs="Arial"/>
          <w:i/>
          <w:color w:val="808080" w:themeColor="background1" w:themeShade="80"/>
          <w:sz w:val="24"/>
          <w:szCs w:val="24"/>
        </w:rPr>
        <w:t>What is Employee Engagement and Why is it So Hard to Achieve?</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1" w:history="1">
        <w:r w:rsidRPr="003B5D56">
          <w:rPr>
            <w:rStyle w:val="Hyperlink"/>
            <w:rFonts w:ascii="Arial" w:hAnsi="Arial" w:cs="Arial"/>
            <w:color w:val="808080" w:themeColor="background1" w:themeShade="80"/>
            <w:sz w:val="24"/>
            <w:szCs w:val="24"/>
            <w:u w:val="none"/>
          </w:rPr>
          <w:t>https://www.koganpage.com/article/what-is-employee-engagement-and-why-is-it-so-hard-to-achieve</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August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Hope-Hailey, V., Robinson, V. and McCartney, C. (2012) </w:t>
      </w:r>
      <w:r w:rsidRPr="003B5D56">
        <w:rPr>
          <w:rFonts w:ascii="Arial" w:hAnsi="Arial" w:cs="Arial"/>
          <w:i/>
          <w:color w:val="808080" w:themeColor="background1" w:themeShade="80"/>
          <w:sz w:val="24"/>
          <w:szCs w:val="24"/>
        </w:rPr>
        <w:t>Where has all the trust gone?</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2" w:history="1">
        <w:r w:rsidRPr="003B5D56">
          <w:rPr>
            <w:rFonts w:ascii="Arial" w:hAnsi="Arial" w:cs="Arial"/>
            <w:color w:val="808080" w:themeColor="background1" w:themeShade="80"/>
            <w:sz w:val="24"/>
            <w:szCs w:val="24"/>
          </w:rPr>
          <w:t>https://www.cipd.co.uk/Images/where-has-all-the-trust-gone_2012-sop_tcm18-9644.pdf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July 2019).</w:t>
      </w:r>
    </w:p>
    <w:p w:rsidR="007E5135" w:rsidRPr="003B5D56" w:rsidRDefault="007E5135" w:rsidP="007E5135">
      <w:pPr>
        <w:spacing w:after="0"/>
        <w:rPr>
          <w:rFonts w:ascii="Arial" w:hAnsi="Arial" w:cs="Arial"/>
          <w:color w:val="808080" w:themeColor="background1" w:themeShade="80"/>
          <w:sz w:val="24"/>
          <w:szCs w:val="24"/>
        </w:rPr>
      </w:pPr>
    </w:p>
    <w:p w:rsidR="007E5135" w:rsidRPr="003B5D56" w:rsidRDefault="007E5135" w:rsidP="007E5135">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Hutchinson, S. (2013) </w:t>
      </w:r>
      <w:r w:rsidRPr="003B5D56">
        <w:rPr>
          <w:rFonts w:ascii="Arial" w:hAnsi="Arial" w:cs="Arial"/>
          <w:i/>
          <w:color w:val="808080" w:themeColor="background1" w:themeShade="80"/>
          <w:sz w:val="24"/>
          <w:szCs w:val="24"/>
        </w:rPr>
        <w:t>Performance Management: Theory and Practice.</w:t>
      </w:r>
      <w:r w:rsidRPr="003B5D56">
        <w:rPr>
          <w:rFonts w:ascii="Arial" w:hAnsi="Arial" w:cs="Arial"/>
          <w:color w:val="808080" w:themeColor="background1" w:themeShade="80"/>
          <w:sz w:val="24"/>
          <w:szCs w:val="24"/>
        </w:rPr>
        <w:t xml:space="preserve"> London: CIPD.</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Hougaared, R., Carter, J. and Hogan, K. (2019) </w:t>
      </w:r>
      <w:r w:rsidRPr="003B5D56">
        <w:rPr>
          <w:rFonts w:ascii="Arial" w:hAnsi="Arial" w:cs="Arial"/>
          <w:i/>
          <w:color w:val="808080" w:themeColor="background1" w:themeShade="80"/>
          <w:sz w:val="24"/>
          <w:szCs w:val="24"/>
        </w:rPr>
        <w:t>How Microsoft Builds a Sense of Community Among 144,000 Employees.</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3" w:history="1">
        <w:r w:rsidRPr="003B5D56">
          <w:rPr>
            <w:rFonts w:ascii="Arial" w:hAnsi="Arial" w:cs="Arial"/>
            <w:color w:val="808080" w:themeColor="background1" w:themeShade="80"/>
            <w:sz w:val="24"/>
            <w:szCs w:val="24"/>
          </w:rPr>
          <w:t>https://hbr.org/2019/08/how-microsoft-builds-a-sense-of-community-among-144000-employees</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August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Insights (ND) </w:t>
      </w:r>
      <w:r w:rsidRPr="003B5D56">
        <w:rPr>
          <w:rFonts w:ascii="Arial" w:hAnsi="Arial" w:cs="Arial"/>
          <w:i/>
          <w:color w:val="808080" w:themeColor="background1" w:themeShade="80"/>
          <w:sz w:val="24"/>
          <w:szCs w:val="24"/>
        </w:rPr>
        <w:t>Employee engagement whitepaper.</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4" w:history="1">
        <w:r w:rsidR="00E95EE1" w:rsidRPr="003B5D56">
          <w:rPr>
            <w:rStyle w:val="Hyperlink"/>
            <w:rFonts w:ascii="Arial" w:hAnsi="Arial" w:cs="Arial"/>
            <w:color w:val="808080" w:themeColor="background1" w:themeShade="80"/>
            <w:sz w:val="24"/>
            <w:szCs w:val="24"/>
            <w:u w:val="none"/>
          </w:rPr>
          <w:t>https://www.insights.com/media/1102/employee-engagement-whitepaper.pdf</w:t>
        </w:r>
      </w:hyperlink>
      <w:r w:rsidR="00E95EE1" w:rsidRPr="003B5D56">
        <w:rPr>
          <w:rFonts w:ascii="Arial" w:hAnsi="Arial" w:cs="Arial"/>
          <w:color w:val="808080" w:themeColor="background1" w:themeShade="80"/>
          <w:sz w:val="24"/>
          <w:szCs w:val="24"/>
        </w:rPr>
        <w:t xml:space="preserve"> </w:t>
      </w:r>
      <w:r w:rsidRPr="003B5D56">
        <w:rPr>
          <w:rFonts w:ascii="Arial" w:hAnsi="Arial" w:cs="Arial"/>
          <w:color w:val="808080" w:themeColor="background1" w:themeShade="80"/>
          <w:sz w:val="24"/>
          <w:szCs w:val="24"/>
        </w:rPr>
        <w:t>(Accessed: 27th August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Johns, T. and Ellis, C. (2016) ‘Employee Engagement’, in Taylor, S. and Woodhams, C. (ed.) </w:t>
      </w:r>
      <w:r w:rsidRPr="003B5D56">
        <w:rPr>
          <w:rFonts w:ascii="Arial" w:hAnsi="Arial" w:cs="Arial"/>
          <w:i/>
          <w:color w:val="808080" w:themeColor="background1" w:themeShade="80"/>
          <w:sz w:val="24"/>
          <w:szCs w:val="24"/>
        </w:rPr>
        <w:t>Human Resource Management: People and Organisations</w:t>
      </w:r>
      <w:r w:rsidRPr="003B5D56">
        <w:rPr>
          <w:rFonts w:ascii="Arial" w:hAnsi="Arial" w:cs="Arial"/>
          <w:color w:val="808080" w:themeColor="background1" w:themeShade="80"/>
          <w:sz w:val="24"/>
          <w:szCs w:val="24"/>
        </w:rPr>
        <w:t xml:space="preserve"> (2</w:t>
      </w:r>
      <w:r w:rsidRPr="003B5D56">
        <w:rPr>
          <w:rFonts w:ascii="Arial" w:hAnsi="Arial" w:cs="Arial"/>
          <w:color w:val="808080" w:themeColor="background1" w:themeShade="80"/>
          <w:sz w:val="24"/>
          <w:szCs w:val="24"/>
          <w:vertAlign w:val="superscript"/>
        </w:rPr>
        <w:t>nd</w:t>
      </w:r>
      <w:r w:rsidRPr="003B5D56">
        <w:rPr>
          <w:rFonts w:ascii="Arial" w:hAnsi="Arial" w:cs="Arial"/>
          <w:color w:val="808080" w:themeColor="background1" w:themeShade="80"/>
          <w:sz w:val="24"/>
          <w:szCs w:val="24"/>
        </w:rPr>
        <w:t xml:space="preserve"> edn).  </w:t>
      </w:r>
    </w:p>
    <w:p w:rsidR="0086143C" w:rsidRPr="003B5D56" w:rsidRDefault="0086143C" w:rsidP="0086143C">
      <w:pPr>
        <w:spacing w:after="0"/>
        <w:rPr>
          <w:rFonts w:ascii="Arial" w:hAnsi="Arial" w:cs="Arial"/>
          <w:color w:val="808080" w:themeColor="background1" w:themeShade="80"/>
          <w:sz w:val="24"/>
          <w:szCs w:val="24"/>
        </w:rPr>
      </w:pPr>
    </w:p>
    <w:p w:rsidR="009727D0" w:rsidRPr="003B5D56" w:rsidRDefault="009727D0"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Kahn, W. A. (1990) The psychological conditions of personal engagement and disengagement at work.</w:t>
      </w:r>
      <w:r w:rsidRPr="003B5D56">
        <w:rPr>
          <w:rFonts w:ascii="Arial" w:hAnsi="Arial" w:cs="Arial"/>
          <w:i/>
          <w:color w:val="808080" w:themeColor="background1" w:themeShade="80"/>
          <w:sz w:val="24"/>
          <w:szCs w:val="24"/>
        </w:rPr>
        <w:t xml:space="preserve"> Academy of Management Journal. </w:t>
      </w:r>
      <w:r w:rsidRPr="003B5D56">
        <w:rPr>
          <w:rFonts w:ascii="Arial" w:hAnsi="Arial" w:cs="Arial"/>
          <w:color w:val="808080" w:themeColor="background1" w:themeShade="80"/>
          <w:sz w:val="24"/>
          <w:szCs w:val="24"/>
        </w:rPr>
        <w:t>Vol 33. Pp 692-724.</w:t>
      </w:r>
    </w:p>
    <w:p w:rsidR="009727D0" w:rsidRPr="003B5D56" w:rsidRDefault="009727D0" w:rsidP="0086143C">
      <w:pPr>
        <w:spacing w:after="0"/>
        <w:rPr>
          <w:rFonts w:ascii="Arial" w:hAnsi="Arial" w:cs="Arial"/>
          <w:i/>
          <w:color w:val="808080" w:themeColor="background1" w:themeShade="80"/>
          <w:sz w:val="24"/>
          <w:szCs w:val="24"/>
        </w:rPr>
      </w:pPr>
    </w:p>
    <w:p w:rsidR="008C0E0A" w:rsidRPr="003B5D56" w:rsidRDefault="008C0E0A" w:rsidP="008C0E0A">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MacLeod, D. and Clarke, N. (2009) </w:t>
      </w:r>
      <w:r w:rsidRPr="003B5D56">
        <w:rPr>
          <w:rFonts w:ascii="Arial" w:hAnsi="Arial" w:cs="Arial"/>
          <w:i/>
          <w:color w:val="808080" w:themeColor="background1" w:themeShade="80"/>
          <w:sz w:val="24"/>
          <w:szCs w:val="24"/>
        </w:rPr>
        <w:t>Engaging for Success: enhancing performance through employee engagement.</w:t>
      </w:r>
      <w:r w:rsidRPr="003B5D56">
        <w:rPr>
          <w:rFonts w:ascii="Arial" w:hAnsi="Arial" w:cs="Arial"/>
          <w:i/>
          <w:color w:val="808080" w:themeColor="background1" w:themeShade="80"/>
          <w:sz w:val="24"/>
          <w:szCs w:val="24"/>
        </w:rPr>
        <w:br/>
      </w:r>
      <w:r w:rsidRPr="003B5D56">
        <w:rPr>
          <w:rFonts w:ascii="Arial" w:hAnsi="Arial" w:cs="Arial"/>
          <w:color w:val="808080" w:themeColor="background1" w:themeShade="80"/>
          <w:sz w:val="24"/>
          <w:szCs w:val="24"/>
        </w:rPr>
        <w:t xml:space="preserve">Available at:  </w:t>
      </w:r>
      <w:hyperlink r:id="rId35" w:history="1">
        <w:r w:rsidRPr="003B5D56">
          <w:rPr>
            <w:rFonts w:ascii="Arial" w:hAnsi="Arial" w:cs="Arial"/>
            <w:color w:val="808080" w:themeColor="background1" w:themeShade="80"/>
            <w:sz w:val="24"/>
            <w:szCs w:val="24"/>
          </w:rPr>
          <w:t>https://engageforsuccess.org/wp-content/uploads/2015/08/file52215.pdf</w:t>
        </w:r>
      </w:hyperlink>
    </w:p>
    <w:p w:rsidR="008C0E0A" w:rsidRPr="003B5D56" w:rsidRDefault="008C0E0A" w:rsidP="008C0E0A">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August 2019).</w:t>
      </w:r>
    </w:p>
    <w:p w:rsidR="008C0E0A" w:rsidRPr="003B5D56" w:rsidRDefault="008C0E0A"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Mait, A. (2019) </w:t>
      </w:r>
      <w:r w:rsidRPr="003B5D56">
        <w:rPr>
          <w:rFonts w:ascii="Arial" w:hAnsi="Arial" w:cs="Arial"/>
          <w:i/>
          <w:color w:val="808080" w:themeColor="background1" w:themeShade="80"/>
          <w:sz w:val="24"/>
          <w:szCs w:val="24"/>
        </w:rPr>
        <w:t>The Future of Employee Engagement.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6" w:history="1">
        <w:r w:rsidRPr="003B5D56">
          <w:rPr>
            <w:rStyle w:val="Hyperlink"/>
            <w:rFonts w:ascii="Arial" w:hAnsi="Arial" w:cs="Arial"/>
            <w:color w:val="808080" w:themeColor="background1" w:themeShade="80"/>
            <w:sz w:val="24"/>
            <w:szCs w:val="24"/>
            <w:u w:val="none"/>
          </w:rPr>
          <w:t>https://chapmancg.com/employee-engagement/future-of-employee-engagement/</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August 2019).</w:t>
      </w:r>
    </w:p>
    <w:p w:rsidR="007E5135" w:rsidRPr="003B5D56" w:rsidRDefault="007E5135" w:rsidP="0086143C">
      <w:pPr>
        <w:spacing w:after="0"/>
        <w:rPr>
          <w:rFonts w:ascii="Arial" w:hAnsi="Arial" w:cs="Arial"/>
          <w:color w:val="808080" w:themeColor="background1" w:themeShade="80"/>
          <w:sz w:val="24"/>
          <w:szCs w:val="24"/>
        </w:rPr>
      </w:pPr>
    </w:p>
    <w:p w:rsidR="007E5135" w:rsidRPr="003B5D56" w:rsidRDefault="007E5135" w:rsidP="007E5135">
      <w:pPr>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Marchington, M et al. (2016) </w:t>
      </w:r>
      <w:r w:rsidRPr="003B5D56">
        <w:rPr>
          <w:rFonts w:ascii="Arial" w:hAnsi="Arial" w:cs="Arial"/>
          <w:i/>
          <w:color w:val="808080" w:themeColor="background1" w:themeShade="80"/>
          <w:sz w:val="24"/>
          <w:szCs w:val="24"/>
        </w:rPr>
        <w:t xml:space="preserve">Human Resource Management at Work.  </w:t>
      </w:r>
      <w:r w:rsidRPr="003B5D56">
        <w:rPr>
          <w:rFonts w:ascii="Arial" w:hAnsi="Arial" w:cs="Arial"/>
          <w:color w:val="808080" w:themeColor="background1" w:themeShade="80"/>
          <w:sz w:val="24"/>
          <w:szCs w:val="24"/>
        </w:rPr>
        <w:t>(6</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edn). London: CIPD</w:t>
      </w:r>
    </w:p>
    <w:p w:rsidR="003B5D56" w:rsidRPr="003B5D56" w:rsidRDefault="003B5D56">
      <w:pPr>
        <w:spacing w:after="160" w:line="259" w:lineRule="auto"/>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br w:type="page"/>
      </w:r>
    </w:p>
    <w:p w:rsidR="00565F37" w:rsidRPr="003B5D56" w:rsidRDefault="00565F37"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lastRenderedPageBreak/>
        <w:t xml:space="preserve">Personnel Today (2000) </w:t>
      </w:r>
      <w:r w:rsidRPr="003B5D56">
        <w:rPr>
          <w:rFonts w:ascii="Arial" w:hAnsi="Arial" w:cs="Arial"/>
          <w:i/>
          <w:color w:val="808080" w:themeColor="background1" w:themeShade="80"/>
          <w:sz w:val="24"/>
          <w:szCs w:val="24"/>
        </w:rPr>
        <w:t>B&amp;Q.</w:t>
      </w:r>
    </w:p>
    <w:p w:rsidR="00565F37" w:rsidRPr="003B5D56" w:rsidRDefault="00565F37"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7" w:history="1">
        <w:r w:rsidRPr="003B5D56">
          <w:rPr>
            <w:rFonts w:ascii="Arial" w:hAnsi="Arial" w:cs="Arial"/>
            <w:color w:val="808080" w:themeColor="background1" w:themeShade="80"/>
            <w:sz w:val="24"/>
            <w:szCs w:val="24"/>
          </w:rPr>
          <w:t>https://www.personneltoday.com/hr/bq/</w:t>
        </w:r>
      </w:hyperlink>
    </w:p>
    <w:p w:rsidR="00565F37" w:rsidRPr="003B5D56" w:rsidRDefault="00565F37" w:rsidP="00565F37">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565F37" w:rsidRPr="003B5D56" w:rsidRDefault="00565F37"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Phelps (2014) </w:t>
      </w:r>
      <w:r w:rsidRPr="003B5D56">
        <w:rPr>
          <w:rFonts w:ascii="Arial" w:hAnsi="Arial" w:cs="Arial"/>
          <w:i/>
          <w:color w:val="808080" w:themeColor="background1" w:themeShade="80"/>
          <w:sz w:val="24"/>
          <w:szCs w:val="24"/>
        </w:rPr>
        <w:t>Cracking into Google: 15 Reasons Why More Than 2 Million People Apply Each Year.</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8" w:anchor="78f283362038" w:history="1">
        <w:r w:rsidRPr="003B5D56">
          <w:rPr>
            <w:rStyle w:val="Hyperlink"/>
            <w:rFonts w:ascii="Arial" w:hAnsi="Arial" w:cs="Arial"/>
            <w:color w:val="808080" w:themeColor="background1" w:themeShade="80"/>
            <w:sz w:val="24"/>
            <w:szCs w:val="24"/>
            <w:u w:val="none"/>
          </w:rPr>
          <w:t>https://www.forbes.com/sites/stanphelps/2014/08/05/cracking-into-google-the-15-reasons-why-over-2-million-people-apply-each-year/#78f283362038</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Purcell, J., Kinnie, K., Hutchinson, N., Rayton, R. and Swart, J. (2003) </w:t>
      </w:r>
      <w:r w:rsidRPr="003B5D56">
        <w:rPr>
          <w:rFonts w:ascii="Arial" w:hAnsi="Arial" w:cs="Arial"/>
          <w:i/>
          <w:color w:val="808080" w:themeColor="background1" w:themeShade="80"/>
          <w:sz w:val="24"/>
          <w:szCs w:val="24"/>
        </w:rPr>
        <w:t>People and Performance: How people management impacts on organisational performance, London, CIPD.</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Purcell, J. (2010) </w:t>
      </w:r>
      <w:r w:rsidRPr="003B5D56">
        <w:rPr>
          <w:rFonts w:ascii="Arial" w:hAnsi="Arial" w:cs="Arial"/>
          <w:i/>
          <w:color w:val="808080" w:themeColor="background1" w:themeShade="80"/>
          <w:sz w:val="24"/>
          <w:szCs w:val="24"/>
        </w:rPr>
        <w:t>ACAS Policy Discussion papers: Building employee engagement.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39" w:history="1">
        <w:r w:rsidRPr="003B5D56">
          <w:rPr>
            <w:rStyle w:val="Hyperlink"/>
            <w:rFonts w:ascii="Arial" w:hAnsi="Arial" w:cs="Arial"/>
            <w:color w:val="808080" w:themeColor="background1" w:themeShade="80"/>
            <w:sz w:val="24"/>
            <w:szCs w:val="24"/>
            <w:u w:val="none"/>
          </w:rPr>
          <w:t>http://m.acas.org.uk/media/pdf/s/1/Building_employee_engagement-accessible-version-Jun-2012.pdf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Robinson and Gifford (ND) </w:t>
      </w:r>
      <w:r w:rsidRPr="003B5D56">
        <w:rPr>
          <w:rFonts w:ascii="Arial" w:hAnsi="Arial" w:cs="Arial"/>
          <w:i/>
          <w:color w:val="808080" w:themeColor="background1" w:themeShade="80"/>
          <w:sz w:val="24"/>
          <w:szCs w:val="24"/>
        </w:rPr>
        <w:t>The Future of Engagement Thought Piece Collection.</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0" w:history="1">
        <w:r w:rsidRPr="003B5D56">
          <w:rPr>
            <w:rFonts w:ascii="Arial" w:hAnsi="Arial" w:cs="Arial"/>
            <w:color w:val="808080" w:themeColor="background1" w:themeShade="80"/>
            <w:sz w:val="24"/>
            <w:szCs w:val="24"/>
          </w:rPr>
          <w:t>https://engageforsuccess.org/wp-content/uploads/2015/09/Thought-piece-collection-post-review-070414.pdf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27th August 2019).</w:t>
      </w:r>
    </w:p>
    <w:p w:rsidR="009727D0" w:rsidRPr="003B5D56" w:rsidRDefault="009727D0" w:rsidP="0086143C">
      <w:pPr>
        <w:spacing w:after="0"/>
        <w:rPr>
          <w:rFonts w:ascii="Arial" w:hAnsi="Arial" w:cs="Arial"/>
          <w:color w:val="808080" w:themeColor="background1" w:themeShade="80"/>
          <w:sz w:val="24"/>
          <w:szCs w:val="24"/>
        </w:rPr>
      </w:pPr>
    </w:p>
    <w:p w:rsidR="009727D0" w:rsidRPr="003B5D56" w:rsidRDefault="009727D0"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Robinson, D. and Hayday, S. (2009) </w:t>
      </w:r>
      <w:r w:rsidRPr="003B5D56">
        <w:rPr>
          <w:rFonts w:ascii="Arial" w:hAnsi="Arial" w:cs="Arial"/>
          <w:i/>
          <w:color w:val="808080" w:themeColor="background1" w:themeShade="80"/>
          <w:sz w:val="24"/>
          <w:szCs w:val="24"/>
        </w:rPr>
        <w:t xml:space="preserve">The engaging manager. </w:t>
      </w:r>
      <w:r w:rsidRPr="003B5D56">
        <w:rPr>
          <w:rFonts w:ascii="Arial" w:hAnsi="Arial" w:cs="Arial"/>
          <w:color w:val="808080" w:themeColor="background1" w:themeShade="80"/>
          <w:sz w:val="24"/>
          <w:szCs w:val="24"/>
        </w:rPr>
        <w:t>Brighton: Institute for Employment Studies.</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Sanders, D. (2012) </w:t>
      </w:r>
      <w:r w:rsidRPr="003B5D56">
        <w:rPr>
          <w:rFonts w:ascii="Arial" w:hAnsi="Arial" w:cs="Arial"/>
          <w:i/>
          <w:color w:val="808080" w:themeColor="background1" w:themeShade="80"/>
          <w:sz w:val="24"/>
          <w:szCs w:val="24"/>
        </w:rPr>
        <w:t>Placing Trust in Employee Engagement.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1" w:history="1">
        <w:r w:rsidRPr="003B5D56">
          <w:rPr>
            <w:rStyle w:val="Hyperlink"/>
            <w:rFonts w:ascii="Arial" w:hAnsi="Arial" w:cs="Arial"/>
            <w:color w:val="808080" w:themeColor="background1" w:themeShade="80"/>
            <w:sz w:val="24"/>
            <w:szCs w:val="24"/>
            <w:u w:val="none"/>
          </w:rPr>
          <w:t>https://m.acas.org.uk/media/3538/Placing-Trust-in-Employee-Engagement/pdf/Placing-Trust-in-Employee-Engagement.pdf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10</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June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Seemann, M. (2019) </w:t>
      </w:r>
      <w:r w:rsidRPr="003B5D56">
        <w:rPr>
          <w:rFonts w:ascii="Arial" w:hAnsi="Arial" w:cs="Arial"/>
          <w:i/>
          <w:color w:val="808080" w:themeColor="background1" w:themeShade="80"/>
          <w:sz w:val="24"/>
          <w:szCs w:val="24"/>
        </w:rPr>
        <w:t>Employee Engagement Statistics 2019 (</w:t>
      </w:r>
      <w:r w:rsidR="00A101E0" w:rsidRPr="003B5D56">
        <w:rPr>
          <w:rFonts w:ascii="Arial" w:hAnsi="Arial" w:cs="Arial"/>
          <w:i/>
          <w:color w:val="808080" w:themeColor="background1" w:themeShade="80"/>
          <w:sz w:val="24"/>
          <w:szCs w:val="24"/>
        </w:rPr>
        <w:t>Infographic</w:t>
      </w:r>
      <w:r w:rsidRPr="003B5D56">
        <w:rPr>
          <w:rFonts w:ascii="Arial" w:hAnsi="Arial" w:cs="Arial"/>
          <w:i/>
          <w:color w:val="808080" w:themeColor="background1" w:themeShade="80"/>
          <w:sz w:val="24"/>
          <w:szCs w:val="24"/>
        </w:rPr>
        <w: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2" w:history="1">
        <w:r w:rsidRPr="003B5D56">
          <w:rPr>
            <w:rFonts w:ascii="Arial" w:hAnsi="Arial" w:cs="Arial"/>
            <w:color w:val="808080" w:themeColor="background1" w:themeShade="80"/>
            <w:sz w:val="24"/>
            <w:szCs w:val="24"/>
          </w:rPr>
          <w:t>https://blog.staffcircle.com/employee-engagement-statistics-2019</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September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Smith, D. (ND) </w:t>
      </w:r>
      <w:r w:rsidRPr="003B5D56">
        <w:rPr>
          <w:rFonts w:ascii="Arial" w:hAnsi="Arial" w:cs="Arial"/>
          <w:i/>
          <w:color w:val="808080" w:themeColor="background1" w:themeShade="80"/>
          <w:sz w:val="24"/>
          <w:szCs w:val="24"/>
        </w:rPr>
        <w:t>The Future of Engagement Thought Piece Collection.</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3" w:history="1">
        <w:r w:rsidRPr="003B5D56">
          <w:rPr>
            <w:rFonts w:ascii="Arial" w:hAnsi="Arial" w:cs="Arial"/>
            <w:color w:val="808080" w:themeColor="background1" w:themeShade="80"/>
            <w:sz w:val="24"/>
            <w:szCs w:val="24"/>
          </w:rPr>
          <w:t>https://www.cipd.co.uk/Images/the-future-of-engagement_2014-thought-piece-route-to-engagement-david-smith_tcm18-10760.pdf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27</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August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i/>
          <w:color w:val="808080" w:themeColor="background1" w:themeShade="80"/>
          <w:sz w:val="24"/>
          <w:szCs w:val="24"/>
        </w:rPr>
      </w:pPr>
      <w:r w:rsidRPr="003B5D56">
        <w:rPr>
          <w:rFonts w:ascii="Arial" w:hAnsi="Arial" w:cs="Arial"/>
          <w:color w:val="808080" w:themeColor="background1" w:themeShade="80"/>
          <w:sz w:val="24"/>
          <w:szCs w:val="24"/>
        </w:rPr>
        <w:t xml:space="preserve">TINYpulse (2019) </w:t>
      </w:r>
      <w:r w:rsidRPr="003B5D56">
        <w:rPr>
          <w:rFonts w:ascii="Arial" w:hAnsi="Arial" w:cs="Arial"/>
          <w:i/>
          <w:color w:val="808080" w:themeColor="background1" w:themeShade="80"/>
          <w:sz w:val="24"/>
          <w:szCs w:val="24"/>
        </w:rPr>
        <w:t xml:space="preserve">The 2019 Employee Engagement </w:t>
      </w:r>
      <w:r w:rsidR="00A101E0" w:rsidRPr="003B5D56">
        <w:rPr>
          <w:rFonts w:ascii="Arial" w:hAnsi="Arial" w:cs="Arial"/>
          <w:i/>
          <w:color w:val="808080" w:themeColor="background1" w:themeShade="80"/>
          <w:sz w:val="24"/>
          <w:szCs w:val="24"/>
        </w:rPr>
        <w:t>Report. The</w:t>
      </w:r>
      <w:r w:rsidRPr="003B5D56">
        <w:rPr>
          <w:rFonts w:ascii="Arial" w:hAnsi="Arial" w:cs="Arial"/>
          <w:i/>
          <w:color w:val="808080" w:themeColor="background1" w:themeShade="80"/>
          <w:sz w:val="24"/>
          <w:szCs w:val="24"/>
        </w:rPr>
        <w:t xml:space="preserve"> End of Employee Loyalty.</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4" w:history="1">
        <w:r w:rsidRPr="003B5D56">
          <w:rPr>
            <w:rFonts w:ascii="Arial" w:hAnsi="Arial" w:cs="Arial"/>
            <w:color w:val="808080" w:themeColor="background1" w:themeShade="80"/>
            <w:sz w:val="24"/>
            <w:szCs w:val="24"/>
          </w:rPr>
          <w:t>https://www.tinypulse.com/hubfs/EE%20Report%202019.pdf</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9</w:t>
      </w:r>
      <w:r w:rsidRPr="003B5D56">
        <w:rPr>
          <w:rFonts w:ascii="Arial" w:hAnsi="Arial" w:cs="Arial"/>
          <w:color w:val="808080" w:themeColor="background1" w:themeShade="80"/>
          <w:sz w:val="24"/>
          <w:szCs w:val="24"/>
          <w:vertAlign w:val="superscript"/>
        </w:rPr>
        <w:t>th</w:t>
      </w:r>
      <w:r w:rsidRPr="003B5D56">
        <w:rPr>
          <w:rFonts w:ascii="Arial" w:hAnsi="Arial" w:cs="Arial"/>
          <w:color w:val="808080" w:themeColor="background1" w:themeShade="80"/>
          <w:sz w:val="24"/>
          <w:szCs w:val="24"/>
        </w:rPr>
        <w:t xml:space="preserve"> September 2019).</w:t>
      </w:r>
    </w:p>
    <w:p w:rsidR="0086143C" w:rsidRPr="003B5D56" w:rsidRDefault="0086143C" w:rsidP="0086143C">
      <w:pPr>
        <w:spacing w:after="0"/>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Wainwright, B. (2018) </w:t>
      </w:r>
      <w:r w:rsidRPr="003B5D56">
        <w:rPr>
          <w:rFonts w:ascii="Arial" w:hAnsi="Arial" w:cs="Arial"/>
          <w:i/>
          <w:color w:val="808080" w:themeColor="background1" w:themeShade="80"/>
          <w:sz w:val="24"/>
          <w:szCs w:val="24"/>
        </w:rPr>
        <w:t>What is employee commitment?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5" w:history="1">
        <w:r w:rsidRPr="003B5D56">
          <w:rPr>
            <w:rFonts w:ascii="Arial" w:hAnsi="Arial" w:cs="Arial"/>
            <w:color w:val="808080" w:themeColor="background1" w:themeShade="80"/>
            <w:sz w:val="24"/>
            <w:szCs w:val="24"/>
          </w:rPr>
          <w:t>https://www.effectory.com/knowledge/themes/what-is-employee-commitment/</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9th September 2019).</w:t>
      </w:r>
    </w:p>
    <w:p w:rsidR="0086143C" w:rsidRPr="003B5D56" w:rsidRDefault="0086143C" w:rsidP="0086143C">
      <w:pPr>
        <w:rPr>
          <w:rFonts w:ascii="Arial" w:hAnsi="Arial" w:cs="Arial"/>
          <w:color w:val="808080" w:themeColor="background1" w:themeShade="80"/>
          <w:sz w:val="24"/>
          <w:szCs w:val="24"/>
        </w:rPr>
      </w:pP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Werf, R. (2018) </w:t>
      </w:r>
      <w:r w:rsidRPr="003B5D56">
        <w:rPr>
          <w:rFonts w:ascii="Arial" w:hAnsi="Arial" w:cs="Arial"/>
          <w:i/>
          <w:color w:val="808080" w:themeColor="background1" w:themeShade="80"/>
          <w:sz w:val="24"/>
          <w:szCs w:val="24"/>
        </w:rPr>
        <w:t>3 Key Types of Organisational Commitment.</w:t>
      </w:r>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 xml:space="preserve">Available at:  </w:t>
      </w:r>
      <w:hyperlink r:id="rId46" w:history="1">
        <w:r w:rsidRPr="003B5D56">
          <w:rPr>
            <w:rFonts w:ascii="Arial" w:hAnsi="Arial" w:cs="Arial"/>
            <w:color w:val="808080" w:themeColor="background1" w:themeShade="80"/>
            <w:sz w:val="24"/>
            <w:szCs w:val="24"/>
          </w:rPr>
          <w:t>https://www.effectory.com/knowledge/blog/3-key-types-of-organisational-committment/</w:t>
        </w:r>
      </w:hyperlink>
    </w:p>
    <w:p w:rsidR="0086143C" w:rsidRPr="003B5D56" w:rsidRDefault="0086143C" w:rsidP="0086143C">
      <w:pPr>
        <w:spacing w:after="0"/>
        <w:rPr>
          <w:rFonts w:ascii="Arial" w:hAnsi="Arial" w:cs="Arial"/>
          <w:color w:val="808080" w:themeColor="background1" w:themeShade="80"/>
          <w:sz w:val="24"/>
          <w:szCs w:val="24"/>
        </w:rPr>
      </w:pPr>
      <w:r w:rsidRPr="003B5D56">
        <w:rPr>
          <w:rFonts w:ascii="Arial" w:hAnsi="Arial" w:cs="Arial"/>
          <w:color w:val="808080" w:themeColor="background1" w:themeShade="80"/>
          <w:sz w:val="24"/>
          <w:szCs w:val="24"/>
        </w:rPr>
        <w:t>(Accessed: 9th September 2019).</w:t>
      </w:r>
    </w:p>
    <w:p w:rsidR="00D40F97" w:rsidRPr="00D40F97" w:rsidRDefault="00D40F97" w:rsidP="00D40F97">
      <w:pPr>
        <w:spacing w:after="0"/>
        <w:rPr>
          <w:rFonts w:ascii="Arial" w:hAnsi="Arial" w:cs="Arial"/>
          <w:color w:val="808080" w:themeColor="background1" w:themeShade="80"/>
          <w:sz w:val="24"/>
          <w:szCs w:val="24"/>
        </w:rPr>
      </w:pPr>
    </w:p>
    <w:sectPr w:rsidR="00D40F97" w:rsidRPr="00D40F97" w:rsidSect="00DC68B6">
      <w:headerReference w:type="default" r:id="rId4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D10" w:rsidRDefault="00891D10" w:rsidP="00A929FD">
      <w:pPr>
        <w:spacing w:after="0"/>
      </w:pPr>
      <w:r>
        <w:separator/>
      </w:r>
    </w:p>
  </w:endnote>
  <w:endnote w:type="continuationSeparator" w:id="0">
    <w:p w:rsidR="00891D10" w:rsidRDefault="00891D10" w:rsidP="00A929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D10" w:rsidRDefault="00891D10" w:rsidP="00A929FD">
      <w:pPr>
        <w:spacing w:after="0"/>
      </w:pPr>
      <w:r>
        <w:separator/>
      </w:r>
    </w:p>
  </w:footnote>
  <w:footnote w:type="continuationSeparator" w:id="0">
    <w:p w:rsidR="00891D10" w:rsidRDefault="00891D10" w:rsidP="00A929F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9FD" w:rsidRDefault="00A929FD">
    <w:pPr>
      <w:pStyle w:val="Header"/>
    </w:pPr>
    <w:r>
      <w:t>Kate Houston - 1403228</w:t>
    </w:r>
  </w:p>
  <w:p w:rsidR="00A929FD" w:rsidRDefault="00A929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916FE"/>
    <w:multiLevelType w:val="hybridMultilevel"/>
    <w:tmpl w:val="738430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037E7A"/>
    <w:multiLevelType w:val="multilevel"/>
    <w:tmpl w:val="A176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971DB5"/>
    <w:multiLevelType w:val="hybridMultilevel"/>
    <w:tmpl w:val="9D0C87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7D258C5"/>
    <w:multiLevelType w:val="hybridMultilevel"/>
    <w:tmpl w:val="82486384"/>
    <w:lvl w:ilvl="0" w:tplc="39EECBCE">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675F6339"/>
    <w:multiLevelType w:val="hybridMultilevel"/>
    <w:tmpl w:val="D43CBD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72D54BB"/>
    <w:multiLevelType w:val="multilevel"/>
    <w:tmpl w:val="AFDC1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D26DE1"/>
    <w:multiLevelType w:val="hybridMultilevel"/>
    <w:tmpl w:val="5014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4"/>
  </w:num>
  <w:num w:numId="4">
    <w:abstractNumId w:val="0"/>
  </w:num>
  <w:num w:numId="5">
    <w:abstractNumId w:val="2"/>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9FD"/>
    <w:rsid w:val="00002B7B"/>
    <w:rsid w:val="000153E4"/>
    <w:rsid w:val="000156BC"/>
    <w:rsid w:val="0001624B"/>
    <w:rsid w:val="0002013C"/>
    <w:rsid w:val="000232B5"/>
    <w:rsid w:val="00052E49"/>
    <w:rsid w:val="0005417A"/>
    <w:rsid w:val="00055F2F"/>
    <w:rsid w:val="00063F08"/>
    <w:rsid w:val="000653F9"/>
    <w:rsid w:val="00082728"/>
    <w:rsid w:val="00082B7E"/>
    <w:rsid w:val="00083BAC"/>
    <w:rsid w:val="000840A8"/>
    <w:rsid w:val="000874B0"/>
    <w:rsid w:val="0009022F"/>
    <w:rsid w:val="00091EA7"/>
    <w:rsid w:val="00095ABB"/>
    <w:rsid w:val="000A07E9"/>
    <w:rsid w:val="000B179D"/>
    <w:rsid w:val="000C0079"/>
    <w:rsid w:val="000C04EF"/>
    <w:rsid w:val="000C1252"/>
    <w:rsid w:val="000C3B76"/>
    <w:rsid w:val="000C65DA"/>
    <w:rsid w:val="000D01F4"/>
    <w:rsid w:val="000F667B"/>
    <w:rsid w:val="00103C31"/>
    <w:rsid w:val="00122F45"/>
    <w:rsid w:val="00124C3B"/>
    <w:rsid w:val="001271BF"/>
    <w:rsid w:val="00135A4D"/>
    <w:rsid w:val="0013706D"/>
    <w:rsid w:val="001428E2"/>
    <w:rsid w:val="001449A5"/>
    <w:rsid w:val="00150FE8"/>
    <w:rsid w:val="00151153"/>
    <w:rsid w:val="00151B9C"/>
    <w:rsid w:val="00170846"/>
    <w:rsid w:val="00172124"/>
    <w:rsid w:val="001805AC"/>
    <w:rsid w:val="001849A9"/>
    <w:rsid w:val="00187882"/>
    <w:rsid w:val="00187BA0"/>
    <w:rsid w:val="001938DB"/>
    <w:rsid w:val="001A1647"/>
    <w:rsid w:val="001A4CE1"/>
    <w:rsid w:val="001A7F9A"/>
    <w:rsid w:val="001D0E68"/>
    <w:rsid w:val="001E2AD0"/>
    <w:rsid w:val="001E4061"/>
    <w:rsid w:val="001E508C"/>
    <w:rsid w:val="001E5F7D"/>
    <w:rsid w:val="00202D23"/>
    <w:rsid w:val="00206E45"/>
    <w:rsid w:val="00210A02"/>
    <w:rsid w:val="00221673"/>
    <w:rsid w:val="00231516"/>
    <w:rsid w:val="002610FE"/>
    <w:rsid w:val="00264903"/>
    <w:rsid w:val="002743A2"/>
    <w:rsid w:val="0027716D"/>
    <w:rsid w:val="00280247"/>
    <w:rsid w:val="002902FB"/>
    <w:rsid w:val="00292846"/>
    <w:rsid w:val="00296A25"/>
    <w:rsid w:val="002A33DB"/>
    <w:rsid w:val="002B491C"/>
    <w:rsid w:val="002B618D"/>
    <w:rsid w:val="002B62BB"/>
    <w:rsid w:val="002B7881"/>
    <w:rsid w:val="002C09C5"/>
    <w:rsid w:val="002C79A6"/>
    <w:rsid w:val="002E0E73"/>
    <w:rsid w:val="002F0CF0"/>
    <w:rsid w:val="00303585"/>
    <w:rsid w:val="003043B3"/>
    <w:rsid w:val="00305699"/>
    <w:rsid w:val="00310430"/>
    <w:rsid w:val="00315209"/>
    <w:rsid w:val="00335A61"/>
    <w:rsid w:val="00336E11"/>
    <w:rsid w:val="00341DC0"/>
    <w:rsid w:val="00347E01"/>
    <w:rsid w:val="00376C3F"/>
    <w:rsid w:val="00382032"/>
    <w:rsid w:val="00384E44"/>
    <w:rsid w:val="00392AD3"/>
    <w:rsid w:val="00395D0B"/>
    <w:rsid w:val="003A12DC"/>
    <w:rsid w:val="003A1A5F"/>
    <w:rsid w:val="003B249E"/>
    <w:rsid w:val="003B5D56"/>
    <w:rsid w:val="003B788A"/>
    <w:rsid w:val="003B7D41"/>
    <w:rsid w:val="003C1B94"/>
    <w:rsid w:val="003C1F44"/>
    <w:rsid w:val="003C59C1"/>
    <w:rsid w:val="003C71FB"/>
    <w:rsid w:val="003E4B51"/>
    <w:rsid w:val="003F7A08"/>
    <w:rsid w:val="00402820"/>
    <w:rsid w:val="004069C4"/>
    <w:rsid w:val="00424F17"/>
    <w:rsid w:val="004348C6"/>
    <w:rsid w:val="00437B17"/>
    <w:rsid w:val="004435B3"/>
    <w:rsid w:val="004445D5"/>
    <w:rsid w:val="004447B1"/>
    <w:rsid w:val="004526A8"/>
    <w:rsid w:val="00457E60"/>
    <w:rsid w:val="0046189D"/>
    <w:rsid w:val="00465034"/>
    <w:rsid w:val="00470DB0"/>
    <w:rsid w:val="00472FA5"/>
    <w:rsid w:val="00473B31"/>
    <w:rsid w:val="00481B69"/>
    <w:rsid w:val="00485969"/>
    <w:rsid w:val="00497D72"/>
    <w:rsid w:val="004A4CE4"/>
    <w:rsid w:val="004A4DD6"/>
    <w:rsid w:val="004A566F"/>
    <w:rsid w:val="004B1628"/>
    <w:rsid w:val="004C16ED"/>
    <w:rsid w:val="004C3813"/>
    <w:rsid w:val="004D5517"/>
    <w:rsid w:val="004E4431"/>
    <w:rsid w:val="004E5999"/>
    <w:rsid w:val="004E75A3"/>
    <w:rsid w:val="004F46A5"/>
    <w:rsid w:val="005006B2"/>
    <w:rsid w:val="0051328A"/>
    <w:rsid w:val="005158FD"/>
    <w:rsid w:val="00515E0C"/>
    <w:rsid w:val="00522C03"/>
    <w:rsid w:val="005302AC"/>
    <w:rsid w:val="005326DA"/>
    <w:rsid w:val="005503CE"/>
    <w:rsid w:val="00553D7A"/>
    <w:rsid w:val="00555D97"/>
    <w:rsid w:val="005645DC"/>
    <w:rsid w:val="00565F37"/>
    <w:rsid w:val="00571534"/>
    <w:rsid w:val="00583D7B"/>
    <w:rsid w:val="00597F9E"/>
    <w:rsid w:val="005A0929"/>
    <w:rsid w:val="005C1F69"/>
    <w:rsid w:val="005C3E1D"/>
    <w:rsid w:val="005C6740"/>
    <w:rsid w:val="005D02C1"/>
    <w:rsid w:val="005D1824"/>
    <w:rsid w:val="005D2578"/>
    <w:rsid w:val="005D313F"/>
    <w:rsid w:val="005D3A07"/>
    <w:rsid w:val="005E6F0C"/>
    <w:rsid w:val="005E6F33"/>
    <w:rsid w:val="005F0AB1"/>
    <w:rsid w:val="005F3409"/>
    <w:rsid w:val="005F36D7"/>
    <w:rsid w:val="005F46EA"/>
    <w:rsid w:val="005F51D5"/>
    <w:rsid w:val="00607088"/>
    <w:rsid w:val="00612445"/>
    <w:rsid w:val="00617641"/>
    <w:rsid w:val="006302C9"/>
    <w:rsid w:val="00630AF5"/>
    <w:rsid w:val="00632EBD"/>
    <w:rsid w:val="006431E7"/>
    <w:rsid w:val="00650532"/>
    <w:rsid w:val="006534DF"/>
    <w:rsid w:val="00657B10"/>
    <w:rsid w:val="006605FE"/>
    <w:rsid w:val="006625F2"/>
    <w:rsid w:val="00662F20"/>
    <w:rsid w:val="0067695F"/>
    <w:rsid w:val="00677D2D"/>
    <w:rsid w:val="006A0365"/>
    <w:rsid w:val="006B0A72"/>
    <w:rsid w:val="006B1673"/>
    <w:rsid w:val="006D4BE2"/>
    <w:rsid w:val="006D6C4B"/>
    <w:rsid w:val="006E00A8"/>
    <w:rsid w:val="0070537C"/>
    <w:rsid w:val="00706C97"/>
    <w:rsid w:val="007115DF"/>
    <w:rsid w:val="00715C20"/>
    <w:rsid w:val="00716633"/>
    <w:rsid w:val="007217D6"/>
    <w:rsid w:val="00737B2A"/>
    <w:rsid w:val="007471A0"/>
    <w:rsid w:val="00770924"/>
    <w:rsid w:val="00775BFD"/>
    <w:rsid w:val="00780EA2"/>
    <w:rsid w:val="007810A3"/>
    <w:rsid w:val="00785F87"/>
    <w:rsid w:val="00786A7F"/>
    <w:rsid w:val="007905C7"/>
    <w:rsid w:val="00792BAF"/>
    <w:rsid w:val="007A37FC"/>
    <w:rsid w:val="007A595D"/>
    <w:rsid w:val="007B7D96"/>
    <w:rsid w:val="007C47B5"/>
    <w:rsid w:val="007C4998"/>
    <w:rsid w:val="007D1CE8"/>
    <w:rsid w:val="007E5135"/>
    <w:rsid w:val="007F0A56"/>
    <w:rsid w:val="007F10A6"/>
    <w:rsid w:val="007F362B"/>
    <w:rsid w:val="00805E12"/>
    <w:rsid w:val="00821CE4"/>
    <w:rsid w:val="00832804"/>
    <w:rsid w:val="00842CCA"/>
    <w:rsid w:val="008439A5"/>
    <w:rsid w:val="00844FE5"/>
    <w:rsid w:val="0084509D"/>
    <w:rsid w:val="00850422"/>
    <w:rsid w:val="00851C05"/>
    <w:rsid w:val="00852983"/>
    <w:rsid w:val="0085668E"/>
    <w:rsid w:val="0086143C"/>
    <w:rsid w:val="00862673"/>
    <w:rsid w:val="00872765"/>
    <w:rsid w:val="0088089C"/>
    <w:rsid w:val="008828B8"/>
    <w:rsid w:val="00883312"/>
    <w:rsid w:val="0088525F"/>
    <w:rsid w:val="00891D10"/>
    <w:rsid w:val="008A0E1A"/>
    <w:rsid w:val="008B222A"/>
    <w:rsid w:val="008B5149"/>
    <w:rsid w:val="008C0E0A"/>
    <w:rsid w:val="008C3434"/>
    <w:rsid w:val="008C4281"/>
    <w:rsid w:val="008C6DC7"/>
    <w:rsid w:val="008D5E32"/>
    <w:rsid w:val="008E0E36"/>
    <w:rsid w:val="008E6282"/>
    <w:rsid w:val="008E6A20"/>
    <w:rsid w:val="008E7944"/>
    <w:rsid w:val="008F42F9"/>
    <w:rsid w:val="008F64E2"/>
    <w:rsid w:val="008F6A9F"/>
    <w:rsid w:val="008F6CB8"/>
    <w:rsid w:val="009010B8"/>
    <w:rsid w:val="0090563C"/>
    <w:rsid w:val="00910959"/>
    <w:rsid w:val="00923AF0"/>
    <w:rsid w:val="00924A03"/>
    <w:rsid w:val="00927550"/>
    <w:rsid w:val="0093112F"/>
    <w:rsid w:val="00931B6A"/>
    <w:rsid w:val="00932177"/>
    <w:rsid w:val="009327C0"/>
    <w:rsid w:val="0093493E"/>
    <w:rsid w:val="00934FDF"/>
    <w:rsid w:val="0093703B"/>
    <w:rsid w:val="0094038F"/>
    <w:rsid w:val="00953B33"/>
    <w:rsid w:val="0095426F"/>
    <w:rsid w:val="00956D7F"/>
    <w:rsid w:val="0096671D"/>
    <w:rsid w:val="009727D0"/>
    <w:rsid w:val="009746BE"/>
    <w:rsid w:val="009762F5"/>
    <w:rsid w:val="00976D2E"/>
    <w:rsid w:val="00991E12"/>
    <w:rsid w:val="00997CFF"/>
    <w:rsid w:val="009A5E00"/>
    <w:rsid w:val="009A79C3"/>
    <w:rsid w:val="009B09DB"/>
    <w:rsid w:val="009C0594"/>
    <w:rsid w:val="009D2F8C"/>
    <w:rsid w:val="009D31D4"/>
    <w:rsid w:val="009E0763"/>
    <w:rsid w:val="009E3500"/>
    <w:rsid w:val="009F0E47"/>
    <w:rsid w:val="009F32C3"/>
    <w:rsid w:val="00A101E0"/>
    <w:rsid w:val="00A31517"/>
    <w:rsid w:val="00A3634D"/>
    <w:rsid w:val="00A6677F"/>
    <w:rsid w:val="00A929FD"/>
    <w:rsid w:val="00A94283"/>
    <w:rsid w:val="00AB791C"/>
    <w:rsid w:val="00AD1738"/>
    <w:rsid w:val="00AE0C63"/>
    <w:rsid w:val="00AF249C"/>
    <w:rsid w:val="00B013A7"/>
    <w:rsid w:val="00B0143E"/>
    <w:rsid w:val="00B0197C"/>
    <w:rsid w:val="00B07D0F"/>
    <w:rsid w:val="00B07DFD"/>
    <w:rsid w:val="00B34635"/>
    <w:rsid w:val="00B34FF0"/>
    <w:rsid w:val="00B64A29"/>
    <w:rsid w:val="00B66D98"/>
    <w:rsid w:val="00B76955"/>
    <w:rsid w:val="00B86106"/>
    <w:rsid w:val="00B87E11"/>
    <w:rsid w:val="00B96DF6"/>
    <w:rsid w:val="00B97CBB"/>
    <w:rsid w:val="00BA50E1"/>
    <w:rsid w:val="00BA7AA8"/>
    <w:rsid w:val="00BC522D"/>
    <w:rsid w:val="00BC53FE"/>
    <w:rsid w:val="00BC6AEB"/>
    <w:rsid w:val="00BD0E70"/>
    <w:rsid w:val="00BE4343"/>
    <w:rsid w:val="00BE6220"/>
    <w:rsid w:val="00BF1A2C"/>
    <w:rsid w:val="00BF1CF6"/>
    <w:rsid w:val="00BF680B"/>
    <w:rsid w:val="00C00D21"/>
    <w:rsid w:val="00C110A7"/>
    <w:rsid w:val="00C1744D"/>
    <w:rsid w:val="00C17518"/>
    <w:rsid w:val="00C32124"/>
    <w:rsid w:val="00C327FF"/>
    <w:rsid w:val="00C40D90"/>
    <w:rsid w:val="00C4239B"/>
    <w:rsid w:val="00C44331"/>
    <w:rsid w:val="00C4661E"/>
    <w:rsid w:val="00C4735C"/>
    <w:rsid w:val="00C506C4"/>
    <w:rsid w:val="00C50974"/>
    <w:rsid w:val="00C532D9"/>
    <w:rsid w:val="00C61A05"/>
    <w:rsid w:val="00C61BF7"/>
    <w:rsid w:val="00C6500B"/>
    <w:rsid w:val="00C7348A"/>
    <w:rsid w:val="00C918A3"/>
    <w:rsid w:val="00C930BC"/>
    <w:rsid w:val="00CA29A3"/>
    <w:rsid w:val="00CB06BA"/>
    <w:rsid w:val="00CD0404"/>
    <w:rsid w:val="00CD2708"/>
    <w:rsid w:val="00CD4599"/>
    <w:rsid w:val="00CE03A6"/>
    <w:rsid w:val="00CE7E30"/>
    <w:rsid w:val="00CF3FB2"/>
    <w:rsid w:val="00D03746"/>
    <w:rsid w:val="00D03CAF"/>
    <w:rsid w:val="00D12A54"/>
    <w:rsid w:val="00D148D6"/>
    <w:rsid w:val="00D249FA"/>
    <w:rsid w:val="00D40C58"/>
    <w:rsid w:val="00D40F97"/>
    <w:rsid w:val="00D43753"/>
    <w:rsid w:val="00D45F57"/>
    <w:rsid w:val="00D5261D"/>
    <w:rsid w:val="00D56861"/>
    <w:rsid w:val="00D638F2"/>
    <w:rsid w:val="00D67ACC"/>
    <w:rsid w:val="00D7537C"/>
    <w:rsid w:val="00D75531"/>
    <w:rsid w:val="00D802D2"/>
    <w:rsid w:val="00DA1AC3"/>
    <w:rsid w:val="00DA50C6"/>
    <w:rsid w:val="00DB2A0D"/>
    <w:rsid w:val="00DB390D"/>
    <w:rsid w:val="00DB4658"/>
    <w:rsid w:val="00DC0AAD"/>
    <w:rsid w:val="00DC68B6"/>
    <w:rsid w:val="00DD39AA"/>
    <w:rsid w:val="00DD3B2A"/>
    <w:rsid w:val="00DF0C91"/>
    <w:rsid w:val="00DF0D1C"/>
    <w:rsid w:val="00DF16D6"/>
    <w:rsid w:val="00DF4418"/>
    <w:rsid w:val="00DF456C"/>
    <w:rsid w:val="00DF506B"/>
    <w:rsid w:val="00E067B3"/>
    <w:rsid w:val="00E353F2"/>
    <w:rsid w:val="00E6478D"/>
    <w:rsid w:val="00E748B1"/>
    <w:rsid w:val="00E753F3"/>
    <w:rsid w:val="00E77053"/>
    <w:rsid w:val="00E95EE1"/>
    <w:rsid w:val="00EA2E83"/>
    <w:rsid w:val="00EA4542"/>
    <w:rsid w:val="00EB3FDF"/>
    <w:rsid w:val="00EC0790"/>
    <w:rsid w:val="00EC0A91"/>
    <w:rsid w:val="00EC4343"/>
    <w:rsid w:val="00ED05D0"/>
    <w:rsid w:val="00EE140F"/>
    <w:rsid w:val="00EE24D3"/>
    <w:rsid w:val="00EF2154"/>
    <w:rsid w:val="00EF390C"/>
    <w:rsid w:val="00EF54E1"/>
    <w:rsid w:val="00EF5668"/>
    <w:rsid w:val="00EF5FA4"/>
    <w:rsid w:val="00EF64E8"/>
    <w:rsid w:val="00F05F5B"/>
    <w:rsid w:val="00F24297"/>
    <w:rsid w:val="00F25574"/>
    <w:rsid w:val="00F54D7E"/>
    <w:rsid w:val="00F660E1"/>
    <w:rsid w:val="00F70F50"/>
    <w:rsid w:val="00F75BDC"/>
    <w:rsid w:val="00F76AD4"/>
    <w:rsid w:val="00F82AE3"/>
    <w:rsid w:val="00F873EA"/>
    <w:rsid w:val="00F91BD1"/>
    <w:rsid w:val="00F91DC6"/>
    <w:rsid w:val="00F96EBB"/>
    <w:rsid w:val="00FA0AEC"/>
    <w:rsid w:val="00FB1985"/>
    <w:rsid w:val="00FC496D"/>
    <w:rsid w:val="00FD7BD0"/>
    <w:rsid w:val="00FE6643"/>
    <w:rsid w:val="00FF1610"/>
    <w:rsid w:val="00FF249C"/>
    <w:rsid w:val="00FF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D71CA4-CB1D-4120-9353-1FE713BF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9FD"/>
    <w:pPr>
      <w:spacing w:after="200" w:line="240" w:lineRule="auto"/>
    </w:pPr>
    <w:rPr>
      <w:rFonts w:ascii="Calibri" w:eastAsia="Calibri" w:hAnsi="Calibri" w:cs="Times New Roman"/>
    </w:rPr>
  </w:style>
  <w:style w:type="paragraph" w:styleId="Heading1">
    <w:name w:val="heading 1"/>
    <w:basedOn w:val="Normal"/>
    <w:link w:val="Heading1Char"/>
    <w:uiPriority w:val="9"/>
    <w:qFormat/>
    <w:rsid w:val="00F54D7E"/>
    <w:pPr>
      <w:spacing w:before="100" w:beforeAutospacing="1" w:after="100" w:afterAutospacing="1"/>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9FD"/>
    <w:pPr>
      <w:spacing w:after="0"/>
      <w:ind w:left="720"/>
      <w:contextualSpacing/>
    </w:pPr>
    <w:rPr>
      <w:rFonts w:ascii="Arial" w:hAnsi="Arial"/>
    </w:rPr>
  </w:style>
  <w:style w:type="paragraph" w:styleId="Header">
    <w:name w:val="header"/>
    <w:basedOn w:val="Normal"/>
    <w:link w:val="HeaderChar"/>
    <w:uiPriority w:val="99"/>
    <w:unhideWhenUsed/>
    <w:rsid w:val="00A929FD"/>
    <w:pPr>
      <w:tabs>
        <w:tab w:val="center" w:pos="4513"/>
        <w:tab w:val="right" w:pos="9026"/>
      </w:tabs>
      <w:spacing w:after="0"/>
    </w:pPr>
  </w:style>
  <w:style w:type="character" w:customStyle="1" w:styleId="HeaderChar">
    <w:name w:val="Header Char"/>
    <w:basedOn w:val="DefaultParagraphFont"/>
    <w:link w:val="Header"/>
    <w:uiPriority w:val="99"/>
    <w:rsid w:val="00A929FD"/>
    <w:rPr>
      <w:rFonts w:ascii="Calibri" w:eastAsia="Calibri" w:hAnsi="Calibri" w:cs="Times New Roman"/>
    </w:rPr>
  </w:style>
  <w:style w:type="paragraph" w:styleId="Footer">
    <w:name w:val="footer"/>
    <w:basedOn w:val="Normal"/>
    <w:link w:val="FooterChar"/>
    <w:uiPriority w:val="99"/>
    <w:unhideWhenUsed/>
    <w:rsid w:val="00A929FD"/>
    <w:pPr>
      <w:tabs>
        <w:tab w:val="center" w:pos="4513"/>
        <w:tab w:val="right" w:pos="9026"/>
      </w:tabs>
      <w:spacing w:after="0"/>
    </w:pPr>
  </w:style>
  <w:style w:type="character" w:customStyle="1" w:styleId="FooterChar">
    <w:name w:val="Footer Char"/>
    <w:basedOn w:val="DefaultParagraphFont"/>
    <w:link w:val="Footer"/>
    <w:uiPriority w:val="99"/>
    <w:rsid w:val="00A929FD"/>
    <w:rPr>
      <w:rFonts w:ascii="Calibri" w:eastAsia="Calibri" w:hAnsi="Calibri" w:cs="Times New Roman"/>
    </w:rPr>
  </w:style>
  <w:style w:type="character" w:styleId="Hyperlink">
    <w:name w:val="Hyperlink"/>
    <w:basedOn w:val="DefaultParagraphFont"/>
    <w:uiPriority w:val="99"/>
    <w:unhideWhenUsed/>
    <w:rsid w:val="00CF3FB2"/>
    <w:rPr>
      <w:color w:val="0000FF"/>
      <w:u w:val="single"/>
    </w:rPr>
  </w:style>
  <w:style w:type="character" w:customStyle="1" w:styleId="s1">
    <w:name w:val="s1"/>
    <w:basedOn w:val="DefaultParagraphFont"/>
    <w:rsid w:val="009762F5"/>
  </w:style>
  <w:style w:type="character" w:customStyle="1" w:styleId="Heading1Char">
    <w:name w:val="Heading 1 Char"/>
    <w:basedOn w:val="DefaultParagraphFont"/>
    <w:link w:val="Heading1"/>
    <w:uiPriority w:val="9"/>
    <w:rsid w:val="00F54D7E"/>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851C0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C05"/>
    <w:rPr>
      <w:rFonts w:ascii="Segoe UI" w:eastAsia="Calibri" w:hAnsi="Segoe UI" w:cs="Segoe UI"/>
      <w:sz w:val="18"/>
      <w:szCs w:val="18"/>
    </w:rPr>
  </w:style>
  <w:style w:type="character" w:styleId="Emphasis">
    <w:name w:val="Emphasis"/>
    <w:basedOn w:val="DefaultParagraphFont"/>
    <w:uiPriority w:val="20"/>
    <w:qFormat/>
    <w:rsid w:val="000D01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02937">
      <w:bodyDiv w:val="1"/>
      <w:marLeft w:val="0"/>
      <w:marRight w:val="0"/>
      <w:marTop w:val="0"/>
      <w:marBottom w:val="0"/>
      <w:divBdr>
        <w:top w:val="none" w:sz="0" w:space="0" w:color="auto"/>
        <w:left w:val="none" w:sz="0" w:space="0" w:color="auto"/>
        <w:bottom w:val="none" w:sz="0" w:space="0" w:color="auto"/>
        <w:right w:val="none" w:sz="0" w:space="0" w:color="auto"/>
      </w:divBdr>
      <w:divsChild>
        <w:div w:id="1079715889">
          <w:marLeft w:val="0"/>
          <w:marRight w:val="0"/>
          <w:marTop w:val="0"/>
          <w:marBottom w:val="0"/>
          <w:divBdr>
            <w:top w:val="none" w:sz="0" w:space="0" w:color="auto"/>
            <w:left w:val="none" w:sz="0" w:space="0" w:color="auto"/>
            <w:bottom w:val="none" w:sz="0" w:space="0" w:color="auto"/>
            <w:right w:val="none" w:sz="0" w:space="0" w:color="auto"/>
          </w:divBdr>
        </w:div>
        <w:div w:id="1679963870">
          <w:marLeft w:val="0"/>
          <w:marRight w:val="0"/>
          <w:marTop w:val="0"/>
          <w:marBottom w:val="0"/>
          <w:divBdr>
            <w:top w:val="none" w:sz="0" w:space="0" w:color="auto"/>
            <w:left w:val="none" w:sz="0" w:space="0" w:color="auto"/>
            <w:bottom w:val="none" w:sz="0" w:space="0" w:color="auto"/>
            <w:right w:val="none" w:sz="0" w:space="0" w:color="auto"/>
          </w:divBdr>
        </w:div>
      </w:divsChild>
    </w:div>
    <w:div w:id="331686132">
      <w:bodyDiv w:val="1"/>
      <w:marLeft w:val="0"/>
      <w:marRight w:val="0"/>
      <w:marTop w:val="0"/>
      <w:marBottom w:val="0"/>
      <w:divBdr>
        <w:top w:val="none" w:sz="0" w:space="0" w:color="auto"/>
        <w:left w:val="none" w:sz="0" w:space="0" w:color="auto"/>
        <w:bottom w:val="none" w:sz="0" w:space="0" w:color="auto"/>
        <w:right w:val="none" w:sz="0" w:space="0" w:color="auto"/>
      </w:divBdr>
    </w:div>
    <w:div w:id="467020035">
      <w:bodyDiv w:val="1"/>
      <w:marLeft w:val="0"/>
      <w:marRight w:val="0"/>
      <w:marTop w:val="0"/>
      <w:marBottom w:val="0"/>
      <w:divBdr>
        <w:top w:val="none" w:sz="0" w:space="0" w:color="auto"/>
        <w:left w:val="none" w:sz="0" w:space="0" w:color="auto"/>
        <w:bottom w:val="none" w:sz="0" w:space="0" w:color="auto"/>
        <w:right w:val="none" w:sz="0" w:space="0" w:color="auto"/>
      </w:divBdr>
    </w:div>
    <w:div w:id="881671353">
      <w:bodyDiv w:val="1"/>
      <w:marLeft w:val="0"/>
      <w:marRight w:val="0"/>
      <w:marTop w:val="0"/>
      <w:marBottom w:val="0"/>
      <w:divBdr>
        <w:top w:val="none" w:sz="0" w:space="0" w:color="auto"/>
        <w:left w:val="none" w:sz="0" w:space="0" w:color="auto"/>
        <w:bottom w:val="none" w:sz="0" w:space="0" w:color="auto"/>
        <w:right w:val="none" w:sz="0" w:space="0" w:color="auto"/>
      </w:divBdr>
    </w:div>
    <w:div w:id="1081218986">
      <w:bodyDiv w:val="1"/>
      <w:marLeft w:val="0"/>
      <w:marRight w:val="0"/>
      <w:marTop w:val="0"/>
      <w:marBottom w:val="0"/>
      <w:divBdr>
        <w:top w:val="none" w:sz="0" w:space="0" w:color="auto"/>
        <w:left w:val="none" w:sz="0" w:space="0" w:color="auto"/>
        <w:bottom w:val="none" w:sz="0" w:space="0" w:color="auto"/>
        <w:right w:val="none" w:sz="0" w:space="0" w:color="auto"/>
      </w:divBdr>
    </w:div>
    <w:div w:id="1709840369">
      <w:bodyDiv w:val="1"/>
      <w:marLeft w:val="0"/>
      <w:marRight w:val="0"/>
      <w:marTop w:val="0"/>
      <w:marBottom w:val="0"/>
      <w:divBdr>
        <w:top w:val="none" w:sz="0" w:space="0" w:color="auto"/>
        <w:left w:val="none" w:sz="0" w:space="0" w:color="auto"/>
        <w:bottom w:val="none" w:sz="0" w:space="0" w:color="auto"/>
        <w:right w:val="none" w:sz="0" w:space="0" w:color="auto"/>
      </w:divBdr>
    </w:div>
    <w:div w:id="199093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Images/managing-for-sustainable-employee-engagement-guidance-for-employers-and-managers_2012_tcm18-10753.pdf" TargetMode="External"/><Relationship Id="rId18" Type="http://schemas.openxmlformats.org/officeDocument/2006/relationships/hyperlink" Target="https://www.cipd.co.uk/Images/UK-working-lives-2_tcm18-40225.pdf" TargetMode="External"/><Relationship Id="rId26" Type="http://schemas.openxmlformats.org/officeDocument/2006/relationships/hyperlink" Target="https://www.acas.org.uk/media/333/Information-and-consultation-at-work-from-challenges-to-good-practice/pdf/Information_and_consultation_at_work_03_03-accessible-version-Jan-2012.pdf" TargetMode="External"/><Relationship Id="rId39" Type="http://schemas.openxmlformats.org/officeDocument/2006/relationships/hyperlink" Target="http://m.acas.org.uk/media/pdf/s/1/Building_employee_engagement-accessible-version-Jun-2012.pdf" TargetMode="External"/><Relationship Id="rId3" Type="http://schemas.openxmlformats.org/officeDocument/2006/relationships/styles" Target="styles.xml"/><Relationship Id="rId21" Type="http://schemas.openxmlformats.org/officeDocument/2006/relationships/hyperlink" Target="https://www.cipd.co.uk/Images/uk-working-lives-2019-v1_tcm18-58585.pdf" TargetMode="External"/><Relationship Id="rId34" Type="http://schemas.openxmlformats.org/officeDocument/2006/relationships/hyperlink" Target="https://www.insights.com/media/1102/employee-engagement-whitepaper.pdf" TargetMode="External"/><Relationship Id="rId42" Type="http://schemas.openxmlformats.org/officeDocument/2006/relationships/hyperlink" Target="https://blog.staffcircle.com/employee-engagement-statistics-2019" TargetMode="External"/><Relationship Id="rId47"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ipd.co.uk/Images/leading-culture-change-employee-engagement-and-public-service-transformation_2012_tcm18-14116.pdf" TargetMode="External"/><Relationship Id="rId17" Type="http://schemas.openxmlformats.org/officeDocument/2006/relationships/hyperlink" Target="https://www.cipd.co.uk/Images/labour-market-outlook_2018-autumn-2018_tcm18-50460.pdf" TargetMode="External"/><Relationship Id="rId25" Type="http://schemas.openxmlformats.org/officeDocument/2006/relationships/hyperlink" Target="https://www2.deloitte.com/global/en/pages/about-deloitte/articles/millennialsurvey.html" TargetMode="External"/><Relationship Id="rId33" Type="http://schemas.openxmlformats.org/officeDocument/2006/relationships/hyperlink" Target="https://hbr.org/2019/08/how-microsoft-builds-a-sense-of-community-among-144000-employees" TargetMode="External"/><Relationship Id="rId38" Type="http://schemas.openxmlformats.org/officeDocument/2006/relationships/hyperlink" Target="https://www.forbes.com/sites/stanphelps/2014/08/05/cracking-into-google-the-15-reasons-why-over-2-million-people-apply-each-year/" TargetMode="External"/><Relationship Id="rId46" Type="http://schemas.openxmlformats.org/officeDocument/2006/relationships/hyperlink" Target="https://www.effectory.com/knowledge/blog/3-key-types-of-organisational-committment/" TargetMode="External"/><Relationship Id="rId2" Type="http://schemas.openxmlformats.org/officeDocument/2006/relationships/numbering" Target="numbering.xml"/><Relationship Id="rId16" Type="http://schemas.openxmlformats.org/officeDocument/2006/relationships/hyperlink" Target="https://www.cipd.co.uk/knowledge/fundamentals/relations/engagement/factsheet" TargetMode="External"/><Relationship Id="rId20" Type="http://schemas.openxmlformats.org/officeDocument/2006/relationships/hyperlink" Target="https://www.cipd.co.uk/Images/labour-market-outlook-summer-2019_tcm18-62411.pdf" TargetMode="External"/><Relationship Id="rId29" Type="http://schemas.openxmlformats.org/officeDocument/2006/relationships/hyperlink" Target="https://info.glintinc.com/rs/586-OTD-288/images/The_State_of_Employee_Engagement_2019_ResearchReport_hrdotcom_Glint.pdf?mkt_tok=eyJpIjoiTjJaa01HWmhZVFZoTUdaaSIsInQiOiJFQzhmanVsK3FyUCtNUzdLMUcxUVdCclRudjNWdHVZb2JreHgzbHJiRkY4SlBnREhJb1RkVThtVUtjajdPK1JKd1VZYlwvRHdmTmRNXC9nTWwxNUppSXZ3THJyYWJOR29PcGljTURTR1FlZ1wvSDVxd0tScVRYVFZMTU4zRUxZTjVCZCJ9" TargetMode="External"/><Relationship Id="rId41" Type="http://schemas.openxmlformats.org/officeDocument/2006/relationships/hyperlink" Target="https://m.acas.org.uk/media/3538/Placing-Trust-in-Employee-Engagement/pdf/Placing-Trust-in-Employee-Engagemen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us/en/insights/focus/human-capital-trends/2015/employee-engagement-culture-human-capital-trends-2015.html" TargetMode="External"/><Relationship Id="rId24" Type="http://schemas.openxmlformats.org/officeDocument/2006/relationships/hyperlink" Target="https://www2.deloitte.com/content/dam/Deloitte/at/Documents/human-capital/at-2018-deloitte-human-capital-trends.pdf" TargetMode="External"/><Relationship Id="rId32" Type="http://schemas.openxmlformats.org/officeDocument/2006/relationships/hyperlink" Target="https://www.cipd.co.uk/Images/where-has-all-the-trust-gone_2012-sop_tcm18-9644.pdf" TargetMode="External"/><Relationship Id="rId37" Type="http://schemas.openxmlformats.org/officeDocument/2006/relationships/hyperlink" Target="https://www.personneltoday.com/hr/bq/" TargetMode="External"/><Relationship Id="rId40" Type="http://schemas.openxmlformats.org/officeDocument/2006/relationships/hyperlink" Target="https://engageforsuccess.org/wp-content/uploads/2015/09/Thought-piece-collection-post-review-070414.pdf" TargetMode="External"/><Relationship Id="rId45" Type="http://schemas.openxmlformats.org/officeDocument/2006/relationships/hyperlink" Target="https://www.effectory.com/knowledge/themes/what-is-employee-commitment/" TargetMode="External"/><Relationship Id="rId5" Type="http://schemas.openxmlformats.org/officeDocument/2006/relationships/webSettings" Target="webSettings.xml"/><Relationship Id="rId15" Type="http://schemas.openxmlformats.org/officeDocument/2006/relationships/hyperlink" Target="https://www.cipd.co.uk/knowledge/culture/ethics/has-trust-gone-report" TargetMode="External"/><Relationship Id="rId23" Type="http://schemas.openxmlformats.org/officeDocument/2006/relationships/hyperlink" Target="https://www.cipd.co.uk/Images/uk-working-lives-summary-2019-v1_tcm18-58584.pdf" TargetMode="External"/><Relationship Id="rId28" Type="http://schemas.openxmlformats.org/officeDocument/2006/relationships/hyperlink" Target="https://news.gallup.com/businessjournal/1036/bq-boosts-employee-engagement-profits.aspx" TargetMode="External"/><Relationship Id="rId36" Type="http://schemas.openxmlformats.org/officeDocument/2006/relationships/hyperlink" Target="https://chapmancg.com/employee-engagement/future-of-employee-engagement/" TargetMode="External"/><Relationship Id="rId49" Type="http://schemas.openxmlformats.org/officeDocument/2006/relationships/theme" Target="theme/theme1.xml"/><Relationship Id="rId10" Type="http://schemas.openxmlformats.org/officeDocument/2006/relationships/hyperlink" Target="https://www.forbes.com/sites/meghanbiro/2018/07/23/developing-your-employees-is-the-key-to-retention-here-are-4-smart-ways-to-start/" TargetMode="External"/><Relationship Id="rId19" Type="http://schemas.openxmlformats.org/officeDocument/2006/relationships/hyperlink" Target="https://www.cipd.co.uk/Images/uk-working-lives-summary_tcm18-40233.pdf" TargetMode="External"/><Relationship Id="rId31" Type="http://schemas.openxmlformats.org/officeDocument/2006/relationships/hyperlink" Target="https://www.koganpage.com/article/what-is-employee-engagement-and-why-is-it-so-hard-to-achieve" TargetMode="External"/><Relationship Id="rId44" Type="http://schemas.openxmlformats.org/officeDocument/2006/relationships/hyperlink" Target="https://www.tinypulse.com/hubfs/EE%20Report%202019.pdf" TargetMode="External"/><Relationship Id="rId4" Type="http://schemas.openxmlformats.org/officeDocument/2006/relationships/settings" Target="settings.xml"/><Relationship Id="rId9" Type="http://schemas.openxmlformats.org/officeDocument/2006/relationships/hyperlink" Target="https://www.hrtechnologist.com/articles/employee-engagement/employee-retention-and-engagement-call-for-continuous-learning/" TargetMode="External"/><Relationship Id="rId14" Type="http://schemas.openxmlformats.org/officeDocument/2006/relationships/hyperlink" Target="https://www.cipd.co.uk/knowledge/fundamentals/relations/engagement/management-guide" TargetMode="External"/><Relationship Id="rId22" Type="http://schemas.openxmlformats.org/officeDocument/2006/relationships/hyperlink" Target="https://www.cipd.co.uk/Images/uk-working-lives-2019-v1_tcm18-58585.pdf" TargetMode="External"/><Relationship Id="rId27" Type="http://schemas.openxmlformats.org/officeDocument/2006/relationships/hyperlink" Target="https://engageforsuccess.org/what-is-employee-engagement" TargetMode="External"/><Relationship Id="rId30" Type="http://schemas.openxmlformats.org/officeDocument/2006/relationships/hyperlink" Target="https://www2.deloitte.com/insights/us/en/topics/employee-engagement/employee-passion-ambition.html" TargetMode="External"/><Relationship Id="rId35" Type="http://schemas.openxmlformats.org/officeDocument/2006/relationships/hyperlink" Target="https://engageforsuccess.org/wp-content/uploads/2015/08/file52215.pdf" TargetMode="External"/><Relationship Id="rId43" Type="http://schemas.openxmlformats.org/officeDocument/2006/relationships/hyperlink" Target="https://www.cipd.co.uk/Images/the-future-of-engagement_2014-thought-piece-route-to-engagement-david-smith_tcm18-10760.pdf"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7844C-91DC-42B4-AA7A-6014693F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12</Pages>
  <Words>5587</Words>
  <Characters>31847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James</dc:creator>
  <cp:lastModifiedBy>Louis James</cp:lastModifiedBy>
  <cp:revision>23</cp:revision>
  <cp:lastPrinted>2019-09-16T15:48:00Z</cp:lastPrinted>
  <dcterms:created xsi:type="dcterms:W3CDTF">2019-09-16T14:33:00Z</dcterms:created>
  <dcterms:modified xsi:type="dcterms:W3CDTF">2019-09-16T20:59:00Z</dcterms:modified>
</cp:coreProperties>
</file>