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D8DB7" w14:textId="77777777" w:rsidR="002E334D" w:rsidRDefault="002E334D"/>
    <w:p w14:paraId="334280BF" w14:textId="77777777" w:rsidR="00A36B0A" w:rsidRDefault="00A36B0A"/>
    <w:p w14:paraId="1951DC02" w14:textId="77777777" w:rsidR="00A36B0A" w:rsidRDefault="00A36B0A"/>
    <w:p w14:paraId="7471EA2D" w14:textId="77777777" w:rsidR="00A36B0A" w:rsidRDefault="00A36B0A"/>
    <w:p w14:paraId="21881815" w14:textId="2ECBB771" w:rsidR="00A36B0A" w:rsidRPr="00A36B0A" w:rsidRDefault="00A36B0A" w:rsidP="00A36B0A">
      <w:pPr>
        <w:jc w:val="center"/>
      </w:pPr>
    </w:p>
    <w:p w14:paraId="61844022" w14:textId="09C80258" w:rsidR="00A36B0A" w:rsidRPr="00EA296A" w:rsidRDefault="00A36B0A" w:rsidP="00EA296A">
      <w:pPr>
        <w:spacing w:line="360" w:lineRule="auto"/>
        <w:jc w:val="center"/>
        <w:rPr>
          <w:rFonts w:ascii="Arial" w:hAnsi="Arial" w:cs="Arial"/>
          <w:b/>
          <w:szCs w:val="24"/>
        </w:rPr>
      </w:pPr>
      <w:r w:rsidRPr="00EA296A">
        <w:rPr>
          <w:rFonts w:ascii="Arial" w:hAnsi="Arial" w:cs="Arial"/>
          <w:b/>
          <w:szCs w:val="24"/>
        </w:rPr>
        <w:t>Programme: Certificate of Higher Education Skills for the Workplace (Health &amp;amp; Social Care)</w:t>
      </w:r>
    </w:p>
    <w:p w14:paraId="112D95DC" w14:textId="73431DAF" w:rsidR="00A36B0A" w:rsidRDefault="00A36B0A" w:rsidP="00EA296A">
      <w:pPr>
        <w:spacing w:line="360" w:lineRule="auto"/>
        <w:jc w:val="center"/>
        <w:rPr>
          <w:rFonts w:ascii="Arial" w:hAnsi="Arial" w:cs="Arial"/>
          <w:b/>
          <w:szCs w:val="24"/>
        </w:rPr>
      </w:pPr>
      <w:r w:rsidRPr="00EA296A">
        <w:rPr>
          <w:rFonts w:ascii="Arial" w:hAnsi="Arial" w:cs="Arial"/>
          <w:b/>
          <w:szCs w:val="24"/>
        </w:rPr>
        <w:t>Module: Introduction to Health and Social Care</w:t>
      </w:r>
    </w:p>
    <w:p w14:paraId="2E59358E" w14:textId="112DCE8A" w:rsidR="00331F43" w:rsidRDefault="00331F43" w:rsidP="00EA296A">
      <w:pPr>
        <w:spacing w:line="360" w:lineRule="auto"/>
        <w:jc w:val="center"/>
        <w:rPr>
          <w:rFonts w:ascii="Arial" w:hAnsi="Arial" w:cs="Arial"/>
          <w:b/>
          <w:szCs w:val="24"/>
        </w:rPr>
      </w:pPr>
      <w:r w:rsidRPr="00331F43">
        <w:rPr>
          <w:rFonts w:ascii="Arial" w:hAnsi="Arial" w:cs="Arial"/>
          <w:b/>
          <w:szCs w:val="24"/>
        </w:rPr>
        <w:t>Module code: LCHS4003</w:t>
      </w:r>
    </w:p>
    <w:p w14:paraId="69A8F980" w14:textId="4910D255" w:rsidR="00331F43" w:rsidRPr="00EA296A" w:rsidRDefault="00331F43" w:rsidP="00EA296A">
      <w:pPr>
        <w:spacing w:line="360" w:lineRule="auto"/>
        <w:jc w:val="center"/>
        <w:rPr>
          <w:rFonts w:ascii="Arial" w:hAnsi="Arial" w:cs="Arial"/>
          <w:b/>
          <w:szCs w:val="24"/>
        </w:rPr>
      </w:pPr>
      <w:r>
        <w:rPr>
          <w:rFonts w:ascii="Arial" w:hAnsi="Arial" w:cs="Arial"/>
          <w:b/>
          <w:szCs w:val="24"/>
        </w:rPr>
        <w:t>Component-2 Report</w:t>
      </w:r>
    </w:p>
    <w:p w14:paraId="70D6CADE" w14:textId="2867F3FE" w:rsidR="00EA296A" w:rsidRDefault="00EA296A" w:rsidP="00EA296A">
      <w:pPr>
        <w:spacing w:line="360" w:lineRule="auto"/>
        <w:jc w:val="center"/>
        <w:rPr>
          <w:rFonts w:ascii="Arial" w:hAnsi="Arial" w:cs="Arial"/>
          <w:b/>
          <w:szCs w:val="24"/>
        </w:rPr>
      </w:pPr>
      <w:r w:rsidRPr="00EA296A">
        <w:rPr>
          <w:rFonts w:ascii="Arial" w:hAnsi="Arial" w:cs="Arial"/>
          <w:b/>
          <w:szCs w:val="24"/>
        </w:rPr>
        <w:t>Title: Communication, Record-Keeping and Multi-Agency Collaboration in UK Health and Social Care: The Case of Mr Ahmed</w:t>
      </w:r>
    </w:p>
    <w:p w14:paraId="4E65880C" w14:textId="77777777" w:rsidR="00863660" w:rsidRDefault="00863660" w:rsidP="00EA296A">
      <w:pPr>
        <w:spacing w:line="360" w:lineRule="auto"/>
        <w:jc w:val="center"/>
        <w:rPr>
          <w:rFonts w:ascii="Arial" w:hAnsi="Arial" w:cs="Arial"/>
          <w:b/>
          <w:szCs w:val="24"/>
        </w:rPr>
      </w:pPr>
    </w:p>
    <w:p w14:paraId="15FF99A7" w14:textId="2EBA15EC" w:rsidR="00863660" w:rsidRDefault="00863660" w:rsidP="00EA296A">
      <w:pPr>
        <w:spacing w:line="360" w:lineRule="auto"/>
        <w:jc w:val="center"/>
        <w:rPr>
          <w:rFonts w:ascii="Arial" w:hAnsi="Arial" w:cs="Arial"/>
          <w:b/>
          <w:szCs w:val="24"/>
        </w:rPr>
      </w:pPr>
      <w:r>
        <w:rPr>
          <w:rFonts w:ascii="Arial" w:hAnsi="Arial" w:cs="Arial"/>
          <w:b/>
          <w:szCs w:val="24"/>
        </w:rPr>
        <w:t>Submitted By: Mariana Duman</w:t>
      </w:r>
    </w:p>
    <w:p w14:paraId="5BA987E8" w14:textId="219CCC80" w:rsidR="00863660" w:rsidRPr="00EA296A" w:rsidRDefault="00863660" w:rsidP="00EA296A">
      <w:pPr>
        <w:spacing w:line="360" w:lineRule="auto"/>
        <w:jc w:val="center"/>
        <w:rPr>
          <w:rFonts w:ascii="Arial" w:hAnsi="Arial" w:cs="Arial"/>
          <w:b/>
          <w:szCs w:val="24"/>
        </w:rPr>
      </w:pPr>
      <w:r>
        <w:rPr>
          <w:rFonts w:ascii="Arial" w:hAnsi="Arial" w:cs="Arial"/>
          <w:b/>
          <w:szCs w:val="24"/>
        </w:rPr>
        <w:t xml:space="preserve">Student ID: </w:t>
      </w:r>
      <w:r w:rsidR="005420AC" w:rsidRPr="005420AC">
        <w:rPr>
          <w:rFonts w:ascii="Arial" w:hAnsi="Arial" w:cs="Arial"/>
          <w:b/>
          <w:szCs w:val="24"/>
        </w:rPr>
        <w:t>2509708</w:t>
      </w:r>
    </w:p>
    <w:p w14:paraId="1F1C304F" w14:textId="1775F994" w:rsidR="00A36B0A" w:rsidRDefault="00A36B0A" w:rsidP="00A36B0A">
      <w:pPr>
        <w:spacing w:line="360" w:lineRule="auto"/>
        <w:jc w:val="center"/>
        <w:rPr>
          <w:rFonts w:ascii="Times New Roman" w:hAnsi="Times New Roman" w:cs="Times New Roman"/>
          <w:b/>
          <w:sz w:val="24"/>
          <w:szCs w:val="24"/>
        </w:rPr>
      </w:pPr>
    </w:p>
    <w:p w14:paraId="23F4630E" w14:textId="7188E414" w:rsidR="00A36B0A" w:rsidRDefault="00A36B0A" w:rsidP="00A36B0A">
      <w:pPr>
        <w:spacing w:line="360" w:lineRule="auto"/>
        <w:jc w:val="center"/>
        <w:rPr>
          <w:rFonts w:ascii="Times New Roman" w:hAnsi="Times New Roman" w:cs="Times New Roman"/>
          <w:b/>
          <w:sz w:val="24"/>
          <w:szCs w:val="24"/>
        </w:rPr>
      </w:pPr>
    </w:p>
    <w:p w14:paraId="2BA2C4DC" w14:textId="1E66ED7D" w:rsidR="00A36B0A" w:rsidRDefault="00A36B0A" w:rsidP="00A36B0A">
      <w:pPr>
        <w:spacing w:line="360" w:lineRule="auto"/>
        <w:jc w:val="center"/>
        <w:rPr>
          <w:rFonts w:ascii="Times New Roman" w:hAnsi="Times New Roman" w:cs="Times New Roman"/>
          <w:b/>
          <w:sz w:val="24"/>
          <w:szCs w:val="24"/>
        </w:rPr>
      </w:pPr>
    </w:p>
    <w:p w14:paraId="6DB18569" w14:textId="4E580567" w:rsidR="00A36B0A" w:rsidRDefault="00A36B0A" w:rsidP="00A36B0A">
      <w:pPr>
        <w:spacing w:line="360" w:lineRule="auto"/>
        <w:jc w:val="center"/>
        <w:rPr>
          <w:rFonts w:ascii="Times New Roman" w:hAnsi="Times New Roman" w:cs="Times New Roman"/>
          <w:b/>
          <w:sz w:val="24"/>
          <w:szCs w:val="24"/>
        </w:rPr>
      </w:pPr>
    </w:p>
    <w:p w14:paraId="21D42ECA" w14:textId="6413C436" w:rsidR="00A36B0A" w:rsidRDefault="00A36B0A" w:rsidP="00A36B0A">
      <w:pPr>
        <w:spacing w:line="360" w:lineRule="auto"/>
        <w:jc w:val="center"/>
        <w:rPr>
          <w:rFonts w:ascii="Times New Roman" w:hAnsi="Times New Roman" w:cs="Times New Roman"/>
          <w:b/>
          <w:sz w:val="24"/>
          <w:szCs w:val="24"/>
        </w:rPr>
      </w:pPr>
    </w:p>
    <w:p w14:paraId="60433CBD" w14:textId="0E7E088A" w:rsidR="00A36B0A" w:rsidRDefault="00A36B0A" w:rsidP="00EA296A">
      <w:pPr>
        <w:spacing w:line="360" w:lineRule="auto"/>
        <w:rPr>
          <w:rFonts w:ascii="Times New Roman" w:hAnsi="Times New Roman" w:cs="Times New Roman"/>
          <w:b/>
          <w:sz w:val="24"/>
          <w:szCs w:val="24"/>
        </w:rPr>
      </w:pPr>
    </w:p>
    <w:p w14:paraId="1D2F47D3" w14:textId="39E33794" w:rsidR="00A36B0A" w:rsidRDefault="00715E59" w:rsidP="00715E59">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299733742"/>
        <w:docPartObj>
          <w:docPartGallery w:val="Table of Contents"/>
          <w:docPartUnique/>
        </w:docPartObj>
      </w:sdtPr>
      <w:sdtEndPr>
        <w:rPr>
          <w:b/>
          <w:bCs/>
          <w:noProof/>
        </w:rPr>
      </w:sdtEndPr>
      <w:sdtContent>
        <w:p w14:paraId="547F245C" w14:textId="3A5797DB" w:rsidR="00EA296A" w:rsidRPr="00EA296A" w:rsidRDefault="00EA296A" w:rsidP="00EA296A">
          <w:pPr>
            <w:pStyle w:val="TOCHeading"/>
            <w:spacing w:line="360" w:lineRule="auto"/>
            <w:jc w:val="center"/>
            <w:rPr>
              <w:rFonts w:ascii="Arial" w:hAnsi="Arial" w:cs="Arial"/>
              <w:b/>
              <w:color w:val="000000" w:themeColor="text1"/>
              <w:sz w:val="28"/>
              <w:szCs w:val="28"/>
            </w:rPr>
          </w:pPr>
          <w:r w:rsidRPr="00EA296A">
            <w:rPr>
              <w:rFonts w:ascii="Arial" w:hAnsi="Arial" w:cs="Arial"/>
              <w:b/>
              <w:color w:val="000000" w:themeColor="text1"/>
              <w:sz w:val="28"/>
              <w:szCs w:val="28"/>
            </w:rPr>
            <w:t>Contents Table</w:t>
          </w:r>
        </w:p>
        <w:p w14:paraId="0FA33DF4" w14:textId="6B4639A3" w:rsidR="00C654E5" w:rsidRDefault="00EA296A">
          <w:pPr>
            <w:pStyle w:val="TOC1"/>
            <w:tabs>
              <w:tab w:val="right" w:leader="dot" w:pos="9350"/>
            </w:tabs>
            <w:rPr>
              <w:rFonts w:eastAsiaTheme="minorEastAsia"/>
              <w:noProof/>
              <w:kern w:val="2"/>
              <w:sz w:val="24"/>
              <w:szCs w:val="24"/>
              <w:lang w:val="en-GB" w:eastAsia="en-GB"/>
              <w14:ligatures w14:val="standardContextual"/>
            </w:rPr>
          </w:pPr>
          <w:r w:rsidRPr="00EA296A">
            <w:rPr>
              <w:rFonts w:ascii="Arial" w:hAnsi="Arial" w:cs="Arial"/>
              <w:b/>
              <w:bCs/>
              <w:noProof/>
              <w:color w:val="000000" w:themeColor="text1"/>
              <w:sz w:val="28"/>
              <w:szCs w:val="28"/>
            </w:rPr>
            <w:fldChar w:fldCharType="begin"/>
          </w:r>
          <w:r w:rsidRPr="00EA296A">
            <w:rPr>
              <w:rFonts w:ascii="Arial" w:hAnsi="Arial" w:cs="Arial"/>
              <w:b/>
              <w:bCs/>
              <w:noProof/>
              <w:color w:val="000000" w:themeColor="text1"/>
              <w:sz w:val="28"/>
              <w:szCs w:val="28"/>
            </w:rPr>
            <w:instrText xml:space="preserve"> TOC \o "1-3" \h \z \u </w:instrText>
          </w:r>
          <w:r w:rsidRPr="00EA296A">
            <w:rPr>
              <w:rFonts w:ascii="Arial" w:hAnsi="Arial" w:cs="Arial"/>
              <w:b/>
              <w:bCs/>
              <w:noProof/>
              <w:color w:val="000000" w:themeColor="text1"/>
              <w:sz w:val="28"/>
              <w:szCs w:val="28"/>
            </w:rPr>
            <w:fldChar w:fldCharType="separate"/>
          </w:r>
          <w:hyperlink w:anchor="_Toc224700861" w:history="1">
            <w:r w:rsidR="00C654E5" w:rsidRPr="008C25BA">
              <w:rPr>
                <w:rStyle w:val="Hyperlink"/>
                <w:rFonts w:ascii="Arial" w:hAnsi="Arial" w:cs="Arial"/>
                <w:b/>
                <w:noProof/>
              </w:rPr>
              <w:t>Introduction</w:t>
            </w:r>
            <w:r w:rsidR="00C654E5">
              <w:rPr>
                <w:noProof/>
                <w:webHidden/>
              </w:rPr>
              <w:tab/>
            </w:r>
            <w:r w:rsidR="00C654E5">
              <w:rPr>
                <w:noProof/>
                <w:webHidden/>
              </w:rPr>
              <w:fldChar w:fldCharType="begin"/>
            </w:r>
            <w:r w:rsidR="00C654E5">
              <w:rPr>
                <w:noProof/>
                <w:webHidden/>
              </w:rPr>
              <w:instrText xml:space="preserve"> PAGEREF _Toc224700861 \h </w:instrText>
            </w:r>
            <w:r w:rsidR="00C654E5">
              <w:rPr>
                <w:noProof/>
                <w:webHidden/>
              </w:rPr>
            </w:r>
            <w:r w:rsidR="00C654E5">
              <w:rPr>
                <w:noProof/>
                <w:webHidden/>
              </w:rPr>
              <w:fldChar w:fldCharType="separate"/>
            </w:r>
            <w:r w:rsidR="00C654E5">
              <w:rPr>
                <w:noProof/>
                <w:webHidden/>
              </w:rPr>
              <w:t>3</w:t>
            </w:r>
            <w:r w:rsidR="00C654E5">
              <w:rPr>
                <w:noProof/>
                <w:webHidden/>
              </w:rPr>
              <w:fldChar w:fldCharType="end"/>
            </w:r>
          </w:hyperlink>
        </w:p>
        <w:p w14:paraId="048C7716" w14:textId="1D74A78E" w:rsidR="00C654E5" w:rsidRDefault="00C654E5">
          <w:pPr>
            <w:pStyle w:val="TOC1"/>
            <w:tabs>
              <w:tab w:val="right" w:leader="dot" w:pos="9350"/>
            </w:tabs>
            <w:rPr>
              <w:rFonts w:eastAsiaTheme="minorEastAsia"/>
              <w:noProof/>
              <w:kern w:val="2"/>
              <w:sz w:val="24"/>
              <w:szCs w:val="24"/>
              <w:lang w:val="en-GB" w:eastAsia="en-GB"/>
              <w14:ligatures w14:val="standardContextual"/>
            </w:rPr>
          </w:pPr>
          <w:hyperlink w:anchor="_Toc224700862" w:history="1">
            <w:r w:rsidRPr="008C25BA">
              <w:rPr>
                <w:rStyle w:val="Hyperlink"/>
                <w:rFonts w:ascii="Arial" w:hAnsi="Arial" w:cs="Arial"/>
                <w:b/>
                <w:noProof/>
              </w:rPr>
              <w:t>The Significance of Effective Communication in the Care of Mr Ahmed</w:t>
            </w:r>
            <w:r>
              <w:rPr>
                <w:noProof/>
                <w:webHidden/>
              </w:rPr>
              <w:tab/>
            </w:r>
            <w:r>
              <w:rPr>
                <w:noProof/>
                <w:webHidden/>
              </w:rPr>
              <w:fldChar w:fldCharType="begin"/>
            </w:r>
            <w:r>
              <w:rPr>
                <w:noProof/>
                <w:webHidden/>
              </w:rPr>
              <w:instrText xml:space="preserve"> PAGEREF _Toc224700862 \h </w:instrText>
            </w:r>
            <w:r>
              <w:rPr>
                <w:noProof/>
                <w:webHidden/>
              </w:rPr>
            </w:r>
            <w:r>
              <w:rPr>
                <w:noProof/>
                <w:webHidden/>
              </w:rPr>
              <w:fldChar w:fldCharType="separate"/>
            </w:r>
            <w:r>
              <w:rPr>
                <w:noProof/>
                <w:webHidden/>
              </w:rPr>
              <w:t>3</w:t>
            </w:r>
            <w:r>
              <w:rPr>
                <w:noProof/>
                <w:webHidden/>
              </w:rPr>
              <w:fldChar w:fldCharType="end"/>
            </w:r>
          </w:hyperlink>
        </w:p>
        <w:p w14:paraId="1BC1385F" w14:textId="5F068045" w:rsidR="00C654E5" w:rsidRDefault="00C654E5">
          <w:pPr>
            <w:pStyle w:val="TOC1"/>
            <w:tabs>
              <w:tab w:val="right" w:leader="dot" w:pos="9350"/>
            </w:tabs>
            <w:rPr>
              <w:rFonts w:eastAsiaTheme="minorEastAsia"/>
              <w:noProof/>
              <w:kern w:val="2"/>
              <w:sz w:val="24"/>
              <w:szCs w:val="24"/>
              <w:lang w:val="en-GB" w:eastAsia="en-GB"/>
              <w14:ligatures w14:val="standardContextual"/>
            </w:rPr>
          </w:pPr>
          <w:hyperlink w:anchor="_Toc224700863" w:history="1">
            <w:r w:rsidRPr="008C25BA">
              <w:rPr>
                <w:rStyle w:val="Hyperlink"/>
                <w:rFonts w:ascii="Arial" w:hAnsi="Arial" w:cs="Arial"/>
                <w:b/>
                <w:noProof/>
              </w:rPr>
              <w:t>Value of Administrative Personnel and Record Keeping</w:t>
            </w:r>
            <w:r>
              <w:rPr>
                <w:noProof/>
                <w:webHidden/>
              </w:rPr>
              <w:tab/>
            </w:r>
            <w:r>
              <w:rPr>
                <w:noProof/>
                <w:webHidden/>
              </w:rPr>
              <w:fldChar w:fldCharType="begin"/>
            </w:r>
            <w:r>
              <w:rPr>
                <w:noProof/>
                <w:webHidden/>
              </w:rPr>
              <w:instrText xml:space="preserve"> PAGEREF _Toc224700863 \h </w:instrText>
            </w:r>
            <w:r>
              <w:rPr>
                <w:noProof/>
                <w:webHidden/>
              </w:rPr>
            </w:r>
            <w:r>
              <w:rPr>
                <w:noProof/>
                <w:webHidden/>
              </w:rPr>
              <w:fldChar w:fldCharType="separate"/>
            </w:r>
            <w:r>
              <w:rPr>
                <w:noProof/>
                <w:webHidden/>
              </w:rPr>
              <w:t>4</w:t>
            </w:r>
            <w:r>
              <w:rPr>
                <w:noProof/>
                <w:webHidden/>
              </w:rPr>
              <w:fldChar w:fldCharType="end"/>
            </w:r>
          </w:hyperlink>
        </w:p>
        <w:p w14:paraId="5E9C62E3" w14:textId="4C5965D3" w:rsidR="00C654E5" w:rsidRDefault="00C654E5">
          <w:pPr>
            <w:pStyle w:val="TOC1"/>
            <w:tabs>
              <w:tab w:val="right" w:leader="dot" w:pos="9350"/>
            </w:tabs>
            <w:rPr>
              <w:rFonts w:eastAsiaTheme="minorEastAsia"/>
              <w:noProof/>
              <w:kern w:val="2"/>
              <w:sz w:val="24"/>
              <w:szCs w:val="24"/>
              <w:lang w:val="en-GB" w:eastAsia="en-GB"/>
              <w14:ligatures w14:val="standardContextual"/>
            </w:rPr>
          </w:pPr>
          <w:hyperlink w:anchor="_Toc224700864" w:history="1">
            <w:r w:rsidRPr="008C25BA">
              <w:rPr>
                <w:rStyle w:val="Hyperlink"/>
                <w:rFonts w:ascii="Arial" w:hAnsi="Arial" w:cs="Arial"/>
                <w:b/>
                <w:noProof/>
              </w:rPr>
              <w:t>Significance of Collaborative Working in the Care of Mr Ahmed</w:t>
            </w:r>
            <w:r>
              <w:rPr>
                <w:noProof/>
                <w:webHidden/>
              </w:rPr>
              <w:tab/>
            </w:r>
            <w:r>
              <w:rPr>
                <w:noProof/>
                <w:webHidden/>
              </w:rPr>
              <w:fldChar w:fldCharType="begin"/>
            </w:r>
            <w:r>
              <w:rPr>
                <w:noProof/>
                <w:webHidden/>
              </w:rPr>
              <w:instrText xml:space="preserve"> PAGEREF _Toc224700864 \h </w:instrText>
            </w:r>
            <w:r>
              <w:rPr>
                <w:noProof/>
                <w:webHidden/>
              </w:rPr>
            </w:r>
            <w:r>
              <w:rPr>
                <w:noProof/>
                <w:webHidden/>
              </w:rPr>
              <w:fldChar w:fldCharType="separate"/>
            </w:r>
            <w:r>
              <w:rPr>
                <w:noProof/>
                <w:webHidden/>
              </w:rPr>
              <w:t>6</w:t>
            </w:r>
            <w:r>
              <w:rPr>
                <w:noProof/>
                <w:webHidden/>
              </w:rPr>
              <w:fldChar w:fldCharType="end"/>
            </w:r>
          </w:hyperlink>
        </w:p>
        <w:p w14:paraId="308A7828" w14:textId="60294055" w:rsidR="00C654E5" w:rsidRDefault="00C654E5">
          <w:pPr>
            <w:pStyle w:val="TOC1"/>
            <w:tabs>
              <w:tab w:val="right" w:leader="dot" w:pos="9350"/>
            </w:tabs>
            <w:rPr>
              <w:rFonts w:eastAsiaTheme="minorEastAsia"/>
              <w:noProof/>
              <w:kern w:val="2"/>
              <w:sz w:val="24"/>
              <w:szCs w:val="24"/>
              <w:lang w:val="en-GB" w:eastAsia="en-GB"/>
              <w14:ligatures w14:val="standardContextual"/>
            </w:rPr>
          </w:pPr>
          <w:hyperlink w:anchor="_Toc224700865" w:history="1">
            <w:r w:rsidRPr="008C25BA">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_Toc224700865 \h </w:instrText>
            </w:r>
            <w:r>
              <w:rPr>
                <w:noProof/>
                <w:webHidden/>
              </w:rPr>
            </w:r>
            <w:r>
              <w:rPr>
                <w:noProof/>
                <w:webHidden/>
              </w:rPr>
              <w:fldChar w:fldCharType="separate"/>
            </w:r>
            <w:r>
              <w:rPr>
                <w:noProof/>
                <w:webHidden/>
              </w:rPr>
              <w:t>6</w:t>
            </w:r>
            <w:r>
              <w:rPr>
                <w:noProof/>
                <w:webHidden/>
              </w:rPr>
              <w:fldChar w:fldCharType="end"/>
            </w:r>
          </w:hyperlink>
        </w:p>
        <w:p w14:paraId="4B305A44" w14:textId="77775EB0" w:rsidR="00C654E5" w:rsidRDefault="00C654E5">
          <w:pPr>
            <w:pStyle w:val="TOC1"/>
            <w:tabs>
              <w:tab w:val="right" w:leader="dot" w:pos="9350"/>
            </w:tabs>
            <w:rPr>
              <w:rFonts w:eastAsiaTheme="minorEastAsia"/>
              <w:noProof/>
              <w:kern w:val="2"/>
              <w:sz w:val="24"/>
              <w:szCs w:val="24"/>
              <w:lang w:val="en-GB" w:eastAsia="en-GB"/>
              <w14:ligatures w14:val="standardContextual"/>
            </w:rPr>
          </w:pPr>
          <w:hyperlink w:anchor="_Toc224700866" w:history="1">
            <w:r w:rsidRPr="008C25BA">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_Toc224700866 \h </w:instrText>
            </w:r>
            <w:r>
              <w:rPr>
                <w:noProof/>
                <w:webHidden/>
              </w:rPr>
            </w:r>
            <w:r>
              <w:rPr>
                <w:noProof/>
                <w:webHidden/>
              </w:rPr>
              <w:fldChar w:fldCharType="separate"/>
            </w:r>
            <w:r>
              <w:rPr>
                <w:noProof/>
                <w:webHidden/>
              </w:rPr>
              <w:t>7</w:t>
            </w:r>
            <w:r>
              <w:rPr>
                <w:noProof/>
                <w:webHidden/>
              </w:rPr>
              <w:fldChar w:fldCharType="end"/>
            </w:r>
          </w:hyperlink>
        </w:p>
        <w:p w14:paraId="2CA2ADE5" w14:textId="1903C456" w:rsidR="00EA296A" w:rsidRDefault="00EA296A" w:rsidP="00EA296A">
          <w:pPr>
            <w:spacing w:line="360" w:lineRule="auto"/>
            <w:jc w:val="center"/>
          </w:pPr>
          <w:r w:rsidRPr="00EA296A">
            <w:rPr>
              <w:rFonts w:ascii="Arial" w:hAnsi="Arial" w:cs="Arial"/>
              <w:b/>
              <w:bCs/>
              <w:noProof/>
              <w:color w:val="000000" w:themeColor="text1"/>
              <w:sz w:val="28"/>
              <w:szCs w:val="28"/>
            </w:rPr>
            <w:fldChar w:fldCharType="end"/>
          </w:r>
        </w:p>
      </w:sdtContent>
    </w:sdt>
    <w:p w14:paraId="28B977F0"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68664FF0"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32700D6A"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3E19F39C"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0E815DB7"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36858612"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1C55E104"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6E72FA26"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53704846" w14:textId="77777777" w:rsidR="00EA296A" w:rsidRDefault="00EA296A" w:rsidP="00EA296A">
      <w:pPr>
        <w:pStyle w:val="Heading1"/>
        <w:spacing w:line="360" w:lineRule="auto"/>
        <w:jc w:val="both"/>
        <w:rPr>
          <w:rFonts w:ascii="Times New Roman" w:hAnsi="Times New Roman" w:cs="Times New Roman"/>
          <w:b/>
          <w:color w:val="000000" w:themeColor="text1"/>
          <w:sz w:val="24"/>
          <w:szCs w:val="24"/>
        </w:rPr>
      </w:pPr>
    </w:p>
    <w:p w14:paraId="6C9D8D50" w14:textId="37081BFC" w:rsidR="00EA296A" w:rsidRDefault="00EA296A" w:rsidP="00EA296A">
      <w:pPr>
        <w:rPr>
          <w:rFonts w:ascii="Times New Roman" w:eastAsiaTheme="majorEastAsia" w:hAnsi="Times New Roman" w:cs="Times New Roman"/>
          <w:b/>
          <w:color w:val="000000" w:themeColor="text1"/>
          <w:sz w:val="24"/>
          <w:szCs w:val="24"/>
        </w:rPr>
      </w:pPr>
    </w:p>
    <w:p w14:paraId="4D265BAD" w14:textId="5397E07A" w:rsidR="00EA296A" w:rsidRDefault="00EA296A" w:rsidP="00EA296A">
      <w:pPr>
        <w:rPr>
          <w:rFonts w:ascii="Times New Roman" w:eastAsiaTheme="majorEastAsia" w:hAnsi="Times New Roman" w:cs="Times New Roman"/>
          <w:b/>
          <w:color w:val="000000" w:themeColor="text1"/>
          <w:sz w:val="24"/>
          <w:szCs w:val="24"/>
        </w:rPr>
      </w:pPr>
    </w:p>
    <w:p w14:paraId="048B7FFE" w14:textId="76B9D450" w:rsidR="00EA296A" w:rsidRDefault="00EA296A" w:rsidP="00EA296A">
      <w:pPr>
        <w:rPr>
          <w:rFonts w:ascii="Times New Roman" w:eastAsiaTheme="majorEastAsia" w:hAnsi="Times New Roman" w:cs="Times New Roman"/>
          <w:b/>
          <w:color w:val="000000" w:themeColor="text1"/>
          <w:sz w:val="24"/>
          <w:szCs w:val="24"/>
        </w:rPr>
      </w:pPr>
    </w:p>
    <w:p w14:paraId="5213053C" w14:textId="77777777" w:rsidR="00EA296A" w:rsidRDefault="00EA296A" w:rsidP="00EA296A">
      <w:pPr>
        <w:rPr>
          <w:rFonts w:ascii="Times New Roman" w:eastAsiaTheme="majorEastAsia" w:hAnsi="Times New Roman" w:cs="Times New Roman"/>
          <w:b/>
          <w:color w:val="000000" w:themeColor="text1"/>
          <w:sz w:val="24"/>
          <w:szCs w:val="24"/>
        </w:rPr>
      </w:pPr>
    </w:p>
    <w:p w14:paraId="522624F2" w14:textId="77777777" w:rsidR="00EA296A" w:rsidRPr="00EA296A" w:rsidRDefault="00EA296A" w:rsidP="00EA296A"/>
    <w:p w14:paraId="2FA3956C" w14:textId="77777777" w:rsidR="00C654E5" w:rsidRDefault="00C654E5">
      <w:pPr>
        <w:rPr>
          <w:rFonts w:ascii="Arial" w:eastAsiaTheme="majorEastAsia" w:hAnsi="Arial" w:cs="Arial"/>
          <w:b/>
          <w:color w:val="000000" w:themeColor="text1"/>
          <w:szCs w:val="24"/>
        </w:rPr>
      </w:pPr>
      <w:r>
        <w:rPr>
          <w:rFonts w:ascii="Arial" w:hAnsi="Arial" w:cs="Arial"/>
          <w:b/>
          <w:color w:val="000000" w:themeColor="text1"/>
          <w:szCs w:val="24"/>
        </w:rPr>
        <w:br w:type="page"/>
      </w:r>
    </w:p>
    <w:p w14:paraId="58B48B9B" w14:textId="25F1284B" w:rsidR="00EA296A" w:rsidRPr="00EA296A" w:rsidRDefault="00EA296A" w:rsidP="00EA296A">
      <w:pPr>
        <w:pStyle w:val="Heading1"/>
        <w:spacing w:line="360" w:lineRule="auto"/>
        <w:jc w:val="both"/>
        <w:rPr>
          <w:rFonts w:ascii="Arial" w:hAnsi="Arial" w:cs="Arial"/>
          <w:b/>
          <w:color w:val="000000" w:themeColor="text1"/>
          <w:sz w:val="22"/>
          <w:szCs w:val="24"/>
        </w:rPr>
      </w:pPr>
      <w:bookmarkStart w:id="0" w:name="_Toc224700861"/>
      <w:r w:rsidRPr="00EA296A">
        <w:rPr>
          <w:rFonts w:ascii="Arial" w:hAnsi="Arial" w:cs="Arial"/>
          <w:b/>
          <w:color w:val="000000" w:themeColor="text1"/>
          <w:sz w:val="22"/>
          <w:szCs w:val="24"/>
        </w:rPr>
        <w:t>Introduction</w:t>
      </w:r>
      <w:bookmarkEnd w:id="0"/>
      <w:r w:rsidRPr="00EA296A">
        <w:rPr>
          <w:rFonts w:ascii="Arial" w:hAnsi="Arial" w:cs="Arial"/>
          <w:b/>
          <w:color w:val="000000" w:themeColor="text1"/>
          <w:sz w:val="22"/>
          <w:szCs w:val="24"/>
        </w:rPr>
        <w:t xml:space="preserve"> </w:t>
      </w:r>
    </w:p>
    <w:p w14:paraId="215C9B51" w14:textId="6A67C38B"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The United Kingdom health and social care services are intended to provide safe, person-centred and effective care to people who need assistance due to illness, disability or ageing</w:t>
      </w:r>
      <w:r w:rsidR="007A2793">
        <w:rPr>
          <w:rFonts w:ascii="Arial" w:hAnsi="Arial" w:cs="Arial"/>
          <w:color w:val="000000" w:themeColor="text1"/>
          <w:szCs w:val="24"/>
        </w:rPr>
        <w:t xml:space="preserve"> (DHSC, </w:t>
      </w:r>
      <w:r w:rsidR="007A2793" w:rsidRPr="007A2793">
        <w:rPr>
          <w:rFonts w:ascii="Arial" w:hAnsi="Arial" w:cs="Arial"/>
          <w:color w:val="000000" w:themeColor="text1"/>
          <w:szCs w:val="24"/>
        </w:rPr>
        <w:t>2024).</w:t>
      </w:r>
      <w:r w:rsidRPr="00EA296A">
        <w:rPr>
          <w:rFonts w:ascii="Arial" w:hAnsi="Arial" w:cs="Arial"/>
          <w:color w:val="000000" w:themeColor="text1"/>
          <w:szCs w:val="24"/>
        </w:rPr>
        <w:t xml:space="preserve"> The services depend on a coordinated practice involving professionals that should communicate effectively, keep good records and work in collaboration to ensure that the service users get high quality care. The example of Mr Ahmed, a 68-year-old male who is recovering after a stroke and undergoes the domiciliary care, illustrates the complexity of providing coordinated care in community care environments. In the United Kingdom, stroke is among the top causes of disability as</w:t>
      </w:r>
      <w:r w:rsidR="007A2793">
        <w:rPr>
          <w:rFonts w:ascii="Arial" w:hAnsi="Arial" w:cs="Arial"/>
          <w:color w:val="000000" w:themeColor="text1"/>
          <w:szCs w:val="24"/>
        </w:rPr>
        <w:t xml:space="preserve"> it afflicts approximately 100,</w:t>
      </w:r>
      <w:r w:rsidRPr="00EA296A">
        <w:rPr>
          <w:rFonts w:ascii="Arial" w:hAnsi="Arial" w:cs="Arial"/>
          <w:color w:val="000000" w:themeColor="text1"/>
          <w:szCs w:val="24"/>
        </w:rPr>
        <w:t>000 individuals annually with over 1.3 million survivors of stroke currently residing in the United Kingdom</w:t>
      </w:r>
      <w:r w:rsidR="007A2793">
        <w:rPr>
          <w:rFonts w:ascii="Arial" w:hAnsi="Arial" w:cs="Arial"/>
          <w:color w:val="000000" w:themeColor="text1"/>
          <w:szCs w:val="24"/>
        </w:rPr>
        <w:t xml:space="preserve"> (</w:t>
      </w:r>
      <w:r w:rsidR="007A2793" w:rsidRPr="007A2793">
        <w:rPr>
          <w:rFonts w:ascii="Arial" w:hAnsi="Arial" w:cs="Arial"/>
          <w:color w:val="000000" w:themeColor="text1"/>
          <w:szCs w:val="24"/>
        </w:rPr>
        <w:t>Wo</w:t>
      </w:r>
      <w:r w:rsidR="007A2793">
        <w:rPr>
          <w:rFonts w:ascii="Arial" w:hAnsi="Arial" w:cs="Arial"/>
          <w:color w:val="000000" w:themeColor="text1"/>
          <w:szCs w:val="24"/>
        </w:rPr>
        <w:t>rld Stroke Organization, 2021)</w:t>
      </w:r>
      <w:r w:rsidRPr="00EA296A">
        <w:rPr>
          <w:rFonts w:ascii="Arial" w:hAnsi="Arial" w:cs="Arial"/>
          <w:color w:val="000000" w:themeColor="text1"/>
          <w:szCs w:val="24"/>
        </w:rPr>
        <w:t>. Most of the survivors have long term consequences including communication problems, difficulties in mobility and swallowing. Among the challenges are the lack of English that Mr Ahmed experiences, problem in communication due to his stroke and dependence on various professionals who take part in his treatment. This report is a critical report on the significance of effective communication, good administrative practice and collaboration working in the UK health and social care system.</w:t>
      </w:r>
    </w:p>
    <w:p w14:paraId="78BF47D7" w14:textId="0A696E27" w:rsidR="00EA296A" w:rsidRPr="00EA296A" w:rsidRDefault="00EA296A" w:rsidP="00EA296A">
      <w:pPr>
        <w:pStyle w:val="Heading1"/>
        <w:spacing w:line="360" w:lineRule="auto"/>
        <w:jc w:val="both"/>
        <w:rPr>
          <w:rFonts w:ascii="Arial" w:hAnsi="Arial" w:cs="Arial"/>
          <w:b/>
          <w:color w:val="000000" w:themeColor="text1"/>
          <w:sz w:val="22"/>
          <w:szCs w:val="24"/>
        </w:rPr>
      </w:pPr>
      <w:bookmarkStart w:id="1" w:name="_Toc224700862"/>
      <w:r w:rsidRPr="00EA296A">
        <w:rPr>
          <w:rFonts w:ascii="Arial" w:hAnsi="Arial" w:cs="Arial"/>
          <w:b/>
          <w:color w:val="000000" w:themeColor="text1"/>
          <w:sz w:val="22"/>
          <w:szCs w:val="24"/>
        </w:rPr>
        <w:t>The Significance of Effective Communication in the Care of Mr Ahmed</w:t>
      </w:r>
      <w:bookmarkEnd w:id="1"/>
      <w:r w:rsidRPr="00EA296A">
        <w:rPr>
          <w:rFonts w:ascii="Arial" w:hAnsi="Arial" w:cs="Arial"/>
          <w:b/>
          <w:color w:val="000000" w:themeColor="text1"/>
          <w:sz w:val="22"/>
          <w:szCs w:val="24"/>
        </w:rPr>
        <w:t xml:space="preserve"> </w:t>
      </w:r>
    </w:p>
    <w:p w14:paraId="5D340601" w14:textId="1F9BDBC3"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Communication is one of the essential conditions of the health and social care practice as it helps people to comprehend their care and get involved in decision-making and safe assistance</w:t>
      </w:r>
      <w:r w:rsidR="007A2793">
        <w:rPr>
          <w:rFonts w:ascii="Arial" w:hAnsi="Arial" w:cs="Arial"/>
          <w:color w:val="000000" w:themeColor="text1"/>
          <w:szCs w:val="24"/>
        </w:rPr>
        <w:t xml:space="preserve"> (Šip, </w:t>
      </w:r>
      <w:r w:rsidR="007A2793" w:rsidRPr="007A2793">
        <w:rPr>
          <w:rFonts w:ascii="Arial" w:hAnsi="Arial" w:cs="Arial"/>
          <w:color w:val="000000" w:themeColor="text1"/>
          <w:szCs w:val="24"/>
        </w:rPr>
        <w:t>2025</w:t>
      </w:r>
      <w:r w:rsidR="007A2793">
        <w:rPr>
          <w:rFonts w:ascii="Arial" w:hAnsi="Arial" w:cs="Arial"/>
          <w:color w:val="000000" w:themeColor="text1"/>
          <w:szCs w:val="24"/>
        </w:rPr>
        <w:t>)</w:t>
      </w:r>
      <w:r w:rsidRPr="00EA296A">
        <w:rPr>
          <w:rFonts w:ascii="Arial" w:hAnsi="Arial" w:cs="Arial"/>
          <w:color w:val="000000" w:themeColor="text1"/>
          <w:szCs w:val="24"/>
        </w:rPr>
        <w:t>. Communication is also crucial in the example of Mr Ahmed since his native language is Bengali and he cannot have complex conversations in English. Moreover, his stroke can have impaired his speech and understanding skills that can further complicate his communication with health professionals. Stroke has a high rate of communication and speech impairment and most survivors suffer long term impairments which need the assistance of the professionals including speech and language therapists</w:t>
      </w:r>
      <w:r w:rsidR="007A2793">
        <w:rPr>
          <w:rFonts w:ascii="Arial" w:hAnsi="Arial" w:cs="Arial"/>
          <w:color w:val="000000" w:themeColor="text1"/>
          <w:szCs w:val="24"/>
        </w:rPr>
        <w:t xml:space="preserve"> (</w:t>
      </w:r>
      <w:r w:rsidR="007A2793" w:rsidRPr="007A2793">
        <w:rPr>
          <w:rFonts w:ascii="Arial" w:hAnsi="Arial" w:cs="Arial"/>
          <w:color w:val="000000" w:themeColor="text1"/>
          <w:szCs w:val="24"/>
        </w:rPr>
        <w:t>Sullivan</w:t>
      </w:r>
      <w:r w:rsidR="007A2793">
        <w:rPr>
          <w:rFonts w:ascii="Arial" w:hAnsi="Arial" w:cs="Arial"/>
          <w:color w:val="000000" w:themeColor="text1"/>
          <w:szCs w:val="24"/>
        </w:rPr>
        <w:t xml:space="preserve"> et al., 2023)</w:t>
      </w:r>
      <w:r w:rsidRPr="00EA296A">
        <w:rPr>
          <w:rFonts w:ascii="Arial" w:hAnsi="Arial" w:cs="Arial"/>
          <w:color w:val="000000" w:themeColor="text1"/>
          <w:szCs w:val="24"/>
        </w:rPr>
        <w:t>. Lack of proper communication also means that Mr Ahmed might not be able to fully comprehend his medication regimen, rehabilitation or dietary consultation, which can have an adverse impact on his recovery and health.</w:t>
      </w:r>
    </w:p>
    <w:p w14:paraId="2FD73ACB" w14:textId="3A393375"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Equality Act 2010 is a significant factor in encouraging an inclusive communication in health and social care practices</w:t>
      </w:r>
      <w:r w:rsidR="007A2793">
        <w:rPr>
          <w:rFonts w:ascii="Arial" w:hAnsi="Arial" w:cs="Arial"/>
          <w:color w:val="000000" w:themeColor="text1"/>
          <w:szCs w:val="24"/>
        </w:rPr>
        <w:t xml:space="preserve"> (GOV.UK, 2010)</w:t>
      </w:r>
      <w:r w:rsidRPr="00EA296A">
        <w:rPr>
          <w:rFonts w:ascii="Arial" w:hAnsi="Arial" w:cs="Arial"/>
          <w:color w:val="000000" w:themeColor="text1"/>
          <w:szCs w:val="24"/>
        </w:rPr>
        <w:t>. This law stipulates that service providers must not discriminate persons due to their protected attributes like ethnicity, language or disability. The language barrier may pose a problem in the case of Mr Ahmed, as he might struggle with receiving health information and getting involved in care planning. In order to adhere to the Equality Act 2010 and ensure equal access to services, health professionals are advised to have interpreters, delivered written materials in a foreign language or use visual communication tools to communicate the care instructions</w:t>
      </w:r>
      <w:r w:rsidR="007A2793">
        <w:rPr>
          <w:rFonts w:ascii="Arial" w:hAnsi="Arial" w:cs="Arial"/>
          <w:color w:val="000000" w:themeColor="text1"/>
          <w:szCs w:val="24"/>
        </w:rPr>
        <w:t xml:space="preserve"> (GOV.UK, 2013)</w:t>
      </w:r>
      <w:r w:rsidRPr="00EA296A">
        <w:rPr>
          <w:rFonts w:ascii="Arial" w:hAnsi="Arial" w:cs="Arial"/>
          <w:color w:val="000000" w:themeColor="text1"/>
          <w:szCs w:val="24"/>
        </w:rPr>
        <w:t>. These strategies will help to make sure that Mr Ahmed obtains the identical quality of the information and support as other service users.</w:t>
      </w:r>
    </w:p>
    <w:p w14:paraId="6EF73CD5" w14:textId="62CFAEDF"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Shannon and Weaver communication model can also be interpreted to be effective in the communication with Mr Ahmed as communication is described as a process that involves a sender, a message, the channel, and a receiver</w:t>
      </w:r>
      <w:r w:rsidR="00841179">
        <w:rPr>
          <w:rFonts w:ascii="Arial" w:hAnsi="Arial" w:cs="Arial"/>
          <w:color w:val="000000" w:themeColor="text1"/>
          <w:szCs w:val="24"/>
        </w:rPr>
        <w:t xml:space="preserve"> (</w:t>
      </w:r>
      <w:r w:rsidR="00841179" w:rsidRPr="00841179">
        <w:rPr>
          <w:rFonts w:ascii="Arial" w:hAnsi="Arial" w:cs="Arial"/>
          <w:color w:val="000000" w:themeColor="text1"/>
          <w:szCs w:val="24"/>
        </w:rPr>
        <w:t>Gillespie</w:t>
      </w:r>
      <w:r w:rsidR="00841179">
        <w:rPr>
          <w:rFonts w:ascii="Arial" w:hAnsi="Arial" w:cs="Arial"/>
          <w:color w:val="000000" w:themeColor="text1"/>
          <w:szCs w:val="24"/>
        </w:rPr>
        <w:t xml:space="preserve"> and Schiffman, 2018)</w:t>
      </w:r>
      <w:r w:rsidRPr="00EA296A">
        <w:rPr>
          <w:rFonts w:ascii="Arial" w:hAnsi="Arial" w:cs="Arial"/>
          <w:color w:val="000000" w:themeColor="text1"/>
          <w:szCs w:val="24"/>
        </w:rPr>
        <w:t>. In the case of Mr Ahmed, the medical worker is the sender who provides information about the treatment or drug. The message can contain instructions, e.g., concerning the medication and therapeutic sessions or diet. The medium can be through verbal communication, written or pictorial guidelines</w:t>
      </w:r>
      <w:r w:rsidR="00841179">
        <w:rPr>
          <w:rFonts w:ascii="Arial" w:hAnsi="Arial" w:cs="Arial"/>
          <w:color w:val="000000" w:themeColor="text1"/>
          <w:szCs w:val="24"/>
        </w:rPr>
        <w:t xml:space="preserve"> (</w:t>
      </w:r>
      <w:r w:rsidR="00841179" w:rsidRPr="00841179">
        <w:rPr>
          <w:rFonts w:ascii="Arial" w:hAnsi="Arial" w:cs="Arial"/>
          <w:color w:val="000000" w:themeColor="text1"/>
          <w:szCs w:val="24"/>
        </w:rPr>
        <w:t>GOEL</w:t>
      </w:r>
      <w:r w:rsidR="00841179">
        <w:rPr>
          <w:rFonts w:ascii="Arial" w:hAnsi="Arial" w:cs="Arial"/>
          <w:color w:val="000000" w:themeColor="text1"/>
          <w:szCs w:val="24"/>
        </w:rPr>
        <w:t xml:space="preserve"> et al., 2025)</w:t>
      </w:r>
      <w:r w:rsidRPr="00EA296A">
        <w:rPr>
          <w:rFonts w:ascii="Arial" w:hAnsi="Arial" w:cs="Arial"/>
          <w:color w:val="000000" w:themeColor="text1"/>
          <w:szCs w:val="24"/>
        </w:rPr>
        <w:t>. Nevertheless, language barrier, cognitive impairment after the stroke or environmental distraction can become the noise interfering with the communication process. In order to minimise such impediments, the professionals ought to clarify knowledge by asking Mr Ahmed to paraphrase information in his own language.</w:t>
      </w:r>
    </w:p>
    <w:p w14:paraId="1DE5B556" w14:textId="3EEDC550"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They should also communicate with the wife of Mr Ahmed who frequently communicates with the medical professionals on his behalf. Her intervention can be used in clarifying the information and assisting Mr Ahmed to comprehend his treatment</w:t>
      </w:r>
      <w:r w:rsidR="00841179">
        <w:rPr>
          <w:rFonts w:ascii="Arial" w:hAnsi="Arial" w:cs="Arial"/>
          <w:color w:val="000000" w:themeColor="text1"/>
          <w:szCs w:val="24"/>
        </w:rPr>
        <w:t xml:space="preserve"> (</w:t>
      </w:r>
      <w:r w:rsidR="00841179" w:rsidRPr="00841179">
        <w:rPr>
          <w:rFonts w:ascii="Arial" w:hAnsi="Arial" w:cs="Arial"/>
          <w:color w:val="000000" w:themeColor="text1"/>
          <w:szCs w:val="24"/>
        </w:rPr>
        <w:t>Rolfsen</w:t>
      </w:r>
      <w:r w:rsidR="00841179">
        <w:rPr>
          <w:rFonts w:ascii="Arial" w:hAnsi="Arial" w:cs="Arial"/>
          <w:color w:val="000000" w:themeColor="text1"/>
          <w:szCs w:val="24"/>
        </w:rPr>
        <w:t xml:space="preserve"> et al., 2025)</w:t>
      </w:r>
      <w:r w:rsidRPr="00EA296A">
        <w:rPr>
          <w:rFonts w:ascii="Arial" w:hAnsi="Arial" w:cs="Arial"/>
          <w:color w:val="000000" w:themeColor="text1"/>
          <w:szCs w:val="24"/>
        </w:rPr>
        <w:t>. Nevertheless, it is paramount that professionals should communicate to Mr Ahmed as much as they can to ensure person-centred care and autonomy.</w:t>
      </w:r>
    </w:p>
    <w:p w14:paraId="106A64C2" w14:textId="7FE3038B"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Lastly, professional-to-professional communication is also significant. As an example, the data about speech and language therapist about swallowing issues should be distributed to domiciliary carers to enable them to make proper meals and minimise the chances of choking</w:t>
      </w:r>
      <w:r w:rsidR="00841179">
        <w:rPr>
          <w:rFonts w:ascii="Arial" w:hAnsi="Arial" w:cs="Arial"/>
          <w:color w:val="000000" w:themeColor="text1"/>
          <w:szCs w:val="24"/>
        </w:rPr>
        <w:t xml:space="preserve"> (</w:t>
      </w:r>
      <w:r w:rsidR="00841179" w:rsidRPr="00841179">
        <w:rPr>
          <w:rFonts w:ascii="Arial" w:hAnsi="Arial" w:cs="Arial"/>
          <w:color w:val="000000" w:themeColor="text1"/>
          <w:szCs w:val="24"/>
        </w:rPr>
        <w:t>Schindel</w:t>
      </w:r>
      <w:r w:rsidR="00841179">
        <w:rPr>
          <w:rFonts w:ascii="Arial" w:hAnsi="Arial" w:cs="Arial"/>
          <w:color w:val="000000" w:themeColor="text1"/>
          <w:szCs w:val="24"/>
        </w:rPr>
        <w:t xml:space="preserve"> et al., 2022)</w:t>
      </w:r>
      <w:r w:rsidRPr="00EA296A">
        <w:rPr>
          <w:rFonts w:ascii="Arial" w:hAnsi="Arial" w:cs="Arial"/>
          <w:color w:val="000000" w:themeColor="text1"/>
          <w:szCs w:val="24"/>
        </w:rPr>
        <w:t>. Safe, coordinated and person-centred care is assisted by effective communication, then.</w:t>
      </w:r>
    </w:p>
    <w:p w14:paraId="5CA82903" w14:textId="09B38864" w:rsidR="00EA296A" w:rsidRPr="00EA296A" w:rsidRDefault="00EA296A" w:rsidP="00EA296A">
      <w:pPr>
        <w:pStyle w:val="Heading1"/>
        <w:spacing w:line="360" w:lineRule="auto"/>
        <w:jc w:val="both"/>
        <w:rPr>
          <w:rFonts w:ascii="Arial" w:hAnsi="Arial" w:cs="Arial"/>
          <w:b/>
          <w:color w:val="000000" w:themeColor="text1"/>
          <w:sz w:val="22"/>
          <w:szCs w:val="24"/>
        </w:rPr>
      </w:pPr>
      <w:bookmarkStart w:id="2" w:name="_Toc224700863"/>
      <w:r w:rsidRPr="00EA296A">
        <w:rPr>
          <w:rFonts w:ascii="Arial" w:hAnsi="Arial" w:cs="Arial"/>
          <w:b/>
          <w:color w:val="000000" w:themeColor="text1"/>
          <w:sz w:val="22"/>
          <w:szCs w:val="24"/>
        </w:rPr>
        <w:t>Value of Administrative Personnel and Record Keeping</w:t>
      </w:r>
      <w:bookmarkEnd w:id="2"/>
      <w:r w:rsidRPr="00EA296A">
        <w:rPr>
          <w:rFonts w:ascii="Arial" w:hAnsi="Arial" w:cs="Arial"/>
          <w:b/>
          <w:color w:val="000000" w:themeColor="text1"/>
          <w:sz w:val="22"/>
          <w:szCs w:val="24"/>
        </w:rPr>
        <w:t xml:space="preserve"> </w:t>
      </w:r>
    </w:p>
    <w:p w14:paraId="3A3A3D52" w14:textId="7FE1340A"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Professional practice in health and social care includes an administrative competence as it guarantees the accountability, continuity of care and patient safety</w:t>
      </w:r>
      <w:r w:rsidR="00841179">
        <w:rPr>
          <w:rFonts w:ascii="Arial" w:hAnsi="Arial" w:cs="Arial"/>
          <w:color w:val="000000" w:themeColor="text1"/>
          <w:szCs w:val="24"/>
        </w:rPr>
        <w:t xml:space="preserve"> (</w:t>
      </w:r>
      <w:r w:rsidR="00841179" w:rsidRPr="00841179">
        <w:rPr>
          <w:rFonts w:ascii="Arial" w:hAnsi="Arial" w:cs="Arial"/>
          <w:color w:val="000000" w:themeColor="text1"/>
          <w:szCs w:val="24"/>
        </w:rPr>
        <w:t>Alanazi</w:t>
      </w:r>
      <w:r w:rsidR="00841179">
        <w:rPr>
          <w:rFonts w:ascii="Arial" w:hAnsi="Arial" w:cs="Arial"/>
          <w:color w:val="000000" w:themeColor="text1"/>
          <w:szCs w:val="24"/>
        </w:rPr>
        <w:t xml:space="preserve"> et al., 2024)</w:t>
      </w:r>
      <w:r w:rsidRPr="00EA296A">
        <w:rPr>
          <w:rFonts w:ascii="Arial" w:hAnsi="Arial" w:cs="Arial"/>
          <w:color w:val="000000" w:themeColor="text1"/>
          <w:szCs w:val="24"/>
        </w:rPr>
        <w:t>. In the case of Mr Ahmed, the administrative systems and documentation are vital as the missed domiciliary care visit which led to the lateness of medication is emphasised. Inadequate documentation or an ineffective system of administration may lead to medication error, postponement of treatment or protection issues</w:t>
      </w:r>
      <w:r w:rsidR="00841179">
        <w:rPr>
          <w:rFonts w:ascii="Arial" w:hAnsi="Arial" w:cs="Arial"/>
          <w:color w:val="000000" w:themeColor="text1"/>
          <w:szCs w:val="24"/>
        </w:rPr>
        <w:t xml:space="preserve"> (</w:t>
      </w:r>
      <w:r w:rsidR="00841179" w:rsidRPr="00841179">
        <w:rPr>
          <w:rFonts w:ascii="Arial" w:hAnsi="Arial" w:cs="Arial"/>
          <w:color w:val="000000" w:themeColor="text1"/>
          <w:szCs w:val="24"/>
        </w:rPr>
        <w:t>Shahbodaghi</w:t>
      </w:r>
      <w:r w:rsidR="00841179">
        <w:rPr>
          <w:rFonts w:ascii="Arial" w:hAnsi="Arial" w:cs="Arial"/>
          <w:color w:val="000000" w:themeColor="text1"/>
          <w:szCs w:val="24"/>
        </w:rPr>
        <w:t xml:space="preserve"> et al., 2024)</w:t>
      </w:r>
      <w:r w:rsidRPr="00EA296A">
        <w:rPr>
          <w:rFonts w:ascii="Arial" w:hAnsi="Arial" w:cs="Arial"/>
          <w:color w:val="000000" w:themeColor="text1"/>
          <w:szCs w:val="24"/>
        </w:rPr>
        <w:t>.</w:t>
      </w:r>
    </w:p>
    <w:p w14:paraId="674F3579" w14:textId="206FA14D"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Record keeping can be defined as proper and organised documentation of care activity, health evaluation, administration of drugs and among professionals. Effective record keeping will help the health personnel to track the health status of a patient, check the effectiveness of treatment and ensure continuity of care at the event of a change in the professions concerned</w:t>
      </w:r>
      <w:r w:rsidR="00841179">
        <w:rPr>
          <w:rFonts w:ascii="Arial" w:hAnsi="Arial" w:cs="Arial"/>
          <w:color w:val="000000" w:themeColor="text1"/>
          <w:szCs w:val="24"/>
        </w:rPr>
        <w:t xml:space="preserve"> (Olutimehin, </w:t>
      </w:r>
      <w:r w:rsidR="00841179" w:rsidRPr="00841179">
        <w:rPr>
          <w:rFonts w:ascii="Arial" w:hAnsi="Arial" w:cs="Arial"/>
          <w:color w:val="000000" w:themeColor="text1"/>
          <w:szCs w:val="24"/>
        </w:rPr>
        <w:t>2025</w:t>
      </w:r>
      <w:r w:rsidR="00841179">
        <w:rPr>
          <w:rFonts w:ascii="Arial" w:hAnsi="Arial" w:cs="Arial"/>
          <w:color w:val="000000" w:themeColor="text1"/>
          <w:szCs w:val="24"/>
        </w:rPr>
        <w:t>)</w:t>
      </w:r>
      <w:r w:rsidRPr="00EA296A">
        <w:rPr>
          <w:rFonts w:ascii="Arial" w:hAnsi="Arial" w:cs="Arial"/>
          <w:color w:val="000000" w:themeColor="text1"/>
          <w:szCs w:val="24"/>
        </w:rPr>
        <w:t>. As an illustration, domiciliary care workers who have been assisting Mr Ahmed need to develop every medication support incident with the help of a Medicines Administration Record (MAR) chart. MAR chart contains information about the name of the medication, dosage, time of administration, and the intake or refusal of the medication</w:t>
      </w:r>
      <w:r w:rsidR="00841179">
        <w:rPr>
          <w:rFonts w:ascii="Arial" w:hAnsi="Arial" w:cs="Arial"/>
          <w:color w:val="000000" w:themeColor="text1"/>
          <w:szCs w:val="24"/>
        </w:rPr>
        <w:t xml:space="preserve"> (Manual, </w:t>
      </w:r>
      <w:r w:rsidR="00841179" w:rsidRPr="00841179">
        <w:rPr>
          <w:rFonts w:ascii="Arial" w:hAnsi="Arial" w:cs="Arial"/>
          <w:color w:val="000000" w:themeColor="text1"/>
          <w:szCs w:val="24"/>
        </w:rPr>
        <w:t>2022</w:t>
      </w:r>
      <w:r w:rsidR="00841179">
        <w:rPr>
          <w:rFonts w:ascii="Arial" w:hAnsi="Arial" w:cs="Arial"/>
          <w:color w:val="000000" w:themeColor="text1"/>
          <w:szCs w:val="24"/>
        </w:rPr>
        <w:t>)</w:t>
      </w:r>
      <w:r w:rsidRPr="00EA296A">
        <w:rPr>
          <w:rFonts w:ascii="Arial" w:hAnsi="Arial" w:cs="Arial"/>
          <w:color w:val="000000" w:themeColor="text1"/>
          <w:szCs w:val="24"/>
        </w:rPr>
        <w:t>. Proper records will assist professionals to detect when patients have failed to take their drugs and to be ready to respond immediately to any possible threat.</w:t>
      </w:r>
    </w:p>
    <w:p w14:paraId="64C3561F" w14:textId="0690938B"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The administration practice should also adhere to the Data Protection Act 2018, which happens to be the legal basis on dealing with personal information in the United Kingdom</w:t>
      </w:r>
      <w:r w:rsidR="00F11BA4">
        <w:rPr>
          <w:rFonts w:ascii="Arial" w:hAnsi="Arial" w:cs="Arial"/>
          <w:color w:val="000000" w:themeColor="text1"/>
          <w:szCs w:val="24"/>
        </w:rPr>
        <w:t xml:space="preserve"> (GOV.UK, 2018)</w:t>
      </w:r>
      <w:r w:rsidRPr="00EA296A">
        <w:rPr>
          <w:rFonts w:ascii="Arial" w:hAnsi="Arial" w:cs="Arial"/>
          <w:color w:val="000000" w:themeColor="text1"/>
          <w:szCs w:val="24"/>
        </w:rPr>
        <w:t xml:space="preserve">. This law has guaranteed that the confidential records like the medical history, treatment plan and personal data are handled safely and only shared when they are required. The significance of good administrative systems is also manifested in the magnitude of social care services in the UK. Recent statistics </w:t>
      </w:r>
      <w:r w:rsidR="00F11BA4">
        <w:rPr>
          <w:rFonts w:ascii="Arial" w:hAnsi="Arial" w:cs="Arial"/>
          <w:color w:val="000000" w:themeColor="text1"/>
          <w:szCs w:val="24"/>
        </w:rPr>
        <w:t xml:space="preserve">by Health, (2025) </w:t>
      </w:r>
      <w:r w:rsidRPr="00EA296A">
        <w:rPr>
          <w:rFonts w:ascii="Arial" w:hAnsi="Arial" w:cs="Arial"/>
          <w:color w:val="000000" w:themeColor="text1"/>
          <w:szCs w:val="24"/>
        </w:rPr>
        <w:t>show that more than 500,000 individuals are under regulated domiciliary care services in England, implying the existence of reliable record keeping systems that can provide safety to large populations of service users.</w:t>
      </w:r>
    </w:p>
    <w:p w14:paraId="34CBC412" w14:textId="62BDC571"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The Data Protection Act 2018 exists in conjunction with the General Data Protection Regulation (GDPR) that consists of seven major principles of personal data management. Such principles are lawfulness, fairness and transparency; purpose restriction; data minimisation; accuracy; storage restriction, integrity and confidentiality, and accountability</w:t>
      </w:r>
      <w:r w:rsidR="00F11BA4">
        <w:rPr>
          <w:rFonts w:ascii="Arial" w:hAnsi="Arial" w:cs="Arial"/>
          <w:color w:val="000000" w:themeColor="text1"/>
          <w:szCs w:val="24"/>
        </w:rPr>
        <w:t xml:space="preserve"> (</w:t>
      </w:r>
      <w:r w:rsidR="00F11BA4" w:rsidRPr="00F11BA4">
        <w:rPr>
          <w:rFonts w:ascii="Arial" w:hAnsi="Arial" w:cs="Arial"/>
          <w:color w:val="000000" w:themeColor="text1"/>
          <w:szCs w:val="24"/>
        </w:rPr>
        <w:t>dpo</w:t>
      </w:r>
      <w:r w:rsidR="00F11BA4">
        <w:rPr>
          <w:rFonts w:ascii="Arial" w:hAnsi="Arial" w:cs="Arial"/>
          <w:color w:val="000000" w:themeColor="text1"/>
          <w:szCs w:val="24"/>
        </w:rPr>
        <w:t>admin, 2021)</w:t>
      </w:r>
      <w:r w:rsidRPr="00EA296A">
        <w:rPr>
          <w:rFonts w:ascii="Arial" w:hAnsi="Arial" w:cs="Arial"/>
          <w:color w:val="000000" w:themeColor="text1"/>
          <w:szCs w:val="24"/>
        </w:rPr>
        <w:t>. These principles combined make sure that patient data is gathered with valid reasons in mind and processed in a responsible manner within healthcare organisations.</w:t>
      </w:r>
    </w:p>
    <w:p w14:paraId="322CD3D2" w14:textId="0A70A9FE"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A second significant framework is the Caldicott Principles where confidential patient information is only shared when it is needed and only with professionals who must have access to the information to deliver care</w:t>
      </w:r>
      <w:r w:rsidR="00F11BA4">
        <w:rPr>
          <w:rFonts w:ascii="Arial" w:hAnsi="Arial" w:cs="Arial"/>
          <w:color w:val="000000" w:themeColor="text1"/>
          <w:szCs w:val="24"/>
        </w:rPr>
        <w:t xml:space="preserve"> (UK Government, 2020)</w:t>
      </w:r>
      <w:r w:rsidRPr="00EA296A">
        <w:rPr>
          <w:rFonts w:ascii="Arial" w:hAnsi="Arial" w:cs="Arial"/>
          <w:color w:val="000000" w:themeColor="text1"/>
          <w:szCs w:val="24"/>
        </w:rPr>
        <w:t>. In the case of Mr Ahmed, this implies that only the appropriate medical professionals will have access to his medical information and they are his GP, district nurse and speech therapist.</w:t>
      </w:r>
    </w:p>
    <w:p w14:paraId="7CC7009E" w14:textId="671912E4"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Incident reporting is also an attribute of administrative skills. The medication incident which has been missed must be duly reported and inquired to find out what happened and avoid such incidents in future</w:t>
      </w:r>
      <w:r w:rsidR="00F11BA4">
        <w:rPr>
          <w:rFonts w:ascii="Arial" w:hAnsi="Arial" w:cs="Arial"/>
          <w:color w:val="000000" w:themeColor="text1"/>
          <w:szCs w:val="24"/>
        </w:rPr>
        <w:t xml:space="preserve"> (Wake, 2019)</w:t>
      </w:r>
      <w:r w:rsidRPr="00EA296A">
        <w:rPr>
          <w:rFonts w:ascii="Arial" w:hAnsi="Arial" w:cs="Arial"/>
          <w:color w:val="000000" w:themeColor="text1"/>
          <w:szCs w:val="24"/>
        </w:rPr>
        <w:t>. Efficient administration practice thus safeguards patient safety, fosters accountability and high quality of care provision.</w:t>
      </w:r>
    </w:p>
    <w:p w14:paraId="796FABB9" w14:textId="05012F3B" w:rsidR="00EA296A" w:rsidRPr="00EA296A" w:rsidRDefault="00EA296A" w:rsidP="00EA296A">
      <w:pPr>
        <w:pStyle w:val="Heading1"/>
        <w:spacing w:line="360" w:lineRule="auto"/>
        <w:jc w:val="both"/>
        <w:rPr>
          <w:rFonts w:ascii="Arial" w:hAnsi="Arial" w:cs="Arial"/>
          <w:b/>
          <w:color w:val="000000" w:themeColor="text1"/>
          <w:sz w:val="22"/>
          <w:szCs w:val="24"/>
        </w:rPr>
      </w:pPr>
      <w:bookmarkStart w:id="3" w:name="_Toc224700864"/>
      <w:r w:rsidRPr="00EA296A">
        <w:rPr>
          <w:rFonts w:ascii="Arial" w:hAnsi="Arial" w:cs="Arial"/>
          <w:b/>
          <w:color w:val="000000" w:themeColor="text1"/>
          <w:sz w:val="22"/>
          <w:szCs w:val="24"/>
        </w:rPr>
        <w:t>Significance of Collaborative Working in the Care of Mr Ahmed</w:t>
      </w:r>
      <w:bookmarkEnd w:id="3"/>
      <w:r w:rsidRPr="00EA296A">
        <w:rPr>
          <w:rFonts w:ascii="Arial" w:hAnsi="Arial" w:cs="Arial"/>
          <w:b/>
          <w:color w:val="000000" w:themeColor="text1"/>
          <w:sz w:val="22"/>
          <w:szCs w:val="24"/>
        </w:rPr>
        <w:t xml:space="preserve"> </w:t>
      </w:r>
    </w:p>
    <w:p w14:paraId="4C1BE200" w14:textId="4CA8B495"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Multiple professionals are necessary in health and social care as people with complicated health conditions usually need several different workers to rely on</w:t>
      </w:r>
      <w:r w:rsidR="00F11BA4">
        <w:rPr>
          <w:rFonts w:ascii="Arial" w:hAnsi="Arial" w:cs="Arial"/>
          <w:color w:val="000000" w:themeColor="text1"/>
          <w:szCs w:val="24"/>
        </w:rPr>
        <w:t xml:space="preserve"> (</w:t>
      </w:r>
      <w:r w:rsidR="00F11BA4" w:rsidRPr="00F11BA4">
        <w:rPr>
          <w:rFonts w:ascii="Arial" w:hAnsi="Arial" w:cs="Arial"/>
          <w:color w:val="000000" w:themeColor="text1"/>
          <w:szCs w:val="24"/>
        </w:rPr>
        <w:t>Kuluski</w:t>
      </w:r>
      <w:r w:rsidR="00F11BA4">
        <w:rPr>
          <w:rFonts w:ascii="Arial" w:hAnsi="Arial" w:cs="Arial"/>
          <w:color w:val="000000" w:themeColor="text1"/>
          <w:szCs w:val="24"/>
        </w:rPr>
        <w:t xml:space="preserve"> et al., 2017)</w:t>
      </w:r>
      <w:r w:rsidRPr="00EA296A">
        <w:rPr>
          <w:rFonts w:ascii="Arial" w:hAnsi="Arial" w:cs="Arial"/>
          <w:color w:val="000000" w:themeColor="text1"/>
          <w:szCs w:val="24"/>
        </w:rPr>
        <w:t>. Care management of Mr Ahmed entails multidisciplinary team comprising of his GP, district nurse, domiciliary care workers and a speech and language therapist. Every professional brings with him expertise and skills specific to help him in various areas of his post stroke recovery.</w:t>
      </w:r>
    </w:p>
    <w:p w14:paraId="64B9F556" w14:textId="68F29625"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The concept of multidisciplinary team (MDT) is common in UK healthcare system in order to organise the provision of care to patients with complex needs</w:t>
      </w:r>
      <w:r w:rsidR="00F11BA4">
        <w:rPr>
          <w:rFonts w:ascii="Arial" w:hAnsi="Arial" w:cs="Arial"/>
          <w:color w:val="000000" w:themeColor="text1"/>
          <w:szCs w:val="24"/>
        </w:rPr>
        <w:t xml:space="preserve"> (UK,</w:t>
      </w:r>
      <w:r w:rsidR="00F11BA4" w:rsidRPr="00F11BA4">
        <w:rPr>
          <w:rFonts w:ascii="Arial" w:hAnsi="Arial" w:cs="Arial"/>
          <w:color w:val="000000" w:themeColor="text1"/>
          <w:szCs w:val="24"/>
        </w:rPr>
        <w:t xml:space="preserve"> 2021</w:t>
      </w:r>
      <w:r w:rsidR="00F11BA4">
        <w:rPr>
          <w:rFonts w:ascii="Arial" w:hAnsi="Arial" w:cs="Arial"/>
          <w:color w:val="000000" w:themeColor="text1"/>
          <w:szCs w:val="24"/>
        </w:rPr>
        <w:t>)</w:t>
      </w:r>
      <w:r w:rsidRPr="00EA296A">
        <w:rPr>
          <w:rFonts w:ascii="Arial" w:hAnsi="Arial" w:cs="Arial"/>
          <w:color w:val="000000" w:themeColor="text1"/>
          <w:szCs w:val="24"/>
        </w:rPr>
        <w:t>. MDT meetings enable the professionals to communicate and exchange information, monitor the progress of the patient and ensure the consistency in the treatment strategy. In the case of Mr Ahmed, the teamwork approach would make sure that medical care, rehabilitation assistance and daily care requirements are done jointly.</w:t>
      </w:r>
    </w:p>
    <w:p w14:paraId="4D05CE31" w14:textId="6E883F31" w:rsidR="00EA296A" w:rsidRPr="00EA296A" w:rsidRDefault="00EA296A" w:rsidP="00EA296A">
      <w:pPr>
        <w:spacing w:line="360" w:lineRule="auto"/>
        <w:jc w:val="both"/>
        <w:rPr>
          <w:rFonts w:ascii="Arial" w:hAnsi="Arial" w:cs="Arial"/>
          <w:color w:val="000000" w:themeColor="text1"/>
          <w:szCs w:val="24"/>
        </w:rPr>
      </w:pPr>
      <w:r w:rsidRPr="00EA296A">
        <w:rPr>
          <w:rFonts w:ascii="Arial" w:hAnsi="Arial" w:cs="Arial"/>
          <w:color w:val="000000" w:themeColor="text1"/>
          <w:szCs w:val="24"/>
        </w:rPr>
        <w:t>Nevertheless, team work can be problematic as well. The professions might communicate poorly with each other and lead to partial provision of information or redundancy</w:t>
      </w:r>
      <w:r w:rsidR="00AF1D4B">
        <w:rPr>
          <w:rFonts w:ascii="Arial" w:hAnsi="Arial" w:cs="Arial"/>
          <w:color w:val="000000" w:themeColor="text1"/>
          <w:szCs w:val="24"/>
        </w:rPr>
        <w:t xml:space="preserve"> (</w:t>
      </w:r>
      <w:r w:rsidR="00AF1D4B" w:rsidRPr="00AF1D4B">
        <w:rPr>
          <w:rFonts w:ascii="Arial" w:hAnsi="Arial" w:cs="Arial"/>
          <w:color w:val="000000" w:themeColor="text1"/>
          <w:szCs w:val="24"/>
        </w:rPr>
        <w:t>Tiwary</w:t>
      </w:r>
      <w:r w:rsidR="00AF1D4B">
        <w:rPr>
          <w:rFonts w:ascii="Arial" w:hAnsi="Arial" w:cs="Arial"/>
          <w:color w:val="000000" w:themeColor="text1"/>
          <w:szCs w:val="24"/>
        </w:rPr>
        <w:t xml:space="preserve"> et al., 2019)</w:t>
      </w:r>
      <w:r w:rsidRPr="00EA296A">
        <w:rPr>
          <w:rFonts w:ascii="Arial" w:hAnsi="Arial" w:cs="Arial"/>
          <w:color w:val="000000" w:themeColor="text1"/>
          <w:szCs w:val="24"/>
        </w:rPr>
        <w:t>. Furthermore, various professional priorities can make the differences in opinions concerning the planning of care. Measures like periodic MDT meetings, common electronic records, and well-defined professional roles could be useful in overcoming these challenges and making the teamwork effective</w:t>
      </w:r>
      <w:r w:rsidR="00AF1D4B">
        <w:rPr>
          <w:rFonts w:ascii="Arial" w:hAnsi="Arial" w:cs="Arial"/>
          <w:color w:val="000000" w:themeColor="text1"/>
          <w:szCs w:val="24"/>
        </w:rPr>
        <w:t xml:space="preserve"> (</w:t>
      </w:r>
      <w:r w:rsidR="00AF1D4B" w:rsidRPr="00AF1D4B">
        <w:rPr>
          <w:rFonts w:ascii="Arial" w:hAnsi="Arial" w:cs="Arial"/>
          <w:color w:val="000000" w:themeColor="text1"/>
          <w:szCs w:val="24"/>
        </w:rPr>
        <w:t>Buljac</w:t>
      </w:r>
      <w:r w:rsidR="00AF1D4B">
        <w:rPr>
          <w:rFonts w:ascii="Arial" w:hAnsi="Arial" w:cs="Arial"/>
          <w:color w:val="000000" w:themeColor="text1"/>
          <w:szCs w:val="24"/>
        </w:rPr>
        <w:t xml:space="preserve"> et al., 2020)</w:t>
      </w:r>
      <w:r w:rsidRPr="00EA296A">
        <w:rPr>
          <w:rFonts w:ascii="Arial" w:hAnsi="Arial" w:cs="Arial"/>
          <w:color w:val="000000" w:themeColor="text1"/>
          <w:szCs w:val="24"/>
        </w:rPr>
        <w:t>.</w:t>
      </w:r>
    </w:p>
    <w:p w14:paraId="72C4017E" w14:textId="6FFF2B50" w:rsidR="00EA296A" w:rsidRPr="00EA296A" w:rsidRDefault="00EA296A" w:rsidP="00EA296A">
      <w:pPr>
        <w:pStyle w:val="Heading1"/>
        <w:spacing w:line="360" w:lineRule="auto"/>
        <w:jc w:val="both"/>
        <w:rPr>
          <w:rFonts w:ascii="Arial" w:hAnsi="Arial" w:cs="Arial"/>
          <w:b/>
          <w:color w:val="000000" w:themeColor="text1"/>
          <w:sz w:val="22"/>
          <w:szCs w:val="24"/>
        </w:rPr>
      </w:pPr>
      <w:bookmarkStart w:id="4" w:name="_Toc224700865"/>
      <w:r w:rsidRPr="00EA296A">
        <w:rPr>
          <w:rFonts w:ascii="Arial" w:hAnsi="Arial" w:cs="Arial"/>
          <w:b/>
          <w:color w:val="000000" w:themeColor="text1"/>
          <w:sz w:val="22"/>
          <w:szCs w:val="24"/>
        </w:rPr>
        <w:t>Conclusion</w:t>
      </w:r>
      <w:bookmarkEnd w:id="4"/>
      <w:r w:rsidRPr="00EA296A">
        <w:rPr>
          <w:rFonts w:ascii="Arial" w:hAnsi="Arial" w:cs="Arial"/>
          <w:b/>
          <w:color w:val="000000" w:themeColor="text1"/>
          <w:sz w:val="22"/>
          <w:szCs w:val="24"/>
        </w:rPr>
        <w:t xml:space="preserve"> </w:t>
      </w:r>
    </w:p>
    <w:p w14:paraId="6C74C143" w14:textId="7BED2CC3" w:rsidR="00EA296A" w:rsidRPr="00EA296A" w:rsidRDefault="00EA296A" w:rsidP="00AF1D4B">
      <w:pPr>
        <w:spacing w:line="360" w:lineRule="auto"/>
        <w:jc w:val="both"/>
        <w:rPr>
          <w:rFonts w:ascii="Arial" w:hAnsi="Arial" w:cs="Arial"/>
          <w:color w:val="000000" w:themeColor="text1"/>
          <w:szCs w:val="24"/>
        </w:rPr>
      </w:pPr>
      <w:r w:rsidRPr="00EA296A">
        <w:rPr>
          <w:rFonts w:ascii="Arial" w:hAnsi="Arial" w:cs="Arial"/>
          <w:color w:val="000000" w:themeColor="text1"/>
          <w:szCs w:val="24"/>
        </w:rPr>
        <w:t>Mr Ahmed case demonstrates how effective communication, good administration and working together are vital in the provision of high-quality services in health and social care. Communication will guarantee that the service users have a good knowledge on their care and they are also able to take part in the decisions that will impact positively on their wellbeing. The use of equality laws and models of communication can assist professionals to overcome language and health-related challenges. Accountability and patient confidentiality are guaranteed by administrative competence, especially correct record keeping and observing data protection laws. The principles of the Data Protection Act 2018 and GDPR are used to determine the treatment of sensitive data in medical organisations. Moreover, the working collaboration among professionals will enable individuals with complex health needs to obtain coordinated and holistic care. Through the exchange of experience and knowledge, medical workers will be able to detect risks at an early stage and enhance treatment results. Altogether, all these factors are necessary to provide safe and person-centred care and ensure high standards in the UK health and social care system.</w:t>
      </w:r>
    </w:p>
    <w:p w14:paraId="20817620" w14:textId="502AEE64" w:rsidR="00EA296A" w:rsidRDefault="00EA296A" w:rsidP="00EA296A">
      <w:pPr>
        <w:pStyle w:val="Heading1"/>
        <w:spacing w:line="360" w:lineRule="auto"/>
        <w:jc w:val="both"/>
        <w:rPr>
          <w:rFonts w:ascii="Arial" w:hAnsi="Arial" w:cs="Arial"/>
          <w:b/>
          <w:color w:val="000000" w:themeColor="text1"/>
          <w:sz w:val="22"/>
          <w:szCs w:val="24"/>
        </w:rPr>
      </w:pPr>
      <w:bookmarkStart w:id="5" w:name="_Toc224700866"/>
      <w:r w:rsidRPr="00EA296A">
        <w:rPr>
          <w:rFonts w:ascii="Arial" w:hAnsi="Arial" w:cs="Arial"/>
          <w:b/>
          <w:color w:val="000000" w:themeColor="text1"/>
          <w:sz w:val="22"/>
          <w:szCs w:val="24"/>
        </w:rPr>
        <w:t>Reference List</w:t>
      </w:r>
      <w:bookmarkEnd w:id="5"/>
    </w:p>
    <w:p w14:paraId="511A81CF"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8F5474">
        <w:rPr>
          <w:rFonts w:asciiTheme="minorBidi" w:hAnsiTheme="minorBidi"/>
          <w:color w:val="222222"/>
          <w:shd w:val="clear" w:color="auto" w:fill="FFFFFF"/>
        </w:rPr>
        <w:t>Alanazi, S.E.M., Al-Dharf, A.A.A., Al-Sharari, A.A., Alanazi, A.D.M., Alanazi, F.A.G., Al-Juhani, F.M., Alatawi, J.S., Albasri, M.N.M., Alshamere, M.H.M., Alwalah, M.H.A. and Al-Sharari, N.M.S., 2024. Patient Safety and Quality of Care: The roles, responsibilities and practices of healthcare. </w:t>
      </w:r>
      <w:r w:rsidRPr="008F5474">
        <w:rPr>
          <w:rFonts w:asciiTheme="minorBidi" w:hAnsiTheme="minorBidi"/>
          <w:i/>
          <w:iCs/>
          <w:color w:val="222222"/>
          <w:shd w:val="clear" w:color="auto" w:fill="FFFFFF"/>
        </w:rPr>
        <w:t>The Review of Diabetic Studies</w:t>
      </w:r>
      <w:r w:rsidRPr="008F5474">
        <w:rPr>
          <w:rFonts w:asciiTheme="minorBidi" w:hAnsiTheme="minorBidi"/>
          <w:color w:val="222222"/>
          <w:shd w:val="clear" w:color="auto" w:fill="FFFFFF"/>
        </w:rPr>
        <w:t>, pp.382-386.</w:t>
      </w:r>
    </w:p>
    <w:p w14:paraId="00F2CF39" w14:textId="77777777" w:rsidR="00AF1D4B" w:rsidRPr="006842FC" w:rsidRDefault="00AF1D4B" w:rsidP="00AF1D4B">
      <w:pPr>
        <w:spacing w:after="0" w:line="360" w:lineRule="auto"/>
        <w:ind w:left="720" w:hanging="720"/>
        <w:jc w:val="both"/>
        <w:rPr>
          <w:rFonts w:asciiTheme="minorBidi" w:eastAsia="Times New Roman" w:hAnsiTheme="minorBidi"/>
          <w:color w:val="000000"/>
        </w:rPr>
      </w:pPr>
      <w:r w:rsidRPr="008F5474">
        <w:rPr>
          <w:rFonts w:asciiTheme="minorBidi" w:hAnsiTheme="minorBidi"/>
          <w:color w:val="222222"/>
          <w:shd w:val="clear" w:color="auto" w:fill="FFFFFF"/>
        </w:rPr>
        <w:t>Buljac-Samardzic, M., Doekhie, K.D. and van Wijngaarden, J.D., 2020. Interventions to improve team effectiveness within health care: a systematic review of the past decade. </w:t>
      </w:r>
      <w:r w:rsidRPr="008F5474">
        <w:rPr>
          <w:rFonts w:asciiTheme="minorBidi" w:hAnsiTheme="minorBidi"/>
          <w:i/>
          <w:iCs/>
          <w:color w:val="222222"/>
          <w:shd w:val="clear" w:color="auto" w:fill="FFFFFF"/>
        </w:rPr>
        <w:t>Human resources for health</w:t>
      </w:r>
      <w:r w:rsidRPr="008F5474">
        <w:rPr>
          <w:rFonts w:asciiTheme="minorBidi" w:hAnsiTheme="minorBidi"/>
          <w:color w:val="222222"/>
          <w:shd w:val="clear" w:color="auto" w:fill="FFFFFF"/>
        </w:rPr>
        <w:t>, </w:t>
      </w:r>
      <w:r w:rsidRPr="008F5474">
        <w:rPr>
          <w:rFonts w:asciiTheme="minorBidi" w:hAnsiTheme="minorBidi"/>
          <w:i/>
          <w:iCs/>
          <w:color w:val="222222"/>
          <w:shd w:val="clear" w:color="auto" w:fill="FFFFFF"/>
        </w:rPr>
        <w:t>18</w:t>
      </w:r>
      <w:r w:rsidRPr="008F5474">
        <w:rPr>
          <w:rFonts w:asciiTheme="minorBidi" w:hAnsiTheme="minorBidi"/>
          <w:color w:val="222222"/>
          <w:shd w:val="clear" w:color="auto" w:fill="FFFFFF"/>
        </w:rPr>
        <w:t>(1), p.2.</w:t>
      </w:r>
    </w:p>
    <w:p w14:paraId="7E047C32"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D13CE2">
        <w:rPr>
          <w:rFonts w:asciiTheme="minorBidi" w:eastAsia="Times New Roman" w:hAnsiTheme="minorBidi"/>
          <w:color w:val="000000"/>
        </w:rPr>
        <w:t>DHSC (2024). </w:t>
      </w:r>
      <w:r w:rsidRPr="00D13CE2">
        <w:rPr>
          <w:rFonts w:asciiTheme="minorBidi" w:eastAsia="Times New Roman" w:hAnsiTheme="minorBidi"/>
          <w:i/>
          <w:iCs/>
          <w:color w:val="000000"/>
        </w:rPr>
        <w:t>Department of Health and Social Care</w:t>
      </w:r>
      <w:r w:rsidRPr="00D13CE2">
        <w:rPr>
          <w:rFonts w:asciiTheme="minorBidi" w:eastAsia="Times New Roman" w:hAnsiTheme="minorBidi"/>
          <w:color w:val="000000"/>
        </w:rPr>
        <w:t xml:space="preserve">. [online] GOV.UK. Available at: </w:t>
      </w:r>
      <w:hyperlink r:id="rId5" w:history="1">
        <w:r w:rsidRPr="008F5474">
          <w:rPr>
            <w:rStyle w:val="Hyperlink"/>
            <w:rFonts w:asciiTheme="minorBidi" w:eastAsia="Times New Roman" w:hAnsiTheme="minorBidi"/>
          </w:rPr>
          <w:t>https://www.gov.uk/government/organisations/department-of-health-and-social-care</w:t>
        </w:r>
      </w:hyperlink>
      <w:r w:rsidRPr="00D13CE2">
        <w:rPr>
          <w:rFonts w:asciiTheme="minorBidi" w:eastAsia="Times New Roman" w:hAnsiTheme="minorBidi"/>
          <w:color w:val="000000"/>
        </w:rPr>
        <w:t>.</w:t>
      </w:r>
    </w:p>
    <w:p w14:paraId="0D1D76BD"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6842FC">
        <w:rPr>
          <w:rFonts w:asciiTheme="minorBidi" w:eastAsia="Times New Roman" w:hAnsiTheme="minorBidi"/>
          <w:color w:val="000000"/>
        </w:rPr>
        <w:t>dpoadmin (2021). </w:t>
      </w:r>
      <w:r w:rsidRPr="006842FC">
        <w:rPr>
          <w:rFonts w:asciiTheme="minorBidi" w:eastAsia="Times New Roman" w:hAnsiTheme="minorBidi"/>
          <w:i/>
          <w:iCs/>
          <w:color w:val="000000"/>
        </w:rPr>
        <w:t>Data Protection Law</w:t>
      </w:r>
      <w:r w:rsidRPr="006842FC">
        <w:rPr>
          <w:rFonts w:asciiTheme="minorBidi" w:eastAsia="Times New Roman" w:hAnsiTheme="minorBidi"/>
          <w:color w:val="000000"/>
        </w:rPr>
        <w:t xml:space="preserve">. [online] Outsourced Data Protection Officers GDPR and Data Protection Compliance. Available at: </w:t>
      </w:r>
      <w:hyperlink r:id="rId6" w:history="1">
        <w:r w:rsidRPr="008F5474">
          <w:rPr>
            <w:rStyle w:val="Hyperlink"/>
            <w:rFonts w:asciiTheme="minorBidi" w:eastAsia="Times New Roman" w:hAnsiTheme="minorBidi"/>
          </w:rPr>
          <w:t>https://www.dpocentre.com/blog/the-data-protection-act-2018-the-7-principles-of-the-gdpr/</w:t>
        </w:r>
      </w:hyperlink>
      <w:r w:rsidRPr="006842FC">
        <w:rPr>
          <w:rFonts w:asciiTheme="minorBidi" w:eastAsia="Times New Roman" w:hAnsiTheme="minorBidi"/>
          <w:color w:val="000000"/>
        </w:rPr>
        <w:t>.</w:t>
      </w:r>
    </w:p>
    <w:p w14:paraId="3E60F751"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D13CE2">
        <w:rPr>
          <w:rFonts w:asciiTheme="minorBidi" w:eastAsia="Times New Roman" w:hAnsiTheme="minorBidi"/>
          <w:color w:val="000000"/>
        </w:rPr>
        <w:t>Gillespie, D.J. and Schiffman, R. (2018). A Critique of the Shannon-Weaver Theory of Communication and Its Implications for Nursing. </w:t>
      </w:r>
      <w:r w:rsidRPr="00D13CE2">
        <w:rPr>
          <w:rFonts w:asciiTheme="minorBidi" w:eastAsia="Times New Roman" w:hAnsiTheme="minorBidi"/>
          <w:i/>
          <w:iCs/>
          <w:color w:val="000000"/>
        </w:rPr>
        <w:t>Research and Theory for Nursing Practice</w:t>
      </w:r>
      <w:r w:rsidRPr="00D13CE2">
        <w:rPr>
          <w:rFonts w:asciiTheme="minorBidi" w:eastAsia="Times New Roman" w:hAnsiTheme="minorBidi"/>
          <w:color w:val="000000"/>
        </w:rPr>
        <w:t>, 32(2), pp.216–225. doi:https://doi.org/10.1891/1541-6577.32.2.216.</w:t>
      </w:r>
    </w:p>
    <w:p w14:paraId="28FCC348"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GOEL, K., GUPTA, S., PUROHIT, N., DEVNANI, M. and SEN, A., 2025. EFFECTIVE COMMUNICATION IN PUBLIC HEALTH. </w:t>
      </w:r>
      <w:r w:rsidRPr="008F5474">
        <w:rPr>
          <w:rFonts w:asciiTheme="minorBidi" w:hAnsiTheme="minorBidi"/>
          <w:i/>
          <w:iCs/>
          <w:color w:val="222222"/>
          <w:shd w:val="clear" w:color="auto" w:fill="FFFFFF"/>
        </w:rPr>
        <w:t>Global Public Health Perspectives on Leadership and Management</w:t>
      </w:r>
      <w:r w:rsidRPr="008F5474">
        <w:rPr>
          <w:rFonts w:asciiTheme="minorBidi" w:hAnsiTheme="minorBidi"/>
          <w:color w:val="222222"/>
          <w:shd w:val="clear" w:color="auto" w:fill="FFFFFF"/>
        </w:rPr>
        <w:t>, p.173.</w:t>
      </w:r>
    </w:p>
    <w:p w14:paraId="03DC675E"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D13CE2">
        <w:rPr>
          <w:rFonts w:asciiTheme="minorBidi" w:eastAsia="Times New Roman" w:hAnsiTheme="minorBidi"/>
          <w:color w:val="000000"/>
        </w:rPr>
        <w:t>GOV.UK (2010). </w:t>
      </w:r>
      <w:r w:rsidRPr="00D13CE2">
        <w:rPr>
          <w:rFonts w:asciiTheme="minorBidi" w:eastAsia="Times New Roman" w:hAnsiTheme="minorBidi"/>
          <w:i/>
          <w:iCs/>
          <w:color w:val="000000"/>
        </w:rPr>
        <w:t>Equality Act 2010</w:t>
      </w:r>
      <w:r w:rsidRPr="00D13CE2">
        <w:rPr>
          <w:rFonts w:asciiTheme="minorBidi" w:eastAsia="Times New Roman" w:hAnsiTheme="minorBidi"/>
          <w:color w:val="000000"/>
        </w:rPr>
        <w:t xml:space="preserve">. [online] Legislation.gov.uk. Available at: </w:t>
      </w:r>
      <w:hyperlink r:id="rId7" w:history="1">
        <w:r w:rsidRPr="008F5474">
          <w:rPr>
            <w:rStyle w:val="Hyperlink"/>
            <w:rFonts w:asciiTheme="minorBidi" w:eastAsia="Times New Roman" w:hAnsiTheme="minorBidi"/>
          </w:rPr>
          <w:t>https://www.legislation.gov.uk/ukpga/2010/15/contents</w:t>
        </w:r>
      </w:hyperlink>
      <w:r w:rsidRPr="00D13CE2">
        <w:rPr>
          <w:rFonts w:asciiTheme="minorBidi" w:eastAsia="Times New Roman" w:hAnsiTheme="minorBidi"/>
          <w:color w:val="000000"/>
        </w:rPr>
        <w:t>.</w:t>
      </w:r>
    </w:p>
    <w:p w14:paraId="39763C31"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D13CE2">
        <w:rPr>
          <w:rFonts w:asciiTheme="minorBidi" w:eastAsia="Times New Roman" w:hAnsiTheme="minorBidi"/>
          <w:color w:val="000000"/>
        </w:rPr>
        <w:t>GOV.UK (2013). </w:t>
      </w:r>
      <w:r w:rsidRPr="00D13CE2">
        <w:rPr>
          <w:rFonts w:asciiTheme="minorBidi" w:eastAsia="Times New Roman" w:hAnsiTheme="minorBidi"/>
          <w:i/>
          <w:iCs/>
          <w:color w:val="000000"/>
        </w:rPr>
        <w:t>Equality Act 2010</w:t>
      </w:r>
      <w:r w:rsidRPr="00D13CE2">
        <w:rPr>
          <w:rFonts w:asciiTheme="minorBidi" w:eastAsia="Times New Roman" w:hAnsiTheme="minorBidi"/>
          <w:color w:val="000000"/>
        </w:rPr>
        <w:t xml:space="preserve">. [online] GOV.UK. Available at: </w:t>
      </w:r>
      <w:hyperlink r:id="rId8" w:history="1">
        <w:r w:rsidRPr="008F5474">
          <w:rPr>
            <w:rStyle w:val="Hyperlink"/>
            <w:rFonts w:asciiTheme="minorBidi" w:eastAsia="Times New Roman" w:hAnsiTheme="minorBidi"/>
          </w:rPr>
          <w:t>https://www.gov.uk/guidance/equality-act-2010-guidance</w:t>
        </w:r>
      </w:hyperlink>
      <w:r w:rsidRPr="00D13CE2">
        <w:rPr>
          <w:rFonts w:asciiTheme="minorBidi" w:eastAsia="Times New Roman" w:hAnsiTheme="minorBidi"/>
          <w:color w:val="000000"/>
        </w:rPr>
        <w:t>.</w:t>
      </w:r>
    </w:p>
    <w:p w14:paraId="07F002BD"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6842FC">
        <w:rPr>
          <w:rFonts w:asciiTheme="minorBidi" w:eastAsia="Times New Roman" w:hAnsiTheme="minorBidi"/>
          <w:color w:val="000000"/>
        </w:rPr>
        <w:t>GOV.UK (2018). </w:t>
      </w:r>
      <w:r w:rsidRPr="006842FC">
        <w:rPr>
          <w:rFonts w:asciiTheme="minorBidi" w:eastAsia="Times New Roman" w:hAnsiTheme="minorBidi"/>
          <w:i/>
          <w:iCs/>
          <w:color w:val="000000"/>
        </w:rPr>
        <w:t>Data Protection Act 2018</w:t>
      </w:r>
      <w:r w:rsidRPr="006842FC">
        <w:rPr>
          <w:rFonts w:asciiTheme="minorBidi" w:eastAsia="Times New Roman" w:hAnsiTheme="minorBidi"/>
          <w:color w:val="000000"/>
        </w:rPr>
        <w:t xml:space="preserve">. [online] legislation.gov.uk. Available at: </w:t>
      </w:r>
      <w:hyperlink r:id="rId9" w:history="1">
        <w:r w:rsidRPr="008F5474">
          <w:rPr>
            <w:rStyle w:val="Hyperlink"/>
            <w:rFonts w:asciiTheme="minorBidi" w:eastAsia="Times New Roman" w:hAnsiTheme="minorBidi"/>
          </w:rPr>
          <w:t>https://www.legislation.gov.uk/ukpga/2018/12/contents</w:t>
        </w:r>
      </w:hyperlink>
      <w:r w:rsidRPr="006842FC">
        <w:rPr>
          <w:rFonts w:asciiTheme="minorBidi" w:eastAsia="Times New Roman" w:hAnsiTheme="minorBidi"/>
          <w:color w:val="000000"/>
        </w:rPr>
        <w:t>.</w:t>
      </w:r>
    </w:p>
    <w:p w14:paraId="1DA5C575"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6842FC">
        <w:rPr>
          <w:rFonts w:asciiTheme="minorBidi" w:eastAsia="Times New Roman" w:hAnsiTheme="minorBidi"/>
          <w:color w:val="000000"/>
        </w:rPr>
        <w:t>Health (2025). </w:t>
      </w:r>
      <w:r w:rsidRPr="006842FC">
        <w:rPr>
          <w:rFonts w:asciiTheme="minorBidi" w:eastAsia="Times New Roman" w:hAnsiTheme="minorBidi"/>
          <w:i/>
          <w:iCs/>
          <w:color w:val="000000"/>
        </w:rPr>
        <w:t>Faster care for thousands thanks to NHS use of independent sector</w:t>
      </w:r>
      <w:r w:rsidRPr="006842FC">
        <w:rPr>
          <w:rFonts w:asciiTheme="minorBidi" w:eastAsia="Times New Roman" w:hAnsiTheme="minorBidi"/>
          <w:color w:val="000000"/>
        </w:rPr>
        <w:t xml:space="preserve">. [online] GOV.UK. Available at: </w:t>
      </w:r>
      <w:hyperlink r:id="rId10" w:history="1">
        <w:r w:rsidRPr="008F5474">
          <w:rPr>
            <w:rStyle w:val="Hyperlink"/>
            <w:rFonts w:asciiTheme="minorBidi" w:eastAsia="Times New Roman" w:hAnsiTheme="minorBidi"/>
          </w:rPr>
          <w:t>https://www.gov.uk/government/news/faster-care-for-thousands-thanks-to-nhs-use-of-independent-sector</w:t>
        </w:r>
      </w:hyperlink>
      <w:r w:rsidRPr="006842FC">
        <w:rPr>
          <w:rFonts w:asciiTheme="minorBidi" w:eastAsia="Times New Roman" w:hAnsiTheme="minorBidi"/>
          <w:color w:val="000000"/>
        </w:rPr>
        <w:t>.</w:t>
      </w:r>
    </w:p>
    <w:p w14:paraId="7B94E734"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Kuluski, K., Ho, J.W., Hans, P.K. and Nelson, M.L., 2017. Community care for people with complex care needs: bridging the gap between health and social care. </w:t>
      </w:r>
      <w:r w:rsidRPr="008F5474">
        <w:rPr>
          <w:rFonts w:asciiTheme="minorBidi" w:hAnsiTheme="minorBidi"/>
          <w:i/>
          <w:iCs/>
          <w:color w:val="222222"/>
          <w:shd w:val="clear" w:color="auto" w:fill="FFFFFF"/>
        </w:rPr>
        <w:t>International journal of integrated care</w:t>
      </w:r>
      <w:r w:rsidRPr="008F5474">
        <w:rPr>
          <w:rFonts w:asciiTheme="minorBidi" w:hAnsiTheme="minorBidi"/>
          <w:color w:val="222222"/>
          <w:shd w:val="clear" w:color="auto" w:fill="FFFFFF"/>
        </w:rPr>
        <w:t>, </w:t>
      </w:r>
      <w:r w:rsidRPr="008F5474">
        <w:rPr>
          <w:rFonts w:asciiTheme="minorBidi" w:hAnsiTheme="minorBidi"/>
          <w:i/>
          <w:iCs/>
          <w:color w:val="222222"/>
          <w:shd w:val="clear" w:color="auto" w:fill="FFFFFF"/>
        </w:rPr>
        <w:t>17</w:t>
      </w:r>
      <w:r w:rsidRPr="008F5474">
        <w:rPr>
          <w:rFonts w:asciiTheme="minorBidi" w:hAnsiTheme="minorBidi"/>
          <w:color w:val="222222"/>
          <w:shd w:val="clear" w:color="auto" w:fill="FFFFFF"/>
        </w:rPr>
        <w:t>(4), p.2.</w:t>
      </w:r>
    </w:p>
    <w:p w14:paraId="1A769D98"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Manual, A., 2022. MANAGEMENT OF MEDICATIONS.</w:t>
      </w:r>
    </w:p>
    <w:p w14:paraId="538892AE" w14:textId="77777777" w:rsidR="00AF1D4B" w:rsidRPr="00D13CE2" w:rsidRDefault="00AF1D4B" w:rsidP="00AF1D4B">
      <w:pPr>
        <w:spacing w:after="0" w:line="360" w:lineRule="auto"/>
        <w:ind w:left="720" w:hanging="720"/>
        <w:jc w:val="both"/>
        <w:rPr>
          <w:rFonts w:asciiTheme="minorBidi" w:eastAsia="Times New Roman" w:hAnsiTheme="minorBidi"/>
          <w:color w:val="000000"/>
        </w:rPr>
      </w:pPr>
      <w:r w:rsidRPr="008F5474">
        <w:rPr>
          <w:rFonts w:asciiTheme="minorBidi" w:hAnsiTheme="minorBidi"/>
          <w:color w:val="222222"/>
          <w:shd w:val="clear" w:color="auto" w:fill="FFFFFF"/>
        </w:rPr>
        <w:t>Olutimehin, D., 2025. IMPROVING PATIENT OUTCOMES WITH EFFECTIVE RECORD-KEEPING PRACTICES IN HEALTHCARE DELIVERY.</w:t>
      </w:r>
    </w:p>
    <w:p w14:paraId="396FFB79"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Rolfsen, M.L., Wilcox, M.E., Mart, M.F., Jackson, J.C., Sevin, C.M. and Ely, E.W., 2025. Communicating to Patients and Families About Post-Intensive Care Syndrome. </w:t>
      </w:r>
      <w:r w:rsidRPr="008F5474">
        <w:rPr>
          <w:rFonts w:asciiTheme="minorBidi" w:hAnsiTheme="minorBidi"/>
          <w:i/>
          <w:iCs/>
          <w:color w:val="222222"/>
          <w:shd w:val="clear" w:color="auto" w:fill="FFFFFF"/>
        </w:rPr>
        <w:t>Chest</w:t>
      </w:r>
      <w:r w:rsidRPr="008F5474">
        <w:rPr>
          <w:rFonts w:asciiTheme="minorBidi" w:hAnsiTheme="minorBidi"/>
          <w:color w:val="222222"/>
          <w:shd w:val="clear" w:color="auto" w:fill="FFFFFF"/>
        </w:rPr>
        <w:t>.</w:t>
      </w:r>
    </w:p>
    <w:p w14:paraId="180F17C4"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8F5474">
        <w:rPr>
          <w:rFonts w:asciiTheme="minorBidi" w:hAnsiTheme="minorBidi"/>
          <w:color w:val="222222"/>
          <w:shd w:val="clear" w:color="auto" w:fill="FFFFFF"/>
        </w:rPr>
        <w:t>Schindel, D., Mandl, L., Schilling, R., Meisel, A. and Schenk, L., 2022. Guideline adherence in speech and language therapy in stroke aftercare. A health insurance claims data analysis. </w:t>
      </w:r>
      <w:r w:rsidRPr="008F5474">
        <w:rPr>
          <w:rFonts w:asciiTheme="minorBidi" w:hAnsiTheme="minorBidi"/>
          <w:i/>
          <w:iCs/>
          <w:color w:val="222222"/>
          <w:shd w:val="clear" w:color="auto" w:fill="FFFFFF"/>
        </w:rPr>
        <w:t>PloS one</w:t>
      </w:r>
      <w:r w:rsidRPr="008F5474">
        <w:rPr>
          <w:rFonts w:asciiTheme="minorBidi" w:hAnsiTheme="minorBidi"/>
          <w:color w:val="222222"/>
          <w:shd w:val="clear" w:color="auto" w:fill="FFFFFF"/>
        </w:rPr>
        <w:t>, </w:t>
      </w:r>
      <w:r w:rsidRPr="008F5474">
        <w:rPr>
          <w:rFonts w:asciiTheme="minorBidi" w:hAnsiTheme="minorBidi"/>
          <w:i/>
          <w:iCs/>
          <w:color w:val="222222"/>
          <w:shd w:val="clear" w:color="auto" w:fill="FFFFFF"/>
        </w:rPr>
        <w:t>17</w:t>
      </w:r>
      <w:r w:rsidRPr="008F5474">
        <w:rPr>
          <w:rFonts w:asciiTheme="minorBidi" w:hAnsiTheme="minorBidi"/>
          <w:color w:val="222222"/>
          <w:shd w:val="clear" w:color="auto" w:fill="FFFFFF"/>
        </w:rPr>
        <w:t>(2), p.e0263397.</w:t>
      </w:r>
    </w:p>
    <w:p w14:paraId="160F86A2"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Shahbodaghi, A., Moghaddasi, H., Asadi, F. and Hosseini, A., 2024. Documentation errors and deficiencies in medical records: a systematic review. </w:t>
      </w:r>
      <w:r w:rsidRPr="008F5474">
        <w:rPr>
          <w:rFonts w:asciiTheme="minorBidi" w:hAnsiTheme="minorBidi"/>
          <w:i/>
          <w:iCs/>
          <w:color w:val="222222"/>
          <w:shd w:val="clear" w:color="auto" w:fill="FFFFFF"/>
        </w:rPr>
        <w:t>Journal of Health Management</w:t>
      </w:r>
      <w:r w:rsidRPr="008F5474">
        <w:rPr>
          <w:rFonts w:asciiTheme="minorBidi" w:hAnsiTheme="minorBidi"/>
          <w:color w:val="222222"/>
          <w:shd w:val="clear" w:color="auto" w:fill="FFFFFF"/>
        </w:rPr>
        <w:t>, </w:t>
      </w:r>
      <w:r w:rsidRPr="008F5474">
        <w:rPr>
          <w:rFonts w:asciiTheme="minorBidi" w:hAnsiTheme="minorBidi"/>
          <w:i/>
          <w:iCs/>
          <w:color w:val="222222"/>
          <w:shd w:val="clear" w:color="auto" w:fill="FFFFFF"/>
        </w:rPr>
        <w:t>26</w:t>
      </w:r>
      <w:r w:rsidRPr="008F5474">
        <w:rPr>
          <w:rFonts w:asciiTheme="minorBidi" w:hAnsiTheme="minorBidi"/>
          <w:color w:val="222222"/>
          <w:shd w:val="clear" w:color="auto" w:fill="FFFFFF"/>
        </w:rPr>
        <w:t>(2), pp.351-368.</w:t>
      </w:r>
    </w:p>
    <w:p w14:paraId="6CACB2D1"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Šip, M., 2025. Communication as a tool in social work within an interdisciplinary approach to clients with health disabilities. </w:t>
      </w:r>
      <w:r w:rsidRPr="008F5474">
        <w:rPr>
          <w:rFonts w:asciiTheme="minorBidi" w:hAnsiTheme="minorBidi"/>
          <w:i/>
          <w:iCs/>
          <w:color w:val="222222"/>
          <w:shd w:val="clear" w:color="auto" w:fill="FFFFFF"/>
        </w:rPr>
        <w:t>Studia Socialia Cracoviensia</w:t>
      </w:r>
      <w:r w:rsidRPr="008F5474">
        <w:rPr>
          <w:rFonts w:asciiTheme="minorBidi" w:hAnsiTheme="minorBidi"/>
          <w:color w:val="222222"/>
          <w:shd w:val="clear" w:color="auto" w:fill="FFFFFF"/>
        </w:rPr>
        <w:t>, </w:t>
      </w:r>
      <w:r w:rsidRPr="008F5474">
        <w:rPr>
          <w:rFonts w:asciiTheme="minorBidi" w:hAnsiTheme="minorBidi"/>
          <w:i/>
          <w:iCs/>
          <w:color w:val="222222"/>
          <w:shd w:val="clear" w:color="auto" w:fill="FFFFFF"/>
        </w:rPr>
        <w:t>13</w:t>
      </w:r>
      <w:r w:rsidRPr="008F5474">
        <w:rPr>
          <w:rFonts w:asciiTheme="minorBidi" w:hAnsiTheme="minorBidi"/>
          <w:color w:val="222222"/>
          <w:shd w:val="clear" w:color="auto" w:fill="FFFFFF"/>
        </w:rPr>
        <w:t>(1), pp.37-58.</w:t>
      </w:r>
    </w:p>
    <w:p w14:paraId="3854DE15"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Sullivan, R., Harding, K., Skinner, I. and Hemsley, B., 2023. Falls in patients with communication disability secondary to stroke. </w:t>
      </w:r>
      <w:r w:rsidRPr="008F5474">
        <w:rPr>
          <w:rFonts w:asciiTheme="minorBidi" w:hAnsiTheme="minorBidi"/>
          <w:i/>
          <w:iCs/>
          <w:color w:val="222222"/>
          <w:shd w:val="clear" w:color="auto" w:fill="FFFFFF"/>
        </w:rPr>
        <w:t>Clinical nursing research</w:t>
      </w:r>
      <w:r w:rsidRPr="008F5474">
        <w:rPr>
          <w:rFonts w:asciiTheme="minorBidi" w:hAnsiTheme="minorBidi"/>
          <w:color w:val="222222"/>
          <w:shd w:val="clear" w:color="auto" w:fill="FFFFFF"/>
        </w:rPr>
        <w:t>, </w:t>
      </w:r>
      <w:r w:rsidRPr="008F5474">
        <w:rPr>
          <w:rFonts w:asciiTheme="minorBidi" w:hAnsiTheme="minorBidi"/>
          <w:i/>
          <w:iCs/>
          <w:color w:val="222222"/>
          <w:shd w:val="clear" w:color="auto" w:fill="FFFFFF"/>
        </w:rPr>
        <w:t>32</w:t>
      </w:r>
      <w:r w:rsidRPr="008F5474">
        <w:rPr>
          <w:rFonts w:asciiTheme="minorBidi" w:hAnsiTheme="minorBidi"/>
          <w:color w:val="222222"/>
          <w:shd w:val="clear" w:color="auto" w:fill="FFFFFF"/>
        </w:rPr>
        <w:t>(3), pp.478-489.</w:t>
      </w:r>
    </w:p>
    <w:p w14:paraId="2AD8A3AC" w14:textId="77777777" w:rsidR="00AF1D4B" w:rsidRPr="008F5474" w:rsidRDefault="00AF1D4B" w:rsidP="00AF1D4B">
      <w:pPr>
        <w:spacing w:after="0" w:line="360" w:lineRule="auto"/>
        <w:ind w:left="720" w:hanging="720"/>
        <w:jc w:val="both"/>
        <w:rPr>
          <w:rFonts w:asciiTheme="minorBidi" w:hAnsiTheme="minorBidi"/>
          <w:color w:val="222222"/>
          <w:shd w:val="clear" w:color="auto" w:fill="FFFFFF"/>
        </w:rPr>
      </w:pPr>
      <w:r w:rsidRPr="008F5474">
        <w:rPr>
          <w:rFonts w:asciiTheme="minorBidi" w:hAnsiTheme="minorBidi"/>
          <w:color w:val="222222"/>
          <w:shd w:val="clear" w:color="auto" w:fill="FFFFFF"/>
        </w:rPr>
        <w:t>Tiwary, A., Rimal, A., Paudyal, B., Sigdel, K.R. and Basnyat, B., 2019. Poor communication by health care professionals may lead to life-threatening complications: examples from two case reports. </w:t>
      </w:r>
      <w:r w:rsidRPr="008F5474">
        <w:rPr>
          <w:rFonts w:asciiTheme="minorBidi" w:hAnsiTheme="minorBidi"/>
          <w:i/>
          <w:iCs/>
          <w:color w:val="222222"/>
          <w:shd w:val="clear" w:color="auto" w:fill="FFFFFF"/>
        </w:rPr>
        <w:t>Wellcome open research</w:t>
      </w:r>
      <w:r w:rsidRPr="008F5474">
        <w:rPr>
          <w:rFonts w:asciiTheme="minorBidi" w:hAnsiTheme="minorBidi"/>
          <w:color w:val="222222"/>
          <w:shd w:val="clear" w:color="auto" w:fill="FFFFFF"/>
        </w:rPr>
        <w:t>, </w:t>
      </w:r>
      <w:r w:rsidRPr="008F5474">
        <w:rPr>
          <w:rFonts w:asciiTheme="minorBidi" w:hAnsiTheme="minorBidi"/>
          <w:i/>
          <w:iCs/>
          <w:color w:val="222222"/>
          <w:shd w:val="clear" w:color="auto" w:fill="FFFFFF"/>
        </w:rPr>
        <w:t>4</w:t>
      </w:r>
      <w:r w:rsidRPr="008F5474">
        <w:rPr>
          <w:rFonts w:asciiTheme="minorBidi" w:hAnsiTheme="minorBidi"/>
          <w:color w:val="222222"/>
          <w:shd w:val="clear" w:color="auto" w:fill="FFFFFF"/>
        </w:rPr>
        <w:t>, p.7.</w:t>
      </w:r>
    </w:p>
    <w:p w14:paraId="540BC15E"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6842FC">
        <w:rPr>
          <w:rFonts w:asciiTheme="minorBidi" w:eastAsia="Times New Roman" w:hAnsiTheme="minorBidi"/>
          <w:color w:val="000000"/>
        </w:rPr>
        <w:t>UK Government (2020). </w:t>
      </w:r>
      <w:r w:rsidRPr="006842FC">
        <w:rPr>
          <w:rFonts w:asciiTheme="minorBidi" w:eastAsia="Times New Roman" w:hAnsiTheme="minorBidi"/>
          <w:i/>
          <w:iCs/>
          <w:color w:val="000000"/>
        </w:rPr>
        <w:t>The Caldicott Principles</w:t>
      </w:r>
      <w:r w:rsidRPr="006842FC">
        <w:rPr>
          <w:rFonts w:asciiTheme="minorBidi" w:eastAsia="Times New Roman" w:hAnsiTheme="minorBidi"/>
          <w:color w:val="000000"/>
        </w:rPr>
        <w:t xml:space="preserve">. [online] GOV.UK. Available at: </w:t>
      </w:r>
      <w:hyperlink r:id="rId11" w:history="1">
        <w:r w:rsidRPr="008F5474">
          <w:rPr>
            <w:rStyle w:val="Hyperlink"/>
            <w:rFonts w:asciiTheme="minorBidi" w:eastAsia="Times New Roman" w:hAnsiTheme="minorBidi"/>
          </w:rPr>
          <w:t>https://www.gov.uk/government/publications/the-caldicott-principles</w:t>
        </w:r>
      </w:hyperlink>
      <w:r w:rsidRPr="006842FC">
        <w:rPr>
          <w:rFonts w:asciiTheme="minorBidi" w:eastAsia="Times New Roman" w:hAnsiTheme="minorBidi"/>
          <w:color w:val="000000"/>
        </w:rPr>
        <w:t>.</w:t>
      </w:r>
    </w:p>
    <w:p w14:paraId="620622B7"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8F5474">
        <w:rPr>
          <w:rFonts w:asciiTheme="minorBidi" w:hAnsiTheme="minorBidi"/>
          <w:color w:val="222222"/>
          <w:shd w:val="clear" w:color="auto" w:fill="FFFFFF"/>
        </w:rPr>
        <w:t>UK, N.G.C., 2021. Multidisciplinary care.</w:t>
      </w:r>
    </w:p>
    <w:p w14:paraId="206EB214"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6842FC">
        <w:rPr>
          <w:rFonts w:asciiTheme="minorBidi" w:eastAsia="Times New Roman" w:hAnsiTheme="minorBidi"/>
          <w:color w:val="000000"/>
        </w:rPr>
        <w:t>Wake, N. (2019). </w:t>
      </w:r>
      <w:r w:rsidRPr="006842FC">
        <w:rPr>
          <w:rFonts w:asciiTheme="minorBidi" w:eastAsia="Times New Roman" w:hAnsiTheme="minorBidi"/>
          <w:i/>
          <w:iCs/>
          <w:color w:val="000000"/>
        </w:rPr>
        <w:t>How to investigate and manage a medication incident</w:t>
      </w:r>
      <w:r w:rsidRPr="006842FC">
        <w:rPr>
          <w:rFonts w:asciiTheme="minorBidi" w:eastAsia="Times New Roman" w:hAnsiTheme="minorBidi"/>
          <w:color w:val="000000"/>
        </w:rPr>
        <w:t xml:space="preserve">. [online] The Pharmaceutical Journal. Available at: </w:t>
      </w:r>
      <w:hyperlink r:id="rId12" w:history="1">
        <w:r w:rsidRPr="008F5474">
          <w:rPr>
            <w:rStyle w:val="Hyperlink"/>
            <w:rFonts w:asciiTheme="minorBidi" w:eastAsia="Times New Roman" w:hAnsiTheme="minorBidi"/>
          </w:rPr>
          <w:t>https://pharmaceutical-journal.com/article/ld/how-to-investigate-and-manage-a-medication-incident</w:t>
        </w:r>
      </w:hyperlink>
      <w:r w:rsidRPr="006842FC">
        <w:rPr>
          <w:rFonts w:asciiTheme="minorBidi" w:eastAsia="Times New Roman" w:hAnsiTheme="minorBidi"/>
          <w:color w:val="000000"/>
        </w:rPr>
        <w:t>.</w:t>
      </w:r>
    </w:p>
    <w:p w14:paraId="51B27CCF" w14:textId="77777777" w:rsidR="00AF1D4B" w:rsidRPr="008F5474" w:rsidRDefault="00AF1D4B" w:rsidP="00AF1D4B">
      <w:pPr>
        <w:spacing w:after="0" w:line="360" w:lineRule="auto"/>
        <w:ind w:left="720" w:hanging="720"/>
        <w:jc w:val="both"/>
        <w:rPr>
          <w:rFonts w:asciiTheme="minorBidi" w:eastAsia="Times New Roman" w:hAnsiTheme="minorBidi"/>
          <w:color w:val="000000"/>
        </w:rPr>
      </w:pPr>
      <w:r w:rsidRPr="008F5474">
        <w:rPr>
          <w:rFonts w:asciiTheme="minorBidi" w:eastAsia="Times New Roman" w:hAnsiTheme="minorBidi"/>
          <w:color w:val="000000"/>
        </w:rPr>
        <w:t>World Stroke Organization. (2021</w:t>
      </w:r>
      <w:r w:rsidRPr="00D13CE2">
        <w:rPr>
          <w:rFonts w:asciiTheme="minorBidi" w:eastAsia="Times New Roman" w:hAnsiTheme="minorBidi"/>
          <w:color w:val="000000"/>
        </w:rPr>
        <w:t>). </w:t>
      </w:r>
      <w:r w:rsidRPr="00D13CE2">
        <w:rPr>
          <w:rFonts w:asciiTheme="minorBidi" w:eastAsia="Times New Roman" w:hAnsiTheme="minorBidi"/>
          <w:i/>
          <w:iCs/>
          <w:color w:val="000000"/>
        </w:rPr>
        <w:t>Stroke survivors in the United Kingdom shape stroke research to rebuild lives</w:t>
      </w:r>
      <w:r w:rsidRPr="00D13CE2">
        <w:rPr>
          <w:rFonts w:asciiTheme="minorBidi" w:eastAsia="Times New Roman" w:hAnsiTheme="minorBidi"/>
          <w:color w:val="000000"/>
        </w:rPr>
        <w:t xml:space="preserve">. [online] Available at: </w:t>
      </w:r>
      <w:hyperlink r:id="rId13" w:history="1">
        <w:r w:rsidRPr="008F5474">
          <w:rPr>
            <w:rStyle w:val="Hyperlink"/>
            <w:rFonts w:asciiTheme="minorBidi" w:eastAsia="Times New Roman" w:hAnsiTheme="minorBidi"/>
          </w:rPr>
          <w:t>https://www.world-stroke.org/news-and-blog/blogs/stroke-survivors-in-the-united-kingdom-shape-stroke-research-to-rebuild-lives</w:t>
        </w:r>
      </w:hyperlink>
      <w:r w:rsidRPr="00D13CE2">
        <w:rPr>
          <w:rFonts w:asciiTheme="minorBidi" w:eastAsia="Times New Roman" w:hAnsiTheme="minorBidi"/>
          <w:color w:val="000000"/>
        </w:rPr>
        <w:t>.</w:t>
      </w:r>
    </w:p>
    <w:p w14:paraId="3E91C380" w14:textId="77777777" w:rsidR="00AF1D4B" w:rsidRPr="00AF1D4B" w:rsidRDefault="00AF1D4B" w:rsidP="00AF1D4B"/>
    <w:sectPr w:rsidR="00AF1D4B" w:rsidRPr="00AF1D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B0A"/>
    <w:rsid w:val="000175F6"/>
    <w:rsid w:val="002E334D"/>
    <w:rsid w:val="00331F43"/>
    <w:rsid w:val="005420AC"/>
    <w:rsid w:val="00654D3C"/>
    <w:rsid w:val="00715E59"/>
    <w:rsid w:val="007A2793"/>
    <w:rsid w:val="008276F1"/>
    <w:rsid w:val="00841179"/>
    <w:rsid w:val="00863660"/>
    <w:rsid w:val="00A36B0A"/>
    <w:rsid w:val="00AF1D4B"/>
    <w:rsid w:val="00C654E5"/>
    <w:rsid w:val="00CB666A"/>
    <w:rsid w:val="00EA296A"/>
    <w:rsid w:val="00F11BA4"/>
    <w:rsid w:val="00F81B76"/>
    <w:rsid w:val="00FE100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9A267"/>
  <w15:chartTrackingRefBased/>
  <w15:docId w15:val="{93900C06-CE91-4A15-95E8-1893A4118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9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296A"/>
    <w:pPr>
      <w:outlineLvl w:val="9"/>
    </w:pPr>
  </w:style>
  <w:style w:type="paragraph" w:styleId="TOC1">
    <w:name w:val="toc 1"/>
    <w:basedOn w:val="Normal"/>
    <w:next w:val="Normal"/>
    <w:autoRedefine/>
    <w:uiPriority w:val="39"/>
    <w:unhideWhenUsed/>
    <w:rsid w:val="00EA296A"/>
    <w:pPr>
      <w:spacing w:after="100"/>
    </w:pPr>
  </w:style>
  <w:style w:type="character" w:styleId="Hyperlink">
    <w:name w:val="Hyperlink"/>
    <w:basedOn w:val="DefaultParagraphFont"/>
    <w:uiPriority w:val="99"/>
    <w:unhideWhenUsed/>
    <w:rsid w:val="00EA29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 /><Relationship Id="rId13" Type="http://schemas.openxmlformats.org/officeDocument/2006/relationships/hyperlink" Target="https://www.world-stroke.org/news-and-blog/blogs/stroke-survivors-in-the-united-kingdom-shape-stroke-research-to-rebuild-lives" TargetMode="External" /><Relationship Id="rId3" Type="http://schemas.openxmlformats.org/officeDocument/2006/relationships/settings" Target="settings.xml" /><Relationship Id="rId7" Type="http://schemas.openxmlformats.org/officeDocument/2006/relationships/hyperlink" Target="https://www.legislation.gov.uk/ukpga/2010/15/contents" TargetMode="External" /><Relationship Id="rId12" Type="http://schemas.openxmlformats.org/officeDocument/2006/relationships/hyperlink" Target="https://pharmaceutical-journal.com/article/ld/how-to-investigate-and-manage-a-medication-incident"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www.dpocentre.com/blog/the-data-protection-act-2018-the-7-principles-of-the-gdpr/" TargetMode="External" /><Relationship Id="rId11" Type="http://schemas.openxmlformats.org/officeDocument/2006/relationships/hyperlink" Target="https://www.gov.uk/government/publications/the-caldicott-principles" TargetMode="External" /><Relationship Id="rId5" Type="http://schemas.openxmlformats.org/officeDocument/2006/relationships/hyperlink" Target="https://www.gov.uk/government/organisations/department-of-health-and-social-care" TargetMode="External" /><Relationship Id="rId15" Type="http://schemas.openxmlformats.org/officeDocument/2006/relationships/theme" Target="theme/theme1.xml" /><Relationship Id="rId10" Type="http://schemas.openxmlformats.org/officeDocument/2006/relationships/hyperlink" Target="https://www.gov.uk/government/news/faster-care-for-thousands-thanks-to-nhs-use-of-independent-sector" TargetMode="External" /><Relationship Id="rId4" Type="http://schemas.openxmlformats.org/officeDocument/2006/relationships/webSettings" Target="webSettings.xml" /><Relationship Id="rId9" Type="http://schemas.openxmlformats.org/officeDocument/2006/relationships/hyperlink" Target="https://www.legislation.gov.uk/ukpga/2018/12/content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54E659-AE23-4BCD-8D57-D961B7C915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2576</Words>
  <Characters>14688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cami sandu</cp:lastModifiedBy>
  <cp:revision>2</cp:revision>
  <dcterms:created xsi:type="dcterms:W3CDTF">2026-03-21T21:27:00Z</dcterms:created>
  <dcterms:modified xsi:type="dcterms:W3CDTF">2026-03-21T21:27:00Z</dcterms:modified>
</cp:coreProperties>
</file>