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F78E46" w14:textId="77777777" w:rsidR="00061C7B" w:rsidRDefault="00061C7B" w:rsidP="00061C7B">
      <w:pPr>
        <w:jc w:val="center"/>
        <w:rPr>
          <w:rFonts w:cs="Times New Roman"/>
          <w:b/>
          <w:sz w:val="40"/>
          <w:szCs w:val="20"/>
        </w:rPr>
      </w:pPr>
      <w:r>
        <w:rPr>
          <w:rFonts w:cs="Times New Roman"/>
          <w:b/>
          <w:noProof/>
        </w:rPr>
        <w:drawing>
          <wp:inline distT="0" distB="0" distL="0" distR="0" wp14:anchorId="4B6667D4" wp14:editId="32AA110D">
            <wp:extent cx="2501900" cy="825500"/>
            <wp:effectExtent l="0" t="0" r="0" b="0"/>
            <wp:docPr id="11697221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3E19D84A" w14:textId="77777777" w:rsidR="00061C7B" w:rsidRDefault="00061C7B" w:rsidP="00061C7B">
      <w:pPr>
        <w:spacing w:after="120"/>
        <w:jc w:val="center"/>
        <w:rPr>
          <w:rFonts w:cs="Arial"/>
          <w:b/>
          <w:bCs/>
          <w:i/>
          <w:iCs/>
          <w:noProof/>
          <w:sz w:val="32"/>
          <w:szCs w:val="32"/>
        </w:rPr>
      </w:pPr>
    </w:p>
    <w:p w14:paraId="7ED2F7A9" w14:textId="144E3AEB" w:rsidR="00061C7B" w:rsidRPr="00061C7B" w:rsidRDefault="00061C7B" w:rsidP="00061C7B">
      <w:pPr>
        <w:spacing w:after="120"/>
        <w:jc w:val="center"/>
        <w:rPr>
          <w:b/>
          <w:bCs/>
          <w:sz w:val="32"/>
          <w:szCs w:val="32"/>
        </w:rPr>
      </w:pPr>
      <w:r w:rsidRPr="00061C7B">
        <w:rPr>
          <w:b/>
          <w:bCs/>
          <w:sz w:val="32"/>
          <w:szCs w:val="32"/>
        </w:rPr>
        <w:t>The role of Corporate social responsibility (CSR) in promoting sustainability within the hospitality industry (Hilton)</w:t>
      </w:r>
    </w:p>
    <w:p w14:paraId="10FEFD77" w14:textId="77777777" w:rsidR="00061C7B" w:rsidRDefault="00061C7B" w:rsidP="00061C7B">
      <w:pPr>
        <w:spacing w:after="120"/>
        <w:jc w:val="center"/>
        <w:rPr>
          <w:rFonts w:cs="Times New Roman"/>
          <w:b/>
          <w:bCs/>
          <w:sz w:val="16"/>
          <w:szCs w:val="14"/>
        </w:rPr>
      </w:pPr>
    </w:p>
    <w:p w14:paraId="7E740D2C" w14:textId="77777777" w:rsidR="00061C7B" w:rsidRDefault="00061C7B" w:rsidP="00061C7B">
      <w:pPr>
        <w:spacing w:after="120"/>
        <w:jc w:val="center"/>
        <w:rPr>
          <w:noProof/>
        </w:rPr>
      </w:pPr>
      <w:r>
        <w:rPr>
          <w:rFonts w:cs="Times New Roman"/>
          <w:b/>
          <w:sz w:val="32"/>
          <w:szCs w:val="10"/>
        </w:rPr>
        <w:t xml:space="preserve">Module Name </w:t>
      </w:r>
    </w:p>
    <w:p w14:paraId="452A4340" w14:textId="24F5765D" w:rsidR="00061C7B" w:rsidRDefault="00061C7B" w:rsidP="00061C7B">
      <w:pPr>
        <w:spacing w:after="120"/>
        <w:jc w:val="center"/>
        <w:rPr>
          <w:rFonts w:cs="Times New Roman"/>
          <w:sz w:val="28"/>
          <w:szCs w:val="28"/>
        </w:rPr>
      </w:pPr>
      <w:r>
        <w:rPr>
          <w:rFonts w:cs="Arial"/>
          <w:sz w:val="28"/>
          <w:szCs w:val="28"/>
        </w:rPr>
        <w:t>Sustainable Hospitality &amp; Tourism Management</w:t>
      </w:r>
      <w:r>
        <w:rPr>
          <w:rFonts w:cs="Arial"/>
          <w:i/>
          <w:iCs/>
          <w:sz w:val="28"/>
          <w:szCs w:val="28"/>
        </w:rPr>
        <w:t xml:space="preserve"> (BMIH5006</w:t>
      </w:r>
      <w:r w:rsidR="00EF2FF9">
        <w:rPr>
          <w:rFonts w:cs="Arial"/>
          <w:i/>
          <w:iCs/>
          <w:sz w:val="28"/>
          <w:szCs w:val="28"/>
        </w:rPr>
        <w:t>)</w:t>
      </w:r>
    </w:p>
    <w:p w14:paraId="0162C83E" w14:textId="77777777" w:rsidR="00061C7B" w:rsidRDefault="00061C7B" w:rsidP="00061C7B">
      <w:pPr>
        <w:jc w:val="center"/>
        <w:rPr>
          <w:rFonts w:cs="Times New Roman"/>
          <w:b/>
          <w:bCs/>
          <w:sz w:val="18"/>
          <w:szCs w:val="16"/>
        </w:rPr>
      </w:pPr>
    </w:p>
    <w:p w14:paraId="396D43AB" w14:textId="6AA1D336" w:rsidR="00245BCB" w:rsidRDefault="00245BCB" w:rsidP="00061C7B">
      <w:pPr>
        <w:jc w:val="center"/>
        <w:rPr>
          <w:rFonts w:cs="Times New Roman"/>
          <w:b/>
          <w:bCs/>
          <w:sz w:val="18"/>
          <w:szCs w:val="16"/>
        </w:rPr>
      </w:pPr>
    </w:p>
    <w:p w14:paraId="1E5A4876" w14:textId="49FE004D" w:rsidR="004F013E" w:rsidRPr="004F013E" w:rsidRDefault="00061C7B" w:rsidP="004F013E">
      <w:pPr>
        <w:jc w:val="center"/>
        <w:rPr>
          <w:rFonts w:cs="Arial"/>
          <w:b/>
          <w:bCs/>
          <w:sz w:val="32"/>
          <w:szCs w:val="32"/>
        </w:rPr>
      </w:pPr>
      <w:r w:rsidRPr="004F013E">
        <w:rPr>
          <w:rFonts w:cs="Times New Roman"/>
          <w:b/>
          <w:bCs/>
          <w:sz w:val="32"/>
          <w:szCs w:val="32"/>
        </w:rPr>
        <w:t>Lecturer’s Name</w:t>
      </w:r>
      <w:r w:rsidR="00EF2FF9">
        <w:rPr>
          <w:rFonts w:cs="Times New Roman"/>
          <w:b/>
          <w:bCs/>
          <w:sz w:val="32"/>
          <w:szCs w:val="32"/>
        </w:rPr>
        <w:t>:</w:t>
      </w:r>
      <w:r w:rsidR="004F013E" w:rsidRPr="004F013E">
        <w:rPr>
          <w:rFonts w:cs="Times New Roman"/>
          <w:b/>
          <w:bCs/>
          <w:sz w:val="32"/>
          <w:szCs w:val="32"/>
        </w:rPr>
        <w:t xml:space="preserve"> </w:t>
      </w:r>
      <w:r w:rsidR="004F013E" w:rsidRPr="004F013E">
        <w:rPr>
          <w:rFonts w:cs="Arial"/>
          <w:b/>
          <w:bCs/>
          <w:sz w:val="32"/>
          <w:szCs w:val="32"/>
        </w:rPr>
        <w:t>Huw Thomas</w:t>
      </w:r>
    </w:p>
    <w:p w14:paraId="72D275B6" w14:textId="089A8B19" w:rsidR="00061C7B" w:rsidRPr="004F013E" w:rsidRDefault="00061C7B" w:rsidP="004F013E">
      <w:pPr>
        <w:spacing w:after="120"/>
        <w:jc w:val="center"/>
        <w:rPr>
          <w:rFonts w:cs="Times New Roman"/>
          <w:b/>
          <w:bCs/>
          <w:sz w:val="32"/>
          <w:szCs w:val="30"/>
        </w:rPr>
      </w:pPr>
    </w:p>
    <w:p w14:paraId="0EFAC7EC" w14:textId="77777777" w:rsidR="00061C7B" w:rsidRDefault="00061C7B" w:rsidP="00061C7B">
      <w:pPr>
        <w:jc w:val="center"/>
        <w:rPr>
          <w:rFonts w:cs="Times New Roman"/>
          <w:b/>
          <w:sz w:val="16"/>
          <w:szCs w:val="2"/>
        </w:rPr>
      </w:pPr>
    </w:p>
    <w:p w14:paraId="54C00B91" w14:textId="77777777" w:rsidR="00245BCB" w:rsidRDefault="00245BCB" w:rsidP="00061C7B">
      <w:pPr>
        <w:jc w:val="center"/>
        <w:rPr>
          <w:rFonts w:cs="Times New Roman"/>
          <w:b/>
          <w:sz w:val="16"/>
          <w:szCs w:val="2"/>
        </w:rPr>
      </w:pPr>
    </w:p>
    <w:p w14:paraId="45D46580" w14:textId="77777777" w:rsidR="00061C7B" w:rsidRDefault="00061C7B" w:rsidP="00061C7B">
      <w:pPr>
        <w:spacing w:after="120"/>
        <w:jc w:val="center"/>
        <w:rPr>
          <w:rFonts w:cs="Times New Roman"/>
          <w:b/>
          <w:noProof/>
          <w:sz w:val="32"/>
          <w:szCs w:val="10"/>
        </w:rPr>
      </w:pPr>
      <w:r>
        <w:rPr>
          <w:rFonts w:cs="Times New Roman"/>
          <w:b/>
          <w:sz w:val="32"/>
          <w:szCs w:val="10"/>
        </w:rPr>
        <w:t>Prepared by</w:t>
      </w:r>
    </w:p>
    <w:p w14:paraId="3E94E17B" w14:textId="77777777" w:rsidR="00061C7B" w:rsidRDefault="00061C7B" w:rsidP="00061C7B">
      <w:pPr>
        <w:spacing w:after="120"/>
        <w:jc w:val="center"/>
        <w:rPr>
          <w:rFonts w:cs="Arial"/>
          <w:sz w:val="28"/>
        </w:rPr>
      </w:pPr>
      <w:r w:rsidRPr="00FF1CF3">
        <w:rPr>
          <w:rFonts w:cs="Arial"/>
          <w:sz w:val="28"/>
        </w:rPr>
        <w:t>Showkoth Choudhoury</w:t>
      </w:r>
    </w:p>
    <w:p w14:paraId="709B025F" w14:textId="77777777" w:rsidR="00061C7B" w:rsidRDefault="00061C7B" w:rsidP="00061C7B">
      <w:pPr>
        <w:spacing w:after="120"/>
        <w:jc w:val="center"/>
        <w:rPr>
          <w:rFonts w:cs="Arial"/>
          <w:sz w:val="28"/>
        </w:rPr>
      </w:pPr>
      <w:r>
        <w:rPr>
          <w:rFonts w:cs="Arial"/>
          <w:sz w:val="28"/>
        </w:rPr>
        <w:t>Student ID: 2208181</w:t>
      </w:r>
    </w:p>
    <w:p w14:paraId="3CD611CD" w14:textId="77777777" w:rsidR="00061C7B" w:rsidRDefault="00061C7B" w:rsidP="00061C7B">
      <w:pPr>
        <w:jc w:val="center"/>
        <w:rPr>
          <w:b/>
          <w:bCs/>
          <w:sz w:val="16"/>
          <w:szCs w:val="14"/>
        </w:rPr>
      </w:pPr>
    </w:p>
    <w:p w14:paraId="20EBFC7D" w14:textId="77777777" w:rsidR="00245BCB" w:rsidRDefault="00245BCB" w:rsidP="00061C7B">
      <w:pPr>
        <w:jc w:val="center"/>
        <w:rPr>
          <w:b/>
          <w:bCs/>
          <w:sz w:val="16"/>
          <w:szCs w:val="14"/>
        </w:rPr>
      </w:pPr>
    </w:p>
    <w:p w14:paraId="7B75B0EC" w14:textId="77777777" w:rsidR="00061C7B" w:rsidRDefault="00061C7B" w:rsidP="00061C7B">
      <w:pPr>
        <w:spacing w:after="0"/>
        <w:jc w:val="center"/>
        <w:rPr>
          <w:b/>
          <w:bCs/>
          <w:noProof/>
          <w:sz w:val="32"/>
          <w:szCs w:val="30"/>
        </w:rPr>
      </w:pPr>
      <w:r>
        <w:rPr>
          <w:b/>
          <w:bCs/>
          <w:sz w:val="32"/>
          <w:szCs w:val="30"/>
        </w:rPr>
        <w:t>Word Count</w:t>
      </w:r>
    </w:p>
    <w:p w14:paraId="6D114A90" w14:textId="14ACCBB8" w:rsidR="00061C7B" w:rsidRPr="005A7422" w:rsidRDefault="00061C7B" w:rsidP="00061C7B">
      <w:pPr>
        <w:jc w:val="center"/>
        <w:rPr>
          <w:rFonts w:cs="Arial"/>
          <w:noProof/>
          <w:color w:val="000000" w:themeColor="text1"/>
        </w:rPr>
      </w:pPr>
      <w:r>
        <w:rPr>
          <w:sz w:val="28"/>
          <w:szCs w:val="26"/>
        </w:rPr>
        <w:t>2164 words</w:t>
      </w:r>
    </w:p>
    <w:p w14:paraId="6B5D3A35" w14:textId="77777777" w:rsidR="00061C7B" w:rsidRDefault="00061C7B" w:rsidP="00A818AC"/>
    <w:p w14:paraId="6EA7C952" w14:textId="77777777" w:rsidR="00061C7B" w:rsidRDefault="00061C7B" w:rsidP="00A818AC"/>
    <w:p w14:paraId="6B96C0D0" w14:textId="77777777" w:rsidR="00061C7B" w:rsidRDefault="00061C7B" w:rsidP="00A818AC"/>
    <w:p w14:paraId="51D85F85" w14:textId="0308D8EC" w:rsidR="00441142" w:rsidRDefault="00441142" w:rsidP="00A818AC">
      <w:r w:rsidRPr="00441142">
        <w:lastRenderedPageBreak/>
        <w:t xml:space="preserve">The hotel industry must give corporate social responsibility (CSR) top attention if it is to experience long-term expansion, sound environmental management, and beneficial social effects (Yousaf et al., 2021). Leading in CSR and sustainability has been the well-known hotel operator Hilton Hotels &amp; Resorts (Tourism for Hospitality, 2018). The corporate social responsibility initiatives of Hilton assist the hospitality industry in becoming more ecologically friendly, as this </w:t>
      </w:r>
      <w:r w:rsidR="0078577D">
        <w:t>essay</w:t>
      </w:r>
      <w:r w:rsidRPr="00441142">
        <w:t xml:space="preserve"> demonstrates. The strategic use of the Triple Bottom Line (TBL) framework, adherence to the Sustainable Development Goals (SDGs), adoption of Natural Capitalism, and application of the sustainability pillars of circular thinking by Hilton will be examined in this </w:t>
      </w:r>
      <w:r w:rsidR="00C64C2F">
        <w:t>essay</w:t>
      </w:r>
      <w:r w:rsidRPr="00441142">
        <w:t xml:space="preserve">. The advantages and disadvantages of tight CSR regulations being implemented by a well-known international hotel chain are examined in this essay. </w:t>
      </w:r>
    </w:p>
    <w:p w14:paraId="30503F0E" w14:textId="74D5447C" w:rsidR="00A818AC" w:rsidRDefault="00A818AC" w:rsidP="00A818AC">
      <w:r>
        <w:t>Environmental and social sustainability, as well as making money, rely on CSR in the hospitality industry (Font and Lynes, 2018). Using the "Triple Bottom Line (TBL)" structure for CSR in the hospitality industry is very useful. It looks at success in three areas: society, the environment, and money (Srivastava, Dixit, and Srivastava, 2022). This method encourages businesses to put environmental and social issues ahead of making money, which is good for sustainability. Hilton Hotels &amp; Resorts, a world leader in the hospitality industry, has purposely built the TBL framework into its operations to show that it is committed to sustainability and doing business in an honest way (Tourism for Hospitality, 2018). Hilton tries to improve the "three Ps" of TBL—the environment, society, and financial performance—through its many CSR projects (Zientara et al., 2020).</w:t>
      </w:r>
    </w:p>
    <w:p w14:paraId="51CA67EA" w14:textId="01B63B30" w:rsidR="00A818AC" w:rsidRDefault="00A818AC" w:rsidP="00A818AC">
      <w:r>
        <w:t>Hilton has lowered running costs and raised productivity by using TBL strategies. The Hilton Foundation (2024) says that LightStay, the company's internal platform for measuring corporate responsibility, helps hotels track, analyze, and report how much energy, water, and trash they use. This plan has helped the company use less energy and leave less of an impact on the environment (Haski-Leventhal, 2018). Through cutting down on waste and energy use, Hilton saves money in the long run.</w:t>
      </w:r>
      <w:r w:rsidR="0078577D">
        <w:t xml:space="preserve"> </w:t>
      </w:r>
      <w:r w:rsidR="00440A43">
        <w:t xml:space="preserve">Furthermore, </w:t>
      </w:r>
      <w:r>
        <w:t>Hilton's TBL plan includes both training employees and getting involved in the community. The company's "Travel with Purpose" program promotes cultural heritage, community involvement, and overall well-being (Hilton Foundation, 2024) — it changes the way sustainable travel is thought of. Hilton's work with veterans and young people has big positive effects on the areas where it does business (Zientara et al., 2020). By making the workplace welcoming and open to everyone, Hilton increases employee engagement and the brand's reputation.</w:t>
      </w:r>
    </w:p>
    <w:p w14:paraId="6B349FF7" w14:textId="5E95F4EE" w:rsidR="00A818AC" w:rsidRDefault="00A818AC" w:rsidP="00A818AC">
      <w:r>
        <w:lastRenderedPageBreak/>
        <w:t>Hilton wants to cut its environmental impact in half by 2030</w:t>
      </w:r>
      <w:r w:rsidR="00441142">
        <w:t xml:space="preserve"> (Hilton, 2024)</w:t>
      </w:r>
      <w:r>
        <w:t>. This goal, which is in line with the Paris Agreement, lowers carbon pollution and water use. Hilton started a soap recycling program to cut down on waste and give sanitation goods to areas that need them (Zientara et al., 2020). Renewable energy is invested in by the group, and it uses less plastic.</w:t>
      </w:r>
      <w:r w:rsidR="00441142">
        <w:t xml:space="preserve"> </w:t>
      </w:r>
      <w:r>
        <w:t>Hilton's TBL-aligned CSR efforts are very important. Cutting costs and managing resources well have made the brand more profitable and built trust among stakeholders. Hilton has improved community relations and employee happiness by getting employees more involved and reducing turnover (Tourism for Hospitality, 2018). Hilton has become a leader in sustainable hospitality by taking steps to reduce its effect on the environment.</w:t>
      </w:r>
      <w:r w:rsidR="00441142">
        <w:t xml:space="preserve"> </w:t>
      </w:r>
      <w:r>
        <w:t>By incorporating the Triple Bottom Line concept into its core business activities, Hilton sets a standard in the hospitality industry (Matteucci, 2020). Hilton's wide use of TBL shows that the company is committed to doing business in an honest way and shows how combined CSR policies can help the sector.</w:t>
      </w:r>
    </w:p>
    <w:p w14:paraId="2E01EDD0" w14:textId="186CC7EF" w:rsidR="00A818AC" w:rsidRDefault="00A818AC" w:rsidP="00A818AC">
      <w:r>
        <w:t>The Sustainable Development Goals (SDGs) set by the UN are a plan for a better and more stable future for everyone (Haski-Leventhal, 2018). Some of the world problems they work to solve are poverty, inequality, climate change, environmental damage, peace, and justice (Menton et al., 2020). In the hotel industry, corporate social responsibility (CSR) projects should focus on preserving the environment, helping people, and long-term economic growth (Sloan, Legrand, and Chen, 2017).</w:t>
      </w:r>
      <w:r w:rsidR="00441142">
        <w:t xml:space="preserve"> </w:t>
      </w:r>
      <w:r>
        <w:t>Intentionally aligning its CSR efforts with a number of SDGs that coincide with the operational and ethical imperatives of the hospitality industry, Hilton Hotels &amp; Resorts has done so (Hilton Foundation, 2024). In order, SDG 13 is about taking action on climate change, SDG 6 is about clean water and sanitation, SDG 7 is about affordable and clean energy, SDG 8 is about decent work and economic growth, and SDG 12 is about responsible production and consumption. Each goal is an important part of Hilton's business and environmental plans.</w:t>
      </w:r>
      <w:r w:rsidR="0078577D">
        <w:t xml:space="preserve"> </w:t>
      </w:r>
      <w:r>
        <w:t>The Hilton Foundation (2024) has put a lot of money into water management, which is linked to SDG 6: Clean Water and Sanitation. Hilton uses tools and methods to save water all over the world (Vlasceanu, Tenie</w:t>
      </w:r>
      <w:r w:rsidR="00AF2E02">
        <w:t xml:space="preserve"> and</w:t>
      </w:r>
      <w:r>
        <w:t xml:space="preserve"> Crismariu, 2020). The company saves water by recycling it and installing low-flow showers and taps (Hilton, 2022b). These steps help the environment and save water by lowering the stress on the local water supply.</w:t>
      </w:r>
    </w:p>
    <w:p w14:paraId="5CA29D26" w14:textId="2FEFF96A" w:rsidR="00A818AC" w:rsidRDefault="00A818AC" w:rsidP="00A818AC">
      <w:r>
        <w:t xml:space="preserve">Keyhani et al. (2024) say that Hilton helps reach SDG 7 (Affordable and Clean Energy) by using more green energy and using less energy overall. This dedication is shown by putting in place energy-saving systems and tools, LED lighting in hotels, and projects that use renewable </w:t>
      </w:r>
      <w:r>
        <w:lastRenderedPageBreak/>
        <w:t>energy (Zientara et al., 2020). Hilton buys Renewable Energy Certificates (RECs) to support the production of renewable energy (Hilton, 2024).</w:t>
      </w:r>
      <w:r w:rsidR="00441142">
        <w:t xml:space="preserve"> Moreover, </w:t>
      </w:r>
      <w:r>
        <w:t>Hilton works to promote equality, diversity, and career growth in the workplace, which helps reach SDG 8: Decent Work and Economic Progress (Matteucci, 2020). Through programs for hiring young people and integrating veterans, the company gets skilled workers as part of its business plan (Vlasceanu, Tenie</w:t>
      </w:r>
      <w:r w:rsidR="00AF2E02">
        <w:t xml:space="preserve"> and</w:t>
      </w:r>
      <w:r>
        <w:t xml:space="preserve"> Crismariu, 2020). Hilton gives local and minority-owned businesses more attention when it comes to buying things. This is done to help the economy.</w:t>
      </w:r>
    </w:p>
    <w:p w14:paraId="1D7956DC" w14:textId="0CB24178" w:rsidR="00A818AC" w:rsidRDefault="00A818AC" w:rsidP="00A818AC">
      <w:r>
        <w:t>The Hilton Foundation (2024) says that the "Travel with Purpose" program, which promotes sustainable production and consumption, shows how committed Hilton is to SDG 12: "Responsible Consumption and Production." A careful buying strategy, giving priority to ethical vegetables and sustainable seafood in the facilities, and working with food rescue groups all help cut down on food waste.</w:t>
      </w:r>
      <w:r w:rsidR="00441142">
        <w:t xml:space="preserve"> </w:t>
      </w:r>
      <w:r>
        <w:t>SDG 13 is in line with Hilton's plan to cut its damage to the environment in half by 2030 (Tourism for Hospitality, 2018). This big goal is supported by programs that make use of energy more efficiently, lower greenhouse gas emissions, and push for sustainability in all activities.</w:t>
      </w:r>
    </w:p>
    <w:p w14:paraId="5305E98C" w14:textId="77777777" w:rsidR="00A818AC" w:rsidRDefault="00A818AC" w:rsidP="00A818AC">
      <w:r>
        <w:t>These projects make Hilton even more of a leader in environmentally friendly hotel management. Hilton's portfolio's lower water use has helped keep the area water supply stable (Hilton, 2024) (Hilton). Hilton's efforts to save energy have cut down on carbon pollution and operating costs, which is in line with efforts to fight climate change around the world. Hilton supports operational sustainability and the global sustainable development plan (Hilton Foundation, 2024) by making sure that its CSR programs are in line with the Sustainable Development Goals (SDGs). By using its position as a leader in its field to make the world a better place, Hilton is working toward a more sustainable future through this strategic alignment.</w:t>
      </w:r>
    </w:p>
    <w:p w14:paraId="414D1B00" w14:textId="1C710D56" w:rsidR="00A818AC" w:rsidRDefault="00A818AC" w:rsidP="00A818AC">
      <w:r>
        <w:t>"Natural Capitalism" is an advanced economic theory that calls for a lot of changes</w:t>
      </w:r>
      <w:r w:rsidR="00441142">
        <w:t xml:space="preserve"> which</w:t>
      </w:r>
      <w:r>
        <w:t xml:space="preserve"> include: a huge boost in the productivity of natural resources; the use of closed loop production models that are based on biology; a business model that values service and flow over possession; and the reinvestment of natural capital</w:t>
      </w:r>
      <w:r w:rsidR="00C64C2F">
        <w:t xml:space="preserve"> (Sloan, Legrand and Chen, 2017)</w:t>
      </w:r>
      <w:r>
        <w:t xml:space="preserve">. This way of thinking works best for the hospitality business, which uses a lot of natural resources and has big effects on the environment (Wickham, Donnelly </w:t>
      </w:r>
      <w:r w:rsidR="00AF2E02">
        <w:t>and</w:t>
      </w:r>
      <w:r>
        <w:t xml:space="preserve"> French, 2021). Hilton Hotels &amp; Resorts was the first company to use natural capitalism as a business strategy because it is good for the company, society, and the environment (Legrand, Chen</w:t>
      </w:r>
      <w:r w:rsidR="00AF2E02">
        <w:t xml:space="preserve"> and</w:t>
      </w:r>
      <w:r>
        <w:t xml:space="preserve"> Laeis, 2022). Hilton </w:t>
      </w:r>
      <w:r>
        <w:lastRenderedPageBreak/>
        <w:t>Foundation (2024) says that by using Natural Capitalism, the company saves more resources, creates less trash, and sets an example of economic sustainability that helps everyone.</w:t>
      </w:r>
      <w:r w:rsidR="00923933">
        <w:t xml:space="preserve"> </w:t>
      </w:r>
      <w:r>
        <w:t>Hilton has taken steps to make the use of resources in its buildings more efficient (Matteucci, 2020). Hilton uses tools that make use of renewable energy and make things more efficient. Low-energy HVAC and LED lighting systems have been installed by the company to cut down on energy use per square foot (Hilton, 2022). Several Hilton buildings are also equipped with solar panels so they can directly use green energy. By using these eco-friendly methods, Hilton is lowering its reliance on nonrenewable energy sources and the costs that come with running its business (Hilton, 2024b).</w:t>
      </w:r>
    </w:p>
    <w:p w14:paraId="2B5C7640" w14:textId="0799F737" w:rsidR="00A818AC" w:rsidRDefault="00A818AC" w:rsidP="00A818AC">
      <w:r>
        <w:t xml:space="preserve">Hilton also uses natural capitalism in the way they handle trash. To reduce waste sent to landfills, the company has implemented extensive recycling and waste reduction efforts (Hilton, 2024). These programs provide safe food from local sources and use or burn waste food that </w:t>
      </w:r>
      <w:r w:rsidR="00C64C2F">
        <w:t>cannot</w:t>
      </w:r>
      <w:r>
        <w:t xml:space="preserve"> be eaten to get energy back into the system. Along with that, Hilton (2024b) has promised to replace single-use plastics with biodegradable or reusable materials.</w:t>
      </w:r>
      <w:r w:rsidR="0078577D">
        <w:t xml:space="preserve"> </w:t>
      </w:r>
      <w:r>
        <w:t>Hilton made a lot of money from natural capitalism. The prices of electricity and water have gone down because of better resource efficiency, which has saved money overall (Vlasceanu, Tenie</w:t>
      </w:r>
      <w:r w:rsidR="00AF2E02">
        <w:t xml:space="preserve"> and</w:t>
      </w:r>
      <w:r>
        <w:t xml:space="preserve"> Crismariu, 2020). By following these steps, Hilton has met its sustainability goals and followed international environmental standards (Zientara et al., 2020).</w:t>
      </w:r>
    </w:p>
    <w:p w14:paraId="1B92269F" w14:textId="6E482CD0" w:rsidR="00A818AC" w:rsidRDefault="00A818AC" w:rsidP="00A818AC">
      <w:r>
        <w:t xml:space="preserve">As a result of Hilton's Natural Capitalism sustainability strategy, the company has a better reputation with investors, community members, and guests (Matteucci, 2020). As eco-friendly lodging options become more popular, Hilton has been trying to increase customer loyalty and reach an environmentally aware group that it had not been able to reach before (Hilton, 2022). The way hotelier Hilton uses natural capitalism is a new and innovative idea. This method encourages businesses to act in ways that are good for the environment and creates a work setting that values natural resources (Wickham, Donnelly </w:t>
      </w:r>
      <w:r w:rsidR="00AF2E02">
        <w:t>and</w:t>
      </w:r>
      <w:r>
        <w:t xml:space="preserve"> French, 2021). Hilton (2024b) says that its all-encompassing and proactive sustainability efforts help the business succeed and advance the causes of sustainable development and environmental protection around the world.</w:t>
      </w:r>
      <w:r w:rsidR="0078577D">
        <w:t xml:space="preserve"> </w:t>
      </w:r>
      <w:r>
        <w:t>Putting strong Corporate Social Responsibility (CSR) practices into place in the hospitality business, especially at a global level like Hilton Hotels &amp; Resorts, comes with its own set of problems and opportunities (Edgell, 2020). These factors determine how much CSR projects affect the long-term health of the hospitality business.</w:t>
      </w:r>
    </w:p>
    <w:p w14:paraId="50E0692B" w14:textId="05EA61F4" w:rsidR="00A818AC" w:rsidRDefault="00A818AC" w:rsidP="00A818AC">
      <w:r>
        <w:lastRenderedPageBreak/>
        <w:t>Making sure that all of Hilton's global infrastructure is sustainable is a big problem (Matteucci, 2020). It is hard to make sure that CSR rules are applied the same way to all properties because each one has its own natural, economic, and social features. Adapting projects to different rules, weather, and cultural norms takes planning and money (Carmen et al., 2022). Sustainable tools and ways of doing things could get a lot of money spent on them. Initial costs may be hard to handle in markets that are not as stable economically, but they are usually more than made up for by lower long-term costs and better efficiency (Vlasceanu, Tenie</w:t>
      </w:r>
      <w:r w:rsidR="00AF2E02">
        <w:t xml:space="preserve"> and</w:t>
      </w:r>
      <w:r>
        <w:t xml:space="preserve"> Crismariu, 2020). Investments include training for employees, systems that use less energy, and tools that cut down on waste. Hilton also has trouble getting investors, workers, visitors, and people in the local community involved in its sustainability efforts (Hilton, 2024). It is hard to get everyone fully involved because each group has its own CSR goals and buy-in.</w:t>
      </w:r>
    </w:p>
    <w:p w14:paraId="4C2F746E" w14:textId="77777777" w:rsidR="00A818AC" w:rsidRDefault="00A818AC" w:rsidP="00A818AC">
      <w:r>
        <w:t>As a leader in its field, Hilton can come up with new ways to do CSR. Hilton could set the standard for the hotel business by using new environmentally friendly methods (Zientara et al., 2020). Innovation has made it possible for Hilton to come up with new technologies and ways of doing things that are better for the world and for business (Sinha and Fukey, 2020). Hilton's brand reputation can be improved by putting in place strong CSR practices. Consumers are very interested in sustainable brands right now (Yousaf et al., 2021). By meeting these requirements, Hilton can increase visitor loyalty and attract tourists who care about doing the right thing for the earth and society. Sustainability-focused CSR can help businesses run more efficiently and save money over time (Edgell, 2020). Conserving water, using energy more efficiently, and throwing away less trash can help Hilton save money on electricity and trash removal, which will increase profits. Hilton can plan ahead for and comply with environmental and social responsibility rules when it has effective CSR strategies (Hilton, 2024) . This proactive approach makes it easier to do business in the region and lowers the risk of not following the rules.</w:t>
      </w:r>
    </w:p>
    <w:p w14:paraId="4B0538A7" w14:textId="2475016C" w:rsidR="00A818AC" w:rsidRDefault="00A818AC" w:rsidP="00A818AC">
      <w:r>
        <w:t xml:space="preserve">Hilton Hotels &amp; Resorts' decision to include CSR in their daily operations shows how targeted projects can help the hospitality business become more environmentally friendly (Hilton, 2022). Due to its use of the Triple Bottom Line framework, commitment to the Sustainable Development Goals, Natural Capitalism principles, and circular thinking, Hilton is a leader in the sustainable hospitality business. In addition to helping Hilton's bottom line, these methods also protect the environment and promote morality in society. </w:t>
      </w:r>
    </w:p>
    <w:p w14:paraId="1F3D944A" w14:textId="37C44149" w:rsidR="00A818AC" w:rsidRDefault="00A818AC">
      <w:pPr>
        <w:spacing w:line="259" w:lineRule="auto"/>
        <w:jc w:val="left"/>
        <w:rPr>
          <w:rFonts w:eastAsiaTheme="majorEastAsia" w:cstheme="majorBidi"/>
          <w:b/>
          <w:sz w:val="32"/>
          <w:szCs w:val="32"/>
        </w:rPr>
      </w:pPr>
    </w:p>
    <w:p w14:paraId="6BE83143" w14:textId="225B2F98" w:rsidR="006533FC" w:rsidRDefault="006533FC" w:rsidP="006533FC">
      <w:pPr>
        <w:pStyle w:val="Heading1"/>
      </w:pPr>
      <w:r>
        <w:lastRenderedPageBreak/>
        <w:t>Reference List</w:t>
      </w:r>
    </w:p>
    <w:p w14:paraId="28F61DA9" w14:textId="77777777" w:rsidR="002F258A" w:rsidRPr="006533FC" w:rsidRDefault="002F258A" w:rsidP="002F258A">
      <w:r w:rsidRPr="006533FC">
        <w:rPr>
          <w:rFonts w:eastAsia="Times New Roman" w:cs="Times New Roman"/>
          <w:lang w:eastAsia="en-GB"/>
        </w:rPr>
        <w:t>Carmen, E., Fazey, I., Ross, H., Bedinger, M., Smith, F.M., Prager, K., McClymont, K. and Morrison, D.</w:t>
      </w:r>
      <w:r>
        <w:rPr>
          <w:rFonts w:eastAsia="Times New Roman" w:cs="Times New Roman"/>
          <w:lang w:eastAsia="en-GB"/>
        </w:rPr>
        <w:t xml:space="preserve"> (</w:t>
      </w:r>
      <w:r w:rsidRPr="006533FC">
        <w:rPr>
          <w:rFonts w:eastAsia="Times New Roman" w:cs="Times New Roman"/>
          <w:lang w:eastAsia="en-GB"/>
        </w:rPr>
        <w:t>2022</w:t>
      </w:r>
      <w:r>
        <w:rPr>
          <w:rFonts w:eastAsia="Times New Roman" w:cs="Times New Roman"/>
          <w:lang w:eastAsia="en-GB"/>
        </w:rPr>
        <w:t>)</w:t>
      </w:r>
      <w:r w:rsidRPr="006533FC">
        <w:rPr>
          <w:rFonts w:eastAsia="Times New Roman" w:cs="Times New Roman"/>
          <w:lang w:eastAsia="en-GB"/>
        </w:rPr>
        <w:t xml:space="preserve">. Building community resilience in a context of climate change: The role of social capital. </w:t>
      </w:r>
      <w:r w:rsidRPr="006533FC">
        <w:rPr>
          <w:rFonts w:eastAsia="Times New Roman" w:cs="Times New Roman"/>
          <w:i/>
          <w:iCs/>
          <w:lang w:eastAsia="en-GB"/>
        </w:rPr>
        <w:t>Ambio</w:t>
      </w:r>
      <w:r w:rsidRPr="006533FC">
        <w:rPr>
          <w:rFonts w:eastAsia="Times New Roman" w:cs="Times New Roman"/>
          <w:lang w:eastAsia="en-GB"/>
        </w:rPr>
        <w:t xml:space="preserve">, </w:t>
      </w:r>
      <w:r w:rsidRPr="006533FC">
        <w:rPr>
          <w:rFonts w:eastAsia="Times New Roman" w:cs="Times New Roman"/>
          <w:i/>
          <w:iCs/>
          <w:lang w:eastAsia="en-GB"/>
        </w:rPr>
        <w:t>51</w:t>
      </w:r>
      <w:r w:rsidRPr="006533FC">
        <w:rPr>
          <w:rFonts w:eastAsia="Times New Roman" w:cs="Times New Roman"/>
          <w:lang w:eastAsia="en-GB"/>
        </w:rPr>
        <w:t>(6), pp.1371-1387.</w:t>
      </w:r>
    </w:p>
    <w:p w14:paraId="04DC9352" w14:textId="77777777" w:rsidR="002F258A" w:rsidRDefault="002F258A" w:rsidP="006533FC">
      <w:r>
        <w:t>Edgell. (2020). Managing sustainable tourism : a legacy for the future (Third edition). Routledge</w:t>
      </w:r>
    </w:p>
    <w:p w14:paraId="1D0C69BD" w14:textId="77777777" w:rsidR="002F258A" w:rsidRDefault="002F258A" w:rsidP="006533FC">
      <w:r w:rsidRPr="00836D6F">
        <w:rPr>
          <w:rFonts w:eastAsia="Times New Roman" w:cs="Times New Roman"/>
          <w:lang w:eastAsia="en-GB"/>
        </w:rPr>
        <w:t>Font, X. and Lynes, J.</w:t>
      </w:r>
      <w:r>
        <w:rPr>
          <w:rFonts w:eastAsia="Times New Roman" w:cs="Times New Roman"/>
          <w:lang w:eastAsia="en-GB"/>
        </w:rPr>
        <w:t xml:space="preserve"> (</w:t>
      </w:r>
      <w:r w:rsidRPr="00836D6F">
        <w:rPr>
          <w:rFonts w:eastAsia="Times New Roman" w:cs="Times New Roman"/>
          <w:lang w:eastAsia="en-GB"/>
        </w:rPr>
        <w:t>2018</w:t>
      </w:r>
      <w:r>
        <w:rPr>
          <w:rFonts w:eastAsia="Times New Roman" w:cs="Times New Roman"/>
          <w:lang w:eastAsia="en-GB"/>
        </w:rPr>
        <w:t>)</w:t>
      </w:r>
      <w:r w:rsidRPr="00836D6F">
        <w:rPr>
          <w:rFonts w:eastAsia="Times New Roman" w:cs="Times New Roman"/>
          <w:lang w:eastAsia="en-GB"/>
        </w:rPr>
        <w:t xml:space="preserve">. Corporate social responsibility in tourism and hospitality. </w:t>
      </w:r>
      <w:r w:rsidRPr="00836D6F">
        <w:rPr>
          <w:rFonts w:eastAsia="Times New Roman" w:cs="Times New Roman"/>
          <w:i/>
          <w:iCs/>
          <w:lang w:eastAsia="en-GB"/>
        </w:rPr>
        <w:t>Journal of Sustainable Tourism</w:t>
      </w:r>
      <w:r w:rsidRPr="00836D6F">
        <w:rPr>
          <w:rFonts w:eastAsia="Times New Roman" w:cs="Times New Roman"/>
          <w:lang w:eastAsia="en-GB"/>
        </w:rPr>
        <w:t xml:space="preserve">, </w:t>
      </w:r>
      <w:r w:rsidRPr="00836D6F">
        <w:rPr>
          <w:rFonts w:eastAsia="Times New Roman" w:cs="Times New Roman"/>
          <w:i/>
          <w:iCs/>
          <w:lang w:eastAsia="en-GB"/>
        </w:rPr>
        <w:t>26</w:t>
      </w:r>
      <w:r w:rsidRPr="00836D6F">
        <w:rPr>
          <w:rFonts w:eastAsia="Times New Roman" w:cs="Times New Roman"/>
          <w:lang w:eastAsia="en-GB"/>
        </w:rPr>
        <w:t>(7), pp.1027-1042.</w:t>
      </w:r>
    </w:p>
    <w:p w14:paraId="00412CF0" w14:textId="77777777" w:rsidR="002F258A" w:rsidRDefault="002F258A" w:rsidP="006533FC">
      <w:r>
        <w:t xml:space="preserve">Haski-Leventhal, D. (2018) </w:t>
      </w:r>
      <w:r w:rsidRPr="00836D6F">
        <w:rPr>
          <w:i/>
          <w:iCs/>
        </w:rPr>
        <w:t>Strategic corporate social responsibility : tools &amp; theories for responsible management</w:t>
      </w:r>
      <w:r>
        <w:t>. London: SAGE.</w:t>
      </w:r>
    </w:p>
    <w:p w14:paraId="5F65AC48" w14:textId="77777777" w:rsidR="002F258A" w:rsidRPr="006533FC" w:rsidRDefault="002F258A" w:rsidP="006533FC">
      <w:pPr>
        <w:spacing w:after="240"/>
        <w:jc w:val="left"/>
        <w:rPr>
          <w:rFonts w:eastAsia="Times New Roman" w:cs="Times New Roman"/>
          <w:lang w:eastAsia="en-GB"/>
        </w:rPr>
      </w:pPr>
      <w:r w:rsidRPr="006533FC">
        <w:rPr>
          <w:rFonts w:eastAsia="Times New Roman" w:cs="Times New Roman"/>
          <w:lang w:eastAsia="en-GB"/>
        </w:rPr>
        <w:t xml:space="preserve">Hilton (2022). </w:t>
      </w:r>
      <w:r w:rsidRPr="006533FC">
        <w:rPr>
          <w:rFonts w:eastAsia="Times New Roman" w:cs="Times New Roman"/>
          <w:i/>
          <w:iCs/>
          <w:lang w:eastAsia="en-GB"/>
        </w:rPr>
        <w:t>Hilton 2022 Environmental, Social and Governance Report</w:t>
      </w:r>
      <w:r w:rsidRPr="006533FC">
        <w:rPr>
          <w:rFonts w:eastAsia="Times New Roman" w:cs="Times New Roman"/>
          <w:lang w:eastAsia="en-GB"/>
        </w:rPr>
        <w:t>. [online] Available at: https://esg.hilton.com/wp-content/uploads/sites/4/2023/04/Hilton-2022-Environmental-Social-and-Governance-Report.pdf [Accessed 12 May 2024].</w:t>
      </w:r>
    </w:p>
    <w:p w14:paraId="5A8F2FBB" w14:textId="77777777" w:rsidR="002F258A" w:rsidRDefault="002F258A" w:rsidP="002F258A">
      <w:r>
        <w:t xml:space="preserve">Hilton (2022b). </w:t>
      </w:r>
      <w:r>
        <w:rPr>
          <w:i/>
          <w:iCs/>
        </w:rPr>
        <w:t>Hilton Worldwide, Inc. - Water Security 2022</w:t>
      </w:r>
      <w:r>
        <w:t>. [online] esg.hilton.com. Available at: https://cr.hilton.com/wp-content/uploads/2020/02/Hilton-2019-CDP-Water-Security-Questionnaire.pdf [Accessed 12 May 2024].</w:t>
      </w:r>
    </w:p>
    <w:p w14:paraId="4226FE89" w14:textId="77777777" w:rsidR="002F258A" w:rsidRPr="006533FC" w:rsidRDefault="002F258A" w:rsidP="006533FC">
      <w:pPr>
        <w:spacing w:after="240"/>
        <w:jc w:val="left"/>
        <w:rPr>
          <w:rFonts w:eastAsia="Times New Roman" w:cs="Times New Roman"/>
          <w:lang w:eastAsia="en-GB"/>
        </w:rPr>
      </w:pPr>
      <w:r w:rsidRPr="006533FC">
        <w:rPr>
          <w:rFonts w:eastAsia="Times New Roman" w:cs="Times New Roman"/>
          <w:lang w:eastAsia="en-GB"/>
        </w:rPr>
        <w:t xml:space="preserve">Hilton (2024a). </w:t>
      </w:r>
      <w:r w:rsidRPr="006533FC">
        <w:rPr>
          <w:rFonts w:eastAsia="Times New Roman" w:cs="Times New Roman"/>
          <w:i/>
          <w:iCs/>
          <w:lang w:eastAsia="en-GB"/>
        </w:rPr>
        <w:t>Our Approach to ESG</w:t>
      </w:r>
      <w:r w:rsidRPr="006533FC">
        <w:rPr>
          <w:rFonts w:eastAsia="Times New Roman" w:cs="Times New Roman"/>
          <w:lang w:eastAsia="en-GB"/>
        </w:rPr>
        <w:t>. [online] Travel With Purpose | Hilton ESG. Available at: https://esg.hilton.com/our-approach/#strategic-framework [Accessed 12 May 2024].</w:t>
      </w:r>
    </w:p>
    <w:p w14:paraId="6CFFB34C" w14:textId="77777777" w:rsidR="002F258A" w:rsidRPr="006533FC" w:rsidRDefault="002F258A" w:rsidP="006533FC">
      <w:pPr>
        <w:spacing w:after="240"/>
        <w:jc w:val="left"/>
        <w:rPr>
          <w:rFonts w:eastAsia="Times New Roman" w:cs="Times New Roman"/>
          <w:lang w:eastAsia="en-GB"/>
        </w:rPr>
      </w:pPr>
      <w:r w:rsidRPr="006533FC">
        <w:rPr>
          <w:rFonts w:eastAsia="Times New Roman" w:cs="Times New Roman"/>
          <w:lang w:eastAsia="en-GB"/>
        </w:rPr>
        <w:t xml:space="preserve">Hilton (2024b). </w:t>
      </w:r>
      <w:r w:rsidRPr="006533FC">
        <w:rPr>
          <w:rFonts w:eastAsia="Times New Roman" w:cs="Times New Roman"/>
          <w:i/>
          <w:iCs/>
          <w:lang w:eastAsia="en-GB"/>
        </w:rPr>
        <w:t>Our Progress</w:t>
      </w:r>
      <w:r w:rsidRPr="006533FC">
        <w:rPr>
          <w:rFonts w:eastAsia="Times New Roman" w:cs="Times New Roman"/>
          <w:lang w:eastAsia="en-GB"/>
        </w:rPr>
        <w:t>. [online] Travel With Purpose | Hilton ESG. Available at: https://esg.hilton.com/our-progress/ [Accessed 12 May 2024].</w:t>
      </w:r>
    </w:p>
    <w:p w14:paraId="288E492C" w14:textId="77777777" w:rsidR="002F258A" w:rsidRPr="006533FC" w:rsidRDefault="002F258A" w:rsidP="006533FC">
      <w:pPr>
        <w:spacing w:after="240"/>
        <w:jc w:val="left"/>
        <w:rPr>
          <w:rFonts w:eastAsia="Times New Roman" w:cs="Times New Roman"/>
          <w:lang w:eastAsia="en-GB"/>
        </w:rPr>
      </w:pPr>
      <w:r w:rsidRPr="006533FC">
        <w:rPr>
          <w:rFonts w:eastAsia="Times New Roman" w:cs="Times New Roman"/>
          <w:lang w:eastAsia="en-GB"/>
        </w:rPr>
        <w:t xml:space="preserve">Hilton Foundation (2024). </w:t>
      </w:r>
      <w:r w:rsidRPr="006533FC">
        <w:rPr>
          <w:rFonts w:eastAsia="Times New Roman" w:cs="Times New Roman"/>
          <w:i/>
          <w:iCs/>
          <w:lang w:eastAsia="en-GB"/>
        </w:rPr>
        <w:t>Sustainable Development Goals</w:t>
      </w:r>
      <w:r w:rsidRPr="006533FC">
        <w:rPr>
          <w:rFonts w:eastAsia="Times New Roman" w:cs="Times New Roman"/>
          <w:lang w:eastAsia="en-GB"/>
        </w:rPr>
        <w:t>. [online] Hilton Foundation. Available at: https://www.hiltonfoundation.org/sdgs [Accessed 12 May 2024].</w:t>
      </w:r>
    </w:p>
    <w:p w14:paraId="7599D973" w14:textId="77777777" w:rsidR="002F258A" w:rsidRPr="002F258A" w:rsidRDefault="002F258A" w:rsidP="002F258A">
      <w:r w:rsidRPr="002F258A">
        <w:rPr>
          <w:rFonts w:eastAsia="Times New Roman" w:cs="Times New Roman"/>
          <w:lang w:eastAsia="en-GB"/>
        </w:rPr>
        <w:t>Keyhani, M., Bahadori-Jahromi, A., Godfrey, P., Keihani, R. and Amirkhani, S.</w:t>
      </w:r>
      <w:r>
        <w:rPr>
          <w:rFonts w:eastAsia="Times New Roman" w:cs="Times New Roman"/>
          <w:lang w:eastAsia="en-GB"/>
        </w:rPr>
        <w:t xml:space="preserve"> (</w:t>
      </w:r>
      <w:r w:rsidRPr="002F258A">
        <w:rPr>
          <w:rFonts w:eastAsia="Times New Roman" w:cs="Times New Roman"/>
          <w:lang w:eastAsia="en-GB"/>
        </w:rPr>
        <w:t>2024</w:t>
      </w:r>
      <w:r>
        <w:rPr>
          <w:rFonts w:eastAsia="Times New Roman" w:cs="Times New Roman"/>
          <w:lang w:eastAsia="en-GB"/>
        </w:rPr>
        <w:t>)</w:t>
      </w:r>
      <w:r w:rsidRPr="002F258A">
        <w:rPr>
          <w:rFonts w:eastAsia="Times New Roman" w:cs="Times New Roman"/>
          <w:lang w:eastAsia="en-GB"/>
        </w:rPr>
        <w:t xml:space="preserve">, March. Analysing carbon impacts of green roof at Hilton Watford: life-cycle assessment approach. In </w:t>
      </w:r>
      <w:r w:rsidRPr="002F258A">
        <w:rPr>
          <w:rFonts w:eastAsia="Times New Roman" w:cs="Times New Roman"/>
          <w:i/>
          <w:iCs/>
          <w:lang w:eastAsia="en-GB"/>
        </w:rPr>
        <w:t>Proceedings of the Institution of Civil Engineers-Waste and Resource Management</w:t>
      </w:r>
      <w:r w:rsidRPr="002F258A">
        <w:rPr>
          <w:rFonts w:eastAsia="Times New Roman" w:cs="Times New Roman"/>
          <w:lang w:eastAsia="en-GB"/>
        </w:rPr>
        <w:t xml:space="preserve"> (pp. 1-13). Emerald Publishing Limited.</w:t>
      </w:r>
    </w:p>
    <w:p w14:paraId="2A380106" w14:textId="77777777" w:rsidR="002F258A" w:rsidRPr="006533FC" w:rsidRDefault="002F258A" w:rsidP="002F258A">
      <w:r w:rsidRPr="006533FC">
        <w:rPr>
          <w:rFonts w:eastAsia="Times New Roman" w:cs="Times New Roman"/>
          <w:lang w:eastAsia="en-GB"/>
        </w:rPr>
        <w:t>Legrand, W., Chen, J.S. and Laeis, G.C.</w:t>
      </w:r>
      <w:r>
        <w:rPr>
          <w:rFonts w:eastAsia="Times New Roman" w:cs="Times New Roman"/>
          <w:lang w:eastAsia="en-GB"/>
        </w:rPr>
        <w:t xml:space="preserve"> (</w:t>
      </w:r>
      <w:r w:rsidRPr="006533FC">
        <w:rPr>
          <w:rFonts w:eastAsia="Times New Roman" w:cs="Times New Roman"/>
          <w:lang w:eastAsia="en-GB"/>
        </w:rPr>
        <w:t>2022</w:t>
      </w:r>
      <w:r>
        <w:rPr>
          <w:rFonts w:eastAsia="Times New Roman" w:cs="Times New Roman"/>
          <w:lang w:eastAsia="en-GB"/>
        </w:rPr>
        <w:t>)</w:t>
      </w:r>
      <w:r w:rsidRPr="006533FC">
        <w:rPr>
          <w:rFonts w:eastAsia="Times New Roman" w:cs="Times New Roman"/>
          <w:lang w:eastAsia="en-GB"/>
        </w:rPr>
        <w:t xml:space="preserve">. </w:t>
      </w:r>
      <w:r w:rsidRPr="006533FC">
        <w:rPr>
          <w:rFonts w:eastAsia="Times New Roman" w:cs="Times New Roman"/>
          <w:i/>
          <w:iCs/>
          <w:lang w:eastAsia="en-GB"/>
        </w:rPr>
        <w:t>Sustainability in the hospitality industry: Principles of sustainable operations</w:t>
      </w:r>
      <w:r w:rsidRPr="006533FC">
        <w:rPr>
          <w:rFonts w:eastAsia="Times New Roman" w:cs="Times New Roman"/>
          <w:lang w:eastAsia="en-GB"/>
        </w:rPr>
        <w:t>. Routledge.</w:t>
      </w:r>
    </w:p>
    <w:p w14:paraId="418BFA8D" w14:textId="77777777" w:rsidR="002F258A" w:rsidRPr="006533FC" w:rsidRDefault="002F258A" w:rsidP="006533FC">
      <w:r w:rsidRPr="006533FC">
        <w:rPr>
          <w:rFonts w:eastAsia="Times New Roman" w:cs="Times New Roman"/>
          <w:lang w:eastAsia="en-GB"/>
        </w:rPr>
        <w:lastRenderedPageBreak/>
        <w:t>Matteucci, V.</w:t>
      </w:r>
      <w:r>
        <w:rPr>
          <w:rFonts w:eastAsia="Times New Roman" w:cs="Times New Roman"/>
          <w:lang w:eastAsia="en-GB"/>
        </w:rPr>
        <w:t xml:space="preserve"> (</w:t>
      </w:r>
      <w:r w:rsidRPr="006533FC">
        <w:rPr>
          <w:rFonts w:eastAsia="Times New Roman" w:cs="Times New Roman"/>
          <w:lang w:eastAsia="en-GB"/>
        </w:rPr>
        <w:t>2020</w:t>
      </w:r>
      <w:r>
        <w:rPr>
          <w:rFonts w:eastAsia="Times New Roman" w:cs="Times New Roman"/>
          <w:lang w:eastAsia="en-GB"/>
        </w:rPr>
        <w:t>)</w:t>
      </w:r>
      <w:r w:rsidRPr="006533FC">
        <w:rPr>
          <w:rFonts w:eastAsia="Times New Roman" w:cs="Times New Roman"/>
          <w:lang w:eastAsia="en-GB"/>
        </w:rPr>
        <w:t xml:space="preserve">. How can the hospitality industry increase corporate value aligned with sustainable development goals? Case examples from Hilton, Meliá and Sun. </w:t>
      </w:r>
      <w:r w:rsidRPr="006533FC">
        <w:rPr>
          <w:rFonts w:eastAsia="Times New Roman" w:cs="Times New Roman"/>
          <w:i/>
          <w:iCs/>
          <w:lang w:eastAsia="en-GB"/>
        </w:rPr>
        <w:t>Worldwide Hospitality and Tourism Themes</w:t>
      </w:r>
      <w:r w:rsidRPr="006533FC">
        <w:rPr>
          <w:rFonts w:eastAsia="Times New Roman" w:cs="Times New Roman"/>
          <w:lang w:eastAsia="en-GB"/>
        </w:rPr>
        <w:t xml:space="preserve">, </w:t>
      </w:r>
      <w:r w:rsidRPr="006533FC">
        <w:rPr>
          <w:rFonts w:eastAsia="Times New Roman" w:cs="Times New Roman"/>
          <w:i/>
          <w:iCs/>
          <w:lang w:eastAsia="en-GB"/>
        </w:rPr>
        <w:t>12</w:t>
      </w:r>
      <w:r w:rsidRPr="006533FC">
        <w:rPr>
          <w:rFonts w:eastAsia="Times New Roman" w:cs="Times New Roman"/>
          <w:lang w:eastAsia="en-GB"/>
        </w:rPr>
        <w:t>(5), pp.509-523.</w:t>
      </w:r>
    </w:p>
    <w:p w14:paraId="3217D5FB" w14:textId="77777777" w:rsidR="002F258A" w:rsidRDefault="002F258A" w:rsidP="002F258A">
      <w:pPr>
        <w:rPr>
          <w:rFonts w:eastAsia="Times New Roman" w:cs="Times New Roman"/>
          <w:lang w:eastAsia="en-GB"/>
        </w:rPr>
      </w:pPr>
      <w:r w:rsidRPr="002F258A">
        <w:rPr>
          <w:rFonts w:eastAsia="Times New Roman" w:cs="Times New Roman"/>
          <w:lang w:eastAsia="en-GB"/>
        </w:rPr>
        <w:t>Menton, M., Larrea, C., Latorre, S., Martinez-Alier, J., Peck, M., Temper, L. and Walter, M.</w:t>
      </w:r>
      <w:r>
        <w:rPr>
          <w:rFonts w:eastAsia="Times New Roman" w:cs="Times New Roman"/>
          <w:lang w:eastAsia="en-GB"/>
        </w:rPr>
        <w:t xml:space="preserve"> (</w:t>
      </w:r>
      <w:r w:rsidRPr="002F258A">
        <w:rPr>
          <w:rFonts w:eastAsia="Times New Roman" w:cs="Times New Roman"/>
          <w:lang w:eastAsia="en-GB"/>
        </w:rPr>
        <w:t>2020</w:t>
      </w:r>
      <w:r>
        <w:rPr>
          <w:rFonts w:eastAsia="Times New Roman" w:cs="Times New Roman"/>
          <w:lang w:eastAsia="en-GB"/>
        </w:rPr>
        <w:t>)</w:t>
      </w:r>
      <w:r w:rsidRPr="002F258A">
        <w:rPr>
          <w:rFonts w:eastAsia="Times New Roman" w:cs="Times New Roman"/>
          <w:lang w:eastAsia="en-GB"/>
        </w:rPr>
        <w:t xml:space="preserve">. Environmental justice and the SDGs: from synergies to gaps and contradictions. </w:t>
      </w:r>
      <w:r w:rsidRPr="002F258A">
        <w:rPr>
          <w:rFonts w:eastAsia="Times New Roman" w:cs="Times New Roman"/>
          <w:i/>
          <w:iCs/>
          <w:lang w:eastAsia="en-GB"/>
        </w:rPr>
        <w:t>Sustainability science</w:t>
      </w:r>
      <w:r w:rsidRPr="002F258A">
        <w:rPr>
          <w:rFonts w:eastAsia="Times New Roman" w:cs="Times New Roman"/>
          <w:lang w:eastAsia="en-GB"/>
        </w:rPr>
        <w:t xml:space="preserve">, </w:t>
      </w:r>
      <w:r w:rsidRPr="002F258A">
        <w:rPr>
          <w:rFonts w:eastAsia="Times New Roman" w:cs="Times New Roman"/>
          <w:i/>
          <w:iCs/>
          <w:lang w:eastAsia="en-GB"/>
        </w:rPr>
        <w:t>15</w:t>
      </w:r>
      <w:r w:rsidRPr="002F258A">
        <w:rPr>
          <w:rFonts w:eastAsia="Times New Roman" w:cs="Times New Roman"/>
          <w:lang w:eastAsia="en-GB"/>
        </w:rPr>
        <w:t>, pp.1621-1636.</w:t>
      </w:r>
    </w:p>
    <w:p w14:paraId="5778C118" w14:textId="77777777" w:rsidR="002F258A" w:rsidRDefault="002F258A" w:rsidP="006533FC">
      <w:pPr>
        <w:rPr>
          <w:lang w:eastAsia="en-GB"/>
        </w:rPr>
      </w:pPr>
      <w:r w:rsidRPr="00A91342">
        <w:rPr>
          <w:lang w:eastAsia="en-GB"/>
        </w:rPr>
        <w:t>Noonan, A. and Rankin, C.P.</w:t>
      </w:r>
      <w:r>
        <w:rPr>
          <w:lang w:eastAsia="en-GB"/>
        </w:rPr>
        <w:t xml:space="preserve"> (</w:t>
      </w:r>
      <w:r w:rsidRPr="00A91342">
        <w:rPr>
          <w:lang w:eastAsia="en-GB"/>
        </w:rPr>
        <w:t>2017</w:t>
      </w:r>
      <w:r>
        <w:rPr>
          <w:lang w:eastAsia="en-GB"/>
        </w:rPr>
        <w:t>)</w:t>
      </w:r>
      <w:r w:rsidRPr="00A91342">
        <w:rPr>
          <w:lang w:eastAsia="en-GB"/>
        </w:rPr>
        <w:t xml:space="preserve">. Hilton Hotel Worldwide: A case study exploring corporate social responsibility and stakeholder management. </w:t>
      </w:r>
      <w:r w:rsidRPr="00A91342">
        <w:rPr>
          <w:i/>
          <w:iCs/>
          <w:lang w:eastAsia="en-GB"/>
        </w:rPr>
        <w:t>Journal of Hospitality &amp; Tourism Cases</w:t>
      </w:r>
      <w:r w:rsidRPr="00A91342">
        <w:rPr>
          <w:lang w:eastAsia="en-GB"/>
        </w:rPr>
        <w:t xml:space="preserve">, </w:t>
      </w:r>
      <w:r w:rsidRPr="00A91342">
        <w:rPr>
          <w:i/>
          <w:iCs/>
          <w:lang w:eastAsia="en-GB"/>
        </w:rPr>
        <w:t>5</w:t>
      </w:r>
      <w:r w:rsidRPr="00A91342">
        <w:rPr>
          <w:lang w:eastAsia="en-GB"/>
        </w:rPr>
        <w:t>(4), pp.15-27.</w:t>
      </w:r>
    </w:p>
    <w:p w14:paraId="4E94976D" w14:textId="77777777" w:rsidR="002F258A" w:rsidRPr="006533FC" w:rsidRDefault="002F258A" w:rsidP="002F258A">
      <w:r w:rsidRPr="006533FC">
        <w:rPr>
          <w:rFonts w:eastAsia="Times New Roman" w:cs="Times New Roman"/>
          <w:lang w:eastAsia="en-GB"/>
        </w:rPr>
        <w:t>Sinha, M. and Fukey, L.N.</w:t>
      </w:r>
      <w:r>
        <w:rPr>
          <w:rFonts w:eastAsia="Times New Roman" w:cs="Times New Roman"/>
          <w:lang w:eastAsia="en-GB"/>
        </w:rPr>
        <w:t xml:space="preserve"> (</w:t>
      </w:r>
      <w:r w:rsidRPr="006533FC">
        <w:rPr>
          <w:rFonts w:eastAsia="Times New Roman" w:cs="Times New Roman"/>
          <w:lang w:eastAsia="en-GB"/>
        </w:rPr>
        <w:t>2020</w:t>
      </w:r>
      <w:r>
        <w:rPr>
          <w:rFonts w:eastAsia="Times New Roman" w:cs="Times New Roman"/>
          <w:lang w:eastAsia="en-GB"/>
        </w:rPr>
        <w:t>)</w:t>
      </w:r>
      <w:r w:rsidRPr="006533FC">
        <w:rPr>
          <w:rFonts w:eastAsia="Times New Roman" w:cs="Times New Roman"/>
          <w:lang w:eastAsia="en-GB"/>
        </w:rPr>
        <w:t xml:space="preserve">. Circular Economy: Assessing a Progress of Resources Efficient Practices in Hotel Industry. In </w:t>
      </w:r>
      <w:r w:rsidRPr="006533FC">
        <w:rPr>
          <w:rFonts w:eastAsia="Times New Roman" w:cs="Times New Roman"/>
          <w:i/>
          <w:iCs/>
          <w:lang w:eastAsia="en-GB"/>
        </w:rPr>
        <w:t>Circular Economy for the Management of Operations</w:t>
      </w:r>
      <w:r w:rsidRPr="006533FC">
        <w:rPr>
          <w:rFonts w:eastAsia="Times New Roman" w:cs="Times New Roman"/>
          <w:lang w:eastAsia="en-GB"/>
        </w:rPr>
        <w:t xml:space="preserve"> (pp. 89-117). CRC Press.</w:t>
      </w:r>
    </w:p>
    <w:p w14:paraId="3582050B" w14:textId="77777777" w:rsidR="002F258A" w:rsidRDefault="002F258A" w:rsidP="006533FC">
      <w:r>
        <w:t xml:space="preserve">Sloan, P., Legrand, W. and Chen, J.S. (2017) </w:t>
      </w:r>
      <w:r w:rsidRPr="00836D6F">
        <w:rPr>
          <w:i/>
          <w:iCs/>
        </w:rPr>
        <w:t>Sustainability in the hospitality industry : principles of sustainable operations</w:t>
      </w:r>
      <w:r>
        <w:t>. 3</w:t>
      </w:r>
      <w:r w:rsidRPr="00836D6F">
        <w:rPr>
          <w:vertAlign w:val="superscript"/>
        </w:rPr>
        <w:t>rd</w:t>
      </w:r>
      <w:r>
        <w:t xml:space="preserve"> edn. London: Butterworth-Heinemann.</w:t>
      </w:r>
    </w:p>
    <w:p w14:paraId="580845AB" w14:textId="77777777" w:rsidR="002F258A" w:rsidRDefault="002F258A" w:rsidP="006533FC">
      <w:r w:rsidRPr="00AF2E02">
        <w:rPr>
          <w:rFonts w:eastAsia="Times New Roman" w:cs="Times New Roman"/>
          <w:lang w:val="it-IT" w:eastAsia="en-GB"/>
        </w:rPr>
        <w:t xml:space="preserve">Srivastava, A.K., Dixit, S. and Srivastava, A.A. (2022). </w:t>
      </w:r>
      <w:r w:rsidRPr="00836D6F">
        <w:rPr>
          <w:rFonts w:eastAsia="Times New Roman" w:cs="Times New Roman"/>
          <w:lang w:eastAsia="en-GB"/>
        </w:rPr>
        <w:t xml:space="preserve">Criticism of triple bottom line: TBL (with special reference to sustainability). </w:t>
      </w:r>
      <w:r w:rsidRPr="00836D6F">
        <w:rPr>
          <w:rFonts w:eastAsia="Times New Roman" w:cs="Times New Roman"/>
          <w:i/>
          <w:iCs/>
          <w:lang w:eastAsia="en-GB"/>
        </w:rPr>
        <w:t>Corporate reputation review</w:t>
      </w:r>
      <w:r w:rsidRPr="00836D6F">
        <w:rPr>
          <w:rFonts w:eastAsia="Times New Roman" w:cs="Times New Roman"/>
          <w:lang w:eastAsia="en-GB"/>
        </w:rPr>
        <w:t>, pp.1-12.</w:t>
      </w:r>
    </w:p>
    <w:p w14:paraId="5065A6AF" w14:textId="77777777" w:rsidR="002F258A" w:rsidRPr="006533FC" w:rsidRDefault="002F258A" w:rsidP="006533FC">
      <w:pPr>
        <w:spacing w:after="240"/>
        <w:jc w:val="left"/>
        <w:rPr>
          <w:rFonts w:eastAsia="Times New Roman" w:cs="Times New Roman"/>
          <w:lang w:eastAsia="en-GB"/>
        </w:rPr>
      </w:pPr>
      <w:r w:rsidRPr="006533FC">
        <w:rPr>
          <w:rFonts w:eastAsia="Times New Roman" w:cs="Times New Roman"/>
          <w:lang w:eastAsia="en-GB"/>
        </w:rPr>
        <w:t xml:space="preserve">Tourism for Hospitality (2018). </w:t>
      </w:r>
      <w:r w:rsidRPr="006533FC">
        <w:rPr>
          <w:rFonts w:eastAsia="Times New Roman" w:cs="Times New Roman"/>
          <w:i/>
          <w:iCs/>
          <w:lang w:eastAsia="en-GB"/>
        </w:rPr>
        <w:t>Hilton Worldwide CSR Actions: Education – Awareness , Funds, in kind donations – Tourism for SDGs</w:t>
      </w:r>
      <w:r w:rsidRPr="006533FC">
        <w:rPr>
          <w:rFonts w:eastAsia="Times New Roman" w:cs="Times New Roman"/>
          <w:lang w:eastAsia="en-GB"/>
        </w:rPr>
        <w:t>. [online] Tourism for Hospitality. Available at: https://tourism4sdgs.org/company_csr/hilton-worldwide-csr-actions-education-awareness-funds-in-kind-donations/ [Accessed 12 May 2024].</w:t>
      </w:r>
    </w:p>
    <w:p w14:paraId="66B86130" w14:textId="77777777" w:rsidR="002F258A" w:rsidRPr="006533FC" w:rsidRDefault="002F258A" w:rsidP="006533FC">
      <w:r w:rsidRPr="006533FC">
        <w:rPr>
          <w:rFonts w:eastAsia="Times New Roman" w:cs="Times New Roman"/>
          <w:lang w:eastAsia="en-GB"/>
        </w:rPr>
        <w:t>Vlasceanu, C., Tenie, I. and Crismariu, O.</w:t>
      </w:r>
      <w:r>
        <w:rPr>
          <w:rFonts w:eastAsia="Times New Roman" w:cs="Times New Roman"/>
          <w:lang w:eastAsia="en-GB"/>
        </w:rPr>
        <w:t xml:space="preserve"> (</w:t>
      </w:r>
      <w:r w:rsidRPr="006533FC">
        <w:rPr>
          <w:rFonts w:eastAsia="Times New Roman" w:cs="Times New Roman"/>
          <w:lang w:eastAsia="en-GB"/>
        </w:rPr>
        <w:t>2020</w:t>
      </w:r>
      <w:r>
        <w:rPr>
          <w:rFonts w:eastAsia="Times New Roman" w:cs="Times New Roman"/>
          <w:lang w:eastAsia="en-GB"/>
        </w:rPr>
        <w:t>)</w:t>
      </w:r>
      <w:r w:rsidRPr="006533FC">
        <w:rPr>
          <w:rFonts w:eastAsia="Times New Roman" w:cs="Times New Roman"/>
          <w:lang w:eastAsia="en-GB"/>
        </w:rPr>
        <w:t xml:space="preserve">. Global sustainability and responsibility in hotels and cruising industry. In </w:t>
      </w:r>
      <w:r w:rsidRPr="006533FC">
        <w:rPr>
          <w:rFonts w:eastAsia="Times New Roman" w:cs="Times New Roman"/>
          <w:i/>
          <w:iCs/>
          <w:lang w:eastAsia="en-GB"/>
        </w:rPr>
        <w:t>Proceedings of the International Conference on Business Excellence</w:t>
      </w:r>
      <w:r w:rsidRPr="006533FC">
        <w:rPr>
          <w:rFonts w:eastAsia="Times New Roman" w:cs="Times New Roman"/>
          <w:lang w:eastAsia="en-GB"/>
        </w:rPr>
        <w:t xml:space="preserve"> (Vol. 14, No. 1, pp. 306-315).</w:t>
      </w:r>
    </w:p>
    <w:p w14:paraId="4A755191" w14:textId="77777777" w:rsidR="002F258A" w:rsidRDefault="002F258A" w:rsidP="006533FC">
      <w:r>
        <w:t>Wickham, Donnelly, T., &amp; French, L. (2021). Strategic Sustainability Management in the Event Sector. Event Management, 25(3), 279–296.</w:t>
      </w:r>
    </w:p>
    <w:p w14:paraId="11C70D6E" w14:textId="77777777" w:rsidR="002F258A" w:rsidRDefault="002F258A" w:rsidP="006533FC">
      <w:r w:rsidRPr="00836D6F">
        <w:rPr>
          <w:rFonts w:eastAsia="Times New Roman" w:cs="Times New Roman"/>
          <w:lang w:eastAsia="en-GB"/>
        </w:rPr>
        <w:t>Yousaf, Z., Radulescu, M., Nassani, A., Aldakhil, A.M. and Jianu, E.</w:t>
      </w:r>
      <w:r>
        <w:rPr>
          <w:rFonts w:eastAsia="Times New Roman" w:cs="Times New Roman"/>
          <w:lang w:eastAsia="en-GB"/>
        </w:rPr>
        <w:t xml:space="preserve"> (</w:t>
      </w:r>
      <w:r w:rsidRPr="00836D6F">
        <w:rPr>
          <w:rFonts w:eastAsia="Times New Roman" w:cs="Times New Roman"/>
          <w:lang w:eastAsia="en-GB"/>
        </w:rPr>
        <w:t>2021</w:t>
      </w:r>
      <w:r>
        <w:rPr>
          <w:rFonts w:eastAsia="Times New Roman" w:cs="Times New Roman"/>
          <w:lang w:eastAsia="en-GB"/>
        </w:rPr>
        <w:t>)</w:t>
      </w:r>
      <w:r w:rsidRPr="00836D6F">
        <w:rPr>
          <w:rFonts w:eastAsia="Times New Roman" w:cs="Times New Roman"/>
          <w:lang w:eastAsia="en-GB"/>
        </w:rPr>
        <w:t xml:space="preserve">. Environmental management system towards environmental performance of hotel industry: does corporate social responsibility authenticity really matter?. </w:t>
      </w:r>
      <w:r w:rsidRPr="00836D6F">
        <w:rPr>
          <w:rFonts w:eastAsia="Times New Roman" w:cs="Times New Roman"/>
          <w:i/>
          <w:iCs/>
          <w:lang w:eastAsia="en-GB"/>
        </w:rPr>
        <w:t>Engineering Economics</w:t>
      </w:r>
      <w:r w:rsidRPr="00836D6F">
        <w:rPr>
          <w:rFonts w:eastAsia="Times New Roman" w:cs="Times New Roman"/>
          <w:lang w:eastAsia="en-GB"/>
        </w:rPr>
        <w:t xml:space="preserve">, </w:t>
      </w:r>
      <w:r w:rsidRPr="00836D6F">
        <w:rPr>
          <w:rFonts w:eastAsia="Times New Roman" w:cs="Times New Roman"/>
          <w:i/>
          <w:iCs/>
          <w:lang w:eastAsia="en-GB"/>
        </w:rPr>
        <w:t>32</w:t>
      </w:r>
      <w:r w:rsidRPr="00836D6F">
        <w:rPr>
          <w:rFonts w:eastAsia="Times New Roman" w:cs="Times New Roman"/>
          <w:lang w:eastAsia="en-GB"/>
        </w:rPr>
        <w:t>(5), pp.484-498.</w:t>
      </w:r>
    </w:p>
    <w:p w14:paraId="1C5B0211" w14:textId="77777777" w:rsidR="002F258A" w:rsidRPr="006533FC" w:rsidRDefault="002F258A" w:rsidP="006533FC">
      <w:r w:rsidRPr="006533FC">
        <w:rPr>
          <w:rFonts w:eastAsia="Times New Roman" w:cs="Times New Roman"/>
          <w:lang w:eastAsia="en-GB"/>
        </w:rPr>
        <w:lastRenderedPageBreak/>
        <w:t>Zientara, P., Bohdanowicz-Godfrey, P., Whitely, C. and Maciejewski, G.</w:t>
      </w:r>
      <w:r>
        <w:rPr>
          <w:rFonts w:eastAsia="Times New Roman" w:cs="Times New Roman"/>
          <w:lang w:eastAsia="en-GB"/>
        </w:rPr>
        <w:t xml:space="preserve"> (</w:t>
      </w:r>
      <w:r w:rsidRPr="006533FC">
        <w:rPr>
          <w:rFonts w:eastAsia="Times New Roman" w:cs="Times New Roman"/>
          <w:lang w:eastAsia="en-GB"/>
        </w:rPr>
        <w:t>2020</w:t>
      </w:r>
      <w:r>
        <w:rPr>
          <w:rFonts w:eastAsia="Times New Roman" w:cs="Times New Roman"/>
          <w:lang w:eastAsia="en-GB"/>
        </w:rPr>
        <w:t>)</w:t>
      </w:r>
      <w:r w:rsidRPr="006533FC">
        <w:rPr>
          <w:rFonts w:eastAsia="Times New Roman" w:cs="Times New Roman"/>
          <w:lang w:eastAsia="en-GB"/>
        </w:rPr>
        <w:t xml:space="preserve">. A case study of LightStay (2010–2017)—Hilton’s corporate responsibility management system. </w:t>
      </w:r>
      <w:r w:rsidRPr="006533FC">
        <w:rPr>
          <w:rFonts w:eastAsia="Times New Roman" w:cs="Times New Roman"/>
          <w:i/>
          <w:iCs/>
          <w:lang w:eastAsia="en-GB"/>
        </w:rPr>
        <w:t>Energies</w:t>
      </w:r>
      <w:r w:rsidRPr="006533FC">
        <w:rPr>
          <w:rFonts w:eastAsia="Times New Roman" w:cs="Times New Roman"/>
          <w:lang w:eastAsia="en-GB"/>
        </w:rPr>
        <w:t xml:space="preserve">, </w:t>
      </w:r>
      <w:r w:rsidRPr="006533FC">
        <w:rPr>
          <w:rFonts w:eastAsia="Times New Roman" w:cs="Times New Roman"/>
          <w:i/>
          <w:iCs/>
          <w:lang w:eastAsia="en-GB"/>
        </w:rPr>
        <w:t>13</w:t>
      </w:r>
      <w:r w:rsidRPr="006533FC">
        <w:rPr>
          <w:rFonts w:eastAsia="Times New Roman" w:cs="Times New Roman"/>
          <w:lang w:eastAsia="en-GB"/>
        </w:rPr>
        <w:t>(9), p.2303.</w:t>
      </w:r>
    </w:p>
    <w:p w14:paraId="55FD2200" w14:textId="77777777" w:rsidR="006533FC" w:rsidRDefault="006533FC" w:rsidP="006533FC"/>
    <w:sectPr w:rsidR="006533FC" w:rsidSect="002F258A">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592676" w14:textId="77777777" w:rsidR="001B556A" w:rsidRDefault="001B556A" w:rsidP="002F258A">
      <w:pPr>
        <w:spacing w:after="0" w:line="240" w:lineRule="auto"/>
      </w:pPr>
      <w:r>
        <w:separator/>
      </w:r>
    </w:p>
  </w:endnote>
  <w:endnote w:type="continuationSeparator" w:id="0">
    <w:p w14:paraId="65C1DA5C" w14:textId="77777777" w:rsidR="001B556A" w:rsidRDefault="001B556A" w:rsidP="002F2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3753070"/>
      <w:docPartObj>
        <w:docPartGallery w:val="Page Numbers (Bottom of Page)"/>
        <w:docPartUnique/>
      </w:docPartObj>
    </w:sdtPr>
    <w:sdtContent>
      <w:p w14:paraId="22234877" w14:textId="10E5EEEF" w:rsidR="002F258A" w:rsidRDefault="002F258A">
        <w:pPr>
          <w:pStyle w:val="Footer"/>
          <w:jc w:val="right"/>
        </w:pPr>
        <w:r>
          <w:fldChar w:fldCharType="begin"/>
        </w:r>
        <w:r>
          <w:instrText>PAGE   \* MERGEFORMAT</w:instrText>
        </w:r>
        <w:r>
          <w:fldChar w:fldCharType="separate"/>
        </w:r>
        <w:r>
          <w:t>2</w:t>
        </w:r>
        <w:r>
          <w:fldChar w:fldCharType="end"/>
        </w:r>
      </w:p>
    </w:sdtContent>
  </w:sdt>
  <w:p w14:paraId="3997C6EE" w14:textId="77777777" w:rsidR="002F258A" w:rsidRDefault="002F25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B08B84" w14:textId="77777777" w:rsidR="001B556A" w:rsidRDefault="001B556A" w:rsidP="002F258A">
      <w:pPr>
        <w:spacing w:after="0" w:line="240" w:lineRule="auto"/>
      </w:pPr>
      <w:r>
        <w:separator/>
      </w:r>
    </w:p>
  </w:footnote>
  <w:footnote w:type="continuationSeparator" w:id="0">
    <w:p w14:paraId="37AA1126" w14:textId="77777777" w:rsidR="001B556A" w:rsidRDefault="001B556A" w:rsidP="002F25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0MjUwNzeyMDMwsLRU0lEKTi0uzszPAykwqQUAdU/ocywAAAA="/>
  </w:docVars>
  <w:rsids>
    <w:rsidRoot w:val="00C853F0"/>
    <w:rsid w:val="000126C1"/>
    <w:rsid w:val="000345A9"/>
    <w:rsid w:val="00061C7B"/>
    <w:rsid w:val="00062ED8"/>
    <w:rsid w:val="0008452C"/>
    <w:rsid w:val="000A5EEE"/>
    <w:rsid w:val="000E4457"/>
    <w:rsid w:val="000E5953"/>
    <w:rsid w:val="0011341F"/>
    <w:rsid w:val="00114EAC"/>
    <w:rsid w:val="00134FDB"/>
    <w:rsid w:val="00151172"/>
    <w:rsid w:val="00162895"/>
    <w:rsid w:val="001747A4"/>
    <w:rsid w:val="00177D24"/>
    <w:rsid w:val="001A75A2"/>
    <w:rsid w:val="001B556A"/>
    <w:rsid w:val="001D6733"/>
    <w:rsid w:val="001E2935"/>
    <w:rsid w:val="001F497F"/>
    <w:rsid w:val="00200E68"/>
    <w:rsid w:val="002070C8"/>
    <w:rsid w:val="002075FB"/>
    <w:rsid w:val="00214C52"/>
    <w:rsid w:val="00245BCB"/>
    <w:rsid w:val="0025161C"/>
    <w:rsid w:val="00256913"/>
    <w:rsid w:val="00275722"/>
    <w:rsid w:val="0029739B"/>
    <w:rsid w:val="002A0C92"/>
    <w:rsid w:val="002A3081"/>
    <w:rsid w:val="002D2820"/>
    <w:rsid w:val="002E5D5F"/>
    <w:rsid w:val="002E73F9"/>
    <w:rsid w:val="002F258A"/>
    <w:rsid w:val="002F3BEE"/>
    <w:rsid w:val="00302487"/>
    <w:rsid w:val="00302FC8"/>
    <w:rsid w:val="00304CB5"/>
    <w:rsid w:val="00305480"/>
    <w:rsid w:val="003579DC"/>
    <w:rsid w:val="00390064"/>
    <w:rsid w:val="00392957"/>
    <w:rsid w:val="003C4525"/>
    <w:rsid w:val="0042520F"/>
    <w:rsid w:val="00436E95"/>
    <w:rsid w:val="00440A43"/>
    <w:rsid w:val="00441142"/>
    <w:rsid w:val="00456BBF"/>
    <w:rsid w:val="00457823"/>
    <w:rsid w:val="0047123F"/>
    <w:rsid w:val="00483E85"/>
    <w:rsid w:val="0049341D"/>
    <w:rsid w:val="004A19D4"/>
    <w:rsid w:val="004A4015"/>
    <w:rsid w:val="004C660A"/>
    <w:rsid w:val="004F013E"/>
    <w:rsid w:val="00501953"/>
    <w:rsid w:val="00506E49"/>
    <w:rsid w:val="00567470"/>
    <w:rsid w:val="0057689B"/>
    <w:rsid w:val="00580126"/>
    <w:rsid w:val="00584E87"/>
    <w:rsid w:val="005A3D2B"/>
    <w:rsid w:val="005E163D"/>
    <w:rsid w:val="00600C00"/>
    <w:rsid w:val="00614381"/>
    <w:rsid w:val="00623DAB"/>
    <w:rsid w:val="006452E7"/>
    <w:rsid w:val="00645DA3"/>
    <w:rsid w:val="006533FC"/>
    <w:rsid w:val="0065507C"/>
    <w:rsid w:val="006A0D28"/>
    <w:rsid w:val="006E1720"/>
    <w:rsid w:val="006E6EDB"/>
    <w:rsid w:val="006F6B1D"/>
    <w:rsid w:val="00730A50"/>
    <w:rsid w:val="007429D6"/>
    <w:rsid w:val="00761944"/>
    <w:rsid w:val="0078577D"/>
    <w:rsid w:val="007B0062"/>
    <w:rsid w:val="007B0621"/>
    <w:rsid w:val="007D10BB"/>
    <w:rsid w:val="007E62ED"/>
    <w:rsid w:val="007F763E"/>
    <w:rsid w:val="00836D6F"/>
    <w:rsid w:val="00865DD8"/>
    <w:rsid w:val="008A2730"/>
    <w:rsid w:val="008B31C4"/>
    <w:rsid w:val="008B3FA8"/>
    <w:rsid w:val="008B63CE"/>
    <w:rsid w:val="008E011E"/>
    <w:rsid w:val="008F57FD"/>
    <w:rsid w:val="00912AA3"/>
    <w:rsid w:val="00923933"/>
    <w:rsid w:val="00936203"/>
    <w:rsid w:val="00951701"/>
    <w:rsid w:val="00971A42"/>
    <w:rsid w:val="00974C71"/>
    <w:rsid w:val="00986107"/>
    <w:rsid w:val="00996A89"/>
    <w:rsid w:val="009A490B"/>
    <w:rsid w:val="009A6756"/>
    <w:rsid w:val="009E0F70"/>
    <w:rsid w:val="00A26AA9"/>
    <w:rsid w:val="00A3518A"/>
    <w:rsid w:val="00A41D77"/>
    <w:rsid w:val="00A47FC8"/>
    <w:rsid w:val="00A527EA"/>
    <w:rsid w:val="00A60A01"/>
    <w:rsid w:val="00A818AC"/>
    <w:rsid w:val="00A91342"/>
    <w:rsid w:val="00A95FBE"/>
    <w:rsid w:val="00AA17CA"/>
    <w:rsid w:val="00AF2E02"/>
    <w:rsid w:val="00B00B94"/>
    <w:rsid w:val="00B10F98"/>
    <w:rsid w:val="00B11B11"/>
    <w:rsid w:val="00B137A7"/>
    <w:rsid w:val="00B31D4C"/>
    <w:rsid w:val="00B3212E"/>
    <w:rsid w:val="00B76D45"/>
    <w:rsid w:val="00B846E0"/>
    <w:rsid w:val="00BE473F"/>
    <w:rsid w:val="00BE7421"/>
    <w:rsid w:val="00BF051A"/>
    <w:rsid w:val="00BF37C8"/>
    <w:rsid w:val="00C64C2F"/>
    <w:rsid w:val="00C835FE"/>
    <w:rsid w:val="00C853F0"/>
    <w:rsid w:val="00C87761"/>
    <w:rsid w:val="00CA76F7"/>
    <w:rsid w:val="00CC1D1E"/>
    <w:rsid w:val="00CD2122"/>
    <w:rsid w:val="00CD5EF6"/>
    <w:rsid w:val="00CE0CA3"/>
    <w:rsid w:val="00CE7D0F"/>
    <w:rsid w:val="00D124A6"/>
    <w:rsid w:val="00D60B38"/>
    <w:rsid w:val="00D97012"/>
    <w:rsid w:val="00DB0174"/>
    <w:rsid w:val="00DE1F4B"/>
    <w:rsid w:val="00DF13A4"/>
    <w:rsid w:val="00E27AE6"/>
    <w:rsid w:val="00E34506"/>
    <w:rsid w:val="00EA67AC"/>
    <w:rsid w:val="00EA7AED"/>
    <w:rsid w:val="00EB43F3"/>
    <w:rsid w:val="00EB5433"/>
    <w:rsid w:val="00EF2FF9"/>
    <w:rsid w:val="00F011CF"/>
    <w:rsid w:val="00F162EC"/>
    <w:rsid w:val="00F27A55"/>
    <w:rsid w:val="00F35FD5"/>
    <w:rsid w:val="00F63CE6"/>
    <w:rsid w:val="00FA34B2"/>
    <w:rsid w:val="00FB28DE"/>
    <w:rsid w:val="00FB6238"/>
    <w:rsid w:val="00FD2A99"/>
    <w:rsid w:val="00FD36EE"/>
    <w:rsid w:val="00FE08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7B4A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7E62E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semiHidden/>
    <w:unhideWhenUsed/>
    <w:qFormat/>
    <w:rsid w:val="00C853F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853F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853F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53F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53F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53F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E62ED"/>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semiHidden/>
    <w:rsid w:val="00C853F0"/>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C853F0"/>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C853F0"/>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C853F0"/>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C853F0"/>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C853F0"/>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C85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53F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C853F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53F0"/>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C853F0"/>
    <w:pPr>
      <w:spacing w:before="160"/>
      <w:jc w:val="center"/>
    </w:pPr>
    <w:rPr>
      <w:i/>
      <w:iCs/>
      <w:color w:val="404040" w:themeColor="text1" w:themeTint="BF"/>
    </w:rPr>
  </w:style>
  <w:style w:type="character" w:customStyle="1" w:styleId="QuoteChar">
    <w:name w:val="Quote Char"/>
    <w:basedOn w:val="DefaultParagraphFont"/>
    <w:link w:val="Quote"/>
    <w:uiPriority w:val="29"/>
    <w:rsid w:val="00C853F0"/>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C853F0"/>
    <w:pPr>
      <w:ind w:left="720"/>
      <w:contextualSpacing/>
    </w:pPr>
  </w:style>
  <w:style w:type="character" w:styleId="IntenseEmphasis">
    <w:name w:val="Intense Emphasis"/>
    <w:basedOn w:val="DefaultParagraphFont"/>
    <w:uiPriority w:val="21"/>
    <w:qFormat/>
    <w:rsid w:val="00C853F0"/>
    <w:rPr>
      <w:i/>
      <w:iCs/>
      <w:color w:val="0F4761" w:themeColor="accent1" w:themeShade="BF"/>
    </w:rPr>
  </w:style>
  <w:style w:type="paragraph" w:styleId="IntenseQuote">
    <w:name w:val="Intense Quote"/>
    <w:basedOn w:val="Normal"/>
    <w:next w:val="Normal"/>
    <w:link w:val="IntenseQuoteChar"/>
    <w:uiPriority w:val="30"/>
    <w:qFormat/>
    <w:rsid w:val="00C853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53F0"/>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C853F0"/>
    <w:rPr>
      <w:b/>
      <w:bCs/>
      <w:smallCaps/>
      <w:color w:val="0F4761" w:themeColor="accent1" w:themeShade="BF"/>
      <w:spacing w:val="5"/>
    </w:rPr>
  </w:style>
  <w:style w:type="paragraph" w:styleId="NormalWeb">
    <w:name w:val="Normal (Web)"/>
    <w:basedOn w:val="Normal"/>
    <w:uiPriority w:val="99"/>
    <w:semiHidden/>
    <w:unhideWhenUsed/>
    <w:rsid w:val="006533FC"/>
    <w:pPr>
      <w:spacing w:before="100" w:beforeAutospacing="1" w:after="100" w:afterAutospacing="1" w:line="240" w:lineRule="auto"/>
      <w:jc w:val="left"/>
    </w:pPr>
    <w:rPr>
      <w:rFonts w:eastAsia="Times New Roman" w:cs="Times New Roman"/>
      <w:lang w:eastAsia="en-GB"/>
    </w:rPr>
  </w:style>
  <w:style w:type="paragraph" w:styleId="Header">
    <w:name w:val="header"/>
    <w:basedOn w:val="Normal"/>
    <w:link w:val="HeaderChar"/>
    <w:uiPriority w:val="99"/>
    <w:unhideWhenUsed/>
    <w:rsid w:val="002F2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58A"/>
    <w:rPr>
      <w:rFonts w:ascii="Times New Roman" w:hAnsi="Times New Roman"/>
      <w:sz w:val="24"/>
      <w:szCs w:val="24"/>
      <w14:ligatures w14:val="none"/>
    </w:rPr>
  </w:style>
  <w:style w:type="paragraph" w:styleId="Footer">
    <w:name w:val="footer"/>
    <w:basedOn w:val="Normal"/>
    <w:link w:val="FooterChar"/>
    <w:uiPriority w:val="99"/>
    <w:unhideWhenUsed/>
    <w:rsid w:val="002F2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58A"/>
    <w:rPr>
      <w:rFonts w:ascii="Times New Roman" w:hAnsi="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127764">
      <w:bodyDiv w:val="1"/>
      <w:marLeft w:val="0"/>
      <w:marRight w:val="0"/>
      <w:marTop w:val="0"/>
      <w:marBottom w:val="0"/>
      <w:divBdr>
        <w:top w:val="none" w:sz="0" w:space="0" w:color="auto"/>
        <w:left w:val="none" w:sz="0" w:space="0" w:color="auto"/>
        <w:bottom w:val="none" w:sz="0" w:space="0" w:color="auto"/>
        <w:right w:val="none" w:sz="0" w:space="0" w:color="auto"/>
      </w:divBdr>
      <w:divsChild>
        <w:div w:id="1120757424">
          <w:marLeft w:val="0"/>
          <w:marRight w:val="0"/>
          <w:marTop w:val="0"/>
          <w:marBottom w:val="0"/>
          <w:divBdr>
            <w:top w:val="none" w:sz="0" w:space="0" w:color="auto"/>
            <w:left w:val="none" w:sz="0" w:space="0" w:color="auto"/>
            <w:bottom w:val="none" w:sz="0" w:space="0" w:color="auto"/>
            <w:right w:val="none" w:sz="0" w:space="0" w:color="auto"/>
          </w:divBdr>
        </w:div>
      </w:divsChild>
    </w:div>
    <w:div w:id="497890867">
      <w:bodyDiv w:val="1"/>
      <w:marLeft w:val="0"/>
      <w:marRight w:val="0"/>
      <w:marTop w:val="0"/>
      <w:marBottom w:val="0"/>
      <w:divBdr>
        <w:top w:val="none" w:sz="0" w:space="0" w:color="auto"/>
        <w:left w:val="none" w:sz="0" w:space="0" w:color="auto"/>
        <w:bottom w:val="none" w:sz="0" w:space="0" w:color="auto"/>
        <w:right w:val="none" w:sz="0" w:space="0" w:color="auto"/>
      </w:divBdr>
      <w:divsChild>
        <w:div w:id="1962422830">
          <w:marLeft w:val="0"/>
          <w:marRight w:val="0"/>
          <w:marTop w:val="0"/>
          <w:marBottom w:val="0"/>
          <w:divBdr>
            <w:top w:val="none" w:sz="0" w:space="0" w:color="auto"/>
            <w:left w:val="none" w:sz="0" w:space="0" w:color="auto"/>
            <w:bottom w:val="none" w:sz="0" w:space="0" w:color="auto"/>
            <w:right w:val="none" w:sz="0" w:space="0" w:color="auto"/>
          </w:divBdr>
        </w:div>
      </w:divsChild>
    </w:div>
    <w:div w:id="666052719">
      <w:bodyDiv w:val="1"/>
      <w:marLeft w:val="0"/>
      <w:marRight w:val="0"/>
      <w:marTop w:val="0"/>
      <w:marBottom w:val="0"/>
      <w:divBdr>
        <w:top w:val="none" w:sz="0" w:space="0" w:color="auto"/>
        <w:left w:val="none" w:sz="0" w:space="0" w:color="auto"/>
        <w:bottom w:val="none" w:sz="0" w:space="0" w:color="auto"/>
        <w:right w:val="none" w:sz="0" w:space="0" w:color="auto"/>
      </w:divBdr>
    </w:div>
    <w:div w:id="701058880">
      <w:bodyDiv w:val="1"/>
      <w:marLeft w:val="0"/>
      <w:marRight w:val="0"/>
      <w:marTop w:val="0"/>
      <w:marBottom w:val="0"/>
      <w:divBdr>
        <w:top w:val="none" w:sz="0" w:space="0" w:color="auto"/>
        <w:left w:val="none" w:sz="0" w:space="0" w:color="auto"/>
        <w:bottom w:val="none" w:sz="0" w:space="0" w:color="auto"/>
        <w:right w:val="none" w:sz="0" w:space="0" w:color="auto"/>
      </w:divBdr>
      <w:divsChild>
        <w:div w:id="1385908313">
          <w:marLeft w:val="0"/>
          <w:marRight w:val="0"/>
          <w:marTop w:val="0"/>
          <w:marBottom w:val="0"/>
          <w:divBdr>
            <w:top w:val="none" w:sz="0" w:space="0" w:color="auto"/>
            <w:left w:val="none" w:sz="0" w:space="0" w:color="auto"/>
            <w:bottom w:val="none" w:sz="0" w:space="0" w:color="auto"/>
            <w:right w:val="none" w:sz="0" w:space="0" w:color="auto"/>
          </w:divBdr>
        </w:div>
      </w:divsChild>
    </w:div>
    <w:div w:id="726489551">
      <w:bodyDiv w:val="1"/>
      <w:marLeft w:val="0"/>
      <w:marRight w:val="0"/>
      <w:marTop w:val="0"/>
      <w:marBottom w:val="0"/>
      <w:divBdr>
        <w:top w:val="none" w:sz="0" w:space="0" w:color="auto"/>
        <w:left w:val="none" w:sz="0" w:space="0" w:color="auto"/>
        <w:bottom w:val="none" w:sz="0" w:space="0" w:color="auto"/>
        <w:right w:val="none" w:sz="0" w:space="0" w:color="auto"/>
      </w:divBdr>
      <w:divsChild>
        <w:div w:id="1857957475">
          <w:marLeft w:val="0"/>
          <w:marRight w:val="0"/>
          <w:marTop w:val="0"/>
          <w:marBottom w:val="0"/>
          <w:divBdr>
            <w:top w:val="none" w:sz="0" w:space="0" w:color="auto"/>
            <w:left w:val="none" w:sz="0" w:space="0" w:color="auto"/>
            <w:bottom w:val="none" w:sz="0" w:space="0" w:color="auto"/>
            <w:right w:val="none" w:sz="0" w:space="0" w:color="auto"/>
          </w:divBdr>
        </w:div>
      </w:divsChild>
    </w:div>
    <w:div w:id="859781876">
      <w:bodyDiv w:val="1"/>
      <w:marLeft w:val="0"/>
      <w:marRight w:val="0"/>
      <w:marTop w:val="0"/>
      <w:marBottom w:val="0"/>
      <w:divBdr>
        <w:top w:val="none" w:sz="0" w:space="0" w:color="auto"/>
        <w:left w:val="none" w:sz="0" w:space="0" w:color="auto"/>
        <w:bottom w:val="none" w:sz="0" w:space="0" w:color="auto"/>
        <w:right w:val="none" w:sz="0" w:space="0" w:color="auto"/>
      </w:divBdr>
      <w:divsChild>
        <w:div w:id="650912428">
          <w:marLeft w:val="0"/>
          <w:marRight w:val="0"/>
          <w:marTop w:val="0"/>
          <w:marBottom w:val="0"/>
          <w:divBdr>
            <w:top w:val="none" w:sz="0" w:space="0" w:color="auto"/>
            <w:left w:val="none" w:sz="0" w:space="0" w:color="auto"/>
            <w:bottom w:val="none" w:sz="0" w:space="0" w:color="auto"/>
            <w:right w:val="none" w:sz="0" w:space="0" w:color="auto"/>
          </w:divBdr>
        </w:div>
      </w:divsChild>
    </w:div>
    <w:div w:id="887187232">
      <w:bodyDiv w:val="1"/>
      <w:marLeft w:val="0"/>
      <w:marRight w:val="0"/>
      <w:marTop w:val="0"/>
      <w:marBottom w:val="0"/>
      <w:divBdr>
        <w:top w:val="none" w:sz="0" w:space="0" w:color="auto"/>
        <w:left w:val="none" w:sz="0" w:space="0" w:color="auto"/>
        <w:bottom w:val="none" w:sz="0" w:space="0" w:color="auto"/>
        <w:right w:val="none" w:sz="0" w:space="0" w:color="auto"/>
      </w:divBdr>
      <w:divsChild>
        <w:div w:id="159661949">
          <w:marLeft w:val="0"/>
          <w:marRight w:val="0"/>
          <w:marTop w:val="0"/>
          <w:marBottom w:val="0"/>
          <w:divBdr>
            <w:top w:val="none" w:sz="0" w:space="0" w:color="auto"/>
            <w:left w:val="none" w:sz="0" w:space="0" w:color="auto"/>
            <w:bottom w:val="none" w:sz="0" w:space="0" w:color="auto"/>
            <w:right w:val="none" w:sz="0" w:space="0" w:color="auto"/>
          </w:divBdr>
        </w:div>
      </w:divsChild>
    </w:div>
    <w:div w:id="959607592">
      <w:bodyDiv w:val="1"/>
      <w:marLeft w:val="0"/>
      <w:marRight w:val="0"/>
      <w:marTop w:val="0"/>
      <w:marBottom w:val="0"/>
      <w:divBdr>
        <w:top w:val="none" w:sz="0" w:space="0" w:color="auto"/>
        <w:left w:val="none" w:sz="0" w:space="0" w:color="auto"/>
        <w:bottom w:val="none" w:sz="0" w:space="0" w:color="auto"/>
        <w:right w:val="none" w:sz="0" w:space="0" w:color="auto"/>
      </w:divBdr>
      <w:divsChild>
        <w:div w:id="502400015">
          <w:marLeft w:val="0"/>
          <w:marRight w:val="0"/>
          <w:marTop w:val="0"/>
          <w:marBottom w:val="0"/>
          <w:divBdr>
            <w:top w:val="none" w:sz="0" w:space="0" w:color="auto"/>
            <w:left w:val="none" w:sz="0" w:space="0" w:color="auto"/>
            <w:bottom w:val="none" w:sz="0" w:space="0" w:color="auto"/>
            <w:right w:val="none" w:sz="0" w:space="0" w:color="auto"/>
          </w:divBdr>
        </w:div>
      </w:divsChild>
    </w:div>
    <w:div w:id="1037123280">
      <w:bodyDiv w:val="1"/>
      <w:marLeft w:val="0"/>
      <w:marRight w:val="0"/>
      <w:marTop w:val="0"/>
      <w:marBottom w:val="0"/>
      <w:divBdr>
        <w:top w:val="none" w:sz="0" w:space="0" w:color="auto"/>
        <w:left w:val="none" w:sz="0" w:space="0" w:color="auto"/>
        <w:bottom w:val="none" w:sz="0" w:space="0" w:color="auto"/>
        <w:right w:val="none" w:sz="0" w:space="0" w:color="auto"/>
      </w:divBdr>
      <w:divsChild>
        <w:div w:id="375085064">
          <w:marLeft w:val="0"/>
          <w:marRight w:val="0"/>
          <w:marTop w:val="0"/>
          <w:marBottom w:val="0"/>
          <w:divBdr>
            <w:top w:val="none" w:sz="0" w:space="0" w:color="auto"/>
            <w:left w:val="none" w:sz="0" w:space="0" w:color="auto"/>
            <w:bottom w:val="none" w:sz="0" w:space="0" w:color="auto"/>
            <w:right w:val="none" w:sz="0" w:space="0" w:color="auto"/>
          </w:divBdr>
        </w:div>
      </w:divsChild>
    </w:div>
    <w:div w:id="1044452840">
      <w:bodyDiv w:val="1"/>
      <w:marLeft w:val="0"/>
      <w:marRight w:val="0"/>
      <w:marTop w:val="0"/>
      <w:marBottom w:val="0"/>
      <w:divBdr>
        <w:top w:val="none" w:sz="0" w:space="0" w:color="auto"/>
        <w:left w:val="none" w:sz="0" w:space="0" w:color="auto"/>
        <w:bottom w:val="none" w:sz="0" w:space="0" w:color="auto"/>
        <w:right w:val="none" w:sz="0" w:space="0" w:color="auto"/>
      </w:divBdr>
      <w:divsChild>
        <w:div w:id="777333458">
          <w:marLeft w:val="0"/>
          <w:marRight w:val="0"/>
          <w:marTop w:val="0"/>
          <w:marBottom w:val="0"/>
          <w:divBdr>
            <w:top w:val="none" w:sz="0" w:space="0" w:color="auto"/>
            <w:left w:val="none" w:sz="0" w:space="0" w:color="auto"/>
            <w:bottom w:val="none" w:sz="0" w:space="0" w:color="auto"/>
            <w:right w:val="none" w:sz="0" w:space="0" w:color="auto"/>
          </w:divBdr>
        </w:div>
      </w:divsChild>
    </w:div>
    <w:div w:id="1088231722">
      <w:bodyDiv w:val="1"/>
      <w:marLeft w:val="0"/>
      <w:marRight w:val="0"/>
      <w:marTop w:val="0"/>
      <w:marBottom w:val="0"/>
      <w:divBdr>
        <w:top w:val="none" w:sz="0" w:space="0" w:color="auto"/>
        <w:left w:val="none" w:sz="0" w:space="0" w:color="auto"/>
        <w:bottom w:val="none" w:sz="0" w:space="0" w:color="auto"/>
        <w:right w:val="none" w:sz="0" w:space="0" w:color="auto"/>
      </w:divBdr>
      <w:divsChild>
        <w:div w:id="12807144">
          <w:marLeft w:val="0"/>
          <w:marRight w:val="0"/>
          <w:marTop w:val="0"/>
          <w:marBottom w:val="0"/>
          <w:divBdr>
            <w:top w:val="none" w:sz="0" w:space="0" w:color="auto"/>
            <w:left w:val="none" w:sz="0" w:space="0" w:color="auto"/>
            <w:bottom w:val="none" w:sz="0" w:space="0" w:color="auto"/>
            <w:right w:val="none" w:sz="0" w:space="0" w:color="auto"/>
          </w:divBdr>
        </w:div>
      </w:divsChild>
    </w:div>
    <w:div w:id="1316299053">
      <w:bodyDiv w:val="1"/>
      <w:marLeft w:val="0"/>
      <w:marRight w:val="0"/>
      <w:marTop w:val="0"/>
      <w:marBottom w:val="0"/>
      <w:divBdr>
        <w:top w:val="none" w:sz="0" w:space="0" w:color="auto"/>
        <w:left w:val="none" w:sz="0" w:space="0" w:color="auto"/>
        <w:bottom w:val="none" w:sz="0" w:space="0" w:color="auto"/>
        <w:right w:val="none" w:sz="0" w:space="0" w:color="auto"/>
      </w:divBdr>
      <w:divsChild>
        <w:div w:id="1869222919">
          <w:marLeft w:val="0"/>
          <w:marRight w:val="0"/>
          <w:marTop w:val="0"/>
          <w:marBottom w:val="0"/>
          <w:divBdr>
            <w:top w:val="none" w:sz="0" w:space="0" w:color="auto"/>
            <w:left w:val="none" w:sz="0" w:space="0" w:color="auto"/>
            <w:bottom w:val="none" w:sz="0" w:space="0" w:color="auto"/>
            <w:right w:val="none" w:sz="0" w:space="0" w:color="auto"/>
          </w:divBdr>
        </w:div>
      </w:divsChild>
    </w:div>
    <w:div w:id="1540167410">
      <w:bodyDiv w:val="1"/>
      <w:marLeft w:val="0"/>
      <w:marRight w:val="0"/>
      <w:marTop w:val="0"/>
      <w:marBottom w:val="0"/>
      <w:divBdr>
        <w:top w:val="none" w:sz="0" w:space="0" w:color="auto"/>
        <w:left w:val="none" w:sz="0" w:space="0" w:color="auto"/>
        <w:bottom w:val="none" w:sz="0" w:space="0" w:color="auto"/>
        <w:right w:val="none" w:sz="0" w:space="0" w:color="auto"/>
      </w:divBdr>
      <w:divsChild>
        <w:div w:id="1154176338">
          <w:marLeft w:val="0"/>
          <w:marRight w:val="0"/>
          <w:marTop w:val="0"/>
          <w:marBottom w:val="0"/>
          <w:divBdr>
            <w:top w:val="none" w:sz="0" w:space="0" w:color="auto"/>
            <w:left w:val="none" w:sz="0" w:space="0" w:color="auto"/>
            <w:bottom w:val="none" w:sz="0" w:space="0" w:color="auto"/>
            <w:right w:val="none" w:sz="0" w:space="0" w:color="auto"/>
          </w:divBdr>
        </w:div>
      </w:divsChild>
    </w:div>
    <w:div w:id="1586258238">
      <w:bodyDiv w:val="1"/>
      <w:marLeft w:val="0"/>
      <w:marRight w:val="0"/>
      <w:marTop w:val="0"/>
      <w:marBottom w:val="0"/>
      <w:divBdr>
        <w:top w:val="none" w:sz="0" w:space="0" w:color="auto"/>
        <w:left w:val="none" w:sz="0" w:space="0" w:color="auto"/>
        <w:bottom w:val="none" w:sz="0" w:space="0" w:color="auto"/>
        <w:right w:val="none" w:sz="0" w:space="0" w:color="auto"/>
      </w:divBdr>
      <w:divsChild>
        <w:div w:id="518591382">
          <w:marLeft w:val="0"/>
          <w:marRight w:val="0"/>
          <w:marTop w:val="0"/>
          <w:marBottom w:val="0"/>
          <w:divBdr>
            <w:top w:val="none" w:sz="0" w:space="0" w:color="auto"/>
            <w:left w:val="none" w:sz="0" w:space="0" w:color="auto"/>
            <w:bottom w:val="none" w:sz="0" w:space="0" w:color="auto"/>
            <w:right w:val="none" w:sz="0" w:space="0" w:color="auto"/>
          </w:divBdr>
        </w:div>
      </w:divsChild>
    </w:div>
    <w:div w:id="2038003467">
      <w:bodyDiv w:val="1"/>
      <w:marLeft w:val="0"/>
      <w:marRight w:val="0"/>
      <w:marTop w:val="0"/>
      <w:marBottom w:val="0"/>
      <w:divBdr>
        <w:top w:val="none" w:sz="0" w:space="0" w:color="auto"/>
        <w:left w:val="none" w:sz="0" w:space="0" w:color="auto"/>
        <w:bottom w:val="none" w:sz="0" w:space="0" w:color="auto"/>
        <w:right w:val="none" w:sz="0" w:space="0" w:color="auto"/>
      </w:divBdr>
      <w:divsChild>
        <w:div w:id="4933794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1FA6D-2D68-4261-8DF7-7CFBFAB48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2772</Words>
  <Characters>15805</Characters>
  <Application>Microsoft Office Word</Application>
  <DocSecurity>0</DocSecurity>
  <Lines>131</Lines>
  <Paragraphs>37</Paragraphs>
  <ScaleCrop>false</ScaleCrop>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2024-05-12T23:43:00Z</dcterms:created>
  <dcterms:modified xsi:type="dcterms:W3CDTF">2024-05-12T23:50:00Z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2024-05-12T11:23:29Z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08ea115a-e83d-46cb-a3c3-8702b9940ede</vt:lpwstr>
  </property>
  <property fmtid="{D5CDD505-2E9C-101B-9397-08002B2CF9AE}" pid="8" name="MSIP_Label_defa4170-0d19-0005-0004-bc88714345d2_ContentBits">
    <vt:lpwstr>0</vt:lpwstr>
  </property>
</Properties>
</file>