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31367500" w14:textId="34849822" w:rsidR="0024281D" w:rsidRPr="000E5BAE" w:rsidRDefault="008375B5" w:rsidP="0024281D">
      <w:pPr>
        <w:rPr>
          <w:rFonts w:asciiTheme="majorHAnsi" w:eastAsiaTheme="majorEastAsia" w:hAnsiTheme="majorHAnsi" w:cstheme="majorBidi"/>
          <w:b/>
          <w:bCs/>
          <w:sz w:val="28"/>
          <w:szCs w:val="28"/>
        </w:rPr>
      </w:pPr>
      <w:r>
        <w:rPr>
          <w:rFonts w:ascii="Arial" w:hAnsi="Arial" w:cs="Arial"/>
          <w:b/>
          <w:bCs/>
          <w:color w:val="000000"/>
          <w:sz w:val="32"/>
          <w:szCs w:val="32"/>
        </w:rPr>
        <w:t>Component 1:</w:t>
      </w:r>
    </w:p>
    <w:p w14:paraId="09EDD2AC" w14:textId="6AFCC3E9"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 xml:space="preserve"> </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3D0B427A"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B702F4">
        <w:rPr>
          <w:rStyle w:val="Strong"/>
          <w:rFonts w:ascii="Arial" w:hAnsi="Arial" w:cs="Arial"/>
          <w:color w:val="1D2125"/>
          <w:sz w:val="32"/>
          <w:szCs w:val="32"/>
        </w:rPr>
        <w:t xml:space="preserve"> Patricia Amofa</w:t>
      </w:r>
    </w:p>
    <w:p w14:paraId="227AC82E" w14:textId="23F2435D"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B702F4">
        <w:rPr>
          <w:rStyle w:val="Strong"/>
          <w:rFonts w:ascii="Arial" w:hAnsi="Arial" w:cs="Arial"/>
          <w:color w:val="1D2125"/>
          <w:sz w:val="32"/>
          <w:szCs w:val="32"/>
        </w:rPr>
        <w:t xml:space="preserve"> 2315962</w:t>
      </w:r>
    </w:p>
    <w:p w14:paraId="5B5E64AD" w14:textId="2139266D"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B702F4">
        <w:rPr>
          <w:rStyle w:val="Strong"/>
          <w:rFonts w:ascii="Arial" w:hAnsi="Arial" w:cs="Arial"/>
          <w:color w:val="1D2125"/>
          <w:sz w:val="32"/>
          <w:szCs w:val="32"/>
        </w:rPr>
        <w:t xml:space="preserve"> Shepherd Ziko</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77777777" w:rsidR="008375B5" w:rsidRP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t>Table of contents</w:t>
      </w:r>
    </w:p>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4A7FEE43" w14:textId="00AF6DF7" w:rsidR="00111F3A" w:rsidRDefault="00111F3A" w:rsidP="00B702F4">
      <w:pPr>
        <w:numPr>
          <w:ilvl w:val="0"/>
          <w:numId w:val="9"/>
        </w:numPr>
        <w:spacing w:after="200" w:line="276" w:lineRule="auto"/>
        <w:rPr>
          <w:rFonts w:asciiTheme="majorHAnsi" w:eastAsiaTheme="majorEastAsia" w:hAnsiTheme="majorHAnsi" w:cstheme="majorBidi"/>
          <w:b/>
          <w:bCs/>
          <w:sz w:val="28"/>
          <w:szCs w:val="28"/>
        </w:rPr>
      </w:pPr>
      <w:r>
        <w:rPr>
          <w:rFonts w:asciiTheme="majorHAnsi" w:eastAsiaTheme="majorEastAsia" w:hAnsiTheme="majorHAnsi" w:cstheme="majorBidi"/>
          <w:b/>
          <w:bCs/>
          <w:sz w:val="28"/>
          <w:szCs w:val="28"/>
        </w:rPr>
        <w:t>AI Acknowledgment</w:t>
      </w:r>
      <w:r w:rsidR="005C3516">
        <w:rPr>
          <w:rFonts w:asciiTheme="majorHAnsi" w:eastAsiaTheme="majorEastAsia" w:hAnsiTheme="majorHAnsi" w:cstheme="majorBidi"/>
          <w:b/>
          <w:bCs/>
          <w:sz w:val="28"/>
          <w:szCs w:val="28"/>
        </w:rPr>
        <w:t xml:space="preserve"> ___________________________________3</w:t>
      </w:r>
    </w:p>
    <w:p w14:paraId="05AAEAEA" w14:textId="3A862930" w:rsidR="00B702F4" w:rsidRPr="00B702F4" w:rsidRDefault="00B702F4" w:rsidP="00B702F4">
      <w:pPr>
        <w:numPr>
          <w:ilvl w:val="0"/>
          <w:numId w:val="9"/>
        </w:numPr>
        <w:spacing w:after="200" w:line="276" w:lineRule="auto"/>
        <w:rPr>
          <w:rFonts w:asciiTheme="majorHAnsi" w:eastAsiaTheme="majorEastAsia" w:hAnsiTheme="majorHAnsi" w:cstheme="majorBidi"/>
          <w:b/>
          <w:bCs/>
          <w:sz w:val="28"/>
          <w:szCs w:val="28"/>
        </w:rPr>
      </w:pPr>
      <w:r w:rsidRPr="00B702F4">
        <w:rPr>
          <w:rFonts w:asciiTheme="majorHAnsi" w:eastAsiaTheme="majorEastAsia" w:hAnsiTheme="majorHAnsi" w:cstheme="majorBidi"/>
          <w:b/>
          <w:bCs/>
          <w:sz w:val="28"/>
          <w:szCs w:val="28"/>
        </w:rPr>
        <w:t>Introduction</w:t>
      </w:r>
      <w:r w:rsidR="005C3516">
        <w:rPr>
          <w:rFonts w:asciiTheme="majorHAnsi" w:eastAsiaTheme="majorEastAsia" w:hAnsiTheme="majorHAnsi" w:cstheme="majorBidi"/>
          <w:b/>
          <w:bCs/>
          <w:sz w:val="28"/>
          <w:szCs w:val="28"/>
        </w:rPr>
        <w:t xml:space="preserve"> __________________________________________3</w:t>
      </w:r>
    </w:p>
    <w:p w14:paraId="0902B661" w14:textId="1A3DE40C" w:rsidR="00B702F4" w:rsidRPr="00B702F4" w:rsidRDefault="00B702F4" w:rsidP="00B702F4">
      <w:pPr>
        <w:numPr>
          <w:ilvl w:val="0"/>
          <w:numId w:val="9"/>
        </w:numPr>
        <w:spacing w:after="200" w:line="276" w:lineRule="auto"/>
        <w:rPr>
          <w:rFonts w:asciiTheme="majorHAnsi" w:eastAsiaTheme="majorEastAsia" w:hAnsiTheme="majorHAnsi" w:cstheme="majorBidi"/>
          <w:b/>
          <w:bCs/>
          <w:sz w:val="28"/>
          <w:szCs w:val="28"/>
        </w:rPr>
      </w:pPr>
      <w:r w:rsidRPr="00B702F4">
        <w:rPr>
          <w:rFonts w:asciiTheme="majorHAnsi" w:eastAsiaTheme="majorEastAsia" w:hAnsiTheme="majorHAnsi" w:cstheme="majorBidi"/>
          <w:b/>
          <w:bCs/>
          <w:sz w:val="28"/>
          <w:szCs w:val="28"/>
        </w:rPr>
        <w:t>Impact on Workforce</w:t>
      </w:r>
      <w:r w:rsidR="005C3516">
        <w:rPr>
          <w:rFonts w:asciiTheme="majorHAnsi" w:eastAsiaTheme="majorEastAsia" w:hAnsiTheme="majorHAnsi" w:cstheme="majorBidi"/>
          <w:b/>
          <w:bCs/>
          <w:sz w:val="28"/>
          <w:szCs w:val="28"/>
        </w:rPr>
        <w:t>__________________________________ 4</w:t>
      </w:r>
    </w:p>
    <w:p w14:paraId="481B5086" w14:textId="5AF4820F" w:rsidR="00B702F4" w:rsidRPr="00B702F4" w:rsidRDefault="00B702F4" w:rsidP="00B702F4">
      <w:pPr>
        <w:numPr>
          <w:ilvl w:val="0"/>
          <w:numId w:val="9"/>
        </w:numPr>
        <w:spacing w:after="200" w:line="276" w:lineRule="auto"/>
        <w:rPr>
          <w:rFonts w:asciiTheme="majorHAnsi" w:eastAsiaTheme="majorEastAsia" w:hAnsiTheme="majorHAnsi" w:cstheme="majorBidi"/>
          <w:b/>
          <w:bCs/>
          <w:sz w:val="28"/>
          <w:szCs w:val="28"/>
        </w:rPr>
      </w:pPr>
      <w:r w:rsidRPr="00B702F4">
        <w:rPr>
          <w:rFonts w:asciiTheme="majorHAnsi" w:eastAsiaTheme="majorEastAsia" w:hAnsiTheme="majorHAnsi" w:cstheme="majorBidi"/>
          <w:b/>
          <w:bCs/>
          <w:sz w:val="28"/>
          <w:szCs w:val="28"/>
        </w:rPr>
        <w:t>Impact on Service Delivery</w:t>
      </w:r>
      <w:r w:rsidR="005C3516">
        <w:rPr>
          <w:rFonts w:asciiTheme="majorHAnsi" w:eastAsiaTheme="majorEastAsia" w:hAnsiTheme="majorHAnsi" w:cstheme="majorBidi"/>
          <w:b/>
          <w:bCs/>
          <w:sz w:val="28"/>
          <w:szCs w:val="28"/>
        </w:rPr>
        <w:t xml:space="preserve"> _____________________________5</w:t>
      </w:r>
    </w:p>
    <w:p w14:paraId="5AED01BD" w14:textId="54C3A99F" w:rsidR="00B702F4" w:rsidRPr="00B702F4" w:rsidRDefault="00B702F4" w:rsidP="00B702F4">
      <w:pPr>
        <w:numPr>
          <w:ilvl w:val="0"/>
          <w:numId w:val="9"/>
        </w:numPr>
        <w:spacing w:after="200" w:line="276" w:lineRule="auto"/>
        <w:rPr>
          <w:rFonts w:asciiTheme="majorHAnsi" w:eastAsiaTheme="majorEastAsia" w:hAnsiTheme="majorHAnsi" w:cstheme="majorBidi"/>
          <w:b/>
          <w:bCs/>
          <w:sz w:val="28"/>
          <w:szCs w:val="28"/>
        </w:rPr>
      </w:pPr>
      <w:r w:rsidRPr="00B702F4">
        <w:rPr>
          <w:rFonts w:asciiTheme="majorHAnsi" w:eastAsiaTheme="majorEastAsia" w:hAnsiTheme="majorHAnsi" w:cstheme="majorBidi"/>
          <w:b/>
          <w:bCs/>
          <w:sz w:val="28"/>
          <w:szCs w:val="28"/>
        </w:rPr>
        <w:t>Impact on Patients and Service Users</w:t>
      </w:r>
      <w:r w:rsidR="005C3516">
        <w:rPr>
          <w:rFonts w:asciiTheme="majorHAnsi" w:eastAsiaTheme="majorEastAsia" w:hAnsiTheme="majorHAnsi" w:cstheme="majorBidi"/>
          <w:b/>
          <w:bCs/>
          <w:sz w:val="28"/>
          <w:szCs w:val="28"/>
        </w:rPr>
        <w:t xml:space="preserve"> ___________________6</w:t>
      </w:r>
    </w:p>
    <w:p w14:paraId="5168A06D" w14:textId="20C2D827" w:rsidR="00B702F4" w:rsidRPr="00B702F4" w:rsidRDefault="00B702F4" w:rsidP="00B702F4">
      <w:pPr>
        <w:numPr>
          <w:ilvl w:val="0"/>
          <w:numId w:val="9"/>
        </w:numPr>
        <w:spacing w:after="200" w:line="276" w:lineRule="auto"/>
        <w:rPr>
          <w:rFonts w:asciiTheme="majorHAnsi" w:eastAsiaTheme="majorEastAsia" w:hAnsiTheme="majorHAnsi" w:cstheme="majorBidi"/>
          <w:b/>
          <w:bCs/>
          <w:sz w:val="28"/>
          <w:szCs w:val="28"/>
        </w:rPr>
      </w:pPr>
      <w:r w:rsidRPr="00B702F4">
        <w:rPr>
          <w:rFonts w:asciiTheme="majorHAnsi" w:eastAsiaTheme="majorEastAsia" w:hAnsiTheme="majorHAnsi" w:cstheme="majorBidi"/>
          <w:b/>
          <w:bCs/>
          <w:sz w:val="28"/>
          <w:szCs w:val="28"/>
        </w:rPr>
        <w:t>Impact on the Community</w:t>
      </w:r>
      <w:r w:rsidR="005C3516">
        <w:rPr>
          <w:rFonts w:asciiTheme="majorHAnsi" w:eastAsiaTheme="majorEastAsia" w:hAnsiTheme="majorHAnsi" w:cstheme="majorBidi"/>
          <w:b/>
          <w:bCs/>
          <w:sz w:val="28"/>
          <w:szCs w:val="28"/>
        </w:rPr>
        <w:t xml:space="preserve"> _____________________________ 8</w:t>
      </w:r>
    </w:p>
    <w:p w14:paraId="35DF5D99" w14:textId="1D22CC12" w:rsidR="00B702F4" w:rsidRPr="00B702F4" w:rsidRDefault="00B702F4" w:rsidP="00B702F4">
      <w:pPr>
        <w:numPr>
          <w:ilvl w:val="0"/>
          <w:numId w:val="9"/>
        </w:numPr>
        <w:spacing w:after="200" w:line="276" w:lineRule="auto"/>
        <w:rPr>
          <w:rFonts w:asciiTheme="majorHAnsi" w:eastAsiaTheme="majorEastAsia" w:hAnsiTheme="majorHAnsi" w:cstheme="majorBidi"/>
          <w:b/>
          <w:bCs/>
          <w:sz w:val="28"/>
          <w:szCs w:val="28"/>
        </w:rPr>
      </w:pPr>
      <w:r w:rsidRPr="00B702F4">
        <w:rPr>
          <w:rFonts w:asciiTheme="majorHAnsi" w:eastAsiaTheme="majorEastAsia" w:hAnsiTheme="majorHAnsi" w:cstheme="majorBidi"/>
          <w:b/>
          <w:bCs/>
          <w:sz w:val="28"/>
          <w:szCs w:val="28"/>
        </w:rPr>
        <w:t>Conclusion</w:t>
      </w:r>
      <w:r w:rsidR="005C3516">
        <w:rPr>
          <w:rFonts w:asciiTheme="majorHAnsi" w:eastAsiaTheme="majorEastAsia" w:hAnsiTheme="majorHAnsi" w:cstheme="majorBidi"/>
          <w:b/>
          <w:bCs/>
          <w:sz w:val="28"/>
          <w:szCs w:val="28"/>
        </w:rPr>
        <w:t xml:space="preserve"> ___________________________________________9</w:t>
      </w:r>
    </w:p>
    <w:p w14:paraId="551694EA" w14:textId="01407486" w:rsidR="00B702F4" w:rsidRPr="00B702F4" w:rsidRDefault="00B702F4" w:rsidP="00B702F4">
      <w:pPr>
        <w:numPr>
          <w:ilvl w:val="0"/>
          <w:numId w:val="9"/>
        </w:numPr>
        <w:spacing w:after="200" w:line="276" w:lineRule="auto"/>
        <w:rPr>
          <w:rFonts w:asciiTheme="majorHAnsi" w:eastAsiaTheme="majorEastAsia" w:hAnsiTheme="majorHAnsi" w:cstheme="majorBidi"/>
          <w:b/>
          <w:bCs/>
          <w:sz w:val="28"/>
          <w:szCs w:val="28"/>
        </w:rPr>
      </w:pPr>
      <w:r w:rsidRPr="00B702F4">
        <w:rPr>
          <w:rFonts w:asciiTheme="majorHAnsi" w:eastAsiaTheme="majorEastAsia" w:hAnsiTheme="majorHAnsi" w:cstheme="majorBidi"/>
          <w:b/>
          <w:bCs/>
          <w:sz w:val="28"/>
          <w:szCs w:val="28"/>
        </w:rPr>
        <w:t>References</w:t>
      </w:r>
      <w:r w:rsidR="005C3516">
        <w:rPr>
          <w:rFonts w:asciiTheme="majorHAnsi" w:eastAsiaTheme="majorEastAsia" w:hAnsiTheme="majorHAnsi" w:cstheme="majorBidi"/>
          <w:b/>
          <w:bCs/>
          <w:sz w:val="28"/>
          <w:szCs w:val="28"/>
        </w:rPr>
        <w:t xml:space="preserve"> ___________________________________________11</w:t>
      </w: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2E2EA6DE" w14:textId="77777777" w:rsidR="00111F3A" w:rsidRPr="00111F3A" w:rsidRDefault="00111F3A" w:rsidP="00111F3A">
      <w:pPr>
        <w:pStyle w:val="NormalWeb"/>
        <w:spacing w:line="360" w:lineRule="auto"/>
        <w:rPr>
          <w:rFonts w:ascii="Arial" w:hAnsi="Arial" w:cs="Arial"/>
          <w:b/>
          <w:bCs/>
          <w:color w:val="000000"/>
        </w:rPr>
      </w:pPr>
      <w:r w:rsidRPr="00111F3A">
        <w:rPr>
          <w:rFonts w:ascii="Arial" w:hAnsi="Arial" w:cs="Arial"/>
          <w:b/>
          <w:bCs/>
          <w:color w:val="000000"/>
        </w:rPr>
        <w:t>AI ACKNOWLEDGEMENT</w:t>
      </w:r>
    </w:p>
    <w:p w14:paraId="42CE9206" w14:textId="4EC45B67" w:rsidR="008375B5" w:rsidRPr="00111F3A" w:rsidRDefault="00111F3A" w:rsidP="00111F3A">
      <w:pPr>
        <w:pStyle w:val="NormalWeb"/>
        <w:spacing w:line="360" w:lineRule="auto"/>
        <w:rPr>
          <w:rFonts w:asciiTheme="majorHAnsi" w:hAnsiTheme="majorHAnsi" w:cs="Arial"/>
          <w:color w:val="000000"/>
          <w:sz w:val="28"/>
          <w:szCs w:val="28"/>
        </w:rPr>
      </w:pPr>
      <w:r w:rsidRPr="00111F3A">
        <w:rPr>
          <w:rFonts w:asciiTheme="majorHAnsi" w:hAnsiTheme="majorHAnsi" w:cs="Arial"/>
          <w:color w:val="000000"/>
          <w:sz w:val="28"/>
          <w:szCs w:val="28"/>
        </w:rPr>
        <w:t>I confirm that l have not used any AI tools in the research and creation of this assignment. l confirm that l have not presented any AI generated materials as my own work. I confirm l have copies of my notes, drafts and any resources that l used, which l may be asked to provide in evidence.</w:t>
      </w:r>
    </w:p>
    <w:p w14:paraId="2F97C8DA" w14:textId="77777777" w:rsidR="008375B5" w:rsidRDefault="008375B5" w:rsidP="008375B5">
      <w:pPr>
        <w:pStyle w:val="NormalWeb"/>
        <w:spacing w:line="360" w:lineRule="auto"/>
        <w:rPr>
          <w:rFonts w:ascii="Arial" w:hAnsi="Arial" w:cs="Arial"/>
          <w:b/>
          <w:bCs/>
          <w:color w:val="000000"/>
        </w:rPr>
      </w:pPr>
    </w:p>
    <w:p w14:paraId="6D010FBC" w14:textId="77777777" w:rsidR="00A9474F" w:rsidRPr="008375B5" w:rsidRDefault="00A9474F" w:rsidP="008375B5">
      <w:pPr>
        <w:spacing w:line="360" w:lineRule="auto"/>
        <w:rPr>
          <w:rFonts w:ascii="Arial" w:hAnsi="Arial" w:cs="Arial"/>
          <w:sz w:val="28"/>
          <w:szCs w:val="28"/>
        </w:rPr>
      </w:pPr>
      <w:r w:rsidRPr="008375B5">
        <w:rPr>
          <w:rFonts w:ascii="Arial" w:hAnsi="Arial" w:cs="Arial"/>
          <w:b/>
          <w:bCs/>
          <w:sz w:val="28"/>
          <w:szCs w:val="28"/>
        </w:rPr>
        <w:t>Introduction </w:t>
      </w:r>
    </w:p>
    <w:p w14:paraId="275C3512" w14:textId="77777777" w:rsidR="00465182" w:rsidRPr="000E5BAE" w:rsidRDefault="00465182" w:rsidP="00465182">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 xml:space="preserve">The healthcare sector has undergone significant transformation in the past decade due to advances in digital technologies. Among the most influential innovations is the Electronic Health Record (EHR) system, a digital version of a patient’s paper chart that integrates clinical and administrative information across multiple care settings. The National Health Service (NHS) has adopted EHRs as a cornerstone of its </w:t>
      </w:r>
      <w:r w:rsidRPr="000E5BAE">
        <w:rPr>
          <w:rFonts w:asciiTheme="majorHAnsi" w:eastAsiaTheme="majorEastAsia" w:hAnsiTheme="majorHAnsi" w:cstheme="majorBidi"/>
          <w:i/>
          <w:iCs/>
          <w:sz w:val="28"/>
          <w:szCs w:val="28"/>
        </w:rPr>
        <w:t>Digital Transformation Strategy 2022–2027</w:t>
      </w:r>
      <w:r w:rsidRPr="000E5BAE">
        <w:rPr>
          <w:rFonts w:asciiTheme="majorHAnsi" w:eastAsiaTheme="majorEastAsia" w:hAnsiTheme="majorHAnsi" w:cstheme="majorBidi"/>
          <w:sz w:val="28"/>
          <w:szCs w:val="28"/>
        </w:rPr>
        <w:t xml:space="preserve"> to improve information flow, enhance care coordination, and promote patient-centred services (NHS England, 2022). EHRs replace fragmented paper records with interoperable digital platforms that can be accessed by authorised professionals, improving efficiency and patient safety (Greenhalgh et al., 2019).</w:t>
      </w:r>
    </w:p>
    <w:p w14:paraId="176CBCBF" w14:textId="77777777" w:rsidR="00465182" w:rsidRPr="00316CCC" w:rsidRDefault="00465182" w:rsidP="00465182">
      <w:pPr>
        <w:rPr>
          <w:rFonts w:asciiTheme="majorHAnsi" w:eastAsiaTheme="majorEastAsia" w:hAnsiTheme="majorHAnsi" w:cstheme="majorBidi"/>
          <w:sz w:val="28"/>
          <w:szCs w:val="28"/>
        </w:rPr>
      </w:pPr>
    </w:p>
    <w:p w14:paraId="4191B09F" w14:textId="77777777" w:rsidR="00465182" w:rsidRPr="000E5BAE" w:rsidRDefault="00465182" w:rsidP="00465182">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This report critically evaluates how EHRs have impacted the workforce, service delivery, patients/service users, and the wider community in the UK. Both positive and negative outcomes are considered, with a focus on evidence from the last ten years. The discussion concludes with recommendations for improving the implementation and inclusivity of EHR systems.</w:t>
      </w:r>
    </w:p>
    <w:p w14:paraId="232BD2C5" w14:textId="77777777" w:rsidR="00C80D0F" w:rsidRDefault="00C80D0F" w:rsidP="008375B5">
      <w:pPr>
        <w:spacing w:line="360" w:lineRule="auto"/>
        <w:rPr>
          <w:rFonts w:ascii="Arial" w:hAnsi="Arial" w:cs="Arial"/>
          <w:i/>
          <w:iCs/>
          <w:color w:val="0070C0"/>
          <w:sz w:val="22"/>
          <w:szCs w:val="22"/>
        </w:rPr>
      </w:pPr>
    </w:p>
    <w:p w14:paraId="11BC91E9" w14:textId="77777777" w:rsidR="005C3516" w:rsidRDefault="005C3516" w:rsidP="008375B5">
      <w:pPr>
        <w:spacing w:line="360" w:lineRule="auto"/>
        <w:rPr>
          <w:rFonts w:ascii="Arial" w:hAnsi="Arial" w:cs="Arial"/>
          <w:i/>
          <w:iCs/>
          <w:color w:val="0070C0"/>
          <w:sz w:val="22"/>
          <w:szCs w:val="22"/>
        </w:rPr>
      </w:pPr>
    </w:p>
    <w:p w14:paraId="5E9F44EF" w14:textId="77777777" w:rsidR="005C3516" w:rsidRPr="008375B5" w:rsidRDefault="005C3516" w:rsidP="008375B5">
      <w:pPr>
        <w:spacing w:line="360" w:lineRule="auto"/>
        <w:rPr>
          <w:rFonts w:ascii="Arial" w:hAnsi="Arial" w:cs="Arial"/>
          <w:i/>
          <w:iCs/>
          <w:sz w:val="22"/>
          <w:szCs w:val="22"/>
        </w:rPr>
      </w:pPr>
    </w:p>
    <w:p w14:paraId="6341855D" w14:textId="77777777" w:rsidR="00C80D0F" w:rsidRPr="008375B5" w:rsidRDefault="00C80D0F" w:rsidP="008375B5">
      <w:pPr>
        <w:spacing w:line="360" w:lineRule="auto"/>
        <w:rPr>
          <w:rFonts w:ascii="Arial" w:hAnsi="Arial" w:cs="Arial"/>
          <w:b/>
          <w:bCs/>
          <w:sz w:val="28"/>
          <w:szCs w:val="28"/>
        </w:rPr>
      </w:pPr>
      <w:r w:rsidRPr="008375B5">
        <w:rPr>
          <w:rFonts w:ascii="Arial" w:hAnsi="Arial" w:cs="Arial"/>
          <w:b/>
          <w:bCs/>
          <w:sz w:val="28"/>
          <w:szCs w:val="28"/>
        </w:rPr>
        <w:lastRenderedPageBreak/>
        <w:t xml:space="preserve">Impact on work force </w:t>
      </w:r>
    </w:p>
    <w:p w14:paraId="36B1C890"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The implementation of EHRs has profoundly reshaped the roles, competencies, and workflows of healthcare professionals in the UK. EHR adoption required a paradigm shift from traditional paper-based documentation to digital data management, demanding new digital literacy and informatics skills among clinicians (Johnson et al., 2021). As part of NHS England’s workforce digital upskilling initiatives, healthcare staff have undergone continuous professional development to ensure competence in using electronic systems for documentation, decision support, and clinical coding (Health Education England, 2022).</w:t>
      </w:r>
    </w:p>
    <w:p w14:paraId="5D680BCF"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Transformation of Roles and Responsibilities</w:t>
      </w:r>
    </w:p>
    <w:p w14:paraId="7B99F9AF"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EHRs have expanded the professional scope of clinicians, nurses, and administrative staff. For instance, nurses now participate in real-time data entry and monitoring through bedside terminals, while administrative roles increasingly focus on data governance, system configuration, and analytics (Nguyen et al., 2021). The centralisation of patient data has improved multidisciplinary collaboration, as different specialists can access the same record simultaneously, enhancing coordination of care (Reeves et al., 2020).</w:t>
      </w:r>
    </w:p>
    <w:p w14:paraId="5D0CA795"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However, the transition has not been without challenges. Many professionals initially reported increased workload and documentation burden, as electronic interfaces required extensive data input and system navigation (Marques et al., 2021). Older practitioners, in particular, expressed resistance due to usability issues and “technostress” associated with system updates and performance lags (Ghosh et al., 2022). The NHS Digital Academy has addressed this through training programmes designed to improve system familiarity and reduce resistance (NHS Digital Academy, 2023).</w:t>
      </w:r>
    </w:p>
    <w:p w14:paraId="4985E674"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Workforce Efficiency and Job Satisfaction</w:t>
      </w:r>
    </w:p>
    <w:p w14:paraId="30E6DC7D" w14:textId="77777777" w:rsidR="00F22CD9" w:rsidRPr="001C2C53" w:rsidRDefault="00F22CD9" w:rsidP="00F22CD9">
      <w:pPr>
        <w:jc w:val="both"/>
        <w:rPr>
          <w:rFonts w:asciiTheme="majorHAnsi" w:eastAsiaTheme="majorEastAsia" w:hAnsiTheme="majorHAnsi" w:cstheme="majorBidi"/>
          <w:sz w:val="28"/>
          <w:szCs w:val="28"/>
        </w:rPr>
      </w:pPr>
      <w:r w:rsidRPr="001C2C53">
        <w:rPr>
          <w:rFonts w:asciiTheme="majorHAnsi" w:eastAsiaTheme="majorEastAsia" w:hAnsiTheme="majorHAnsi" w:cstheme="majorBidi"/>
          <w:sz w:val="28"/>
          <w:szCs w:val="28"/>
        </w:rPr>
        <w:t xml:space="preserve">Studies demonstrate mixed outcomes regarding the efficiency, workload, and job satisfaction of healthcare staff following the adoption of Electronic Health Records (EHRs). On one hand, digital recordkeeping has reduced duplication, enhanced legibility, and minimised clinical errors, leading to measurable improvements in accuracy and continuity of care (Robertson et al., 2019). EHRs </w:t>
      </w:r>
      <w:r w:rsidRPr="001C2C53">
        <w:rPr>
          <w:rFonts w:asciiTheme="majorHAnsi" w:eastAsiaTheme="majorEastAsia" w:hAnsiTheme="majorHAnsi" w:cstheme="majorBidi"/>
          <w:sz w:val="28"/>
          <w:szCs w:val="28"/>
        </w:rPr>
        <w:lastRenderedPageBreak/>
        <w:t>also facilitate rapid access to patient histories, test results, and medication records, allowing professionals to make more informed clinical decisions. Furthermore, built-in clinical decision support tools improve diagnostic precision and medication safety, with electronic prescribing reducing errors by up to 30% across NHS Trusts (NHS Improvement, 2022).</w:t>
      </w:r>
    </w:p>
    <w:p w14:paraId="23A573EA" w14:textId="77777777" w:rsidR="00F22CD9" w:rsidRPr="001C2C53" w:rsidRDefault="00F22CD9" w:rsidP="00F22CD9">
      <w:pPr>
        <w:jc w:val="both"/>
        <w:rPr>
          <w:rFonts w:asciiTheme="majorHAnsi" w:eastAsiaTheme="majorEastAsia" w:hAnsiTheme="majorHAnsi" w:cstheme="majorBidi"/>
          <w:sz w:val="28"/>
          <w:szCs w:val="28"/>
        </w:rPr>
      </w:pPr>
      <w:r w:rsidRPr="001C2C53">
        <w:rPr>
          <w:rFonts w:asciiTheme="majorHAnsi" w:eastAsiaTheme="majorEastAsia" w:hAnsiTheme="majorHAnsi" w:cstheme="majorBidi"/>
          <w:sz w:val="28"/>
          <w:szCs w:val="28"/>
        </w:rPr>
        <w:t>However, despite these advances, many clinicians report increased administrative demands and extended time spent on data entry, which can detract from direct patient interaction and compassionate care. Some studies highlight “digital fatigue” and stress, especially among older or less digitally proficient staff, who may struggle with new systems or constant software updates (Ghosh et al., 2022). Maintaining workforce motivation and wellbeing therefore requires thoughtful system design, ongoing digital literacy training, and opportunities for staff feedback. Iterative EHR improvement, guided by user experience, remains essential to ensure the technology supports—not hinders—the human aspects of healthcare delivery.</w:t>
      </w:r>
    </w:p>
    <w:p w14:paraId="78BF621E" w14:textId="77777777" w:rsidR="00C80D0F" w:rsidRPr="008375B5" w:rsidRDefault="00C80D0F" w:rsidP="008375B5">
      <w:pPr>
        <w:spacing w:line="360" w:lineRule="auto"/>
        <w:rPr>
          <w:rFonts w:ascii="Arial" w:hAnsi="Arial" w:cs="Arial"/>
          <w:sz w:val="22"/>
          <w:szCs w:val="22"/>
        </w:rPr>
      </w:pPr>
    </w:p>
    <w:p w14:paraId="61241919" w14:textId="77777777" w:rsidR="00C80D0F" w:rsidRPr="008375B5" w:rsidRDefault="00C80D0F" w:rsidP="008375B5">
      <w:pPr>
        <w:spacing w:line="360" w:lineRule="auto"/>
        <w:rPr>
          <w:rFonts w:ascii="Arial" w:hAnsi="Arial" w:cs="Arial"/>
          <w:b/>
          <w:bCs/>
          <w:sz w:val="28"/>
          <w:szCs w:val="28"/>
        </w:rPr>
      </w:pPr>
      <w:r w:rsidRPr="008375B5">
        <w:rPr>
          <w:rFonts w:ascii="Arial" w:hAnsi="Arial" w:cs="Arial"/>
          <w:b/>
          <w:bCs/>
          <w:sz w:val="28"/>
          <w:szCs w:val="28"/>
        </w:rPr>
        <w:t xml:space="preserve">Impact on service delivery </w:t>
      </w:r>
    </w:p>
    <w:p w14:paraId="3D6F4DAC"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EHRs have become the backbone of modern healthcare service delivery in the UK. Their primary aim is to streamline data flow, reduce fragmentation, and enable coordinated, evidence-based care (Alami et al., 2020).</w:t>
      </w:r>
    </w:p>
    <w:p w14:paraId="7203993F"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Operational Efficiency and Continuity of Care</w:t>
      </w:r>
    </w:p>
    <w:p w14:paraId="0F1AF6F5"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t>Through interoperability, Electronic Health Records (EHRs) enable seamless communication and information exchange among healthcare providers across various sites — including hospitals, general practices, pharmacies, and community health services. This connectivity has greatly enhanced continuity of care, ensuring that patient information is readily available at the point of need, thereby reducing diagnostic duplication, treatment delays, and medical errors often associated with incomplete or fragmented records (Greenhalgh et al., 2019).</w:t>
      </w:r>
    </w:p>
    <w:p w14:paraId="1880CC3B"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t xml:space="preserve">A practical example is the Summary Care Record (SCR) system, which provides authorised NHS professionals with access to essential clinical data such as </w:t>
      </w:r>
      <w:r w:rsidRPr="00897234">
        <w:rPr>
          <w:rFonts w:asciiTheme="majorHAnsi" w:eastAsiaTheme="majorEastAsia" w:hAnsiTheme="majorHAnsi" w:cstheme="majorBidi"/>
          <w:sz w:val="28"/>
          <w:szCs w:val="28"/>
        </w:rPr>
        <w:lastRenderedPageBreak/>
        <w:t>allergies, medication history, and ongoing treatments. This has improved emergency responses and medication reconciliation, especially for patients with complex conditions or those unable to communicate effectively (NHS Digital, 2022). During the COVID-19 pandemic, EHRs played a crucial role in enabling real-time data sharing across hospitals, testing centres, and public health agencies, facilitating effective patient tracking, vaccination rollout, and clinical research (Osborn &amp; Ayele, 2022). Such interoperability has transformed the NHS into a more coordinated and data-driven healthcare system, strengthening collaboration, enhancing safety, and laying the groundwork for integrated, patient-centred digital healthcare delivery across the UK.</w:t>
      </w:r>
    </w:p>
    <w:p w14:paraId="2027A1E4"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Challenges and Limitations</w:t>
      </w:r>
    </w:p>
    <w:p w14:paraId="2B7A72FC"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Despite these benefits, implementation challenges persist. Inconsistent system interoperability across NHS Trusts often results in data silos that hinder real-time collaboration (Murray et al., 2021). The financial burden of procurement, maintenance, and training also strains NHS budgets, especially among smaller healthcare providers. Additionally, system downtimes can interrupt service delivery, leading to delays in patient care (Alami et al., 2020).</w:t>
      </w:r>
    </w:p>
    <w:p w14:paraId="1399E825"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Data privacy remains another concern. EHR systems store vast amounts of sensitive health information, making them vulnerable to cybersecurity threats. NHS Digital reported over 3,000 attempted data breaches between 2020 and 2023, prompting calls for stronger encryption and audit mechanisms (National Audit Office, 2023).</w:t>
      </w:r>
    </w:p>
    <w:p w14:paraId="126B8892"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Nevertheless, the overall service transformation has been positive. Digital record systems support population health management, predictive analytics, and resource allocation, helping the NHS move toward a preventive care model rather than a reactive one (NHS England, 2022).</w:t>
      </w:r>
    </w:p>
    <w:p w14:paraId="7E1D5428" w14:textId="77777777" w:rsidR="00C80D0F" w:rsidRPr="008375B5" w:rsidRDefault="00C80D0F" w:rsidP="008375B5">
      <w:pPr>
        <w:spacing w:line="360" w:lineRule="auto"/>
        <w:rPr>
          <w:rFonts w:ascii="Arial" w:hAnsi="Arial" w:cs="Arial"/>
          <w:b/>
          <w:bCs/>
          <w:sz w:val="22"/>
          <w:szCs w:val="22"/>
        </w:rPr>
      </w:pPr>
    </w:p>
    <w:p w14:paraId="46327300" w14:textId="77777777" w:rsidR="00C80D0F" w:rsidRPr="008375B5" w:rsidRDefault="00C80D0F" w:rsidP="008375B5">
      <w:pPr>
        <w:spacing w:line="360" w:lineRule="auto"/>
        <w:rPr>
          <w:rFonts w:ascii="Arial" w:hAnsi="Arial" w:cs="Arial"/>
          <w:b/>
          <w:bCs/>
          <w:sz w:val="28"/>
          <w:szCs w:val="28"/>
        </w:rPr>
      </w:pPr>
      <w:r w:rsidRPr="008375B5">
        <w:rPr>
          <w:rFonts w:ascii="Arial" w:hAnsi="Arial" w:cs="Arial"/>
          <w:b/>
          <w:bCs/>
          <w:sz w:val="28"/>
          <w:szCs w:val="28"/>
        </w:rPr>
        <w:t xml:space="preserve">Impact on patients </w:t>
      </w:r>
    </w:p>
    <w:p w14:paraId="47397783"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From the patient’s perspective, EHRs have fundamentally changed the healthcare experience. They empower individuals to become active participants in their care through digital access and communication tools.</w:t>
      </w:r>
    </w:p>
    <w:p w14:paraId="02AAC126"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lastRenderedPageBreak/>
        <w:t>Enhanced Patient Engagement and Safety</w:t>
      </w:r>
    </w:p>
    <w:p w14:paraId="6BC07923"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Patients now benefit from online portals that allow them to view medical histories, test results, and prescriptions, fostering autonomy and self-management (Kellermann &amp; Jones, 2019). A 2022 NHS survey found that 73% of patients felt more in control of their care when they could access their health records electronically (NHS Digital, 2022). EHRs also reduce medical errors and duplications, improving patient safety outcomes (Robertson et al., 2019).</w:t>
      </w:r>
    </w:p>
    <w:p w14:paraId="51F4259C"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Furthermore, EHRs facilitate integrated care for individuals with chronic illnesses such as diabetes or heart disease, enabling multiple specialists to coordinate seamlessly. Automated alerts and reminders enhance adherence to treatment plans and follow-up appointments (Nguyen et al., 2021).</w:t>
      </w:r>
    </w:p>
    <w:p w14:paraId="1E539FD3"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Concerns about Privacy and Digital Exclusion</w:t>
      </w:r>
    </w:p>
    <w:p w14:paraId="09272671" w14:textId="77777777" w:rsidR="00F22CD9" w:rsidRPr="00316CCC" w:rsidRDefault="00F22CD9" w:rsidP="00F22CD9">
      <w:pPr>
        <w:jc w:val="both"/>
        <w:rPr>
          <w:rFonts w:asciiTheme="majorHAnsi" w:eastAsiaTheme="majorEastAsia" w:hAnsiTheme="majorHAnsi" w:cstheme="majorBidi"/>
          <w:sz w:val="28"/>
          <w:szCs w:val="28"/>
        </w:rPr>
      </w:pPr>
      <w:r w:rsidRPr="00316CCC">
        <w:rPr>
          <w:rFonts w:asciiTheme="majorHAnsi" w:eastAsiaTheme="majorEastAsia" w:hAnsiTheme="majorHAnsi" w:cstheme="majorBidi"/>
          <w:sz w:val="28"/>
          <w:szCs w:val="28"/>
        </w:rPr>
        <w:t xml:space="preserve">However, several concerns persist regarding the ethical and practical implications of Electronic Health Records (EHRs). Issues of privacy and data security remain paramount, as patients often worry about who can access, store, and share their personal health information. Incidents involving unauthorised staff access or cyberattacks have eroded public confidence in digital health systems (National Data Guardian, 2023). </w:t>
      </w:r>
    </w:p>
    <w:p w14:paraId="3DFA66C9" w14:textId="77777777" w:rsidR="00F22CD9" w:rsidRPr="00316CCC" w:rsidRDefault="00F22CD9" w:rsidP="00F22CD9">
      <w:pPr>
        <w:jc w:val="both"/>
        <w:rPr>
          <w:rFonts w:asciiTheme="majorHAnsi" w:eastAsiaTheme="majorEastAsia" w:hAnsiTheme="majorHAnsi" w:cstheme="majorBidi"/>
          <w:sz w:val="28"/>
          <w:szCs w:val="28"/>
        </w:rPr>
      </w:pPr>
      <w:r w:rsidRPr="00316CCC">
        <w:rPr>
          <w:rFonts w:asciiTheme="majorHAnsi" w:eastAsiaTheme="majorEastAsia" w:hAnsiTheme="majorHAnsi" w:cstheme="majorBidi"/>
          <w:sz w:val="28"/>
          <w:szCs w:val="28"/>
        </w:rPr>
        <w:t>Additionally, digital exclusion continues to disadvantage elderly individuals, people with disabilities, and those lacking reliable internet access or digital skills (ONS, 2023). Such inequalities hinder full participation in EHR use, potentially widening the gap in healthcare access and outcomes.</w:t>
      </w:r>
    </w:p>
    <w:p w14:paraId="4A460D87" w14:textId="77777777" w:rsidR="00F22CD9" w:rsidRDefault="00F22CD9" w:rsidP="00F22CD9">
      <w:pPr>
        <w:rPr>
          <w:rFonts w:asciiTheme="majorHAnsi" w:eastAsiaTheme="majorEastAsia" w:hAnsiTheme="majorHAnsi" w:cstheme="majorBidi"/>
          <w:b/>
          <w:bCs/>
          <w:sz w:val="28"/>
          <w:szCs w:val="28"/>
        </w:rPr>
      </w:pPr>
    </w:p>
    <w:p w14:paraId="7C81CC15"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Patient Satisfaction and Relationship with Professionals</w:t>
      </w:r>
    </w:p>
    <w:p w14:paraId="1A7F2BE1"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t xml:space="preserve">While Electronic Health Records (EHRs) improve transparency and access to information, some patients perceive a decline in the quality of personal interaction during consultations, as clinicians may appear more focused on computer screens than on direct engagement (Ghosh et al., 2022). This shift can affect trust, empathy, and the perceived attentiveness of healthcare providers. Therefore, maintaining a balance between technological efficiency and compassionate communication is essential. Ultimately, EHRs enhance patient safety, </w:t>
      </w:r>
      <w:r w:rsidRPr="00897234">
        <w:rPr>
          <w:rFonts w:asciiTheme="majorHAnsi" w:eastAsiaTheme="majorEastAsia" w:hAnsiTheme="majorHAnsi" w:cstheme="majorBidi"/>
          <w:sz w:val="28"/>
          <w:szCs w:val="28"/>
        </w:rPr>
        <w:lastRenderedPageBreak/>
        <w:t>empowerment, and participation in care, but they must be guided by ethical vigilance, empathy, and user-friendly design to preserve truly patient-centred healthcare experiences.</w:t>
      </w:r>
    </w:p>
    <w:p w14:paraId="7E860150" w14:textId="77777777" w:rsidR="00C80D0F" w:rsidRPr="008375B5" w:rsidRDefault="00C80D0F" w:rsidP="008375B5">
      <w:pPr>
        <w:spacing w:line="360" w:lineRule="auto"/>
        <w:rPr>
          <w:rFonts w:ascii="Arial" w:hAnsi="Arial" w:cs="Arial"/>
          <w:b/>
          <w:bCs/>
          <w:i/>
          <w:iCs/>
          <w:sz w:val="22"/>
          <w:szCs w:val="22"/>
        </w:rPr>
      </w:pPr>
    </w:p>
    <w:p w14:paraId="75ED4894" w14:textId="77777777" w:rsidR="00C80D0F" w:rsidRPr="008375B5" w:rsidRDefault="00C80D0F" w:rsidP="008375B5">
      <w:pPr>
        <w:spacing w:line="360" w:lineRule="auto"/>
        <w:rPr>
          <w:rFonts w:ascii="Arial" w:hAnsi="Arial" w:cs="Arial"/>
          <w:b/>
          <w:bCs/>
          <w:sz w:val="28"/>
          <w:szCs w:val="28"/>
        </w:rPr>
      </w:pPr>
      <w:r w:rsidRPr="008375B5">
        <w:rPr>
          <w:rFonts w:ascii="Arial" w:hAnsi="Arial" w:cs="Arial"/>
          <w:b/>
          <w:bCs/>
          <w:sz w:val="28"/>
          <w:szCs w:val="28"/>
        </w:rPr>
        <w:t xml:space="preserve">Impact on community </w:t>
      </w:r>
    </w:p>
    <w:p w14:paraId="416BD431"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At a broader level, EHR systems influence community health dynamics, public health policy, and population wellbeing. They support data-driven decision-making, health promotion, and resource planning across communities (Kellermann &amp; Jones, 2019).</w:t>
      </w:r>
    </w:p>
    <w:p w14:paraId="60B82E72"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Public Health and Population Management</w:t>
      </w:r>
    </w:p>
    <w:p w14:paraId="14DAB2AB"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EHR data enable local authorities and the NHS to identify disease trends and monitor population health indicators in real time. For example, during the COVID-19 crisis, integrated EHR databases helped track vaccination rates and infection patterns across different regions (Osborn &amp; Ayele, 2022). Such capabilities strengthen public health surveillance and allow earlier interventions in community outbreaks.</w:t>
      </w:r>
    </w:p>
    <w:p w14:paraId="25050923"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Additionally, EHRs promote co-production between healthcare providers and citizens by making community-level data available for health education and prevention campaigns. Families and caregivers can access patient information (with consent), improving home-based care and shared decision-making (Health Foundation, 2021).</w:t>
      </w:r>
    </w:p>
    <w:p w14:paraId="4D3C5456" w14:textId="77777777" w:rsidR="00F22CD9" w:rsidRPr="000E5BAE" w:rsidRDefault="00F22CD9" w:rsidP="00F22CD9">
      <w:pPr>
        <w:rPr>
          <w:rFonts w:asciiTheme="majorHAnsi" w:eastAsiaTheme="majorEastAsia" w:hAnsiTheme="majorHAnsi" w:cstheme="majorBidi"/>
          <w:b/>
          <w:bCs/>
          <w:sz w:val="28"/>
          <w:szCs w:val="28"/>
        </w:rPr>
      </w:pPr>
      <w:r w:rsidRPr="000E5BAE">
        <w:rPr>
          <w:rFonts w:asciiTheme="majorHAnsi" w:eastAsiaTheme="majorEastAsia" w:hAnsiTheme="majorHAnsi" w:cstheme="majorBidi"/>
          <w:b/>
          <w:bCs/>
          <w:sz w:val="28"/>
          <w:szCs w:val="28"/>
        </w:rPr>
        <w:t>Reducing Health Inequalities</w:t>
      </w:r>
    </w:p>
    <w:p w14:paraId="1E7C522B"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t>Electronic Health Records (EHRs) have significant potential to reduce regional health disparities by supporting telehealth consultations, remote monitoring, and integrated data sharing across care settings, particularly in rural and underserved areas (Murray et al., 2021). By enabling clinicians to access patient information regardless of location, EHRs improve continuity of care and ensure timely interventions for populations that might otherwise face delays in diagnosis or treatment. However, persistent inequalities in internet access, digital literacy, and technological infrastructure have contributed to a growing “digital divide,” meaning some communities experience far greater benefits than others (ONS, 2023).</w:t>
      </w:r>
    </w:p>
    <w:p w14:paraId="2268F6D1"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lastRenderedPageBreak/>
        <w:t>To close this gap, targeted investment is needed in broadband expansion, device accessibility, and digital training initiatives for both patients and healthcare workers. When equitably implemented, EHRs can strengthen community resilience, enhance public health planning, and foster inclusive, data-informed healthcare systems that serve all citizens regardless of geographical or socioeconomic barriers.</w:t>
      </w:r>
    </w:p>
    <w:p w14:paraId="2CA9E204" w14:textId="77777777" w:rsidR="00C80D0F" w:rsidRPr="008375B5" w:rsidRDefault="00C80D0F" w:rsidP="008375B5">
      <w:pPr>
        <w:spacing w:line="360" w:lineRule="auto"/>
        <w:rPr>
          <w:rFonts w:ascii="Arial" w:hAnsi="Arial" w:cs="Arial"/>
          <w:i/>
          <w:iCs/>
          <w:sz w:val="22"/>
          <w:szCs w:val="22"/>
        </w:rPr>
      </w:pPr>
    </w:p>
    <w:p w14:paraId="0C5078D7" w14:textId="77777777" w:rsidR="00C80D0F" w:rsidRPr="008375B5" w:rsidRDefault="00C80D0F" w:rsidP="008375B5">
      <w:pPr>
        <w:spacing w:line="360" w:lineRule="auto"/>
        <w:rPr>
          <w:rFonts w:ascii="Arial" w:hAnsi="Arial" w:cs="Arial"/>
          <w:b/>
          <w:bCs/>
          <w:sz w:val="28"/>
          <w:szCs w:val="28"/>
        </w:rPr>
      </w:pPr>
      <w:r w:rsidRPr="008375B5">
        <w:rPr>
          <w:rFonts w:ascii="Arial" w:hAnsi="Arial" w:cs="Arial"/>
          <w:b/>
          <w:bCs/>
          <w:sz w:val="28"/>
          <w:szCs w:val="28"/>
        </w:rPr>
        <w:t>Conclusion</w:t>
      </w:r>
    </w:p>
    <w:p w14:paraId="4D6C21A7" w14:textId="77777777" w:rsidR="00F22CD9" w:rsidRPr="000E5BAE" w:rsidRDefault="008375B5" w:rsidP="00F22CD9">
      <w:pPr>
        <w:jc w:val="both"/>
        <w:rPr>
          <w:rFonts w:asciiTheme="majorHAnsi" w:eastAsiaTheme="majorEastAsia" w:hAnsiTheme="majorHAnsi" w:cstheme="majorBidi"/>
          <w:sz w:val="28"/>
          <w:szCs w:val="28"/>
        </w:rPr>
      </w:pPr>
      <w:r w:rsidRPr="008375B5">
        <w:rPr>
          <w:rFonts w:ascii="Arial" w:hAnsi="Arial" w:cs="Arial"/>
          <w:sz w:val="22"/>
          <w:szCs w:val="22"/>
        </w:rPr>
        <w:t xml:space="preserve"> </w:t>
      </w:r>
      <w:r w:rsidR="00F22CD9" w:rsidRPr="000E5BAE">
        <w:rPr>
          <w:rFonts w:asciiTheme="majorHAnsi" w:eastAsiaTheme="majorEastAsia" w:hAnsiTheme="majorHAnsi" w:cstheme="majorBidi"/>
          <w:sz w:val="28"/>
          <w:szCs w:val="28"/>
        </w:rPr>
        <w:t>The implementation of Electronic Health Records represents a pivotal step in the UK’s journey toward a fully digital healthcare system. The innovation has transformed professional practice, streamlined service delivery, empowered patients, and strengthened public health management. Evidence shows that EHRs enhance safety, efficiency, and coordination across care settings, aligning with NHS priorities for integrated, data-driven healthcare.</w:t>
      </w:r>
    </w:p>
    <w:p w14:paraId="4853DDA8" w14:textId="77777777" w:rsidR="00F22CD9" w:rsidRPr="000E5BAE"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Nevertheless, challenges persist. Workforce adaptation requires sustained digital training and system usability improvements. Service delivery continues to face interoperability and cybersecurity issues. Patients and communities still experience disparities linked to digital literacy and access.</w:t>
      </w:r>
    </w:p>
    <w:p w14:paraId="546B55A4" w14:textId="77777777" w:rsidR="00F22CD9" w:rsidRPr="000E5BAE" w:rsidRDefault="00F22CD9" w:rsidP="00F22CD9">
      <w:pPr>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To maximise the benefits of EHRs, the NHS should prioritise:</w:t>
      </w:r>
    </w:p>
    <w:p w14:paraId="34C145BA" w14:textId="77777777" w:rsidR="00F22CD9" w:rsidRPr="001C2C53" w:rsidRDefault="00F22CD9" w:rsidP="00F22CD9">
      <w:pPr>
        <w:numPr>
          <w:ilvl w:val="0"/>
          <w:numId w:val="10"/>
        </w:numPr>
        <w:spacing w:after="200" w:line="276" w:lineRule="auto"/>
        <w:jc w:val="both"/>
        <w:rPr>
          <w:rFonts w:asciiTheme="majorHAnsi" w:eastAsiaTheme="majorEastAsia" w:hAnsiTheme="majorHAnsi" w:cstheme="majorBidi"/>
          <w:sz w:val="28"/>
          <w:szCs w:val="28"/>
        </w:rPr>
      </w:pPr>
      <w:r w:rsidRPr="001C2C53">
        <w:rPr>
          <w:rFonts w:asciiTheme="majorHAnsi" w:eastAsiaTheme="majorEastAsia" w:hAnsiTheme="majorHAnsi" w:cstheme="majorBidi"/>
          <w:sz w:val="28"/>
          <w:szCs w:val="28"/>
        </w:rPr>
        <w:t>User-centred system design: The NHS should ensure EHR systems are designed with clinicians and patients in mind, simplifying workflows, minimising documentation burdens, and enhancing accessibility across all care settings.</w:t>
      </w:r>
    </w:p>
    <w:p w14:paraId="759CBF8B" w14:textId="77777777" w:rsidR="00F22CD9" w:rsidRPr="001C2C53" w:rsidRDefault="00F22CD9" w:rsidP="00F22CD9">
      <w:pPr>
        <w:numPr>
          <w:ilvl w:val="0"/>
          <w:numId w:val="10"/>
        </w:numPr>
        <w:spacing w:after="200" w:line="276" w:lineRule="auto"/>
        <w:jc w:val="both"/>
        <w:rPr>
          <w:rFonts w:asciiTheme="majorHAnsi" w:eastAsiaTheme="majorEastAsia" w:hAnsiTheme="majorHAnsi" w:cstheme="majorBidi"/>
          <w:sz w:val="28"/>
          <w:szCs w:val="28"/>
        </w:rPr>
      </w:pPr>
      <w:r w:rsidRPr="001C2C53">
        <w:rPr>
          <w:rFonts w:asciiTheme="majorHAnsi" w:eastAsiaTheme="majorEastAsia" w:hAnsiTheme="majorHAnsi" w:cstheme="majorBidi"/>
          <w:sz w:val="28"/>
          <w:szCs w:val="28"/>
        </w:rPr>
        <w:t>Equitable digital inclusion: Targeted strategies must be implemented to support disadvantaged or digitally excluded populations, ensuring fair access, adequate training, and necessary digital infrastructure for effective EHR engagement.</w:t>
      </w:r>
    </w:p>
    <w:p w14:paraId="196D2292" w14:textId="77777777" w:rsidR="00F22CD9" w:rsidRPr="001C2C53" w:rsidRDefault="00F22CD9" w:rsidP="00F22CD9">
      <w:pPr>
        <w:numPr>
          <w:ilvl w:val="0"/>
          <w:numId w:val="10"/>
        </w:numPr>
        <w:spacing w:after="200" w:line="276" w:lineRule="auto"/>
        <w:jc w:val="both"/>
        <w:rPr>
          <w:rFonts w:asciiTheme="majorHAnsi" w:eastAsiaTheme="majorEastAsia" w:hAnsiTheme="majorHAnsi" w:cstheme="majorBidi"/>
          <w:sz w:val="28"/>
          <w:szCs w:val="28"/>
        </w:rPr>
      </w:pPr>
      <w:r w:rsidRPr="001C2C53">
        <w:rPr>
          <w:rFonts w:asciiTheme="majorHAnsi" w:eastAsiaTheme="majorEastAsia" w:hAnsiTheme="majorHAnsi" w:cstheme="majorBidi"/>
          <w:sz w:val="28"/>
          <w:szCs w:val="28"/>
        </w:rPr>
        <w:t>Robust cybersecurity and data governance: Strengthening cybersecurity frameworks and promoting transparent data governance will protect sensitive patient information, maintain confidentiality, and sustain public trust in digital health systems.</w:t>
      </w:r>
    </w:p>
    <w:p w14:paraId="0AD4043F" w14:textId="77777777" w:rsidR="00F22CD9" w:rsidRPr="001C2C53" w:rsidRDefault="00F22CD9" w:rsidP="00F22CD9">
      <w:pPr>
        <w:numPr>
          <w:ilvl w:val="0"/>
          <w:numId w:val="10"/>
        </w:numPr>
        <w:spacing w:after="200" w:line="276" w:lineRule="auto"/>
        <w:jc w:val="both"/>
        <w:rPr>
          <w:rFonts w:asciiTheme="majorHAnsi" w:eastAsiaTheme="majorEastAsia" w:hAnsiTheme="majorHAnsi" w:cstheme="majorBidi"/>
          <w:sz w:val="28"/>
          <w:szCs w:val="28"/>
        </w:rPr>
      </w:pPr>
      <w:r w:rsidRPr="001C2C53">
        <w:rPr>
          <w:rFonts w:asciiTheme="majorHAnsi" w:eastAsiaTheme="majorEastAsia" w:hAnsiTheme="majorHAnsi" w:cstheme="majorBidi"/>
          <w:sz w:val="28"/>
          <w:szCs w:val="28"/>
        </w:rPr>
        <w:lastRenderedPageBreak/>
        <w:t>Continuous evaluation and feedback: Establishing ongoing review mechanisms will allow the NHS to assess performance, capture user insights, and drive continuous improvement and innovation in EHR implementation.</w:t>
      </w:r>
    </w:p>
    <w:p w14:paraId="02B3AA20"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t>Ultimately, Electronic Health Records (EHRs) exemplify how digital transformation can fundamentally reshape healthcare delivery when human, ethical, and technical dimensions evolve in harmony. Their successful integration demonstrates the potential for data-driven, patient-centred care that transcends organisational boundaries and improves both quality and efficiency. However, the true sustainability of EHRs depends on continuous adaptation to meet the dynamic needs of healthcare professionals, patients, and policymakers.</w:t>
      </w:r>
    </w:p>
    <w:p w14:paraId="41923ACF"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t>Ethical governance, including data privacy, informed consent, and transparency, must remain at the forefront of EHR development to maintain public trust. At the same time, ongoing technical innovation—such as artificial intelligence integration, predictive analytics, and enhanced interoperability—will expand the functionality and responsiveness of EHR systems. Equally important are the human factors: providing adequate training, reducing digital fatigue, and ensuring that technology supports rather than replaces the compassionate nature of healthcare.</w:t>
      </w:r>
    </w:p>
    <w:p w14:paraId="21E6DEFC" w14:textId="77777777" w:rsidR="00F22CD9" w:rsidRPr="00897234" w:rsidRDefault="00F22CD9" w:rsidP="00F22CD9">
      <w:pPr>
        <w:jc w:val="both"/>
        <w:rPr>
          <w:rFonts w:asciiTheme="majorHAnsi" w:eastAsiaTheme="majorEastAsia" w:hAnsiTheme="majorHAnsi" w:cstheme="majorBidi"/>
          <w:sz w:val="28"/>
          <w:szCs w:val="28"/>
        </w:rPr>
      </w:pPr>
      <w:r w:rsidRPr="00897234">
        <w:rPr>
          <w:rFonts w:asciiTheme="majorHAnsi" w:eastAsiaTheme="majorEastAsia" w:hAnsiTheme="majorHAnsi" w:cstheme="majorBidi"/>
          <w:sz w:val="28"/>
          <w:szCs w:val="28"/>
        </w:rPr>
        <w:t>With thoughtful investment, user engagement, and policy alignment, EHRs will continue to drive a sustainable, integrated, and patient-focused NHS. They stand not merely as a technological tool but as a symbol of how digital transformation, when guided by ethical and inclusive principles, can strengthen the foundations of modern healthcare delivery across the United Kingdom.</w:t>
      </w:r>
    </w:p>
    <w:p w14:paraId="06388B3A" w14:textId="3105347A" w:rsidR="00C80D0F" w:rsidRPr="008375B5" w:rsidRDefault="00C80D0F" w:rsidP="008375B5">
      <w:pPr>
        <w:spacing w:line="360" w:lineRule="auto"/>
        <w:rPr>
          <w:rFonts w:ascii="Arial" w:hAnsi="Arial" w:cs="Arial"/>
          <w:sz w:val="22"/>
          <w:szCs w:val="22"/>
        </w:rPr>
      </w:pPr>
    </w:p>
    <w:p w14:paraId="4241EF9C" w14:textId="77777777" w:rsidR="00C80D0F" w:rsidRPr="008375B5" w:rsidRDefault="00C80D0F" w:rsidP="008375B5">
      <w:pPr>
        <w:spacing w:line="360" w:lineRule="auto"/>
        <w:rPr>
          <w:rFonts w:ascii="Arial" w:hAnsi="Arial" w:cs="Arial"/>
          <w:sz w:val="22"/>
          <w:szCs w:val="22"/>
        </w:rPr>
      </w:pPr>
    </w:p>
    <w:p w14:paraId="76920EB5" w14:textId="77777777" w:rsidR="00C80D0F" w:rsidRPr="008375B5" w:rsidRDefault="00C80D0F" w:rsidP="008375B5">
      <w:pPr>
        <w:spacing w:line="360" w:lineRule="auto"/>
        <w:rPr>
          <w:rFonts w:ascii="Arial" w:hAnsi="Arial" w:cs="Arial"/>
          <w:sz w:val="22"/>
          <w:szCs w:val="22"/>
        </w:rPr>
      </w:pPr>
    </w:p>
    <w:p w14:paraId="5C4B2A31" w14:textId="77777777" w:rsidR="00C80D0F" w:rsidRPr="008375B5" w:rsidRDefault="00C80D0F" w:rsidP="008375B5">
      <w:pPr>
        <w:spacing w:line="360" w:lineRule="auto"/>
        <w:rPr>
          <w:rFonts w:ascii="Arial" w:hAnsi="Arial" w:cs="Arial"/>
          <w:sz w:val="22"/>
          <w:szCs w:val="22"/>
        </w:rPr>
      </w:pPr>
    </w:p>
    <w:p w14:paraId="4A9E7E21" w14:textId="77777777" w:rsidR="008375B5" w:rsidRPr="008375B5" w:rsidRDefault="008375B5" w:rsidP="008375B5">
      <w:pPr>
        <w:spacing w:line="360" w:lineRule="auto"/>
        <w:rPr>
          <w:rFonts w:ascii="Arial" w:hAnsi="Arial" w:cs="Arial"/>
          <w:sz w:val="22"/>
          <w:szCs w:val="22"/>
        </w:rPr>
      </w:pPr>
    </w:p>
    <w:p w14:paraId="3D599A25" w14:textId="77777777" w:rsidR="008375B5" w:rsidRPr="008375B5" w:rsidRDefault="008375B5" w:rsidP="008375B5">
      <w:pPr>
        <w:spacing w:line="360" w:lineRule="auto"/>
        <w:rPr>
          <w:rFonts w:ascii="Arial" w:hAnsi="Arial" w:cs="Arial"/>
          <w:sz w:val="22"/>
          <w:szCs w:val="22"/>
        </w:rPr>
      </w:pPr>
    </w:p>
    <w:p w14:paraId="317B5555" w14:textId="77777777" w:rsidR="008375B5" w:rsidRPr="008375B5" w:rsidRDefault="008375B5" w:rsidP="008375B5">
      <w:pPr>
        <w:spacing w:line="360" w:lineRule="auto"/>
        <w:rPr>
          <w:rFonts w:ascii="Arial" w:hAnsi="Arial" w:cs="Arial"/>
          <w:sz w:val="22"/>
          <w:szCs w:val="22"/>
        </w:rPr>
      </w:pPr>
    </w:p>
    <w:p w14:paraId="63857A30" w14:textId="77777777" w:rsidR="008375B5" w:rsidRDefault="008375B5" w:rsidP="008375B5">
      <w:pPr>
        <w:spacing w:line="360" w:lineRule="auto"/>
        <w:rPr>
          <w:rFonts w:ascii="Arial" w:hAnsi="Arial" w:cs="Arial"/>
          <w:b/>
          <w:bCs/>
          <w:sz w:val="28"/>
          <w:szCs w:val="28"/>
        </w:rPr>
      </w:pPr>
      <w:r>
        <w:rPr>
          <w:rFonts w:ascii="Arial" w:hAnsi="Arial" w:cs="Arial"/>
          <w:b/>
          <w:bCs/>
          <w:sz w:val="28"/>
          <w:szCs w:val="28"/>
        </w:rPr>
        <w:lastRenderedPageBreak/>
        <w:t>References</w:t>
      </w:r>
    </w:p>
    <w:p w14:paraId="2D5701A4" w14:textId="40514583"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Alami, H., Lehoux, P., Auclair, Y. &amp; de Guise, M. (2020) ‘Digital transformation and health system performance: A scoping review’, </w:t>
      </w:r>
      <w:r w:rsidRPr="000E5BAE">
        <w:rPr>
          <w:rFonts w:asciiTheme="majorHAnsi" w:eastAsiaTheme="majorEastAsia" w:hAnsiTheme="majorHAnsi" w:cstheme="majorBidi"/>
          <w:i/>
          <w:iCs/>
          <w:sz w:val="28"/>
          <w:szCs w:val="28"/>
        </w:rPr>
        <w:t>BMC Health Services Research</w:t>
      </w:r>
      <w:r w:rsidRPr="000E5BAE">
        <w:rPr>
          <w:rFonts w:asciiTheme="majorHAnsi" w:eastAsiaTheme="majorEastAsia" w:hAnsiTheme="majorHAnsi" w:cstheme="majorBidi"/>
          <w:sz w:val="28"/>
          <w:szCs w:val="28"/>
        </w:rPr>
        <w:t>, 20(1), pp. 1–14.</w:t>
      </w:r>
    </w:p>
    <w:p w14:paraId="7DE6B668" w14:textId="433CA603"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Brown, A. &amp; Taylor, J. (2021) ‘The impact of mobile health applications on chronic disease management’, </w:t>
      </w:r>
      <w:r w:rsidRPr="000E5BAE">
        <w:rPr>
          <w:rFonts w:asciiTheme="majorHAnsi" w:eastAsiaTheme="majorEastAsia" w:hAnsiTheme="majorHAnsi" w:cstheme="majorBidi"/>
          <w:i/>
          <w:iCs/>
          <w:sz w:val="28"/>
          <w:szCs w:val="28"/>
        </w:rPr>
        <w:t>British Journal of Healthcare Management</w:t>
      </w:r>
      <w:r w:rsidRPr="000E5BAE">
        <w:rPr>
          <w:rFonts w:asciiTheme="majorHAnsi" w:eastAsiaTheme="majorEastAsia" w:hAnsiTheme="majorHAnsi" w:cstheme="majorBidi"/>
          <w:sz w:val="28"/>
          <w:szCs w:val="28"/>
        </w:rPr>
        <w:t>, 27(8), pp. 356–362.</w:t>
      </w:r>
    </w:p>
    <w:p w14:paraId="16F0BF13" w14:textId="535CAF6D"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Ghosh, S., Davies, J. &amp; Wilson, R. (2022) ‘Clinician attitudes toward EHR usability and workload in UK hospitals’, </w:t>
      </w:r>
      <w:r w:rsidRPr="000E5BAE">
        <w:rPr>
          <w:rFonts w:asciiTheme="majorHAnsi" w:eastAsiaTheme="majorEastAsia" w:hAnsiTheme="majorHAnsi" w:cstheme="majorBidi"/>
          <w:i/>
          <w:iCs/>
          <w:sz w:val="28"/>
          <w:szCs w:val="28"/>
        </w:rPr>
        <w:t>Journal of Medical Informatics Research</w:t>
      </w:r>
      <w:r w:rsidRPr="000E5BAE">
        <w:rPr>
          <w:rFonts w:asciiTheme="majorHAnsi" w:eastAsiaTheme="majorEastAsia" w:hAnsiTheme="majorHAnsi" w:cstheme="majorBidi"/>
          <w:sz w:val="28"/>
          <w:szCs w:val="28"/>
        </w:rPr>
        <w:t>, 44(3), pp. 211–230.</w:t>
      </w:r>
    </w:p>
    <w:p w14:paraId="2CDF0928" w14:textId="3C061039"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Greenhalgh, T., Wherton, J. &amp; Shaw, S. (2019) ‘Infrastructure revisited: Technology, governance and the NHS digital ecosystem’, </w:t>
      </w:r>
      <w:r w:rsidRPr="000E5BAE">
        <w:rPr>
          <w:rFonts w:asciiTheme="majorHAnsi" w:eastAsiaTheme="majorEastAsia" w:hAnsiTheme="majorHAnsi" w:cstheme="majorBidi"/>
          <w:i/>
          <w:iCs/>
          <w:sz w:val="28"/>
          <w:szCs w:val="28"/>
        </w:rPr>
        <w:t>Social Science &amp; Medicine</w:t>
      </w:r>
      <w:r w:rsidRPr="000E5BAE">
        <w:rPr>
          <w:rFonts w:asciiTheme="majorHAnsi" w:eastAsiaTheme="majorEastAsia" w:hAnsiTheme="majorHAnsi" w:cstheme="majorBidi"/>
          <w:sz w:val="28"/>
          <w:szCs w:val="28"/>
        </w:rPr>
        <w:t>, 239(5), pp. 1–10.</w:t>
      </w:r>
    </w:p>
    <w:p w14:paraId="036F016D" w14:textId="26BC8E47"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Health Education England (2022) </w:t>
      </w:r>
      <w:r w:rsidRPr="000E5BAE">
        <w:rPr>
          <w:rFonts w:asciiTheme="majorHAnsi" w:eastAsiaTheme="majorEastAsia" w:hAnsiTheme="majorHAnsi" w:cstheme="majorBidi"/>
          <w:i/>
          <w:iCs/>
          <w:sz w:val="28"/>
          <w:szCs w:val="28"/>
        </w:rPr>
        <w:t>Digital Readiness Programme: Annual Report 2022</w:t>
      </w:r>
      <w:r w:rsidRPr="000E5BAE">
        <w:rPr>
          <w:rFonts w:asciiTheme="majorHAnsi" w:eastAsiaTheme="majorEastAsia" w:hAnsiTheme="majorHAnsi" w:cstheme="majorBidi"/>
          <w:sz w:val="28"/>
          <w:szCs w:val="28"/>
        </w:rPr>
        <w:t>. London: NHS England.</w:t>
      </w:r>
    </w:p>
    <w:p w14:paraId="5496676C" w14:textId="7E5C93B2"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Health Foundation (2021) </w:t>
      </w:r>
      <w:r w:rsidRPr="000E5BAE">
        <w:rPr>
          <w:rFonts w:asciiTheme="majorHAnsi" w:eastAsiaTheme="majorEastAsia" w:hAnsiTheme="majorHAnsi" w:cstheme="majorBidi"/>
          <w:i/>
          <w:iCs/>
          <w:sz w:val="28"/>
          <w:szCs w:val="28"/>
        </w:rPr>
        <w:t>Better Data for Better Health: Community Use of EHR Systems in the UK</w:t>
      </w:r>
      <w:r w:rsidRPr="000E5BAE">
        <w:rPr>
          <w:rFonts w:asciiTheme="majorHAnsi" w:eastAsiaTheme="majorEastAsia" w:hAnsiTheme="majorHAnsi" w:cstheme="majorBidi"/>
          <w:sz w:val="28"/>
          <w:szCs w:val="28"/>
        </w:rPr>
        <w:t>. London: The Health Foundation.</w:t>
      </w:r>
    </w:p>
    <w:p w14:paraId="290A763F" w14:textId="16E04E36"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Johnson, R., Patel, V. &amp; Ahmed, S. (2021) ‘Digital competence and professional development in healthcare’, </w:t>
      </w:r>
      <w:r w:rsidRPr="000E5BAE">
        <w:rPr>
          <w:rFonts w:asciiTheme="majorHAnsi" w:eastAsiaTheme="majorEastAsia" w:hAnsiTheme="majorHAnsi" w:cstheme="majorBidi"/>
          <w:i/>
          <w:iCs/>
          <w:sz w:val="28"/>
          <w:szCs w:val="28"/>
        </w:rPr>
        <w:t>British Journal of Nursing</w:t>
      </w:r>
      <w:r w:rsidRPr="000E5BAE">
        <w:rPr>
          <w:rFonts w:asciiTheme="majorHAnsi" w:eastAsiaTheme="majorEastAsia" w:hAnsiTheme="majorHAnsi" w:cstheme="majorBidi"/>
          <w:sz w:val="28"/>
          <w:szCs w:val="28"/>
        </w:rPr>
        <w:t>, 30(15), pp. 876–883.</w:t>
      </w:r>
    </w:p>
    <w:p w14:paraId="11672AD4" w14:textId="4A39BE78"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Marques, P., Simons, K. &amp; Rahman, A. (2021) ‘Electronic health record adoption and professional stress: Lessons from NHS Trusts’, </w:t>
      </w:r>
      <w:r w:rsidRPr="000E5BAE">
        <w:rPr>
          <w:rFonts w:asciiTheme="majorHAnsi" w:eastAsiaTheme="majorEastAsia" w:hAnsiTheme="majorHAnsi" w:cstheme="majorBidi"/>
          <w:i/>
          <w:iCs/>
          <w:sz w:val="28"/>
          <w:szCs w:val="28"/>
        </w:rPr>
        <w:t>BMJ Open</w:t>
      </w:r>
      <w:r w:rsidRPr="000E5BAE">
        <w:rPr>
          <w:rFonts w:asciiTheme="majorHAnsi" w:eastAsiaTheme="majorEastAsia" w:hAnsiTheme="majorHAnsi" w:cstheme="majorBidi"/>
          <w:sz w:val="28"/>
          <w:szCs w:val="28"/>
        </w:rPr>
        <w:t>, 11(4), pp. 1–8.</w:t>
      </w:r>
    </w:p>
    <w:p w14:paraId="3DE2B59F" w14:textId="311B3F10"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Murray, E., Osbourne, R. &amp; Brown, J. (2021) ‘Bridging the digital divide in UK healthcare’, </w:t>
      </w:r>
      <w:r w:rsidRPr="000E5BAE">
        <w:rPr>
          <w:rFonts w:asciiTheme="majorHAnsi" w:eastAsiaTheme="majorEastAsia" w:hAnsiTheme="majorHAnsi" w:cstheme="majorBidi"/>
          <w:i/>
          <w:iCs/>
          <w:sz w:val="28"/>
          <w:szCs w:val="28"/>
        </w:rPr>
        <w:t>Journal of Health Policy Research</w:t>
      </w:r>
      <w:r w:rsidRPr="000E5BAE">
        <w:rPr>
          <w:rFonts w:asciiTheme="majorHAnsi" w:eastAsiaTheme="majorEastAsia" w:hAnsiTheme="majorHAnsi" w:cstheme="majorBidi"/>
          <w:sz w:val="28"/>
          <w:szCs w:val="28"/>
        </w:rPr>
        <w:t>, 16(2), pp. 103–117.</w:t>
      </w:r>
    </w:p>
    <w:p w14:paraId="3D5E6DDA" w14:textId="1E668E53"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National Audit Office (2023) </w:t>
      </w:r>
      <w:r w:rsidRPr="000E5BAE">
        <w:rPr>
          <w:rFonts w:asciiTheme="majorHAnsi" w:eastAsiaTheme="majorEastAsia" w:hAnsiTheme="majorHAnsi" w:cstheme="majorBidi"/>
          <w:i/>
          <w:iCs/>
          <w:sz w:val="28"/>
          <w:szCs w:val="28"/>
        </w:rPr>
        <w:t>Cybersecurity in the NHS: Progress Report 2023</w:t>
      </w:r>
      <w:r w:rsidRPr="000E5BAE">
        <w:rPr>
          <w:rFonts w:asciiTheme="majorHAnsi" w:eastAsiaTheme="majorEastAsia" w:hAnsiTheme="majorHAnsi" w:cstheme="majorBidi"/>
          <w:sz w:val="28"/>
          <w:szCs w:val="28"/>
        </w:rPr>
        <w:t>. London: NAO.</w:t>
      </w:r>
    </w:p>
    <w:p w14:paraId="6AA91CE8" w14:textId="6D782A66"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National Data Guardian (2023) </w:t>
      </w:r>
      <w:r w:rsidRPr="000E5BAE">
        <w:rPr>
          <w:rFonts w:asciiTheme="majorHAnsi" w:eastAsiaTheme="majorEastAsia" w:hAnsiTheme="majorHAnsi" w:cstheme="majorBidi"/>
          <w:i/>
          <w:iCs/>
          <w:sz w:val="28"/>
          <w:szCs w:val="28"/>
        </w:rPr>
        <w:t>Data Security and Patient Trust Review</w:t>
      </w:r>
      <w:r w:rsidRPr="000E5BAE">
        <w:rPr>
          <w:rFonts w:asciiTheme="majorHAnsi" w:eastAsiaTheme="majorEastAsia" w:hAnsiTheme="majorHAnsi" w:cstheme="majorBidi"/>
          <w:sz w:val="28"/>
          <w:szCs w:val="28"/>
        </w:rPr>
        <w:t>. London: Department of Health and Social Care.</w:t>
      </w:r>
    </w:p>
    <w:p w14:paraId="74C6F2E1" w14:textId="17ECD60F"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NHS Digital (2022) </w:t>
      </w:r>
      <w:r w:rsidRPr="000E5BAE">
        <w:rPr>
          <w:rFonts w:asciiTheme="majorHAnsi" w:eastAsiaTheme="majorEastAsia" w:hAnsiTheme="majorHAnsi" w:cstheme="majorBidi"/>
          <w:i/>
          <w:iCs/>
          <w:sz w:val="28"/>
          <w:szCs w:val="28"/>
        </w:rPr>
        <w:t>Summary Care Records: Annual Data Review 2022</w:t>
      </w:r>
      <w:r w:rsidRPr="000E5BAE">
        <w:rPr>
          <w:rFonts w:asciiTheme="majorHAnsi" w:eastAsiaTheme="majorEastAsia" w:hAnsiTheme="majorHAnsi" w:cstheme="majorBidi"/>
          <w:sz w:val="28"/>
          <w:szCs w:val="28"/>
        </w:rPr>
        <w:t>. London: NHS Digital.</w:t>
      </w:r>
    </w:p>
    <w:p w14:paraId="0F609295" w14:textId="1B36A56F"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lastRenderedPageBreak/>
        <w:t xml:space="preserve"> </w:t>
      </w:r>
      <w:r w:rsidRPr="000E5BAE">
        <w:rPr>
          <w:rFonts w:asciiTheme="majorHAnsi" w:eastAsiaTheme="majorEastAsia" w:hAnsiTheme="majorHAnsi" w:cstheme="majorBidi"/>
          <w:sz w:val="28"/>
          <w:szCs w:val="28"/>
        </w:rPr>
        <w:t xml:space="preserve">NHS Digital Academy (2023) </w:t>
      </w:r>
      <w:r w:rsidRPr="000E5BAE">
        <w:rPr>
          <w:rFonts w:asciiTheme="majorHAnsi" w:eastAsiaTheme="majorEastAsia" w:hAnsiTheme="majorHAnsi" w:cstheme="majorBidi"/>
          <w:i/>
          <w:iCs/>
          <w:sz w:val="28"/>
          <w:szCs w:val="28"/>
        </w:rPr>
        <w:t>Building Digital Leaders: Progress and Impact Report</w:t>
      </w:r>
      <w:r w:rsidRPr="000E5BAE">
        <w:rPr>
          <w:rFonts w:asciiTheme="majorHAnsi" w:eastAsiaTheme="majorEastAsia" w:hAnsiTheme="majorHAnsi" w:cstheme="majorBidi"/>
          <w:sz w:val="28"/>
          <w:szCs w:val="28"/>
        </w:rPr>
        <w:t>. London: NHS England.</w:t>
      </w:r>
    </w:p>
    <w:p w14:paraId="01815BD4" w14:textId="77777777" w:rsidR="008633E1"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 xml:space="preserve">NHS England (2022) </w:t>
      </w:r>
      <w:r w:rsidRPr="000E5BAE">
        <w:rPr>
          <w:rFonts w:asciiTheme="majorHAnsi" w:eastAsiaTheme="majorEastAsia" w:hAnsiTheme="majorHAnsi" w:cstheme="majorBidi"/>
          <w:i/>
          <w:iCs/>
          <w:sz w:val="28"/>
          <w:szCs w:val="28"/>
        </w:rPr>
        <w:t>NHS Digital Transformation Strategy 2022–2027</w:t>
      </w:r>
      <w:r w:rsidRPr="000E5BAE">
        <w:rPr>
          <w:rFonts w:asciiTheme="majorHAnsi" w:eastAsiaTheme="majorEastAsia" w:hAnsiTheme="majorHAnsi" w:cstheme="majorBidi"/>
          <w:sz w:val="28"/>
          <w:szCs w:val="28"/>
        </w:rPr>
        <w:t>. London: NHS England.</w:t>
      </w:r>
    </w:p>
    <w:p w14:paraId="79B49440" w14:textId="19E501C3"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NHS Improvement (2022) </w:t>
      </w:r>
      <w:r w:rsidRPr="000E5BAE">
        <w:rPr>
          <w:rFonts w:asciiTheme="majorHAnsi" w:eastAsiaTheme="majorEastAsia" w:hAnsiTheme="majorHAnsi" w:cstheme="majorBidi"/>
          <w:i/>
          <w:iCs/>
          <w:sz w:val="28"/>
          <w:szCs w:val="28"/>
        </w:rPr>
        <w:t>Medication Safety Improvement Programme Annual Report</w:t>
      </w:r>
      <w:r w:rsidRPr="000E5BAE">
        <w:rPr>
          <w:rFonts w:asciiTheme="majorHAnsi" w:eastAsiaTheme="majorEastAsia" w:hAnsiTheme="majorHAnsi" w:cstheme="majorBidi"/>
          <w:sz w:val="28"/>
          <w:szCs w:val="28"/>
        </w:rPr>
        <w:t>. London: NHS England.</w:t>
      </w:r>
    </w:p>
    <w:p w14:paraId="1FA84786" w14:textId="475F5FBB"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Nguyen, L., Bellucci, E. &amp; Nguyen, L. T. (2021) ‘Electronic health records in practice: Lessons from the UK experience’, </w:t>
      </w:r>
      <w:r w:rsidRPr="000E5BAE">
        <w:rPr>
          <w:rFonts w:asciiTheme="majorHAnsi" w:eastAsiaTheme="majorEastAsia" w:hAnsiTheme="majorHAnsi" w:cstheme="majorBidi"/>
          <w:i/>
          <w:iCs/>
          <w:sz w:val="28"/>
          <w:szCs w:val="28"/>
        </w:rPr>
        <w:t>Computers in Biology and Medicine</w:t>
      </w:r>
      <w:r w:rsidRPr="000E5BAE">
        <w:rPr>
          <w:rFonts w:asciiTheme="majorHAnsi" w:eastAsiaTheme="majorEastAsia" w:hAnsiTheme="majorHAnsi" w:cstheme="majorBidi"/>
          <w:sz w:val="28"/>
          <w:szCs w:val="28"/>
        </w:rPr>
        <w:t>, 135(104602), pp. 1–10.</w:t>
      </w:r>
    </w:p>
    <w:p w14:paraId="15CCA54A" w14:textId="62EBBF83" w:rsidR="00F22CD9" w:rsidRDefault="00F22CD9" w:rsidP="00F22CD9">
      <w:pPr>
        <w:jc w:val="both"/>
        <w:rPr>
          <w:rFonts w:asciiTheme="majorHAnsi" w:eastAsiaTheme="majorEastAsia" w:hAnsiTheme="majorHAnsi" w:cstheme="majorBidi"/>
          <w:sz w:val="28"/>
          <w:szCs w:val="28"/>
        </w:rPr>
      </w:pPr>
      <w:r w:rsidRPr="000E5BAE">
        <w:rPr>
          <w:rFonts w:asciiTheme="majorHAnsi" w:eastAsiaTheme="majorEastAsia" w:hAnsiTheme="majorHAnsi" w:cstheme="majorBidi"/>
          <w:sz w:val="28"/>
          <w:szCs w:val="28"/>
        </w:rPr>
        <w:t xml:space="preserve">Osborn, S. &amp; Ayele, Y. (2022) ‘EHR-enabled pandemic response: Lessons from the NHS’, </w:t>
      </w:r>
      <w:r w:rsidRPr="000E5BAE">
        <w:rPr>
          <w:rFonts w:asciiTheme="majorHAnsi" w:eastAsiaTheme="majorEastAsia" w:hAnsiTheme="majorHAnsi" w:cstheme="majorBidi"/>
          <w:i/>
          <w:iCs/>
          <w:sz w:val="28"/>
          <w:szCs w:val="28"/>
        </w:rPr>
        <w:t>The Lancet Digital Health</w:t>
      </w:r>
      <w:r w:rsidRPr="000E5BAE">
        <w:rPr>
          <w:rFonts w:asciiTheme="majorHAnsi" w:eastAsiaTheme="majorEastAsia" w:hAnsiTheme="majorHAnsi" w:cstheme="majorBidi"/>
          <w:sz w:val="28"/>
          <w:szCs w:val="28"/>
        </w:rPr>
        <w:t>, 4(5), pp. 321–333.</w:t>
      </w:r>
    </w:p>
    <w:p w14:paraId="66EDD7E7" w14:textId="514379CF"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Office for National Statistics (ONS) (2023) </w:t>
      </w:r>
      <w:r w:rsidRPr="000E5BAE">
        <w:rPr>
          <w:rFonts w:asciiTheme="majorHAnsi" w:eastAsiaTheme="majorEastAsia" w:hAnsiTheme="majorHAnsi" w:cstheme="majorBidi"/>
          <w:i/>
          <w:iCs/>
          <w:sz w:val="28"/>
          <w:szCs w:val="28"/>
        </w:rPr>
        <w:t>Internet Access and Digital Inclusion in the UK: 2023 Report</w:t>
      </w:r>
      <w:r w:rsidRPr="000E5BAE">
        <w:rPr>
          <w:rFonts w:asciiTheme="majorHAnsi" w:eastAsiaTheme="majorEastAsia" w:hAnsiTheme="majorHAnsi" w:cstheme="majorBidi"/>
          <w:sz w:val="28"/>
          <w:szCs w:val="28"/>
        </w:rPr>
        <w:t>. London: ONS.</w:t>
      </w:r>
    </w:p>
    <w:p w14:paraId="4D80B8D2" w14:textId="08CA5ACE" w:rsidR="00F22CD9" w:rsidRDefault="00F22CD9" w:rsidP="00F22CD9">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Reeves, S., Pelone, F. &amp; Harrison, R. (2020) ‘Interprofessional collaboration and digital transformation in healthcare’, </w:t>
      </w:r>
      <w:r w:rsidRPr="000E5BAE">
        <w:rPr>
          <w:rFonts w:asciiTheme="majorHAnsi" w:eastAsiaTheme="majorEastAsia" w:hAnsiTheme="majorHAnsi" w:cstheme="majorBidi"/>
          <w:i/>
          <w:iCs/>
          <w:sz w:val="28"/>
          <w:szCs w:val="28"/>
        </w:rPr>
        <w:t>BMJ Quality &amp; Safety</w:t>
      </w:r>
      <w:r w:rsidRPr="000E5BAE">
        <w:rPr>
          <w:rFonts w:asciiTheme="majorHAnsi" w:eastAsiaTheme="majorEastAsia" w:hAnsiTheme="majorHAnsi" w:cstheme="majorBidi"/>
          <w:sz w:val="28"/>
          <w:szCs w:val="28"/>
        </w:rPr>
        <w:t>, 29(3), pp. 1–10.</w:t>
      </w:r>
    </w:p>
    <w:p w14:paraId="439E5CB2" w14:textId="10EF4CDD" w:rsidR="00F22CD9" w:rsidRPr="00F10A22" w:rsidRDefault="00F22CD9" w:rsidP="00F10A22">
      <w:pPr>
        <w:jc w:val="both"/>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sidRPr="000E5BAE">
        <w:rPr>
          <w:rFonts w:asciiTheme="majorHAnsi" w:eastAsiaTheme="majorEastAsia" w:hAnsiTheme="majorHAnsi" w:cstheme="majorBidi"/>
          <w:sz w:val="28"/>
          <w:szCs w:val="28"/>
        </w:rPr>
        <w:t xml:space="preserve">Robertson, A., Cresswell, K. &amp; Sheikh, A. (2019) ‘Electronic health record systems and patient safety’, </w:t>
      </w:r>
      <w:r w:rsidRPr="000E5BAE">
        <w:rPr>
          <w:rFonts w:asciiTheme="majorHAnsi" w:eastAsiaTheme="majorEastAsia" w:hAnsiTheme="majorHAnsi" w:cstheme="majorBidi"/>
          <w:i/>
          <w:iCs/>
          <w:sz w:val="28"/>
          <w:szCs w:val="28"/>
        </w:rPr>
        <w:t>The British Medical Journal</w:t>
      </w:r>
      <w:r w:rsidRPr="000E5BAE">
        <w:rPr>
          <w:rFonts w:asciiTheme="majorHAnsi" w:eastAsiaTheme="majorEastAsia" w:hAnsiTheme="majorHAnsi" w:cstheme="majorBidi"/>
          <w:sz w:val="28"/>
          <w:szCs w:val="28"/>
        </w:rPr>
        <w:t>, 364(1), pp. 1–6.</w:t>
      </w:r>
    </w:p>
    <w:sectPr w:rsidR="00F22CD9" w:rsidRPr="00F10A22" w:rsidSect="008375B5">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F92B9E" w14:textId="77777777" w:rsidR="004145A8" w:rsidRDefault="004145A8" w:rsidP="008375B5">
      <w:pPr>
        <w:spacing w:after="0" w:line="240" w:lineRule="auto"/>
      </w:pPr>
      <w:r>
        <w:separator/>
      </w:r>
    </w:p>
  </w:endnote>
  <w:endnote w:type="continuationSeparator" w:id="0">
    <w:p w14:paraId="6E5651DA" w14:textId="77777777" w:rsidR="004145A8" w:rsidRDefault="004145A8"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AFCC6C" w14:textId="77777777" w:rsidR="004145A8" w:rsidRDefault="004145A8" w:rsidP="008375B5">
      <w:pPr>
        <w:spacing w:after="0" w:line="240" w:lineRule="auto"/>
      </w:pPr>
      <w:r>
        <w:separator/>
      </w:r>
    </w:p>
  </w:footnote>
  <w:footnote w:type="continuationSeparator" w:id="0">
    <w:p w14:paraId="7646A597" w14:textId="77777777" w:rsidR="004145A8" w:rsidRDefault="004145A8"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184257"/>
    <w:multiLevelType w:val="multilevel"/>
    <w:tmpl w:val="9C4CB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3E1E10"/>
    <w:multiLevelType w:val="multilevel"/>
    <w:tmpl w:val="EEB4E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4"/>
  </w:num>
  <w:num w:numId="2" w16cid:durableId="1722706951">
    <w:abstractNumId w:val="5"/>
  </w:num>
  <w:num w:numId="3" w16cid:durableId="335810324">
    <w:abstractNumId w:val="6"/>
  </w:num>
  <w:num w:numId="4" w16cid:durableId="808743765">
    <w:abstractNumId w:val="0"/>
  </w:num>
  <w:num w:numId="5" w16cid:durableId="1356345100">
    <w:abstractNumId w:val="1"/>
  </w:num>
  <w:num w:numId="6" w16cid:durableId="409356113">
    <w:abstractNumId w:val="7"/>
  </w:num>
  <w:num w:numId="7" w16cid:durableId="1013411307">
    <w:abstractNumId w:val="8"/>
  </w:num>
  <w:num w:numId="8" w16cid:durableId="704909136">
    <w:abstractNumId w:val="9"/>
  </w:num>
  <w:num w:numId="9" w16cid:durableId="1774394905">
    <w:abstractNumId w:val="2"/>
  </w:num>
  <w:num w:numId="10" w16cid:durableId="19818110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111F3A"/>
    <w:rsid w:val="001620B1"/>
    <w:rsid w:val="001B5EAB"/>
    <w:rsid w:val="0024281D"/>
    <w:rsid w:val="00255D51"/>
    <w:rsid w:val="00363E9C"/>
    <w:rsid w:val="003A0977"/>
    <w:rsid w:val="004145A8"/>
    <w:rsid w:val="00465182"/>
    <w:rsid w:val="00500C69"/>
    <w:rsid w:val="0058254B"/>
    <w:rsid w:val="005C3516"/>
    <w:rsid w:val="00610A17"/>
    <w:rsid w:val="006E29C5"/>
    <w:rsid w:val="008265EC"/>
    <w:rsid w:val="008375B5"/>
    <w:rsid w:val="008633E1"/>
    <w:rsid w:val="008E31E6"/>
    <w:rsid w:val="009334D8"/>
    <w:rsid w:val="00977721"/>
    <w:rsid w:val="00987802"/>
    <w:rsid w:val="00A875D4"/>
    <w:rsid w:val="00A9474F"/>
    <w:rsid w:val="00AC2DCE"/>
    <w:rsid w:val="00AC3FDE"/>
    <w:rsid w:val="00B702F4"/>
    <w:rsid w:val="00C80D0F"/>
    <w:rsid w:val="00D40915"/>
    <w:rsid w:val="00DD3E03"/>
    <w:rsid w:val="00F10A22"/>
    <w:rsid w:val="00F22C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TotalTime>
  <Pages>12</Pages>
  <Words>2820</Words>
  <Characters>16080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18863</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Patricia A</cp:lastModifiedBy>
  <cp:revision>3</cp:revision>
  <dcterms:created xsi:type="dcterms:W3CDTF">2025-11-10T16:08:00Z</dcterms:created>
  <dcterms:modified xsi:type="dcterms:W3CDTF">2025-11-14T09:54:00Z</dcterms:modified>
</cp:coreProperties>
</file>