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8F342" w14:textId="1731F32A" w:rsidR="00A35808" w:rsidRDefault="00A35808"/>
    <w:p w14:paraId="724A5D42" w14:textId="29E8A65D" w:rsidR="00AC1431" w:rsidRDefault="00AC1431" w:rsidP="00AC1431">
      <w:pPr>
        <w:spacing w:line="480" w:lineRule="auto"/>
      </w:pPr>
    </w:p>
    <w:p w14:paraId="5D42FB26" w14:textId="6DA9D7F0" w:rsidR="00AC1431" w:rsidRPr="00AC1431" w:rsidRDefault="00AC1431" w:rsidP="00AC1431">
      <w:pPr>
        <w:spacing w:line="480" w:lineRule="auto"/>
        <w:rPr>
          <w:sz w:val="32"/>
          <w:szCs w:val="32"/>
        </w:rPr>
      </w:pPr>
    </w:p>
    <w:p w14:paraId="27CE0B0C" w14:textId="302D4EB6" w:rsidR="00AC1431" w:rsidRDefault="00AC1431" w:rsidP="00AC1431">
      <w:pPr>
        <w:spacing w:line="480" w:lineRule="auto"/>
        <w:rPr>
          <w:rStyle w:val="normaltextrun"/>
          <w:rFonts w:ascii="Calibri" w:hAnsi="Calibri" w:cs="Calibri"/>
          <w:b/>
          <w:bCs/>
          <w:color w:val="000000"/>
          <w:sz w:val="32"/>
          <w:szCs w:val="32"/>
          <w:bdr w:val="none" w:sz="0" w:space="0" w:color="auto" w:frame="1"/>
        </w:rPr>
      </w:pPr>
      <w:r w:rsidRPr="00AC1431">
        <w:rPr>
          <w:rStyle w:val="normaltextrun"/>
          <w:rFonts w:ascii="Calibri" w:hAnsi="Calibri" w:cs="Calibri"/>
          <w:b/>
          <w:bCs/>
          <w:color w:val="000000"/>
          <w:sz w:val="32"/>
          <w:szCs w:val="32"/>
          <w:bdr w:val="none" w:sz="0" w:space="0" w:color="auto" w:frame="1"/>
        </w:rPr>
        <w:t>A critical evaluation and the identification of next teaching and learning steps focusing on a case study of an individual learner or a group of learners, based on an observed critical incident.</w:t>
      </w:r>
    </w:p>
    <w:p w14:paraId="5287DF18" w14:textId="77777777"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55317BBA" w14:textId="3E1F518A" w:rsidR="00AC1431" w:rsidRPr="00AC1431" w:rsidRDefault="00AC1431" w:rsidP="00AC1431">
      <w:pPr>
        <w:spacing w:line="480" w:lineRule="auto"/>
        <w:rPr>
          <w:rStyle w:val="normaltextrun"/>
          <w:rFonts w:ascii="Calibri" w:hAnsi="Calibri" w:cs="Calibri"/>
          <w:b/>
          <w:bCs/>
          <w:color w:val="000000"/>
          <w:sz w:val="28"/>
          <w:szCs w:val="28"/>
          <w:bdr w:val="none" w:sz="0" w:space="0" w:color="auto" w:frame="1"/>
        </w:rPr>
      </w:pPr>
      <w:r w:rsidRPr="00AC1431">
        <w:rPr>
          <w:rStyle w:val="normaltextrun"/>
          <w:rFonts w:ascii="Calibri" w:hAnsi="Calibri" w:cs="Calibri"/>
          <w:b/>
          <w:bCs/>
          <w:color w:val="000000"/>
          <w:sz w:val="28"/>
          <w:szCs w:val="28"/>
          <w:bdr w:val="none" w:sz="0" w:space="0" w:color="auto" w:frame="1"/>
        </w:rPr>
        <w:t>ECAD6007</w:t>
      </w:r>
      <w:r>
        <w:rPr>
          <w:rStyle w:val="normaltextrun"/>
          <w:rFonts w:ascii="Calibri" w:hAnsi="Calibri" w:cs="Calibri"/>
          <w:b/>
          <w:bCs/>
          <w:color w:val="000000"/>
          <w:sz w:val="28"/>
          <w:szCs w:val="28"/>
          <w:bdr w:val="none" w:sz="0" w:space="0" w:color="auto" w:frame="1"/>
        </w:rPr>
        <w:t xml:space="preserve"> The Learner: Who am I Teaching?</w:t>
      </w:r>
    </w:p>
    <w:p w14:paraId="53D34CB9" w14:textId="29F80AF9" w:rsidR="00AC1431" w:rsidRDefault="00AC1431" w:rsidP="00AC1431">
      <w:pPr>
        <w:spacing w:line="480" w:lineRule="auto"/>
        <w:rPr>
          <w:rStyle w:val="normaltextrun"/>
          <w:rFonts w:ascii="Calibri" w:hAnsi="Calibri" w:cs="Calibri"/>
          <w:b/>
          <w:bCs/>
          <w:color w:val="000000"/>
          <w:sz w:val="28"/>
          <w:szCs w:val="28"/>
          <w:bdr w:val="none" w:sz="0" w:space="0" w:color="auto" w:frame="1"/>
        </w:rPr>
      </w:pPr>
      <w:r w:rsidRPr="00AC1431">
        <w:rPr>
          <w:rStyle w:val="normaltextrun"/>
          <w:rFonts w:ascii="Calibri" w:hAnsi="Calibri" w:cs="Calibri"/>
          <w:b/>
          <w:bCs/>
          <w:color w:val="000000"/>
          <w:sz w:val="28"/>
          <w:szCs w:val="28"/>
          <w:bdr w:val="none" w:sz="0" w:space="0" w:color="auto" w:frame="1"/>
        </w:rPr>
        <w:t>Student no. 2217613</w:t>
      </w:r>
    </w:p>
    <w:p w14:paraId="2BC9BDFC" w14:textId="758A49FB"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55450F6E" w14:textId="556DC281"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6ECBBD01" w14:textId="191ED005"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4E1EFEA5" w14:textId="161BEDF0"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4883DC8A" w14:textId="05B0777F"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5DE5030D" w14:textId="35B2E13D"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2A77C0FF" w14:textId="4F33B653"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0DE67721" w14:textId="5D74F2D2"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152B8ECF" w14:textId="77777777" w:rsidR="005727EB" w:rsidRPr="00F97DC4" w:rsidRDefault="005727EB" w:rsidP="00623C25">
      <w:pPr>
        <w:pStyle w:val="paragraph"/>
        <w:spacing w:before="0" w:beforeAutospacing="0" w:after="240" w:afterAutospacing="0" w:line="480" w:lineRule="auto"/>
        <w:textAlignment w:val="baseline"/>
        <w:rPr>
          <w:rFonts w:asciiTheme="minorHAnsi" w:hAnsiTheme="minorHAnsi" w:cstheme="minorHAnsi"/>
          <w:b/>
          <w:bCs/>
          <w:sz w:val="20"/>
          <w:szCs w:val="20"/>
        </w:rPr>
      </w:pPr>
      <w:r w:rsidRPr="00F97DC4">
        <w:rPr>
          <w:rStyle w:val="normaltextrun"/>
          <w:rFonts w:asciiTheme="minorHAnsi" w:hAnsiTheme="minorHAnsi" w:cstheme="minorHAnsi"/>
          <w:b/>
          <w:bCs/>
        </w:rPr>
        <w:lastRenderedPageBreak/>
        <w:t xml:space="preserve">Introduction </w:t>
      </w:r>
      <w:r w:rsidRPr="00F97DC4">
        <w:rPr>
          <w:rStyle w:val="eop"/>
          <w:rFonts w:asciiTheme="minorHAnsi" w:hAnsiTheme="minorHAnsi" w:cstheme="minorHAnsi"/>
          <w:b/>
          <w:bCs/>
        </w:rPr>
        <w:t> </w:t>
      </w:r>
    </w:p>
    <w:p w14:paraId="43125FE9"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In this essay I intend to provide an evaluation of a critical incident that occurred during observation in a local school. This incident will provide the foundation for a reflection upon the nature of the incident, the implications for it within scholarship, and how these factors may impact upon my own practice going forward. It will examine aspects regarding reflective teaching, critical incidents, and literature surrounding academic teaching theory. In his monograph, Tripp outlines the concept of what he terms critical incidents; routine events that can occur in everyday professional practice and can be indicative of wider trends within classroom teaching and behaviour. The ongoing examination of which can provide a method of critical self-reflection, enabling a judgement on the observation with the view to improve future action and one’s own professional practice (Tripp 2012). </w:t>
      </w:r>
      <w:r w:rsidRPr="00765BAF">
        <w:rPr>
          <w:rStyle w:val="eop"/>
          <w:rFonts w:asciiTheme="minorHAnsi" w:hAnsiTheme="minorHAnsi" w:cstheme="minorHAnsi"/>
          <w:color w:val="000000"/>
        </w:rPr>
        <w:t> </w:t>
      </w:r>
    </w:p>
    <w:p w14:paraId="32F636C7" w14:textId="77777777" w:rsidR="005727EB" w:rsidRPr="00765BAF" w:rsidRDefault="005727EB" w:rsidP="00F97DC4">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The structure of this essay will initially explore the overall role of critical reflection in the development of teaching practice more generally. Following this, it will provide context for the chosen critical incident. Also, examining the critical incident itself in relation to Donaldson’s </w:t>
      </w:r>
      <w:r w:rsidRPr="00765BAF">
        <w:rPr>
          <w:rStyle w:val="normaltextrun"/>
          <w:rFonts w:asciiTheme="minorHAnsi" w:hAnsiTheme="minorHAnsi" w:cstheme="minorHAnsi"/>
          <w:i/>
          <w:iCs/>
          <w:color w:val="000000"/>
        </w:rPr>
        <w:t>Successful Futures</w:t>
      </w:r>
      <w:r w:rsidRPr="00765BAF">
        <w:rPr>
          <w:rStyle w:val="normaltextrun"/>
          <w:rFonts w:asciiTheme="minorHAnsi" w:hAnsiTheme="minorHAnsi" w:cstheme="minorHAnsi"/>
          <w:color w:val="000000"/>
        </w:rPr>
        <w:t xml:space="preserve"> report (2015). Furthermore, it will be necessary to identify key areas of research surrounding the incident, in this case ideas of positive reinforcement, praise, and rewards. Overall, attempting to synthesise opposing conclusions as to its value. The critical incident in conjunction with consideration of the supporting literature will consequently prompt a self-reflection on how these theories can be practically applied within my own developing teaching practice, alongside the developments of the Welsh curriculum and ITE programme.</w:t>
      </w:r>
      <w:r w:rsidRPr="00765BAF">
        <w:rPr>
          <w:rStyle w:val="eop"/>
          <w:rFonts w:asciiTheme="minorHAnsi" w:hAnsiTheme="minorHAnsi" w:cstheme="minorHAnsi"/>
          <w:color w:val="000000"/>
        </w:rPr>
        <w:t> </w:t>
      </w:r>
    </w:p>
    <w:p w14:paraId="2AA02E8F"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eop"/>
          <w:rFonts w:asciiTheme="minorHAnsi" w:hAnsiTheme="minorHAnsi" w:cstheme="minorHAnsi"/>
          <w:color w:val="000000"/>
        </w:rPr>
        <w:t> </w:t>
      </w:r>
    </w:p>
    <w:p w14:paraId="5E26FB9D" w14:textId="77777777" w:rsidR="005727EB" w:rsidRPr="00F97DC4" w:rsidRDefault="005727EB" w:rsidP="00623C25">
      <w:pPr>
        <w:pStyle w:val="paragraph"/>
        <w:spacing w:before="0" w:beforeAutospacing="0" w:after="240" w:afterAutospacing="0" w:line="480" w:lineRule="auto"/>
        <w:textAlignment w:val="baseline"/>
        <w:rPr>
          <w:rFonts w:asciiTheme="minorHAnsi" w:hAnsiTheme="minorHAnsi" w:cstheme="minorHAnsi"/>
          <w:b/>
          <w:bCs/>
          <w:sz w:val="20"/>
          <w:szCs w:val="20"/>
        </w:rPr>
      </w:pPr>
      <w:r w:rsidRPr="00F97DC4">
        <w:rPr>
          <w:rStyle w:val="normaltextrun"/>
          <w:rFonts w:asciiTheme="minorHAnsi" w:hAnsiTheme="minorHAnsi" w:cstheme="minorHAnsi"/>
          <w:b/>
          <w:bCs/>
        </w:rPr>
        <w:lastRenderedPageBreak/>
        <w:t xml:space="preserve">The Role of Critical Reflection </w:t>
      </w:r>
      <w:r w:rsidRPr="00F97DC4">
        <w:rPr>
          <w:rStyle w:val="eop"/>
          <w:rFonts w:asciiTheme="minorHAnsi" w:hAnsiTheme="minorHAnsi" w:cstheme="minorHAnsi"/>
          <w:b/>
          <w:bCs/>
        </w:rPr>
        <w:t> </w:t>
      </w:r>
    </w:p>
    <w:p w14:paraId="188FA3CF"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Since its inception, reflective practice and its role within the teaching profession has been an area of significant study and debate. However, a widely accepted definition of what it entails and how one may successfully achieve it has yet to reach a consensus. Thus, it will first be necessary to attempt to define critical reflection and its chronology. Dewey is amongst the first to write extensively about reflective action and thought, arguing teachers need to develop reflective competence to encourage skills such as open-mindedness and responsibility to improve practice. The other early prominent scholar within this field is Schön, responsible for coining the terms reflection-in-action and reflection-on-action. This involved utilising previous experiences to reflect both during and after an event to enable more swift professional decisions (Griffiths 2000).</w:t>
      </w:r>
      <w:r w:rsidRPr="00765BAF">
        <w:rPr>
          <w:rStyle w:val="eop"/>
          <w:rFonts w:asciiTheme="minorHAnsi" w:hAnsiTheme="minorHAnsi" w:cstheme="minorHAnsi"/>
          <w:color w:val="000000"/>
        </w:rPr>
        <w:t> </w:t>
      </w:r>
    </w:p>
    <w:p w14:paraId="598BF3A5" w14:textId="77777777" w:rsidR="005727EB" w:rsidRPr="00765BAF" w:rsidRDefault="005727EB" w:rsidP="00F97DC4">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More recently, Larrivee (2008) has identified a conceptual framework which classifies four levels of reflection within teaching practice based upon a consensus of previous research; these include pre-reflection, surface reflection, pedagogical reflection, and critical reflection. The first two levels could be perceived as rather shallow attempts, with the second two considered as ‘higher’ levels of reflection with more meaningful responses and outcomes. While both pre-and surface reflection focus primarily upon non-adaptive and outcome-based methods of teaching; the latter focus’ more upon application of theoretical and research led ideas and the moral and ethical implications of such upon the students and their learning, as well as how personal values and cultural conditioning can impact upon this (Larrivee 2008).</w:t>
      </w:r>
      <w:r w:rsidRPr="00765BAF">
        <w:rPr>
          <w:rStyle w:val="eop"/>
          <w:rFonts w:asciiTheme="minorHAnsi" w:hAnsiTheme="minorHAnsi" w:cstheme="minorHAnsi"/>
          <w:color w:val="000000"/>
        </w:rPr>
        <w:t> </w:t>
      </w:r>
    </w:p>
    <w:p w14:paraId="690EEAAA" w14:textId="77777777" w:rsidR="005727EB" w:rsidRPr="00765BAF" w:rsidRDefault="005727EB" w:rsidP="00F97DC4">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The Welsh curriculum has recently undergone radical reform following Donaldson’s extensive recommendations in his </w:t>
      </w:r>
      <w:r w:rsidRPr="00765BAF">
        <w:rPr>
          <w:rStyle w:val="normaltextrun"/>
          <w:rFonts w:asciiTheme="minorHAnsi" w:hAnsiTheme="minorHAnsi" w:cstheme="minorHAnsi"/>
          <w:i/>
          <w:iCs/>
          <w:color w:val="000000"/>
        </w:rPr>
        <w:t>Successful Futures</w:t>
      </w:r>
      <w:r w:rsidRPr="00765BAF">
        <w:rPr>
          <w:rStyle w:val="normaltextrun"/>
          <w:rFonts w:asciiTheme="minorHAnsi" w:hAnsiTheme="minorHAnsi" w:cstheme="minorHAnsi"/>
          <w:color w:val="000000"/>
        </w:rPr>
        <w:t xml:space="preserve"> report (2015). Due to this new </w:t>
      </w:r>
      <w:r w:rsidRPr="00765BAF">
        <w:rPr>
          <w:rStyle w:val="normaltextrun"/>
          <w:rFonts w:asciiTheme="minorHAnsi" w:hAnsiTheme="minorHAnsi" w:cstheme="minorHAnsi"/>
          <w:color w:val="000000"/>
        </w:rPr>
        <w:lastRenderedPageBreak/>
        <w:t xml:space="preserve">curriculum’s reliance on teacher independence in its development and implementation, a reform of how Initial Teacher Education (ITE) was delivered to prospective students has also been necessary. Donaldson’s report directly acknowledges the importance of reflection in ones learning to facilitate understanding and growth, implying a belief in its overall value (Donaldson 2015). The intrinsic link between the curriculum and ITE suggests reflection should be a priority in personal development of practice as a student teacher, in line with both the curriculum and the extant frameworks. </w:t>
      </w:r>
      <w:r w:rsidRPr="00765BAF">
        <w:rPr>
          <w:rStyle w:val="eop"/>
          <w:rFonts w:asciiTheme="minorHAnsi" w:hAnsiTheme="minorHAnsi" w:cstheme="minorHAnsi"/>
          <w:color w:val="000000"/>
        </w:rPr>
        <w:t> </w:t>
      </w:r>
    </w:p>
    <w:p w14:paraId="3F8BACBA" w14:textId="0911DA3F" w:rsidR="005727EB" w:rsidRDefault="005727EB" w:rsidP="00BB1570">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Despite a plethora of research into the field and a series of educational reforms, it has been found that many teachers are rather resistant to its perceived impact upon their practice (Lloyd 2019). This could be result</w:t>
      </w:r>
      <w:r w:rsidR="00BA55DE">
        <w:rPr>
          <w:rStyle w:val="normaltextrun"/>
          <w:rFonts w:asciiTheme="minorHAnsi" w:hAnsiTheme="minorHAnsi" w:cstheme="minorHAnsi"/>
          <w:color w:val="000000"/>
        </w:rPr>
        <w:t>ant</w:t>
      </w:r>
      <w:r w:rsidRPr="00765BAF">
        <w:rPr>
          <w:rStyle w:val="normaltextrun"/>
          <w:rFonts w:asciiTheme="minorHAnsi" w:hAnsiTheme="minorHAnsi" w:cstheme="minorHAnsi"/>
          <w:color w:val="000000"/>
        </w:rPr>
        <w:t xml:space="preserve"> of </w:t>
      </w:r>
      <w:r w:rsidR="00BA55DE">
        <w:rPr>
          <w:rStyle w:val="normaltextrun"/>
          <w:rFonts w:asciiTheme="minorHAnsi" w:hAnsiTheme="minorHAnsi" w:cstheme="minorHAnsi"/>
          <w:color w:val="000000"/>
        </w:rPr>
        <w:t xml:space="preserve">numerous </w:t>
      </w:r>
      <w:r w:rsidRPr="00765BAF">
        <w:rPr>
          <w:rStyle w:val="normaltextrun"/>
          <w:rFonts w:asciiTheme="minorHAnsi" w:hAnsiTheme="minorHAnsi" w:cstheme="minorHAnsi"/>
          <w:color w:val="000000"/>
        </w:rPr>
        <w:t xml:space="preserve">reasons, including a lack of accessibility towards related resources of research, lack of time, and variability in ITE content. A study undertaken by Lloyd (2019) of teachers ranging from NQT to over sixteen years of experience evidenced a decline in the engagement with reflective teaching models and research. Novice teachers, likely influenced by their ITE programmes, were more likely to engage in critical reflection, albeit not necessarily utilising formal frameworks. While experienced teachers increasingly did not engage in research regarding reflective practice, instead preferring to seek advice from colleagues. It has been suggested that teachers engage more successfully when they reflect in accordance with their colleagues. The sharing of experiences and collectively reflecting upon them fostering a sense of social responsibility towards educational improvement (Kalantzis and Cope 2012). Additionally, reflective practice is encouraged to stimulate a shift from teaching based upon personal past experiences towards working from one’s own experience and professional intuition. </w:t>
      </w:r>
      <w:r w:rsidRPr="00765BAF">
        <w:rPr>
          <w:rStyle w:val="normaltextrun"/>
          <w:rFonts w:asciiTheme="minorHAnsi" w:hAnsiTheme="minorHAnsi" w:cstheme="minorHAnsi"/>
          <w:color w:val="000000"/>
        </w:rPr>
        <w:lastRenderedPageBreak/>
        <w:t>However, one must acknowledge the dearth of empirical evidence and the deeply personal nature of reflection making it difficult to definitively evaluate its utility (Griffiths 2000).</w:t>
      </w:r>
      <w:r w:rsidRPr="00765BAF">
        <w:rPr>
          <w:rStyle w:val="eop"/>
          <w:rFonts w:asciiTheme="minorHAnsi" w:hAnsiTheme="minorHAnsi" w:cstheme="minorHAnsi"/>
          <w:color w:val="000000"/>
        </w:rPr>
        <w:t> </w:t>
      </w:r>
    </w:p>
    <w:p w14:paraId="32D1109C" w14:textId="77777777" w:rsidR="00BB1570" w:rsidRPr="00765BAF" w:rsidRDefault="00BB1570" w:rsidP="00BB1570">
      <w:pPr>
        <w:pStyle w:val="paragraph"/>
        <w:spacing w:before="0" w:beforeAutospacing="0" w:after="240" w:afterAutospacing="0" w:line="480" w:lineRule="auto"/>
        <w:ind w:firstLine="720"/>
        <w:textAlignment w:val="baseline"/>
        <w:rPr>
          <w:rFonts w:asciiTheme="minorHAnsi" w:hAnsiTheme="minorHAnsi" w:cstheme="minorHAnsi"/>
          <w:sz w:val="20"/>
          <w:szCs w:val="20"/>
        </w:rPr>
      </w:pPr>
    </w:p>
    <w:p w14:paraId="6C6E2C91" w14:textId="77777777" w:rsidR="005727EB" w:rsidRPr="00BB1570" w:rsidRDefault="005727EB" w:rsidP="00623C25">
      <w:pPr>
        <w:pStyle w:val="paragraph"/>
        <w:spacing w:before="0" w:beforeAutospacing="0" w:after="240" w:afterAutospacing="0" w:line="480" w:lineRule="auto"/>
        <w:textAlignment w:val="baseline"/>
        <w:rPr>
          <w:rFonts w:asciiTheme="minorHAnsi" w:hAnsiTheme="minorHAnsi" w:cstheme="minorHAnsi"/>
          <w:b/>
          <w:bCs/>
          <w:sz w:val="20"/>
          <w:szCs w:val="20"/>
        </w:rPr>
      </w:pPr>
      <w:r w:rsidRPr="00BB1570">
        <w:rPr>
          <w:rStyle w:val="normaltextrun"/>
          <w:rFonts w:asciiTheme="minorHAnsi" w:hAnsiTheme="minorHAnsi" w:cstheme="minorHAnsi"/>
          <w:b/>
          <w:bCs/>
        </w:rPr>
        <w:t xml:space="preserve">Observation: The Critical Incident and Donaldson’s Four Purposes </w:t>
      </w:r>
      <w:r w:rsidRPr="00BB1570">
        <w:rPr>
          <w:rStyle w:val="eop"/>
          <w:rFonts w:asciiTheme="minorHAnsi" w:hAnsiTheme="minorHAnsi" w:cstheme="minorHAnsi"/>
          <w:b/>
          <w:bCs/>
        </w:rPr>
        <w:t> </w:t>
      </w:r>
    </w:p>
    <w:p w14:paraId="59B09E13"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This section will involve the discussion of necessary context pertaining to the school in which the chosen Critical Incident took place. Though all details will be anonymised, complying with BERA guidelines (2018). Observation was undertaken within a Swansea secondary school that accommodates just under two thousand pupils, making it the largest school within its network. Despite its large size, the number of children in receipt of free school meals (FSM) is 10.3%, almost half that of both the local authority and Wales itself (My Local School 2022). The Welsh Government acknowledges that those who are in receipt of FSM are those coming from disadvantaged or vulnerable backgrounds and requiring additional support to increase educational potential (Welsh Government 2022). Thus, the lower percentage of pupils on FSM in this school suggests a smaller number of pupils are coming from disadvantaged backgrounds, at least regarding familial income, and thus in an academically preferable position to achieve their potential.  </w:t>
      </w:r>
      <w:r w:rsidRPr="00765BAF">
        <w:rPr>
          <w:rStyle w:val="eop"/>
          <w:rFonts w:asciiTheme="minorHAnsi" w:hAnsiTheme="minorHAnsi" w:cstheme="minorHAnsi"/>
          <w:color w:val="000000"/>
        </w:rPr>
        <w:t> </w:t>
      </w:r>
    </w:p>
    <w:p w14:paraId="67AD3237" w14:textId="77777777" w:rsidR="005727EB" w:rsidRPr="00765BAF" w:rsidRDefault="005727EB" w:rsidP="00BB1570">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The Critical Incident chosen for this examination (Record 2) is concerned with instances of praise and rewards, and how it ties into behaviour management. The group observed were a top set year seven Maths class. They were academically ahead of their peers and undertook not only age-appropriate work, but also work from the GCSE curriculum. Throughout the course of the lesson, the teacher regularly praised students for their participation through positive comments and reassurance. In a later conversation, the </w:t>
      </w:r>
      <w:r w:rsidRPr="00765BAF">
        <w:rPr>
          <w:rStyle w:val="normaltextrun"/>
          <w:rFonts w:asciiTheme="minorHAnsi" w:hAnsiTheme="minorHAnsi" w:cstheme="minorHAnsi"/>
          <w:color w:val="000000"/>
        </w:rPr>
        <w:lastRenderedPageBreak/>
        <w:t>teacher acknowledged his belief that praise and rewards encouraged the students and motivated them to participate. Additionally, the teacher devised a personal reward system to incentivise students to pay attention and build a relationship with them. This system involved the accumulation of points for things including correcting the teacher on numerical or grammatical errors, receiving 100% on their homework, and completing the set task and extension. There were set targets that would result in the class earning awards dependent on points achieved, such as chocolates and cake. </w:t>
      </w:r>
      <w:r w:rsidRPr="00765BAF">
        <w:rPr>
          <w:rStyle w:val="eop"/>
          <w:rFonts w:asciiTheme="minorHAnsi" w:hAnsiTheme="minorHAnsi" w:cstheme="minorHAnsi"/>
          <w:color w:val="000000"/>
        </w:rPr>
        <w:t> </w:t>
      </w:r>
    </w:p>
    <w:p w14:paraId="7A6C56B9" w14:textId="77777777" w:rsidR="005727EB" w:rsidRPr="00765BAF" w:rsidRDefault="005727EB" w:rsidP="00BB1570">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It was evident that students were deeply invested in this system; regularly reminding their tutor when they thought they deserved a point and putting effort into the activities that could earn them. One student finished the task and extension ahead of schedule and enthusiastically alerted the teacher, for which he was awarded points and praised for his hard work. However, the class became rowdy and excited following their first points being awarded and turned their attention from their work. The teacher attempted to regain control by counting down and reminding them of the class rule of ‘listening with your eyes,’ some continued in their boisterous behaviour. As a result, he began to silently remove the points that had just been earned from the board, relying on them to pay attention to him and regulate their peers to prevent the loss of additional points. After the class expressed disappointment and accepted this loss, they were back on task and prompted on the school’s core values, reminding them of their responsibility as part of a wider community. </w:t>
      </w:r>
      <w:r w:rsidRPr="00765BAF">
        <w:rPr>
          <w:rStyle w:val="eop"/>
          <w:rFonts w:asciiTheme="minorHAnsi" w:hAnsiTheme="minorHAnsi" w:cstheme="minorHAnsi"/>
          <w:color w:val="000000"/>
        </w:rPr>
        <w:t> </w:t>
      </w:r>
    </w:p>
    <w:p w14:paraId="45D7AC54" w14:textId="39ADED29" w:rsidR="005727EB" w:rsidRDefault="005727EB" w:rsidP="00BB1570">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This aptly fits in with two of Donaldson’s Four Purposes, most particularly those promoting the development of ambitious, capable learners and ethical, informed citizens. Firstly, to discuss the idea of ambitious, capable learners. This approach to learning by rewarding students for their efforts and attention allows for setting ambitious standards </w:t>
      </w:r>
      <w:r w:rsidRPr="00765BAF">
        <w:rPr>
          <w:rStyle w:val="normaltextrun"/>
          <w:rFonts w:asciiTheme="minorHAnsi" w:hAnsiTheme="minorHAnsi" w:cstheme="minorHAnsi"/>
          <w:color w:val="000000"/>
        </w:rPr>
        <w:lastRenderedPageBreak/>
        <w:t>and seeking challenge for oneself due to the competitive nature of the system. They may be motivated by reward, but they are still engaged and invested in their learning and progress as a result. Naturally, also using numeracy skills to interpret more challenging data, such as GCSE work, to complete their tasks with confidence and a sense of achievement. Though perhaps less obvious is their development as ethical, informed citizens. Their reactions to not respecting their teachers requests for quiet engagement and his resultant removal of points encouraged them to self-regulate their behaviour. Going forward, this experience could promote respect of classroom expectations as the potential of tangible rewards is more motivating than the idea of losing them.</w:t>
      </w:r>
      <w:r w:rsidRPr="00765BAF">
        <w:rPr>
          <w:rStyle w:val="eop"/>
          <w:rFonts w:asciiTheme="minorHAnsi" w:hAnsiTheme="minorHAnsi" w:cstheme="minorHAnsi"/>
          <w:color w:val="000000"/>
        </w:rPr>
        <w:t> </w:t>
      </w:r>
    </w:p>
    <w:p w14:paraId="60700201" w14:textId="77777777" w:rsidR="00BB1570" w:rsidRPr="00765BAF" w:rsidRDefault="00BB1570" w:rsidP="00BB1570">
      <w:pPr>
        <w:pStyle w:val="paragraph"/>
        <w:spacing w:before="0" w:beforeAutospacing="0" w:after="240" w:afterAutospacing="0" w:line="480" w:lineRule="auto"/>
        <w:ind w:firstLine="720"/>
        <w:textAlignment w:val="baseline"/>
        <w:rPr>
          <w:rFonts w:asciiTheme="minorHAnsi" w:hAnsiTheme="minorHAnsi" w:cstheme="minorHAnsi"/>
          <w:sz w:val="20"/>
          <w:szCs w:val="20"/>
        </w:rPr>
      </w:pPr>
    </w:p>
    <w:p w14:paraId="7DFADD24" w14:textId="77777777" w:rsidR="005727EB" w:rsidRPr="00BB1570" w:rsidRDefault="005727EB" w:rsidP="00623C25">
      <w:pPr>
        <w:pStyle w:val="paragraph"/>
        <w:spacing w:before="0" w:beforeAutospacing="0" w:after="240" w:afterAutospacing="0" w:line="480" w:lineRule="auto"/>
        <w:textAlignment w:val="baseline"/>
        <w:rPr>
          <w:rFonts w:asciiTheme="minorHAnsi" w:hAnsiTheme="minorHAnsi" w:cstheme="minorHAnsi"/>
          <w:b/>
          <w:bCs/>
          <w:sz w:val="20"/>
          <w:szCs w:val="20"/>
        </w:rPr>
      </w:pPr>
      <w:r w:rsidRPr="00BB1570">
        <w:rPr>
          <w:rStyle w:val="normaltextrun"/>
          <w:rFonts w:asciiTheme="minorHAnsi" w:hAnsiTheme="minorHAnsi" w:cstheme="minorHAnsi"/>
          <w:b/>
          <w:bCs/>
        </w:rPr>
        <w:t xml:space="preserve">Literature Review </w:t>
      </w:r>
      <w:r w:rsidRPr="00BB1570">
        <w:rPr>
          <w:rStyle w:val="eop"/>
          <w:rFonts w:asciiTheme="minorHAnsi" w:hAnsiTheme="minorHAnsi" w:cstheme="minorHAnsi"/>
          <w:b/>
          <w:bCs/>
        </w:rPr>
        <w:t> </w:t>
      </w:r>
    </w:p>
    <w:p w14:paraId="1C02AAFC"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This literature review will examine areas of academic research in accordance with theories pertaining to the critical incident discussed above. The areas of research that will be discussed surround positive reinforcement, rewards, and praise as both a method of motivation and behaviour management. This section will examine the history of rewards and positive reinforcement and its development within human psychology and school settings. It will also explore ideas of how reinforcement and praise have developed into widely accepted strategies of maintaining desired behaviours, alongside increasing student engagement.</w:t>
      </w:r>
      <w:r w:rsidRPr="00765BAF">
        <w:rPr>
          <w:rStyle w:val="eop"/>
          <w:rFonts w:asciiTheme="minorHAnsi" w:hAnsiTheme="minorHAnsi" w:cstheme="minorHAnsi"/>
          <w:color w:val="000000"/>
        </w:rPr>
        <w:t> </w:t>
      </w:r>
    </w:p>
    <w:p w14:paraId="2D665798" w14:textId="77777777" w:rsidR="005727EB" w:rsidRPr="00765BAF" w:rsidRDefault="005727EB" w:rsidP="00BB1570">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Skinner could be considered the architect of the positive reinforcement theory, developing upon earlier ideas of Pavlovian classical conditioning. Classical conditioning involves reflexive behaviours demonstrated by animals and humans alike, where one is </w:t>
      </w:r>
      <w:r w:rsidRPr="00765BAF">
        <w:rPr>
          <w:rStyle w:val="normaltextrun"/>
          <w:rFonts w:asciiTheme="minorHAnsi" w:hAnsiTheme="minorHAnsi" w:cstheme="minorHAnsi"/>
          <w:color w:val="000000"/>
        </w:rPr>
        <w:lastRenderedPageBreak/>
        <w:t xml:space="preserve">compelled to act in a certain manner following repeated exposure to a trigger. An example of this being Pavlov’s dogs; a bell would be rung, and the dogs would be brought food, leading them to salivate. Consequently, they would salivate in response to the bell regardless of whether they were presented with food. Developing from this was Skinner’s theory of operant conditioning, which is instead more reliant upon environment. It worked upon the idea that humans are inclined to duplicate actions that result in what they perceive to be positive consequences. Conversely, they are unlikely to replicate actions that result in consequences they perceive as unfavourable or negative. Positive reinforcement does, however, have foundationally similar ideas as conditioning, it is simply more adaptive to the adoption of desired behaviour. Both positive and negative reinforcement take numerous forms and are largely dependent upon external stimuli dependent on what one wishes to achieve. Stimuli such as opportunities to engage in extracurricular activities being given for desired behaviour, hence encouraging it, and taken away for undesirable behaviour, thus discouraging it (Akpan 2020). </w:t>
      </w:r>
      <w:r w:rsidRPr="00765BAF">
        <w:rPr>
          <w:rStyle w:val="eop"/>
          <w:rFonts w:asciiTheme="minorHAnsi" w:hAnsiTheme="minorHAnsi" w:cstheme="minorHAnsi"/>
          <w:color w:val="000000"/>
        </w:rPr>
        <w:t> </w:t>
      </w:r>
    </w:p>
    <w:p w14:paraId="4A3B3816" w14:textId="77777777" w:rsidR="005727EB" w:rsidRPr="00765BAF" w:rsidRDefault="005727EB" w:rsidP="00290559">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One factor that must be noted is the lack of research into praise, largely due to the abstract nature of the concept. A lack of universal definition naturally makes it difficult to create a study that would be universally applicable or able to be used as a mode of comparison. This is not to say, however, that this field is completely lacking in empirical evidence, as general ideas can still be applicable providing one establishes a clear definition of what form of praise is being utilised. Within this review, the general definition of praise being utilised is verbal approval succeeding a desired student behaviour (Caldarella 2020). Many scholars indicate the importance of praise as a method of inspiring motivation within students, followed by the allocation of rewards as recompense for consistent effort (Reiner </w:t>
      </w:r>
      <w:r w:rsidRPr="00765BAF">
        <w:rPr>
          <w:rStyle w:val="normaltextrun"/>
          <w:rFonts w:asciiTheme="minorHAnsi" w:hAnsiTheme="minorHAnsi" w:cstheme="minorHAnsi"/>
          <w:color w:val="000000"/>
        </w:rPr>
        <w:lastRenderedPageBreak/>
        <w:t xml:space="preserve">and Wagner 2022). In fact, the practice of rewarding children following dedication to their studies has been recorded since the twelfth century where study of the Torah was rewarded with figs and honey (Bear 2013). </w:t>
      </w:r>
      <w:r w:rsidRPr="00765BAF">
        <w:rPr>
          <w:rStyle w:val="eop"/>
          <w:rFonts w:asciiTheme="minorHAnsi" w:hAnsiTheme="minorHAnsi" w:cstheme="minorHAnsi"/>
          <w:color w:val="000000"/>
        </w:rPr>
        <w:t> </w:t>
      </w:r>
    </w:p>
    <w:p w14:paraId="5CE383F9" w14:textId="77777777" w:rsidR="005727EB" w:rsidRPr="00765BAF" w:rsidRDefault="005727EB" w:rsidP="00290559">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There are many approaches to this involving both tangible and intangible rewards, though which forms of reward have the most significant impact is equally as important to discover. Positive reinforcement can establish proactive behaviour due to its intrinsic qualities that lack the requirement external reinforcement after the behaviour has been sufficiently established. The simplest form of explanation being that if agreeable consequences occur after a given action, then one is more likely to duplicate it to once more receive a positive outcome. However, what is agreeable or desired by some students may not necessarily be perceived in the same way by others, suggesting a flaw in the system. Downing, Keating, and Bennett (2005) suggest differentiating between suitable rewards, adapting these depending upon one’s environment, academic or behavioural goal, and viability. </w:t>
      </w:r>
      <w:r w:rsidRPr="00765BAF">
        <w:rPr>
          <w:rStyle w:val="eop"/>
          <w:rFonts w:asciiTheme="minorHAnsi" w:hAnsiTheme="minorHAnsi" w:cstheme="minorHAnsi"/>
          <w:color w:val="000000"/>
        </w:rPr>
        <w:t> </w:t>
      </w:r>
    </w:p>
    <w:p w14:paraId="1F4ADB73" w14:textId="77777777" w:rsidR="005727EB" w:rsidRPr="00765BAF" w:rsidRDefault="005727EB" w:rsidP="00290559">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These rewards can take a variety of forms, from tangible things like a medal or candy, to intangible things like additional privileges such as going directly to the front of the lunch queue. If these rewards are to live up to their goal and make positive changes to a child’s behaviour, then it is necessary for these rewards to suit a pupil’s need just as much as the teachers. Reiner and Wagner (2022) undertook a study in which they measured student motivation, performance, and whether this impacted upon which reward a student picked. The purpose of the study surrounded the use of rewards as an incentive to increase academic motivation and desired behaviour rather than focusing upon performance outcome. These rewards were split into five motivation-based categories; work avoidance, </w:t>
      </w:r>
      <w:r w:rsidRPr="00765BAF">
        <w:rPr>
          <w:rStyle w:val="normaltextrun"/>
          <w:rFonts w:asciiTheme="minorHAnsi" w:hAnsiTheme="minorHAnsi" w:cstheme="minorHAnsi"/>
          <w:color w:val="000000"/>
        </w:rPr>
        <w:lastRenderedPageBreak/>
        <w:t xml:space="preserve">mastery, recognition, consumption, and curiosity. The rewards were then based upon catering to these categories, specifically including a medal, a letter of praise, a homework skip pass, and a surprise. This study specifically avoided rewards such as sweet treats, as these were not seen to truly be motivating or promoting autonomy. This study was undertaken within German secondary schools amongst two thousand one hundred and thirteen pupils aged nine to thirteen. Students were allowed to choose a reward out of this predetermined selection provided they achieved a higher mark in their maths test than they had previously. It was found that the rewards chosen were dependent on ability, with 32% of the higher performance students choosing the medal and the letter being the most popular choice for lower performing students (Reiner and Wagner 2022, 231). </w:t>
      </w:r>
      <w:r w:rsidRPr="00765BAF">
        <w:rPr>
          <w:rStyle w:val="eop"/>
          <w:rFonts w:asciiTheme="minorHAnsi" w:hAnsiTheme="minorHAnsi" w:cstheme="minorHAnsi"/>
          <w:color w:val="000000"/>
        </w:rPr>
        <w:t> </w:t>
      </w:r>
    </w:p>
    <w:p w14:paraId="15D18526" w14:textId="77777777" w:rsidR="005727EB" w:rsidRPr="00765BAF" w:rsidRDefault="005727EB" w:rsidP="00290559">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While this study is useful for determining that reward differentiation can be a successful motivator for children in bettering their grades, this study does fall short in certain areas. The results only indicate what those children who did succeed in achieving higher marks received, it does not indicate how many of the participants succeeded in this. Additionally, it is limited in both age and culture, having only tested younger age groups within a secondary school in one European country. However, it is admittedly only a partial contribution to the field and does not claim to be comprehensive, instead leaving questions for development in further studies. Though the idea of valuation within rewards is certainly something that merits further study, as it is likely that this is just as dependent upon culturally specific values as it is dependent upon individual pupil motivation for factors such as recognition and mastery (Reiner and Wagner 2022). </w:t>
      </w:r>
      <w:r w:rsidRPr="00765BAF">
        <w:rPr>
          <w:rStyle w:val="eop"/>
          <w:rFonts w:asciiTheme="minorHAnsi" w:hAnsiTheme="minorHAnsi" w:cstheme="minorHAnsi"/>
          <w:color w:val="000000"/>
        </w:rPr>
        <w:t> </w:t>
      </w:r>
    </w:p>
    <w:p w14:paraId="21EDC964" w14:textId="77777777" w:rsidR="005727EB" w:rsidRPr="00765BAF" w:rsidRDefault="005727EB" w:rsidP="00290559">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Though is this enough to determine that the positive reinforcement of praise and rewards are superior methods of motivational tool and behaviour management, or even </w:t>
      </w:r>
      <w:r w:rsidRPr="00765BAF">
        <w:rPr>
          <w:rStyle w:val="normaltextrun"/>
          <w:rFonts w:asciiTheme="minorHAnsi" w:hAnsiTheme="minorHAnsi" w:cstheme="minorHAnsi"/>
          <w:color w:val="000000"/>
        </w:rPr>
        <w:lastRenderedPageBreak/>
        <w:t xml:space="preserve">methods that should be utilised in the first instance? Perhaps the biggest opponent against the positive reinforcement approach is Alfie Kohn. He published a monograph called </w:t>
      </w:r>
      <w:r w:rsidRPr="00765BAF">
        <w:rPr>
          <w:rStyle w:val="normaltextrun"/>
          <w:rFonts w:asciiTheme="minorHAnsi" w:hAnsiTheme="minorHAnsi" w:cstheme="minorHAnsi"/>
          <w:i/>
          <w:iCs/>
          <w:color w:val="000000"/>
        </w:rPr>
        <w:t>Punished by Rewards</w:t>
      </w:r>
      <w:r w:rsidRPr="00765BAF">
        <w:rPr>
          <w:rStyle w:val="normaltextrun"/>
          <w:rFonts w:asciiTheme="minorHAnsi" w:hAnsiTheme="minorHAnsi" w:cstheme="minorHAnsi"/>
          <w:color w:val="000000"/>
        </w:rPr>
        <w:t xml:space="preserve">, the foundation for which stated that rewarding children to inspire motivation or control behaviour is fundamentally manipulative and damaging. He argued that this approach negatively impacts the development of creativity and destroys intrinsic motivation by placing it primarily within extrinsic rewards or praise. To put this in context, does rewarding the children’s attention and participation relate to their own desire to participate, or are they simply doing it to receive treats that have no tangible impact upon their learning. These methods, he states, are solely in the interests of the teacher by creating compliance but failing to account for any form of longer-term growth or improvement. Due to this approach being based upon Skinner's work, who himself based his data upon animal research, it treats children as passive participants, without any examination of the root of the undesired behaviour they are exhibiting (Reitman 1998). </w:t>
      </w:r>
      <w:r w:rsidRPr="00765BAF">
        <w:rPr>
          <w:rStyle w:val="eop"/>
          <w:rFonts w:asciiTheme="minorHAnsi" w:hAnsiTheme="minorHAnsi" w:cstheme="minorHAnsi"/>
          <w:color w:val="000000"/>
        </w:rPr>
        <w:t> </w:t>
      </w:r>
    </w:p>
    <w:p w14:paraId="343DF30E" w14:textId="77777777" w:rsidR="0019554B" w:rsidRDefault="005727EB" w:rsidP="00290559">
      <w:pPr>
        <w:pStyle w:val="paragraph"/>
        <w:spacing w:before="0" w:beforeAutospacing="0" w:after="240" w:afterAutospacing="0" w:line="480" w:lineRule="auto"/>
        <w:ind w:firstLine="720"/>
        <w:textAlignment w:val="baseline"/>
        <w:rPr>
          <w:rStyle w:val="normaltextrun"/>
          <w:rFonts w:asciiTheme="minorHAnsi" w:hAnsiTheme="minorHAnsi" w:cstheme="minorHAnsi"/>
          <w:color w:val="000000"/>
        </w:rPr>
      </w:pPr>
      <w:r w:rsidRPr="00765BAF">
        <w:rPr>
          <w:rStyle w:val="normaltextrun"/>
          <w:rFonts w:asciiTheme="minorHAnsi" w:hAnsiTheme="minorHAnsi" w:cstheme="minorHAnsi"/>
          <w:color w:val="000000"/>
        </w:rPr>
        <w:t xml:space="preserve">There are, however, less contentious objections to the utilisation of positive reinforcement and rewards. Bear (2013) examines alternative reasons why an educational practitioner may reject it, one of which being the recognition that behaviours that are socially acceptable within a school setting may not be as applicable outside of this setting. In this case, falling into Kohn’s idea of compliance for personal ease rather than the wellbeing of the child. Thus, praising or rewarding these behaviours, such as full attendance, simply feeds into this culturally specific dichotomy and only rewards those who comply without considering extenuating or personal circumstance. This is especially evident in the public presentation of such rewards, indicating that only those who comply to arbitrary standards are worthy of praise or public recognition, thus reducing autonomy and creativity </w:t>
      </w:r>
      <w:r w:rsidRPr="00765BAF">
        <w:rPr>
          <w:rStyle w:val="normaltextrun"/>
          <w:rFonts w:asciiTheme="minorHAnsi" w:hAnsiTheme="minorHAnsi" w:cstheme="minorHAnsi"/>
          <w:color w:val="000000"/>
        </w:rPr>
        <w:lastRenderedPageBreak/>
        <w:t xml:space="preserve">of thought. Though, provided this strategy is not implemented in an overtly coercive manner, then evidence does not indicate considerable damage to motivation or autonomy. Instead, a variety of methods used in conjunction with positive reinforcement and rewards can be successful in influencing behaviour management (Bear 2013). </w:t>
      </w:r>
    </w:p>
    <w:p w14:paraId="3A53B8DA" w14:textId="5709F662" w:rsidR="005727EB" w:rsidRPr="00765BAF" w:rsidRDefault="005727EB" w:rsidP="00290559">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To not reinforce desired behaviour can lead to what is known as ‘extinction burst,’ ignoring a behaviour can be tantamount to allowing for its increase in intensity due to the child lacking the knowledge as to what behaviours are desired and which are not (Sigler and Aamidor 2005). Furthermore, one could argue that regardless of whether the children in the critical incident were motivated to increase participation by tangible rewards, the approach still fosters the positive habit of academic investment. Though some may argue that it destroys intrinsic motivation, the establishment of the habit could potentially evolve into doing it out of personal desire once it has been suitably reinforced through praise and reward. </w:t>
      </w:r>
      <w:r w:rsidRPr="00765BAF">
        <w:rPr>
          <w:rStyle w:val="eop"/>
          <w:rFonts w:asciiTheme="minorHAnsi" w:hAnsiTheme="minorHAnsi" w:cstheme="minorHAnsi"/>
          <w:color w:val="000000"/>
        </w:rPr>
        <w:t> </w:t>
      </w:r>
    </w:p>
    <w:p w14:paraId="38E74D86" w14:textId="77777777" w:rsidR="005727EB" w:rsidRPr="00765BAF" w:rsidRDefault="005727EB" w:rsidP="0019554B">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A study conducted by the Rawalpindi Medical College found that constructive feedback is one method of increasing desired behaviour and self-efficacy when used in conjunction with positive reinforcement and praise. Feedback that is constructive, but also positive, encourages recognition of strengths and opportunities for self-regulation to encourage improvement. It also examines behaviourist approaches in which the teacher can manipulate the environment to increase motivation, using positive reinforcement to model the desired behaviour and reinforcing it with a reward system (Rafi, Ansar, and Sami 2020). Additionally, Sigler and Aamidor (2005) state that success can be achieved providing one is not utilising only empty praise or irrelevant rewards as a low effort attempt at positive reinforcement. While easily attainable positive reinforcement may be appealing, sometimes </w:t>
      </w:r>
      <w:r w:rsidRPr="00765BAF">
        <w:rPr>
          <w:rStyle w:val="normaltextrun"/>
          <w:rFonts w:asciiTheme="minorHAnsi" w:hAnsiTheme="minorHAnsi" w:cstheme="minorHAnsi"/>
          <w:color w:val="000000"/>
        </w:rPr>
        <w:lastRenderedPageBreak/>
        <w:t>simple encouragement in the direction of desired behaviour can be best. Thus, providing one is using reinforcement and rewards in a structured way, it can result in increased motivation and investment within academics and self-efficacy.</w:t>
      </w:r>
      <w:r w:rsidRPr="00765BAF">
        <w:rPr>
          <w:rStyle w:val="eop"/>
          <w:rFonts w:asciiTheme="minorHAnsi" w:hAnsiTheme="minorHAnsi" w:cstheme="minorHAnsi"/>
          <w:color w:val="000000"/>
        </w:rPr>
        <w:t> </w:t>
      </w:r>
    </w:p>
    <w:p w14:paraId="1C95EEB7" w14:textId="47A237AD"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p>
    <w:p w14:paraId="3EF39E93" w14:textId="77777777" w:rsidR="005727EB" w:rsidRPr="0019554B" w:rsidRDefault="005727EB" w:rsidP="00623C25">
      <w:pPr>
        <w:pStyle w:val="paragraph"/>
        <w:spacing w:before="0" w:beforeAutospacing="0" w:after="240" w:afterAutospacing="0" w:line="480" w:lineRule="auto"/>
        <w:textAlignment w:val="baseline"/>
        <w:rPr>
          <w:rFonts w:asciiTheme="minorHAnsi" w:hAnsiTheme="minorHAnsi" w:cstheme="minorHAnsi"/>
          <w:b/>
          <w:bCs/>
          <w:sz w:val="20"/>
          <w:szCs w:val="20"/>
        </w:rPr>
      </w:pPr>
      <w:r w:rsidRPr="0019554B">
        <w:rPr>
          <w:rStyle w:val="normaltextrun"/>
          <w:rFonts w:asciiTheme="minorHAnsi" w:hAnsiTheme="minorHAnsi" w:cstheme="minorHAnsi"/>
          <w:b/>
          <w:bCs/>
        </w:rPr>
        <w:t xml:space="preserve">Reflection, Evaluation &amp; Next Steps </w:t>
      </w:r>
      <w:r w:rsidRPr="0019554B">
        <w:rPr>
          <w:rStyle w:val="eop"/>
          <w:rFonts w:asciiTheme="minorHAnsi" w:hAnsiTheme="minorHAnsi" w:cstheme="minorHAnsi"/>
          <w:b/>
          <w:bCs/>
        </w:rPr>
        <w:t> </w:t>
      </w:r>
    </w:p>
    <w:p w14:paraId="23173ACE"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The practice of reflection in teaching is evidently one held in high esteem by many academics and working professionals, albeit in different formats and through the utilisation of different models. Over time, numerous reflective models have evolved and promised to provide superior methods of reflection to improve teaching skill and achievement. As mentioned above, Dewey and Schön were some of the earliest proponents of reflective teaching, promoting key ideas such as differing between types of reflection to foster skills like open mindedness (Griffiths 2000). Many have followed them, building upon these ideas to create more cohesive or concise methods. </w:t>
      </w:r>
      <w:r w:rsidRPr="00765BAF">
        <w:rPr>
          <w:rStyle w:val="eop"/>
          <w:rFonts w:asciiTheme="minorHAnsi" w:hAnsiTheme="minorHAnsi" w:cstheme="minorHAnsi"/>
          <w:color w:val="000000"/>
        </w:rPr>
        <w:t> </w:t>
      </w:r>
    </w:p>
    <w:p w14:paraId="4D37BCAA" w14:textId="77777777" w:rsidR="005727EB" w:rsidRPr="00765BAF" w:rsidRDefault="005727EB" w:rsidP="0019554B">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Larrivee (2008) has promoted reflection in teaching as something that should be considered as a standard in ITE and defines her own advised levels of reflection, discussed above. While Nelson and Sadler (2013) have divided theirs into 'orientations’ of growth; critical reflection to improve life quality and self-criticism, personalistic reflection to improve personal growth, deliberative reflection to improve decision making, reflection-in and on-action to utilise knowledge from personal experience, and technical reflection to increase efficiency based upon research (Fig. 1).</w:t>
      </w:r>
      <w:r w:rsidRPr="00765BAF">
        <w:rPr>
          <w:rStyle w:val="eop"/>
          <w:rFonts w:asciiTheme="minorHAnsi" w:hAnsiTheme="minorHAnsi" w:cstheme="minorHAnsi"/>
          <w:color w:val="000000"/>
        </w:rPr>
        <w:t> </w:t>
      </w:r>
    </w:p>
    <w:p w14:paraId="0B15988C" w14:textId="77777777" w:rsidR="00142F32" w:rsidRDefault="005727EB" w:rsidP="0019554B">
      <w:pPr>
        <w:pStyle w:val="paragraph"/>
        <w:spacing w:before="0" w:beforeAutospacing="0" w:after="240" w:afterAutospacing="0" w:line="480" w:lineRule="auto"/>
        <w:ind w:firstLine="720"/>
        <w:textAlignment w:val="baseline"/>
        <w:rPr>
          <w:rStyle w:val="normaltextrun"/>
          <w:rFonts w:asciiTheme="minorHAnsi" w:hAnsiTheme="minorHAnsi" w:cstheme="minorHAnsi"/>
          <w:color w:val="000000"/>
        </w:rPr>
      </w:pPr>
      <w:r w:rsidRPr="00765BAF">
        <w:rPr>
          <w:rStyle w:val="normaltextrun"/>
          <w:rFonts w:asciiTheme="minorHAnsi" w:hAnsiTheme="minorHAnsi" w:cstheme="minorHAnsi"/>
          <w:color w:val="000000"/>
        </w:rPr>
        <w:t xml:space="preserve">This incident has evidenced that rewards and positive reinforcement can explicitly be utilised as a form of motivator and behavioural management. The teacher’s method </w:t>
      </w:r>
      <w:r w:rsidRPr="00765BAF">
        <w:rPr>
          <w:rStyle w:val="normaltextrun"/>
          <w:rFonts w:asciiTheme="minorHAnsi" w:hAnsiTheme="minorHAnsi" w:cstheme="minorHAnsi"/>
          <w:color w:val="000000"/>
        </w:rPr>
        <w:lastRenderedPageBreak/>
        <w:t xml:space="preserve">managed to achieve two aims, encouraging his students to engage and in discouraging undesirable behaviours through the removal of a potential tangible reward. Research on this front has been considerable, but conclusions are still developing. Though, for my own personal practice I believe the concept of positive reinforcement and the development of participation in a collaborative manner can be achieved through a form of reward system. After considering different interpretations within research, I believe that positive reinforcement is a more effective method than punishment. This method not only increases motivation and participation, provided the rewards are tailored to the needs of the class, but also instructs the child as to what behaviours are desirable and undesirable within a classroom setting to maximise engagement and learning. </w:t>
      </w:r>
    </w:p>
    <w:p w14:paraId="6E4D98B3" w14:textId="3FBB2F62" w:rsidR="005727EB" w:rsidRPr="00765BAF" w:rsidRDefault="005727EB" w:rsidP="0019554B">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The teacher in the critical incident discussed above offered tangible rewards of cake and candy alongside praise. In my own practice, I intend to also try and include rewards that provide academic and social enrichment, which can include letters of praise home and opportunities to choose an enjoyable classroom activity. Though the teacher's method of different categories of achievement can also provide an opportunity for differentiation and collaboration due to the varied nature by which one can participate in their class earning rewards. During this, I intend to keep in mind Sigler and Aamidor ‘s (2005) idea that one should use praise and rewards strategically, offering constructive feedback as a method of encouragement and guidance instead of dishing out empty praise as a placation.</w:t>
      </w:r>
      <w:r w:rsidRPr="00765BAF">
        <w:rPr>
          <w:rStyle w:val="eop"/>
          <w:rFonts w:asciiTheme="minorHAnsi" w:hAnsiTheme="minorHAnsi" w:cstheme="minorHAnsi"/>
          <w:color w:val="000000"/>
        </w:rPr>
        <w:t> </w:t>
      </w:r>
    </w:p>
    <w:p w14:paraId="31E80E27" w14:textId="77777777" w:rsidR="005727EB" w:rsidRPr="00765BAF" w:rsidRDefault="005727EB" w:rsidP="00142F32">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This essay makes particular use of David Tripp’s (2012) concept of critical incidents, something that occurs within a classroom setting and prompts reflection. Critical incidents may not be an explicit reflective model in the same way as the more prescriptive models advertised above; however, they have provided a method of reflection that is interpretative </w:t>
      </w:r>
      <w:r w:rsidRPr="00765BAF">
        <w:rPr>
          <w:rStyle w:val="normaltextrun"/>
          <w:rFonts w:asciiTheme="minorHAnsi" w:hAnsiTheme="minorHAnsi" w:cstheme="minorHAnsi"/>
          <w:color w:val="000000"/>
        </w:rPr>
        <w:lastRenderedPageBreak/>
        <w:t>rather than a model by which to strictly abide. His approach towards critical incidents utilises interpretive sociology to analyse what occurs, what one can learn from this, and the judgements one can use based upon this.   Tripp’s concept suggests that reflection is very much an ongoing process rather than something that takes place in a simple ‘event, outcome, reflect’ process. Experience in the classroom is instead perceived as something that one is always learning from and using to shape future practice. Following this assignment, this is one model I intend to use to encourage further opportunities for self-reflection.</w:t>
      </w:r>
      <w:r w:rsidRPr="00765BAF">
        <w:rPr>
          <w:rStyle w:val="eop"/>
          <w:rFonts w:asciiTheme="minorHAnsi" w:hAnsiTheme="minorHAnsi" w:cstheme="minorHAnsi"/>
          <w:color w:val="000000"/>
        </w:rPr>
        <w:t> </w:t>
      </w:r>
    </w:p>
    <w:p w14:paraId="2E73C337" w14:textId="77777777" w:rsidR="005727EB" w:rsidRPr="00765BAF" w:rsidRDefault="005727EB" w:rsidP="00142F32">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However, as established, there does not have to be a strict model one must follow, as one can instead utilise features from several models to engage in reflective practice. While reflective practice has been in existence for some time, its import has been more recently reinforced with developments in ITE reform, especially in Wales. To successfully implement the new Welsh Curriculum, the input of teachers themselves is considered paramount, as is the inclusion of promoting the growth of teachers through reflective practice. Thus, it can be considered it is the Welsh Government’s perspective that high quality teaching and fully realised pedagogy includes reflective practice as a key element with teachers constantly going through a process of growth and improvement (Donaldson 2015). </w:t>
      </w:r>
      <w:r w:rsidRPr="00765BAF">
        <w:rPr>
          <w:rStyle w:val="eop"/>
          <w:rFonts w:asciiTheme="minorHAnsi" w:hAnsiTheme="minorHAnsi" w:cstheme="minorHAnsi"/>
          <w:color w:val="000000"/>
        </w:rPr>
        <w:t> </w:t>
      </w:r>
    </w:p>
    <w:p w14:paraId="2A14CEAD" w14:textId="4B5D6E6B" w:rsidR="005727EB" w:rsidRPr="00765BAF" w:rsidRDefault="005727EB" w:rsidP="00142F32">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Though this is not to say reflective practice in teaching is easily implemented, as there are many factors that can potentially stand in the way of full engagement. This can be on a professional basis, such as a full timetable, or a personal basis where one simply does not see the value in purposeful application of reflection on one's teaching. Tarrant (201</w:t>
      </w:r>
      <w:r w:rsidR="00987120">
        <w:rPr>
          <w:rStyle w:val="normaltextrun"/>
          <w:rFonts w:asciiTheme="minorHAnsi" w:hAnsiTheme="minorHAnsi" w:cstheme="minorHAnsi"/>
          <w:color w:val="000000"/>
        </w:rPr>
        <w:t>3</w:t>
      </w:r>
      <w:r w:rsidRPr="00765BAF">
        <w:rPr>
          <w:rStyle w:val="normaltextrun"/>
          <w:rFonts w:asciiTheme="minorHAnsi" w:hAnsiTheme="minorHAnsi" w:cstheme="minorHAnsi"/>
          <w:color w:val="000000"/>
        </w:rPr>
        <w:t xml:space="preserve">) points out that there is a need to be realistic in one’s approach to reflective practice due to </w:t>
      </w:r>
      <w:r w:rsidRPr="00765BAF">
        <w:rPr>
          <w:rStyle w:val="normaltextrun"/>
          <w:rFonts w:asciiTheme="minorHAnsi" w:hAnsiTheme="minorHAnsi" w:cstheme="minorHAnsi"/>
          <w:color w:val="000000"/>
        </w:rPr>
        <w:lastRenderedPageBreak/>
        <w:t xml:space="preserve">the daily expectations placed upon a teacher, but that reflective practice can still be properly implemented provided there are certain factors in place. </w:t>
      </w:r>
      <w:r w:rsidRPr="00765BAF">
        <w:rPr>
          <w:rStyle w:val="eop"/>
          <w:rFonts w:asciiTheme="minorHAnsi" w:hAnsiTheme="minorHAnsi" w:cstheme="minorHAnsi"/>
          <w:color w:val="000000"/>
        </w:rPr>
        <w:t> </w:t>
      </w:r>
    </w:p>
    <w:p w14:paraId="7B499770" w14:textId="5689F372"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p>
    <w:p w14:paraId="5143A6A9" w14:textId="77777777" w:rsidR="005727EB" w:rsidRPr="00142F32" w:rsidRDefault="005727EB" w:rsidP="00623C25">
      <w:pPr>
        <w:pStyle w:val="paragraph"/>
        <w:spacing w:before="0" w:beforeAutospacing="0" w:after="240" w:afterAutospacing="0" w:line="480" w:lineRule="auto"/>
        <w:textAlignment w:val="baseline"/>
        <w:rPr>
          <w:rFonts w:asciiTheme="minorHAnsi" w:hAnsiTheme="minorHAnsi" w:cstheme="minorHAnsi"/>
          <w:b/>
          <w:bCs/>
          <w:sz w:val="20"/>
          <w:szCs w:val="20"/>
        </w:rPr>
      </w:pPr>
      <w:r w:rsidRPr="00142F32">
        <w:rPr>
          <w:rStyle w:val="normaltextrun"/>
          <w:rFonts w:asciiTheme="minorHAnsi" w:hAnsiTheme="minorHAnsi" w:cstheme="minorHAnsi"/>
          <w:b/>
          <w:bCs/>
        </w:rPr>
        <w:t xml:space="preserve">Conclusion </w:t>
      </w:r>
      <w:r w:rsidRPr="00142F32">
        <w:rPr>
          <w:rStyle w:val="eop"/>
          <w:rFonts w:asciiTheme="minorHAnsi" w:hAnsiTheme="minorHAnsi" w:cstheme="minorHAnsi"/>
          <w:b/>
          <w:bCs/>
        </w:rPr>
        <w:t> </w:t>
      </w:r>
    </w:p>
    <w:p w14:paraId="2B5D8EB7"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To summarise, this essay has examined the role of critical reflection and the concept of Tripp’s critical incidents as a method to explore the role of positive reinforcement in an academic setting as a means of behaviour management and motivation. The idea of reflective practice in teaching has been present in theory and research since at least the beginning of the twentieth century and is still very much in development today. Tripp's approach to reflecting on critical incidents has facilitated the above examination on methods of praise, positive reinforcement, and reward through an ongoing process of reflection and implementation. This has contributed to personal evaluation as to the import of reflective teaching practice in guiding one’s professional development, highlighting varying methods by which this habit can positively impact practice. Furthermore, the increasing role of reflection in ITE can only be seen as a positive development, as reflective teaching can be regarded as a key tool to improving and growing as a practitioner. This is especially apparent given the increased importance of a teacher in shaping the child beyond within a simply academic setting, evidenced in the push of the Four Purposes (Donaldson 2015).  </w:t>
      </w:r>
      <w:r w:rsidRPr="00765BAF">
        <w:rPr>
          <w:rStyle w:val="eop"/>
          <w:rFonts w:asciiTheme="minorHAnsi" w:hAnsiTheme="minorHAnsi" w:cstheme="minorHAnsi"/>
          <w:color w:val="000000"/>
        </w:rPr>
        <w:t> </w:t>
      </w:r>
    </w:p>
    <w:p w14:paraId="3F38DCD8" w14:textId="77777777" w:rsidR="005727EB" w:rsidRPr="00765BAF" w:rsidRDefault="005727EB" w:rsidP="00142F32">
      <w:pPr>
        <w:pStyle w:val="paragraph"/>
        <w:spacing w:before="0" w:beforeAutospacing="0" w:after="240" w:afterAutospacing="0" w:line="480" w:lineRule="auto"/>
        <w:ind w:firstLine="720"/>
        <w:textAlignment w:val="baseline"/>
        <w:rPr>
          <w:rFonts w:asciiTheme="minorHAnsi" w:hAnsiTheme="minorHAnsi" w:cstheme="minorHAnsi"/>
          <w:sz w:val="20"/>
          <w:szCs w:val="20"/>
        </w:rPr>
      </w:pPr>
      <w:r w:rsidRPr="00765BAF">
        <w:rPr>
          <w:rStyle w:val="normaltextrun"/>
          <w:rFonts w:asciiTheme="minorHAnsi" w:hAnsiTheme="minorHAnsi" w:cstheme="minorHAnsi"/>
          <w:color w:val="000000"/>
        </w:rPr>
        <w:t xml:space="preserve">I have particularly focused critically upon the idea that rewards and praise, when positively reinforced, can positively impact upon motivation and behaviour. Though some are of the belief that this approach is inherently manipulative and damaging to creativity </w:t>
      </w:r>
      <w:r w:rsidRPr="00765BAF">
        <w:rPr>
          <w:rStyle w:val="normaltextrun"/>
          <w:rFonts w:asciiTheme="minorHAnsi" w:hAnsiTheme="minorHAnsi" w:cstheme="minorHAnsi"/>
          <w:color w:val="000000"/>
        </w:rPr>
        <w:lastRenderedPageBreak/>
        <w:t>and intrinsic motivation (Bear 2013). Following further research, one can reach the conclusion that there is no concrete evidence that it is anything but useful when correctly applied. This ties in with the development of the Professional Standards for Teaching (Welsh Gov. 2020), particularly the pedagogy strand of refining teaching and managing the learning environment. This approach can help promote positive learning habits in order to build on the elements of the Four Purposes (Donaldson 2015). Personally, I believe that providing rewards are not over utilised and tailored to suit student needs and encourage academic development, then they can increase motivation and contribute to the development of academically enriching habits.</w:t>
      </w:r>
      <w:r w:rsidRPr="00765BAF">
        <w:rPr>
          <w:rStyle w:val="eop"/>
          <w:rFonts w:asciiTheme="minorHAnsi" w:hAnsiTheme="minorHAnsi" w:cstheme="minorHAnsi"/>
          <w:color w:val="000000"/>
        </w:rPr>
        <w:t> </w:t>
      </w:r>
    </w:p>
    <w:p w14:paraId="037D268F"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eop"/>
          <w:rFonts w:asciiTheme="minorHAnsi" w:hAnsiTheme="minorHAnsi" w:cstheme="minorHAnsi"/>
        </w:rPr>
        <w:t> </w:t>
      </w:r>
    </w:p>
    <w:p w14:paraId="733CF87D" w14:textId="278678E8"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142F32">
        <w:rPr>
          <w:rStyle w:val="eop"/>
          <w:rFonts w:asciiTheme="minorHAnsi" w:hAnsiTheme="minorHAnsi" w:cstheme="minorHAnsi"/>
          <w:b/>
          <w:bCs/>
        </w:rPr>
        <w:t> </w:t>
      </w:r>
      <w:r w:rsidR="00765BAF" w:rsidRPr="00142F32">
        <w:rPr>
          <w:rStyle w:val="eop"/>
          <w:rFonts w:asciiTheme="minorHAnsi" w:hAnsiTheme="minorHAnsi" w:cstheme="minorHAnsi"/>
          <w:b/>
          <w:bCs/>
        </w:rPr>
        <w:t>Word count:</w:t>
      </w:r>
      <w:r w:rsidR="00765BAF">
        <w:rPr>
          <w:rStyle w:val="eop"/>
          <w:rFonts w:asciiTheme="minorHAnsi" w:hAnsiTheme="minorHAnsi" w:cstheme="minorHAnsi"/>
        </w:rPr>
        <w:t xml:space="preserve"> 438</w:t>
      </w:r>
      <w:r w:rsidR="00DC6C39">
        <w:rPr>
          <w:rStyle w:val="eop"/>
          <w:rFonts w:asciiTheme="minorHAnsi" w:hAnsiTheme="minorHAnsi" w:cstheme="minorHAnsi"/>
        </w:rPr>
        <w:t>5</w:t>
      </w:r>
    </w:p>
    <w:p w14:paraId="0515CAA0" w14:textId="77777777" w:rsidR="005727EB" w:rsidRPr="00765BAF" w:rsidRDefault="005727EB" w:rsidP="00623C25">
      <w:pPr>
        <w:pStyle w:val="paragraph"/>
        <w:spacing w:before="0" w:beforeAutospacing="0" w:after="240" w:afterAutospacing="0" w:line="480" w:lineRule="auto"/>
        <w:textAlignment w:val="baseline"/>
        <w:rPr>
          <w:rFonts w:asciiTheme="minorHAnsi" w:hAnsiTheme="minorHAnsi" w:cstheme="minorHAnsi"/>
          <w:sz w:val="20"/>
          <w:szCs w:val="20"/>
        </w:rPr>
      </w:pPr>
      <w:r w:rsidRPr="00765BAF">
        <w:rPr>
          <w:rStyle w:val="eop"/>
          <w:rFonts w:asciiTheme="minorHAnsi" w:hAnsiTheme="minorHAnsi" w:cstheme="minorHAnsi"/>
        </w:rPr>
        <w:t> </w:t>
      </w:r>
    </w:p>
    <w:p w14:paraId="6A944737" w14:textId="21F32320" w:rsidR="00AC1431" w:rsidRPr="00765BAF" w:rsidRDefault="00AC1431" w:rsidP="00623C25">
      <w:pPr>
        <w:spacing w:after="240" w:line="480" w:lineRule="auto"/>
        <w:rPr>
          <w:rStyle w:val="normaltextrun"/>
          <w:rFonts w:cstheme="minorHAnsi"/>
          <w:b/>
          <w:bCs/>
          <w:color w:val="000000"/>
          <w:sz w:val="32"/>
          <w:szCs w:val="32"/>
          <w:bdr w:val="none" w:sz="0" w:space="0" w:color="auto" w:frame="1"/>
        </w:rPr>
      </w:pPr>
    </w:p>
    <w:p w14:paraId="36F0579A" w14:textId="3D5D8E41"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49272F40" w14:textId="7F4C89B5" w:rsidR="00AC1431" w:rsidRDefault="00AC1431" w:rsidP="00AC1431">
      <w:pPr>
        <w:spacing w:line="480" w:lineRule="auto"/>
        <w:rPr>
          <w:rStyle w:val="normaltextrun"/>
          <w:rFonts w:ascii="Calibri" w:hAnsi="Calibri" w:cs="Calibri"/>
          <w:b/>
          <w:bCs/>
          <w:color w:val="000000"/>
          <w:sz w:val="28"/>
          <w:szCs w:val="28"/>
          <w:bdr w:val="none" w:sz="0" w:space="0" w:color="auto" w:frame="1"/>
        </w:rPr>
      </w:pPr>
    </w:p>
    <w:p w14:paraId="58B7CA17" w14:textId="1DD0B83D" w:rsidR="00AC1431" w:rsidRDefault="00AC1431" w:rsidP="00AC1431">
      <w:pPr>
        <w:spacing w:line="480" w:lineRule="auto"/>
        <w:rPr>
          <w:sz w:val="28"/>
          <w:szCs w:val="28"/>
        </w:rPr>
      </w:pPr>
    </w:p>
    <w:p w14:paraId="6B38B481" w14:textId="7971A97A" w:rsidR="00AC1431" w:rsidRDefault="00AC1431" w:rsidP="00AC1431">
      <w:pPr>
        <w:spacing w:line="480" w:lineRule="auto"/>
        <w:rPr>
          <w:sz w:val="28"/>
          <w:szCs w:val="28"/>
        </w:rPr>
      </w:pPr>
    </w:p>
    <w:p w14:paraId="187FADD3" w14:textId="753C3EE8" w:rsidR="00AC1431" w:rsidRDefault="00AC1431" w:rsidP="00AC1431">
      <w:pPr>
        <w:spacing w:line="480" w:lineRule="auto"/>
        <w:rPr>
          <w:sz w:val="28"/>
          <w:szCs w:val="28"/>
        </w:rPr>
      </w:pPr>
    </w:p>
    <w:p w14:paraId="7737BE42" w14:textId="308AE5FC" w:rsidR="00AC1431" w:rsidRDefault="00AC1431" w:rsidP="00AC1431">
      <w:pPr>
        <w:spacing w:line="480" w:lineRule="auto"/>
        <w:rPr>
          <w:sz w:val="28"/>
          <w:szCs w:val="28"/>
        </w:rPr>
      </w:pPr>
    </w:p>
    <w:p w14:paraId="5CDBF982" w14:textId="11D7BA4F" w:rsidR="00AC1431" w:rsidRDefault="00AC1431" w:rsidP="00AC1431">
      <w:pPr>
        <w:pStyle w:val="paragraph"/>
        <w:spacing w:before="0" w:beforeAutospacing="0" w:after="0" w:afterAutospacing="0"/>
        <w:textAlignment w:val="baseline"/>
        <w:rPr>
          <w:rStyle w:val="eop"/>
          <w:rFonts w:ascii="Calibri Light" w:hAnsi="Calibri Light" w:cs="Calibri Light"/>
          <w:color w:val="2F5496"/>
          <w:sz w:val="32"/>
          <w:szCs w:val="32"/>
        </w:rPr>
      </w:pPr>
      <w:r>
        <w:rPr>
          <w:rStyle w:val="normaltextrun"/>
          <w:rFonts w:ascii="Calibri Light" w:hAnsi="Calibri Light" w:cs="Calibri Light"/>
          <w:color w:val="2F5496"/>
          <w:sz w:val="32"/>
          <w:szCs w:val="32"/>
          <w:lang w:val="en-US"/>
        </w:rPr>
        <w:lastRenderedPageBreak/>
        <w:t>Ref</w:t>
      </w:r>
      <w:r w:rsidR="00256C9C">
        <w:rPr>
          <w:rStyle w:val="normaltextrun"/>
          <w:rFonts w:ascii="Calibri Light" w:hAnsi="Calibri Light" w:cs="Calibri Light"/>
          <w:color w:val="2F5496"/>
          <w:sz w:val="32"/>
          <w:szCs w:val="32"/>
          <w:lang w:val="en-US"/>
        </w:rPr>
        <w:t>erence</w:t>
      </w:r>
      <w:r>
        <w:rPr>
          <w:rStyle w:val="normaltextrun"/>
          <w:rFonts w:ascii="Calibri Light" w:hAnsi="Calibri Light" w:cs="Calibri Light"/>
          <w:color w:val="2F5496"/>
          <w:sz w:val="32"/>
          <w:szCs w:val="32"/>
          <w:lang w:val="en-US"/>
        </w:rPr>
        <w:t xml:space="preserve"> list</w:t>
      </w:r>
      <w:r>
        <w:rPr>
          <w:rStyle w:val="eop"/>
          <w:rFonts w:ascii="Calibri Light" w:hAnsi="Calibri Light" w:cs="Calibri Light"/>
          <w:color w:val="2F5496"/>
          <w:sz w:val="32"/>
          <w:szCs w:val="32"/>
        </w:rPr>
        <w:t> </w:t>
      </w:r>
    </w:p>
    <w:p w14:paraId="1C13234C" w14:textId="77777777" w:rsidR="00256C9C" w:rsidRDefault="00256C9C" w:rsidP="00AC1431">
      <w:pPr>
        <w:pStyle w:val="paragraph"/>
        <w:spacing w:before="0" w:beforeAutospacing="0" w:after="0" w:afterAutospacing="0"/>
        <w:textAlignment w:val="baseline"/>
        <w:rPr>
          <w:rFonts w:ascii="Segoe UI" w:hAnsi="Segoe UI" w:cs="Segoe UI"/>
          <w:color w:val="2F5496"/>
          <w:sz w:val="18"/>
          <w:szCs w:val="18"/>
        </w:rPr>
      </w:pPr>
    </w:p>
    <w:p w14:paraId="4F5730D1" w14:textId="5EF8B3BE" w:rsidR="00256C9C" w:rsidRPr="00AC1431" w:rsidRDefault="00AC1431" w:rsidP="00256C9C">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Akpan, B. (2020) ‘Classical and Operant Conditioning – Ivan Pavlov; Burrhus Skinner’, in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rPr>
        <w:t xml:space="preserve">Akpan, B. and Kennedy, T. J. (ed.) </w:t>
      </w:r>
      <w:r w:rsidRPr="00AC1431">
        <w:rPr>
          <w:rStyle w:val="normaltextrun"/>
          <w:rFonts w:asciiTheme="minorHAnsi" w:hAnsiTheme="minorHAnsi" w:cstheme="minorHAnsi"/>
          <w:i/>
          <w:iCs/>
        </w:rPr>
        <w:t xml:space="preserve">Science Education in Theory: An Introductory Guide </w:t>
      </w:r>
      <w:r w:rsidR="00256C9C">
        <w:rPr>
          <w:rStyle w:val="normaltextrun"/>
          <w:rFonts w:asciiTheme="minorHAnsi" w:hAnsiTheme="minorHAnsi" w:cstheme="minorHAnsi"/>
          <w:i/>
          <w:iCs/>
        </w:rPr>
        <w:tab/>
      </w:r>
      <w:r w:rsidRPr="00AC1431">
        <w:rPr>
          <w:rStyle w:val="normaltextrun"/>
          <w:rFonts w:asciiTheme="minorHAnsi" w:hAnsiTheme="minorHAnsi" w:cstheme="minorHAnsi"/>
          <w:i/>
          <w:iCs/>
        </w:rPr>
        <w:t xml:space="preserve">to Learning Theory. </w:t>
      </w:r>
      <w:r w:rsidRPr="00AC1431">
        <w:rPr>
          <w:rStyle w:val="normaltextrun"/>
          <w:rFonts w:asciiTheme="minorHAnsi" w:hAnsiTheme="minorHAnsi" w:cstheme="minorHAnsi"/>
        </w:rPr>
        <w:t>Switzerland: Springer.</w:t>
      </w:r>
      <w:r w:rsidRPr="00AC1431">
        <w:rPr>
          <w:rStyle w:val="eop"/>
          <w:rFonts w:asciiTheme="minorHAnsi" w:hAnsiTheme="minorHAnsi" w:cstheme="minorHAnsi"/>
        </w:rPr>
        <w:t> </w:t>
      </w:r>
    </w:p>
    <w:p w14:paraId="57A5AB6D"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Bear, G. G. (2013) ‘Teacher Resistance to Frequent Rewards and Praise: Lack of Skill or Wise </w:t>
      </w:r>
      <w:r w:rsidRPr="00AC1431">
        <w:rPr>
          <w:rStyle w:val="tabchar"/>
          <w:rFonts w:asciiTheme="minorHAnsi" w:hAnsiTheme="minorHAnsi" w:cstheme="minorHAnsi"/>
        </w:rPr>
        <w:tab/>
      </w:r>
      <w:r w:rsidRPr="00AC1431">
        <w:rPr>
          <w:rStyle w:val="normaltextrun"/>
          <w:rFonts w:asciiTheme="minorHAnsi" w:hAnsiTheme="minorHAnsi" w:cstheme="minorHAnsi"/>
        </w:rPr>
        <w:t xml:space="preserve">Decision’, </w:t>
      </w:r>
      <w:r w:rsidRPr="00AC1431">
        <w:rPr>
          <w:rStyle w:val="normaltextrun"/>
          <w:rFonts w:asciiTheme="minorHAnsi" w:hAnsiTheme="minorHAnsi" w:cstheme="minorHAnsi"/>
          <w:i/>
          <w:iCs/>
        </w:rPr>
        <w:t xml:space="preserve">Journal of Educational and Psychological Consultation, </w:t>
      </w:r>
      <w:r w:rsidRPr="00AC1431">
        <w:rPr>
          <w:rStyle w:val="normaltextrun"/>
          <w:rFonts w:asciiTheme="minorHAnsi" w:hAnsiTheme="minorHAnsi" w:cstheme="minorHAnsi"/>
        </w:rPr>
        <w:t>23(4), pp.318-340.</w:t>
      </w:r>
      <w:r w:rsidRPr="00AC1431">
        <w:rPr>
          <w:rStyle w:val="eop"/>
          <w:rFonts w:asciiTheme="minorHAnsi" w:hAnsiTheme="minorHAnsi" w:cstheme="minorHAnsi"/>
        </w:rPr>
        <w:t> </w:t>
      </w:r>
    </w:p>
    <w:p w14:paraId="09AE4AB2"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BERA (2018) </w:t>
      </w:r>
      <w:r w:rsidRPr="00AC1431">
        <w:rPr>
          <w:rStyle w:val="normaltextrun"/>
          <w:rFonts w:asciiTheme="minorHAnsi" w:hAnsiTheme="minorHAnsi" w:cstheme="minorHAnsi"/>
          <w:i/>
          <w:iCs/>
        </w:rPr>
        <w:t xml:space="preserve">Ethical Guidelines for Educational Research. </w:t>
      </w:r>
      <w:r w:rsidRPr="00AC1431">
        <w:rPr>
          <w:rStyle w:val="normaltextrun"/>
          <w:rFonts w:asciiTheme="minorHAnsi" w:hAnsiTheme="minorHAnsi" w:cstheme="minorHAnsi"/>
        </w:rPr>
        <w:t>4</w:t>
      </w:r>
      <w:r w:rsidRPr="00AC1431">
        <w:rPr>
          <w:rStyle w:val="normaltextrun"/>
          <w:rFonts w:asciiTheme="minorHAnsi" w:hAnsiTheme="minorHAnsi" w:cstheme="minorHAnsi"/>
          <w:vertAlign w:val="superscript"/>
        </w:rPr>
        <w:t>th</w:t>
      </w:r>
      <w:r w:rsidRPr="00AC1431">
        <w:rPr>
          <w:rStyle w:val="normaltextrun"/>
          <w:rFonts w:asciiTheme="minorHAnsi" w:hAnsiTheme="minorHAnsi" w:cstheme="minorHAnsi"/>
        </w:rPr>
        <w:t xml:space="preserve"> edn. Available at: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rPr>
        <w:t>https://www.bera.ac.uk/publication/ethical-guidelines-for-educational-research-</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rPr>
        <w:t>2018 (Accessed: 20 October 2022).</w:t>
      </w:r>
      <w:r w:rsidRPr="00AC1431">
        <w:rPr>
          <w:rStyle w:val="eop"/>
          <w:rFonts w:asciiTheme="minorHAnsi" w:hAnsiTheme="minorHAnsi" w:cstheme="minorHAnsi"/>
        </w:rPr>
        <w:t> </w:t>
      </w:r>
    </w:p>
    <w:p w14:paraId="7E7436D2"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Caldarella, P. </w:t>
      </w:r>
      <w:r w:rsidRPr="00AC1431">
        <w:rPr>
          <w:rStyle w:val="normaltextrun"/>
          <w:rFonts w:asciiTheme="minorHAnsi" w:hAnsiTheme="minorHAnsi" w:cstheme="minorHAnsi"/>
          <w:i/>
          <w:iCs/>
        </w:rPr>
        <w:t xml:space="preserve">et al. </w:t>
      </w:r>
      <w:r w:rsidRPr="00AC1431">
        <w:rPr>
          <w:rStyle w:val="normaltextrun"/>
          <w:rFonts w:asciiTheme="minorHAnsi" w:hAnsiTheme="minorHAnsi" w:cstheme="minorHAnsi"/>
        </w:rPr>
        <w:t xml:space="preserve">(2020) ‘Effects of Teachers’ Praise-to-Reprimand Ratios on Elementary </w:t>
      </w:r>
      <w:r w:rsidRPr="00AC1431">
        <w:rPr>
          <w:rStyle w:val="tabchar"/>
          <w:rFonts w:asciiTheme="minorHAnsi" w:hAnsiTheme="minorHAnsi" w:cstheme="minorHAnsi"/>
        </w:rPr>
        <w:tab/>
      </w:r>
      <w:r w:rsidRPr="00AC1431">
        <w:rPr>
          <w:rStyle w:val="normaltextrun"/>
          <w:rFonts w:asciiTheme="minorHAnsi" w:hAnsiTheme="minorHAnsi" w:cstheme="minorHAnsi"/>
        </w:rPr>
        <w:t xml:space="preserve">Students’ On-Task Behaviour’, </w:t>
      </w:r>
      <w:r w:rsidRPr="00AC1431">
        <w:rPr>
          <w:rStyle w:val="normaltextrun"/>
          <w:rFonts w:asciiTheme="minorHAnsi" w:hAnsiTheme="minorHAnsi" w:cstheme="minorHAnsi"/>
          <w:i/>
          <w:iCs/>
        </w:rPr>
        <w:t xml:space="preserve">An International Journal of Experimental Educational </w:t>
      </w:r>
      <w:r w:rsidRPr="00AC1431">
        <w:rPr>
          <w:rStyle w:val="tabchar"/>
          <w:rFonts w:asciiTheme="minorHAnsi" w:hAnsiTheme="minorHAnsi" w:cstheme="minorHAnsi"/>
        </w:rPr>
        <w:tab/>
      </w:r>
      <w:r w:rsidRPr="00AC1431">
        <w:rPr>
          <w:rStyle w:val="normaltextrun"/>
          <w:rFonts w:asciiTheme="minorHAnsi" w:hAnsiTheme="minorHAnsi" w:cstheme="minorHAnsi"/>
          <w:i/>
          <w:iCs/>
        </w:rPr>
        <w:t xml:space="preserve">Psychology, </w:t>
      </w:r>
      <w:r w:rsidRPr="00AC1431">
        <w:rPr>
          <w:rStyle w:val="normaltextrun"/>
          <w:rFonts w:asciiTheme="minorHAnsi" w:hAnsiTheme="minorHAnsi" w:cstheme="minorHAnsi"/>
        </w:rPr>
        <w:t>40(10), pp.1306-1322.</w:t>
      </w:r>
      <w:r w:rsidRPr="00AC1431">
        <w:rPr>
          <w:rStyle w:val="eop"/>
          <w:rFonts w:asciiTheme="minorHAnsi" w:hAnsiTheme="minorHAnsi" w:cstheme="minorHAnsi"/>
        </w:rPr>
        <w:t> </w:t>
      </w:r>
    </w:p>
    <w:p w14:paraId="4B682447"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Donaldson, G. (2015) </w:t>
      </w:r>
      <w:r w:rsidRPr="00AC1431">
        <w:rPr>
          <w:rStyle w:val="normaltextrun"/>
          <w:rFonts w:asciiTheme="minorHAnsi" w:hAnsiTheme="minorHAnsi" w:cstheme="minorHAnsi"/>
          <w:i/>
          <w:iCs/>
        </w:rPr>
        <w:t xml:space="preserve">Successful Futures: Independent Review of Curriculum and Assessment </w:t>
      </w:r>
      <w:r w:rsidRPr="00AC1431">
        <w:rPr>
          <w:rStyle w:val="tabchar"/>
          <w:rFonts w:asciiTheme="minorHAnsi" w:hAnsiTheme="minorHAnsi" w:cstheme="minorHAnsi"/>
        </w:rPr>
        <w:tab/>
      </w:r>
      <w:r w:rsidRPr="00AC1431">
        <w:rPr>
          <w:rStyle w:val="normaltextrun"/>
          <w:rFonts w:asciiTheme="minorHAnsi" w:hAnsiTheme="minorHAnsi" w:cstheme="minorHAnsi"/>
          <w:i/>
          <w:iCs/>
        </w:rPr>
        <w:t xml:space="preserve">Arrangements in Wales. </w:t>
      </w:r>
      <w:r w:rsidRPr="00AC1431">
        <w:rPr>
          <w:rStyle w:val="normaltextrun"/>
          <w:rFonts w:asciiTheme="minorHAnsi" w:hAnsiTheme="minorHAnsi" w:cstheme="minorHAnsi"/>
        </w:rPr>
        <w:t>Cardiff: Welsh Government.</w:t>
      </w:r>
      <w:r w:rsidRPr="00AC1431">
        <w:rPr>
          <w:rStyle w:val="eop"/>
          <w:rFonts w:asciiTheme="minorHAnsi" w:hAnsiTheme="minorHAnsi" w:cstheme="minorHAnsi"/>
        </w:rPr>
        <w:t> </w:t>
      </w:r>
    </w:p>
    <w:p w14:paraId="754499B9" w14:textId="33848BCB"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Downing. J. H., Keating, T. M and Bennett, C. (2005) ‘Effective Reinforcement Techniques in </w:t>
      </w:r>
      <w:r w:rsidRPr="00AC1431">
        <w:rPr>
          <w:rStyle w:val="tabchar"/>
          <w:rFonts w:asciiTheme="minorHAnsi" w:hAnsiTheme="minorHAnsi" w:cstheme="minorHAnsi"/>
        </w:rPr>
        <w:tab/>
      </w:r>
      <w:r w:rsidRPr="00AC1431">
        <w:rPr>
          <w:rStyle w:val="normaltextrun"/>
          <w:rFonts w:asciiTheme="minorHAnsi" w:hAnsiTheme="minorHAnsi" w:cstheme="minorHAnsi"/>
        </w:rPr>
        <w:t>Elementary Physical Education: The Key to Behaviour Management’,</w:t>
      </w:r>
      <w:r w:rsidRPr="00AC1431">
        <w:rPr>
          <w:rStyle w:val="normaltextrun"/>
          <w:rFonts w:asciiTheme="minorHAnsi" w:hAnsiTheme="minorHAnsi" w:cstheme="minorHAnsi"/>
          <w:i/>
          <w:iCs/>
        </w:rPr>
        <w:t xml:space="preserve"> The Physical </w:t>
      </w:r>
      <w:r w:rsidRPr="00AC1431">
        <w:rPr>
          <w:rStyle w:val="tabchar"/>
          <w:rFonts w:asciiTheme="minorHAnsi" w:hAnsiTheme="minorHAnsi" w:cstheme="minorHAnsi"/>
        </w:rPr>
        <w:tab/>
      </w:r>
      <w:r w:rsidRPr="00AC1431">
        <w:rPr>
          <w:rStyle w:val="normaltextrun"/>
          <w:rFonts w:asciiTheme="minorHAnsi" w:hAnsiTheme="minorHAnsi" w:cstheme="minorHAnsi"/>
          <w:i/>
          <w:iCs/>
        </w:rPr>
        <w:t xml:space="preserve">Educator, </w:t>
      </w:r>
      <w:r w:rsidRPr="00AC1431">
        <w:rPr>
          <w:rStyle w:val="normaltextrun"/>
          <w:rFonts w:asciiTheme="minorHAnsi" w:hAnsiTheme="minorHAnsi" w:cstheme="minorHAnsi"/>
        </w:rPr>
        <w:t>62(3), pp.114-122.</w:t>
      </w:r>
      <w:r w:rsidRPr="00AC1431">
        <w:rPr>
          <w:rStyle w:val="eop"/>
          <w:rFonts w:asciiTheme="minorHAnsi" w:hAnsiTheme="minorHAnsi" w:cstheme="minorHAnsi"/>
        </w:rPr>
        <w:t> </w:t>
      </w:r>
    </w:p>
    <w:p w14:paraId="63CA378E"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Furlong, J. </w:t>
      </w:r>
      <w:r w:rsidRPr="00AC1431">
        <w:rPr>
          <w:rStyle w:val="normaltextrun"/>
          <w:rFonts w:asciiTheme="minorHAnsi" w:hAnsiTheme="minorHAnsi" w:cstheme="minorHAnsi"/>
          <w:i/>
          <w:iCs/>
        </w:rPr>
        <w:t>et al.</w:t>
      </w:r>
      <w:r w:rsidRPr="00AC1431">
        <w:rPr>
          <w:rStyle w:val="normaltextrun"/>
          <w:rFonts w:asciiTheme="minorHAnsi" w:hAnsiTheme="minorHAnsi" w:cstheme="minorHAnsi"/>
        </w:rPr>
        <w:t xml:space="preserve"> (2021) ‘The Reform of Initial Teacher Education in Wales: From Vision to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rPr>
        <w:t xml:space="preserve">Reality’, </w:t>
      </w:r>
      <w:r w:rsidRPr="00AC1431">
        <w:rPr>
          <w:rStyle w:val="normaltextrun"/>
          <w:rFonts w:asciiTheme="minorHAnsi" w:hAnsiTheme="minorHAnsi" w:cstheme="minorHAnsi"/>
          <w:i/>
          <w:iCs/>
        </w:rPr>
        <w:t xml:space="preserve">Oxford Review of Education, </w:t>
      </w:r>
      <w:r w:rsidRPr="00AC1431">
        <w:rPr>
          <w:rStyle w:val="normaltextrun"/>
          <w:rFonts w:asciiTheme="minorHAnsi" w:hAnsiTheme="minorHAnsi" w:cstheme="minorHAnsi"/>
        </w:rPr>
        <w:t>47(1), pp.61-78.</w:t>
      </w:r>
      <w:r w:rsidRPr="00AC1431">
        <w:rPr>
          <w:rStyle w:val="eop"/>
          <w:rFonts w:asciiTheme="minorHAnsi" w:hAnsiTheme="minorHAnsi" w:cstheme="minorHAnsi"/>
        </w:rPr>
        <w:t> </w:t>
      </w:r>
    </w:p>
    <w:p w14:paraId="5FC22B69"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Griffiths, V. (2000) ‘The Reflective Dimension in Teacher Education’, </w:t>
      </w:r>
      <w:r w:rsidRPr="00AC1431">
        <w:rPr>
          <w:rStyle w:val="normaltextrun"/>
          <w:rFonts w:asciiTheme="minorHAnsi" w:hAnsiTheme="minorHAnsi" w:cstheme="minorHAnsi"/>
          <w:i/>
          <w:iCs/>
        </w:rPr>
        <w:t xml:space="preserve">International Journal of </w:t>
      </w:r>
      <w:r w:rsidRPr="00AC1431">
        <w:rPr>
          <w:rStyle w:val="tabchar"/>
          <w:rFonts w:asciiTheme="minorHAnsi" w:hAnsiTheme="minorHAnsi" w:cstheme="minorHAnsi"/>
        </w:rPr>
        <w:tab/>
      </w:r>
      <w:r w:rsidRPr="00AC1431">
        <w:rPr>
          <w:rStyle w:val="normaltextrun"/>
          <w:rFonts w:asciiTheme="minorHAnsi" w:hAnsiTheme="minorHAnsi" w:cstheme="minorHAnsi"/>
          <w:i/>
          <w:iCs/>
        </w:rPr>
        <w:t xml:space="preserve">Educational Research, </w:t>
      </w:r>
      <w:r w:rsidRPr="00AC1431">
        <w:rPr>
          <w:rStyle w:val="normaltextrun"/>
          <w:rFonts w:asciiTheme="minorHAnsi" w:hAnsiTheme="minorHAnsi" w:cstheme="minorHAnsi"/>
        </w:rPr>
        <w:t xml:space="preserve">33, pp.539-555. </w:t>
      </w:r>
      <w:r w:rsidRPr="00AC1431">
        <w:rPr>
          <w:rStyle w:val="eop"/>
          <w:rFonts w:asciiTheme="minorHAnsi" w:hAnsiTheme="minorHAnsi" w:cstheme="minorHAnsi"/>
        </w:rPr>
        <w:t> </w:t>
      </w:r>
    </w:p>
    <w:p w14:paraId="37083968"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Kalantzis, M. and Cope, B. (2012) </w:t>
      </w:r>
      <w:r w:rsidRPr="00AC1431">
        <w:rPr>
          <w:rStyle w:val="normaltextrun"/>
          <w:rFonts w:asciiTheme="minorHAnsi" w:hAnsiTheme="minorHAnsi" w:cstheme="minorHAnsi"/>
          <w:i/>
          <w:iCs/>
        </w:rPr>
        <w:t xml:space="preserve">New Learning: Elements of a Science of Education. </w:t>
      </w:r>
      <w:r w:rsidRPr="00AC1431">
        <w:rPr>
          <w:rStyle w:val="normaltextrun"/>
          <w:rFonts w:asciiTheme="minorHAnsi" w:hAnsiTheme="minorHAnsi" w:cstheme="minorHAnsi"/>
        </w:rPr>
        <w:t>2</w:t>
      </w:r>
      <w:r w:rsidRPr="00AC1431">
        <w:rPr>
          <w:rStyle w:val="normaltextrun"/>
          <w:rFonts w:asciiTheme="minorHAnsi" w:hAnsiTheme="minorHAnsi" w:cstheme="minorHAnsi"/>
          <w:vertAlign w:val="superscript"/>
        </w:rPr>
        <w:t>nd</w:t>
      </w:r>
      <w:r w:rsidRPr="00AC1431">
        <w:rPr>
          <w:rStyle w:val="normaltextrun"/>
          <w:rFonts w:asciiTheme="minorHAnsi" w:hAnsiTheme="minorHAnsi" w:cstheme="minorHAnsi"/>
        </w:rPr>
        <w:t xml:space="preserve">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rPr>
        <w:t>edn. Cambridge: Cambridge University Press.</w:t>
      </w:r>
      <w:r w:rsidRPr="00AC1431">
        <w:rPr>
          <w:rStyle w:val="normaltextrun"/>
          <w:rFonts w:asciiTheme="minorHAnsi" w:hAnsiTheme="minorHAnsi" w:cstheme="minorHAnsi"/>
          <w:i/>
          <w:iCs/>
        </w:rPr>
        <w:t xml:space="preserve"> </w:t>
      </w:r>
      <w:r w:rsidRPr="00AC1431">
        <w:rPr>
          <w:rStyle w:val="eop"/>
          <w:rFonts w:asciiTheme="minorHAnsi" w:hAnsiTheme="minorHAnsi" w:cstheme="minorHAnsi"/>
        </w:rPr>
        <w:t> </w:t>
      </w:r>
    </w:p>
    <w:p w14:paraId="518F1196"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lastRenderedPageBreak/>
        <w:t xml:space="preserve">Larrivee, B. (2008) ‘Development of a Tool to Assess Teachers’ Level of Reflective Practice’, </w:t>
      </w:r>
      <w:r w:rsidRPr="00AC1431">
        <w:rPr>
          <w:rStyle w:val="tabchar"/>
          <w:rFonts w:asciiTheme="minorHAnsi" w:hAnsiTheme="minorHAnsi" w:cstheme="minorHAnsi"/>
        </w:rPr>
        <w:tab/>
      </w:r>
      <w:r w:rsidRPr="00AC1431">
        <w:rPr>
          <w:rStyle w:val="normaltextrun"/>
          <w:rFonts w:asciiTheme="minorHAnsi" w:hAnsiTheme="minorHAnsi" w:cstheme="minorHAnsi"/>
          <w:i/>
          <w:iCs/>
        </w:rPr>
        <w:t>Reflective Practice</w:t>
      </w:r>
      <w:r w:rsidRPr="00AC1431">
        <w:rPr>
          <w:rStyle w:val="normaltextrun"/>
          <w:rFonts w:asciiTheme="minorHAnsi" w:hAnsiTheme="minorHAnsi" w:cstheme="minorHAnsi"/>
        </w:rPr>
        <w:t>, 9(3), pp.341-360.</w:t>
      </w:r>
      <w:r w:rsidRPr="00AC1431">
        <w:rPr>
          <w:rStyle w:val="eop"/>
          <w:rFonts w:asciiTheme="minorHAnsi" w:hAnsiTheme="minorHAnsi" w:cstheme="minorHAnsi"/>
        </w:rPr>
        <w:t> </w:t>
      </w:r>
    </w:p>
    <w:p w14:paraId="78A29A47"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Lloyd, C. A. (2019) ‘Exploring the Real-World Decision-Making of Novice and Experienced </w:t>
      </w:r>
      <w:r w:rsidRPr="00AC1431">
        <w:rPr>
          <w:rStyle w:val="tabchar"/>
          <w:rFonts w:asciiTheme="minorHAnsi" w:hAnsiTheme="minorHAnsi" w:cstheme="minorHAnsi"/>
        </w:rPr>
        <w:tab/>
      </w:r>
      <w:r w:rsidRPr="00AC1431">
        <w:rPr>
          <w:rStyle w:val="normaltextrun"/>
          <w:rFonts w:asciiTheme="minorHAnsi" w:hAnsiTheme="minorHAnsi" w:cstheme="minorHAnsi"/>
        </w:rPr>
        <w:t xml:space="preserve">Teachers’, </w:t>
      </w:r>
      <w:r w:rsidRPr="00AC1431">
        <w:rPr>
          <w:rStyle w:val="normaltextrun"/>
          <w:rFonts w:asciiTheme="minorHAnsi" w:hAnsiTheme="minorHAnsi" w:cstheme="minorHAnsi"/>
          <w:i/>
          <w:iCs/>
        </w:rPr>
        <w:t xml:space="preserve">Journal of Further and Higher Education, </w:t>
      </w:r>
      <w:r w:rsidRPr="00AC1431">
        <w:rPr>
          <w:rStyle w:val="normaltextrun"/>
          <w:rFonts w:asciiTheme="minorHAnsi" w:hAnsiTheme="minorHAnsi" w:cstheme="minorHAnsi"/>
        </w:rPr>
        <w:t>43(2), pp.166-182.</w:t>
      </w:r>
      <w:r w:rsidRPr="00AC1431">
        <w:rPr>
          <w:rStyle w:val="eop"/>
          <w:rFonts w:asciiTheme="minorHAnsi" w:hAnsiTheme="minorHAnsi" w:cstheme="minorHAnsi"/>
        </w:rPr>
        <w:t> </w:t>
      </w:r>
    </w:p>
    <w:p w14:paraId="1105A07D"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My Local School (2022)</w:t>
      </w:r>
      <w:r w:rsidRPr="00AC1431">
        <w:rPr>
          <w:rStyle w:val="normaltextrun"/>
          <w:rFonts w:asciiTheme="minorHAnsi" w:hAnsiTheme="minorHAnsi" w:cstheme="minorHAnsi"/>
          <w:i/>
          <w:iCs/>
        </w:rPr>
        <w:t xml:space="preserve"> Local School.</w:t>
      </w:r>
      <w:r w:rsidRPr="00AC1431">
        <w:rPr>
          <w:rStyle w:val="normaltextrun"/>
          <w:rFonts w:asciiTheme="minorHAnsi" w:hAnsiTheme="minorHAnsi" w:cstheme="minorHAnsi"/>
        </w:rPr>
        <w:t xml:space="preserve"> Available at: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tabchar"/>
          <w:rFonts w:asciiTheme="minorHAnsi" w:hAnsiTheme="minorHAnsi" w:cstheme="minorHAnsi"/>
        </w:rPr>
        <w:tab/>
      </w:r>
      <w:hyperlink r:id="rId6" w:anchor="0" w:tgtFrame="_blank" w:history="1">
        <w:r w:rsidRPr="00AC1431">
          <w:rPr>
            <w:rStyle w:val="normaltextrun"/>
            <w:rFonts w:asciiTheme="minorHAnsi" w:hAnsiTheme="minorHAnsi" w:cstheme="minorHAnsi"/>
            <w:color w:val="0000FF"/>
            <w:u w:val="single"/>
          </w:rPr>
          <w:t>https://mylocalschool.gov.wales/School/6704032?lang=en#0</w:t>
        </w:r>
      </w:hyperlink>
      <w:r w:rsidRPr="00AC1431">
        <w:rPr>
          <w:rStyle w:val="normaltextrun"/>
          <w:rFonts w:asciiTheme="minorHAnsi" w:hAnsiTheme="minorHAnsi" w:cstheme="minorHAnsi"/>
        </w:rPr>
        <w:t xml:space="preserve"> (Accessed: 13 October </w:t>
      </w:r>
      <w:r w:rsidRPr="00AC1431">
        <w:rPr>
          <w:rStyle w:val="tabchar"/>
          <w:rFonts w:asciiTheme="minorHAnsi" w:hAnsiTheme="minorHAnsi" w:cstheme="minorHAnsi"/>
        </w:rPr>
        <w:tab/>
      </w:r>
      <w:r w:rsidRPr="00AC1431">
        <w:rPr>
          <w:rStyle w:val="normaltextrun"/>
          <w:rFonts w:asciiTheme="minorHAnsi" w:hAnsiTheme="minorHAnsi" w:cstheme="minorHAnsi"/>
        </w:rPr>
        <w:t>2022).</w:t>
      </w:r>
      <w:r w:rsidRPr="00AC1431">
        <w:rPr>
          <w:rStyle w:val="eop"/>
          <w:rFonts w:asciiTheme="minorHAnsi" w:hAnsiTheme="minorHAnsi" w:cstheme="minorHAnsi"/>
        </w:rPr>
        <w:t> </w:t>
      </w:r>
    </w:p>
    <w:p w14:paraId="1FEA9748"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Nelson, F. L. and Sadler, T. (2013) ‘A Third Space for Reflection by Teacher Educators: A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rPr>
        <w:t xml:space="preserve">Heuristic for Understanding Orientations to and Components of Reflection’,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i/>
          <w:iCs/>
        </w:rPr>
        <w:t xml:space="preserve">Reflective Practice, </w:t>
      </w:r>
      <w:r w:rsidRPr="00AC1431">
        <w:rPr>
          <w:rStyle w:val="normaltextrun"/>
          <w:rFonts w:asciiTheme="minorHAnsi" w:hAnsiTheme="minorHAnsi" w:cstheme="minorHAnsi"/>
        </w:rPr>
        <w:t xml:space="preserve">14(1), pp.43-57. </w:t>
      </w:r>
      <w:r w:rsidRPr="00AC1431">
        <w:rPr>
          <w:rStyle w:val="eop"/>
          <w:rFonts w:asciiTheme="minorHAnsi" w:hAnsiTheme="minorHAnsi" w:cstheme="minorHAnsi"/>
        </w:rPr>
        <w:t> </w:t>
      </w:r>
    </w:p>
    <w:p w14:paraId="05BA5DA8"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Rafi, A., Ansar, A., Sami, M. A. (2020) ‘The Implication of Positive Reinforcement Strategy in </w:t>
      </w:r>
      <w:r w:rsidRPr="00AC1431">
        <w:rPr>
          <w:rStyle w:val="tabchar"/>
          <w:rFonts w:asciiTheme="minorHAnsi" w:hAnsiTheme="minorHAnsi" w:cstheme="minorHAnsi"/>
        </w:rPr>
        <w:tab/>
      </w:r>
      <w:r w:rsidRPr="00AC1431">
        <w:rPr>
          <w:rStyle w:val="normaltextrun"/>
          <w:rFonts w:asciiTheme="minorHAnsi" w:hAnsiTheme="minorHAnsi" w:cstheme="minorHAnsi"/>
        </w:rPr>
        <w:t xml:space="preserve">Dealing with Disruptive Behaviour in the Classroom: A Scoping Review’, </w:t>
      </w:r>
      <w:r w:rsidRPr="00AC1431">
        <w:rPr>
          <w:rStyle w:val="normaltextrun"/>
          <w:rFonts w:asciiTheme="minorHAnsi" w:hAnsiTheme="minorHAnsi" w:cstheme="minorHAnsi"/>
          <w:i/>
          <w:iCs/>
        </w:rPr>
        <w:t xml:space="preserve">Journal of </w:t>
      </w:r>
      <w:r w:rsidRPr="00AC1431">
        <w:rPr>
          <w:rStyle w:val="tabchar"/>
          <w:rFonts w:asciiTheme="minorHAnsi" w:hAnsiTheme="minorHAnsi" w:cstheme="minorHAnsi"/>
        </w:rPr>
        <w:tab/>
      </w:r>
      <w:r w:rsidRPr="00AC1431">
        <w:rPr>
          <w:rStyle w:val="normaltextrun"/>
          <w:rFonts w:asciiTheme="minorHAnsi" w:hAnsiTheme="minorHAnsi" w:cstheme="minorHAnsi"/>
          <w:i/>
          <w:iCs/>
        </w:rPr>
        <w:t>Rawalpindi Medical College (JRMC)</w:t>
      </w:r>
      <w:r w:rsidRPr="00AC1431">
        <w:rPr>
          <w:rStyle w:val="normaltextrun"/>
          <w:rFonts w:asciiTheme="minorHAnsi" w:hAnsiTheme="minorHAnsi" w:cstheme="minorHAnsi"/>
        </w:rPr>
        <w:t>, 24(2), pp.173-179.</w:t>
      </w:r>
      <w:r w:rsidRPr="00AC1431">
        <w:rPr>
          <w:rStyle w:val="eop"/>
          <w:rFonts w:asciiTheme="minorHAnsi" w:hAnsiTheme="minorHAnsi" w:cstheme="minorHAnsi"/>
        </w:rPr>
        <w:t> </w:t>
      </w:r>
    </w:p>
    <w:p w14:paraId="59A7A7DB"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Reiner, G. and Wagner, V. (2022) ‘Non-Monetary Rewards in Education’, </w:t>
      </w:r>
      <w:r w:rsidRPr="00AC1431">
        <w:rPr>
          <w:rStyle w:val="normaltextrun"/>
          <w:rFonts w:asciiTheme="minorHAnsi" w:hAnsiTheme="minorHAnsi" w:cstheme="minorHAnsi"/>
          <w:i/>
          <w:iCs/>
        </w:rPr>
        <w:t xml:space="preserve">An International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i/>
          <w:iCs/>
        </w:rPr>
        <w:t>Journal of Experimental Educational Psychology,</w:t>
      </w:r>
      <w:r w:rsidRPr="00AC1431">
        <w:rPr>
          <w:rStyle w:val="normaltextrun"/>
          <w:rFonts w:asciiTheme="minorHAnsi" w:hAnsiTheme="minorHAnsi" w:cstheme="minorHAnsi"/>
        </w:rPr>
        <w:t xml:space="preserve"> 42(2), pp.222-239.</w:t>
      </w:r>
      <w:r w:rsidRPr="00AC1431">
        <w:rPr>
          <w:rStyle w:val="eop"/>
          <w:rFonts w:asciiTheme="minorHAnsi" w:hAnsiTheme="minorHAnsi" w:cstheme="minorHAnsi"/>
        </w:rPr>
        <w:t> </w:t>
      </w:r>
    </w:p>
    <w:p w14:paraId="0FDF74BF"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t xml:space="preserve">Reitman, D. (1998) ‘The Real and Imagined Harmful Effects of Rewards: Implications for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rPr>
        <w:t xml:space="preserve">Clinical Practice’, </w:t>
      </w:r>
      <w:r w:rsidRPr="00AC1431">
        <w:rPr>
          <w:rStyle w:val="normaltextrun"/>
          <w:rFonts w:asciiTheme="minorHAnsi" w:hAnsiTheme="minorHAnsi" w:cstheme="minorHAnsi"/>
          <w:i/>
          <w:iCs/>
        </w:rPr>
        <w:t xml:space="preserve">Journal of Behaviour Therapy and Experimental Psychiatry, </w:t>
      </w:r>
      <w:r w:rsidRPr="00AC1431">
        <w:rPr>
          <w:rStyle w:val="normaltextrun"/>
          <w:rFonts w:asciiTheme="minorHAnsi" w:hAnsiTheme="minorHAnsi" w:cstheme="minorHAnsi"/>
        </w:rPr>
        <w:t xml:space="preserve">29(2), </w:t>
      </w:r>
      <w:r w:rsidRPr="00AC1431">
        <w:rPr>
          <w:rStyle w:val="tabchar"/>
          <w:rFonts w:asciiTheme="minorHAnsi" w:hAnsiTheme="minorHAnsi" w:cstheme="minorHAnsi"/>
        </w:rPr>
        <w:tab/>
      </w:r>
      <w:r w:rsidRPr="00AC1431">
        <w:rPr>
          <w:rStyle w:val="normaltextrun"/>
          <w:rFonts w:asciiTheme="minorHAnsi" w:hAnsiTheme="minorHAnsi" w:cstheme="minorHAnsi"/>
        </w:rPr>
        <w:t>pp.101-113.</w:t>
      </w:r>
      <w:r w:rsidRPr="00AC1431">
        <w:rPr>
          <w:rStyle w:val="eop"/>
          <w:rFonts w:asciiTheme="minorHAnsi" w:hAnsiTheme="minorHAnsi" w:cstheme="minorHAnsi"/>
        </w:rPr>
        <w:t> </w:t>
      </w:r>
    </w:p>
    <w:p w14:paraId="187836AE" w14:textId="568557E8" w:rsidR="00AC1431" w:rsidRDefault="00AC1431" w:rsidP="00AC1431">
      <w:pPr>
        <w:pStyle w:val="paragraph"/>
        <w:spacing w:before="0" w:beforeAutospacing="0" w:after="0" w:afterAutospacing="0" w:line="480" w:lineRule="auto"/>
        <w:textAlignment w:val="baseline"/>
        <w:rPr>
          <w:rStyle w:val="eop"/>
          <w:rFonts w:asciiTheme="minorHAnsi" w:hAnsiTheme="minorHAnsi" w:cstheme="minorHAnsi"/>
        </w:rPr>
      </w:pPr>
      <w:r w:rsidRPr="00AC1431">
        <w:rPr>
          <w:rStyle w:val="normaltextrun"/>
          <w:rFonts w:asciiTheme="minorHAnsi" w:hAnsiTheme="minorHAnsi" w:cstheme="minorHAnsi"/>
        </w:rPr>
        <w:t xml:space="preserve">Sigler, E. A. and Aamidor, S. (2005) ‘From Positive Reinforcement to Positive Behaviours: An </w:t>
      </w:r>
      <w:r w:rsidRPr="00AC1431">
        <w:rPr>
          <w:rStyle w:val="tabchar"/>
          <w:rFonts w:asciiTheme="minorHAnsi" w:hAnsiTheme="minorHAnsi" w:cstheme="minorHAnsi"/>
        </w:rPr>
        <w:tab/>
      </w:r>
      <w:r w:rsidRPr="00AC1431">
        <w:rPr>
          <w:rStyle w:val="normaltextrun"/>
          <w:rFonts w:asciiTheme="minorHAnsi" w:hAnsiTheme="minorHAnsi" w:cstheme="minorHAnsi"/>
        </w:rPr>
        <w:t xml:space="preserve">Everyday Guide for the Practitioner’, </w:t>
      </w:r>
      <w:r w:rsidRPr="00AC1431">
        <w:rPr>
          <w:rStyle w:val="normaltextrun"/>
          <w:rFonts w:asciiTheme="minorHAnsi" w:hAnsiTheme="minorHAnsi" w:cstheme="minorHAnsi"/>
          <w:i/>
          <w:iCs/>
        </w:rPr>
        <w:t xml:space="preserve">Early Childhood Education Journal, </w:t>
      </w:r>
      <w:r w:rsidRPr="00AC1431">
        <w:rPr>
          <w:rStyle w:val="normaltextrun"/>
          <w:rFonts w:asciiTheme="minorHAnsi" w:hAnsiTheme="minorHAnsi" w:cstheme="minorHAnsi"/>
        </w:rPr>
        <w:t xml:space="preserve">32(4), </w:t>
      </w:r>
      <w:r w:rsidRPr="00AC1431">
        <w:rPr>
          <w:rStyle w:val="tabchar"/>
          <w:rFonts w:asciiTheme="minorHAnsi" w:hAnsiTheme="minorHAnsi" w:cstheme="minorHAnsi"/>
        </w:rPr>
        <w:tab/>
      </w:r>
      <w:r w:rsidRPr="00AC1431">
        <w:rPr>
          <w:rStyle w:val="tabchar"/>
          <w:rFonts w:asciiTheme="minorHAnsi" w:hAnsiTheme="minorHAnsi" w:cstheme="minorHAnsi"/>
        </w:rPr>
        <w:tab/>
      </w:r>
      <w:r w:rsidRPr="00AC1431">
        <w:rPr>
          <w:rStyle w:val="normaltextrun"/>
          <w:rFonts w:asciiTheme="minorHAnsi" w:hAnsiTheme="minorHAnsi" w:cstheme="minorHAnsi"/>
        </w:rPr>
        <w:t>pp.249-253.</w:t>
      </w:r>
      <w:r w:rsidRPr="00AC1431">
        <w:rPr>
          <w:rStyle w:val="eop"/>
          <w:rFonts w:asciiTheme="minorHAnsi" w:hAnsiTheme="minorHAnsi" w:cstheme="minorHAnsi"/>
        </w:rPr>
        <w:t> </w:t>
      </w:r>
    </w:p>
    <w:p w14:paraId="548A3A2B" w14:textId="4DDAB288" w:rsidR="0043243C" w:rsidRPr="00B119C0" w:rsidRDefault="0043243C" w:rsidP="00B119C0">
      <w:pPr>
        <w:pStyle w:val="paragraph"/>
        <w:spacing w:before="0" w:beforeAutospacing="0" w:after="0" w:afterAutospacing="0" w:line="480" w:lineRule="auto"/>
        <w:textAlignment w:val="baseline"/>
        <w:rPr>
          <w:rFonts w:asciiTheme="minorHAnsi" w:hAnsiTheme="minorHAnsi" w:cstheme="minorHAnsi"/>
        </w:rPr>
      </w:pPr>
      <w:r>
        <w:rPr>
          <w:rStyle w:val="eop"/>
          <w:rFonts w:asciiTheme="minorHAnsi" w:hAnsiTheme="minorHAnsi" w:cstheme="minorHAnsi"/>
        </w:rPr>
        <w:t>Tarrant</w:t>
      </w:r>
      <w:r w:rsidR="004A4C1A">
        <w:rPr>
          <w:rStyle w:val="eop"/>
          <w:rFonts w:asciiTheme="minorHAnsi" w:hAnsiTheme="minorHAnsi" w:cstheme="minorHAnsi"/>
        </w:rPr>
        <w:t>, P. (2013)</w:t>
      </w:r>
      <w:r w:rsidR="00987120">
        <w:rPr>
          <w:rStyle w:val="eop"/>
          <w:rFonts w:asciiTheme="minorHAnsi" w:hAnsiTheme="minorHAnsi" w:cstheme="minorHAnsi"/>
        </w:rPr>
        <w:t xml:space="preserve"> </w:t>
      </w:r>
      <w:r w:rsidR="00987120">
        <w:rPr>
          <w:rStyle w:val="eop"/>
          <w:rFonts w:asciiTheme="minorHAnsi" w:hAnsiTheme="minorHAnsi" w:cstheme="minorHAnsi"/>
          <w:i/>
          <w:iCs/>
        </w:rPr>
        <w:t>Reflective Practice and Professional Development</w:t>
      </w:r>
      <w:r w:rsidR="00B119C0">
        <w:rPr>
          <w:rStyle w:val="eop"/>
          <w:rFonts w:asciiTheme="minorHAnsi" w:hAnsiTheme="minorHAnsi" w:cstheme="minorHAnsi"/>
          <w:i/>
          <w:iCs/>
        </w:rPr>
        <w:t xml:space="preserve">. </w:t>
      </w:r>
      <w:r w:rsidR="00B119C0">
        <w:rPr>
          <w:rStyle w:val="eop"/>
          <w:rFonts w:asciiTheme="minorHAnsi" w:hAnsiTheme="minorHAnsi" w:cstheme="minorHAnsi"/>
        </w:rPr>
        <w:t xml:space="preserve">London: SAGE </w:t>
      </w:r>
      <w:r w:rsidR="00B119C0">
        <w:rPr>
          <w:rStyle w:val="eop"/>
          <w:rFonts w:asciiTheme="minorHAnsi" w:hAnsiTheme="minorHAnsi" w:cstheme="minorHAnsi"/>
        </w:rPr>
        <w:tab/>
        <w:t>Publications.</w:t>
      </w:r>
    </w:p>
    <w:p w14:paraId="56D67DB6" w14:textId="77777777" w:rsidR="00AC1431" w:rsidRPr="00AC1431" w:rsidRDefault="00AC1431" w:rsidP="00AC1431">
      <w:pPr>
        <w:pStyle w:val="paragraph"/>
        <w:spacing w:before="0" w:beforeAutospacing="0" w:after="0" w:afterAutospacing="0" w:line="480" w:lineRule="auto"/>
        <w:textAlignment w:val="baseline"/>
        <w:rPr>
          <w:rFonts w:asciiTheme="minorHAnsi" w:hAnsiTheme="minorHAnsi" w:cstheme="minorHAnsi"/>
        </w:rPr>
      </w:pPr>
      <w:r w:rsidRPr="00AC1431">
        <w:rPr>
          <w:rStyle w:val="normaltextrun"/>
          <w:rFonts w:asciiTheme="minorHAnsi" w:hAnsiTheme="minorHAnsi" w:cstheme="minorHAnsi"/>
        </w:rPr>
        <w:lastRenderedPageBreak/>
        <w:t xml:space="preserve">Tripp, D. (2012) </w:t>
      </w:r>
      <w:r w:rsidRPr="00AC1431">
        <w:rPr>
          <w:rStyle w:val="normaltextrun"/>
          <w:rFonts w:asciiTheme="minorHAnsi" w:hAnsiTheme="minorHAnsi" w:cstheme="minorHAnsi"/>
          <w:i/>
          <w:iCs/>
        </w:rPr>
        <w:t xml:space="preserve">Critical Incidents in Teaching: Developing Professional Judgement. </w:t>
      </w:r>
      <w:r w:rsidRPr="00AC1431">
        <w:rPr>
          <w:rStyle w:val="normaltextrun"/>
          <w:rFonts w:asciiTheme="minorHAnsi" w:hAnsiTheme="minorHAnsi" w:cstheme="minorHAnsi"/>
        </w:rPr>
        <w:t xml:space="preserve">Classic </w:t>
      </w:r>
      <w:r w:rsidRPr="00AC1431">
        <w:rPr>
          <w:rStyle w:val="tabchar"/>
          <w:rFonts w:asciiTheme="minorHAnsi" w:hAnsiTheme="minorHAnsi" w:cstheme="minorHAnsi"/>
        </w:rPr>
        <w:tab/>
      </w:r>
      <w:r w:rsidRPr="00AC1431">
        <w:rPr>
          <w:rStyle w:val="normaltextrun"/>
          <w:rFonts w:asciiTheme="minorHAnsi" w:hAnsiTheme="minorHAnsi" w:cstheme="minorHAnsi"/>
        </w:rPr>
        <w:t>edn.</w:t>
      </w:r>
      <w:r w:rsidRPr="00AC1431">
        <w:rPr>
          <w:rStyle w:val="normaltextrun"/>
          <w:rFonts w:asciiTheme="minorHAnsi" w:hAnsiTheme="minorHAnsi" w:cstheme="minorHAnsi"/>
          <w:i/>
          <w:iCs/>
        </w:rPr>
        <w:t> </w:t>
      </w:r>
      <w:r w:rsidRPr="00AC1431">
        <w:rPr>
          <w:rStyle w:val="normaltextrun"/>
          <w:rFonts w:asciiTheme="minorHAnsi" w:hAnsiTheme="minorHAnsi" w:cstheme="minorHAnsi"/>
        </w:rPr>
        <w:t>London: Routledge.</w:t>
      </w:r>
      <w:r w:rsidRPr="00AC1431">
        <w:rPr>
          <w:rStyle w:val="eop"/>
          <w:rFonts w:asciiTheme="minorHAnsi" w:hAnsiTheme="minorHAnsi" w:cstheme="minorHAnsi"/>
        </w:rPr>
        <w:t> </w:t>
      </w:r>
    </w:p>
    <w:p w14:paraId="7DA19A69" w14:textId="5A43A995" w:rsidR="00AC1431" w:rsidRDefault="00AC1431" w:rsidP="00AC1431">
      <w:pPr>
        <w:pStyle w:val="paragraph"/>
        <w:spacing w:before="0" w:beforeAutospacing="0" w:after="0" w:afterAutospacing="0" w:line="480" w:lineRule="auto"/>
        <w:textAlignment w:val="baseline"/>
        <w:rPr>
          <w:rStyle w:val="eop"/>
          <w:rFonts w:asciiTheme="minorHAnsi" w:hAnsiTheme="minorHAnsi" w:cstheme="minorHAnsi"/>
        </w:rPr>
      </w:pPr>
      <w:r w:rsidRPr="00AC1431">
        <w:rPr>
          <w:rStyle w:val="normaltextrun"/>
          <w:rFonts w:asciiTheme="minorHAnsi" w:hAnsiTheme="minorHAnsi" w:cstheme="minorHAnsi"/>
        </w:rPr>
        <w:t xml:space="preserve">Welsh Government (2022) </w:t>
      </w:r>
      <w:r w:rsidRPr="00AC1431">
        <w:rPr>
          <w:rStyle w:val="normaltextrun"/>
          <w:rFonts w:asciiTheme="minorHAnsi" w:hAnsiTheme="minorHAnsi" w:cstheme="minorHAnsi"/>
          <w:i/>
          <w:iCs/>
        </w:rPr>
        <w:t xml:space="preserve">Free School Meals and Other Support for Disadvantaged Pupils. </w:t>
      </w:r>
      <w:r w:rsidRPr="00AC1431">
        <w:rPr>
          <w:rStyle w:val="tabchar"/>
          <w:rFonts w:asciiTheme="minorHAnsi" w:hAnsiTheme="minorHAnsi" w:cstheme="minorHAnsi"/>
        </w:rPr>
        <w:tab/>
      </w:r>
      <w:r w:rsidRPr="00AC1431">
        <w:rPr>
          <w:rStyle w:val="normaltextrun"/>
          <w:rFonts w:asciiTheme="minorHAnsi" w:hAnsiTheme="minorHAnsi" w:cstheme="minorHAnsi"/>
        </w:rPr>
        <w:t xml:space="preserve">Available at: </w:t>
      </w:r>
      <w:hyperlink r:id="rId7" w:tgtFrame="_blank" w:history="1">
        <w:r w:rsidRPr="00AC1431">
          <w:rPr>
            <w:rStyle w:val="normaltextrun"/>
            <w:rFonts w:asciiTheme="minorHAnsi" w:hAnsiTheme="minorHAnsi" w:cstheme="minorHAnsi"/>
            <w:color w:val="0000FF"/>
            <w:u w:val="single"/>
          </w:rPr>
          <w:t>https://educationhub.blog.gov.uk/2022/05/31/free-school-meals-and-</w:t>
        </w:r>
      </w:hyperlink>
      <w:r w:rsidRPr="00AC1431">
        <w:rPr>
          <w:rStyle w:val="tabchar"/>
          <w:rFonts w:asciiTheme="minorHAnsi" w:hAnsiTheme="minorHAnsi" w:cstheme="minorHAnsi"/>
          <w:color w:val="0000FF"/>
        </w:rPr>
        <w:tab/>
      </w:r>
      <w:hyperlink r:id="rId8" w:tgtFrame="_blank" w:history="1">
        <w:r w:rsidRPr="00AC1431">
          <w:rPr>
            <w:rStyle w:val="normaltextrun"/>
            <w:rFonts w:asciiTheme="minorHAnsi" w:hAnsiTheme="minorHAnsi" w:cstheme="minorHAnsi"/>
            <w:color w:val="0000FF"/>
            <w:u w:val="single"/>
          </w:rPr>
          <w:t>other-support-for-disadvantaged-pupils-heres-what-you-need-to-know/</w:t>
        </w:r>
      </w:hyperlink>
      <w:r w:rsidRPr="00AC1431">
        <w:rPr>
          <w:rStyle w:val="normaltextrun"/>
          <w:rFonts w:asciiTheme="minorHAnsi" w:hAnsiTheme="minorHAnsi" w:cstheme="minorHAnsi"/>
        </w:rPr>
        <w:t xml:space="preserve"> (Accessed: </w:t>
      </w:r>
      <w:r w:rsidRPr="00AC1431">
        <w:rPr>
          <w:rStyle w:val="tabchar"/>
          <w:rFonts w:asciiTheme="minorHAnsi" w:hAnsiTheme="minorHAnsi" w:cstheme="minorHAnsi"/>
        </w:rPr>
        <w:tab/>
      </w:r>
      <w:r w:rsidRPr="00AC1431">
        <w:rPr>
          <w:rStyle w:val="normaltextrun"/>
          <w:rFonts w:asciiTheme="minorHAnsi" w:hAnsiTheme="minorHAnsi" w:cstheme="minorHAnsi"/>
        </w:rPr>
        <w:t>23 October 2022).</w:t>
      </w:r>
      <w:r w:rsidRPr="00AC1431">
        <w:rPr>
          <w:rStyle w:val="eop"/>
          <w:rFonts w:asciiTheme="minorHAnsi" w:hAnsiTheme="minorHAnsi" w:cstheme="minorHAnsi"/>
        </w:rPr>
        <w:t> </w:t>
      </w:r>
    </w:p>
    <w:p w14:paraId="70CDA180" w14:textId="293B9DFE" w:rsidR="00141F6D" w:rsidRPr="00141F6D" w:rsidRDefault="00141F6D" w:rsidP="00AC1431">
      <w:pPr>
        <w:pStyle w:val="paragraph"/>
        <w:spacing w:before="0" w:beforeAutospacing="0" w:after="0" w:afterAutospacing="0" w:line="480" w:lineRule="auto"/>
        <w:textAlignment w:val="baseline"/>
        <w:rPr>
          <w:rFonts w:asciiTheme="minorHAnsi" w:hAnsiTheme="minorHAnsi" w:cstheme="minorHAnsi"/>
        </w:rPr>
      </w:pPr>
      <w:r>
        <w:rPr>
          <w:rStyle w:val="eop"/>
          <w:rFonts w:asciiTheme="minorHAnsi" w:hAnsiTheme="minorHAnsi" w:cstheme="minorHAnsi"/>
        </w:rPr>
        <w:t xml:space="preserve">Welsh Government (2020) </w:t>
      </w:r>
      <w:r>
        <w:rPr>
          <w:rStyle w:val="eop"/>
          <w:rFonts w:asciiTheme="minorHAnsi" w:hAnsiTheme="minorHAnsi" w:cstheme="minorHAnsi"/>
          <w:i/>
          <w:iCs/>
        </w:rPr>
        <w:t xml:space="preserve">Professional Standards for Teaching and Leadership. </w:t>
      </w:r>
      <w:r>
        <w:rPr>
          <w:rStyle w:val="eop"/>
          <w:rFonts w:asciiTheme="minorHAnsi" w:hAnsiTheme="minorHAnsi" w:cstheme="minorHAnsi"/>
        </w:rPr>
        <w:t xml:space="preserve">Available at: </w:t>
      </w:r>
      <w:r>
        <w:rPr>
          <w:rStyle w:val="eop"/>
          <w:rFonts w:asciiTheme="minorHAnsi" w:hAnsiTheme="minorHAnsi" w:cstheme="minorHAnsi"/>
        </w:rPr>
        <w:tab/>
      </w:r>
      <w:hyperlink r:id="rId9" w:history="1">
        <w:r w:rsidRPr="00E96C06">
          <w:rPr>
            <w:rStyle w:val="Hyperlink"/>
            <w:rFonts w:asciiTheme="minorHAnsi" w:hAnsiTheme="minorHAnsi" w:cstheme="minorHAnsi"/>
          </w:rPr>
          <w:t>https://hwb.gov.wales/api/storage/19bc948b-8a3f-41e0-944a-</w:t>
        </w:r>
        <w:r w:rsidRPr="00141F6D">
          <w:rPr>
            <w:rStyle w:val="Hyperlink"/>
            <w:rFonts w:asciiTheme="minorHAnsi" w:hAnsiTheme="minorHAnsi" w:cstheme="minorHAnsi"/>
            <w:u w:val="none"/>
          </w:rPr>
          <w:tab/>
        </w:r>
        <w:r w:rsidRPr="00E96C06">
          <w:rPr>
            <w:rStyle w:val="Hyperlink"/>
            <w:rFonts w:asciiTheme="minorHAnsi" w:hAnsiTheme="minorHAnsi" w:cstheme="minorHAnsi"/>
          </w:rPr>
          <w:t>7bf2cadf7d18/professional-standards-for-teaching-and-leadership-interactive-pdf-</w:t>
        </w:r>
        <w:r w:rsidRPr="00141F6D">
          <w:rPr>
            <w:rStyle w:val="Hyperlink"/>
            <w:rFonts w:asciiTheme="minorHAnsi" w:hAnsiTheme="minorHAnsi" w:cstheme="minorHAnsi"/>
            <w:u w:val="none"/>
          </w:rPr>
          <w:tab/>
        </w:r>
        <w:r w:rsidRPr="00E96C06">
          <w:rPr>
            <w:rStyle w:val="Hyperlink"/>
            <w:rFonts w:asciiTheme="minorHAnsi" w:hAnsiTheme="minorHAnsi" w:cstheme="minorHAnsi"/>
          </w:rPr>
          <w:t>for-pc.pdf</w:t>
        </w:r>
      </w:hyperlink>
      <w:r>
        <w:rPr>
          <w:rStyle w:val="eop"/>
          <w:rFonts w:asciiTheme="minorHAnsi" w:hAnsiTheme="minorHAnsi" w:cstheme="minorHAnsi"/>
        </w:rPr>
        <w:t xml:space="preserve"> (Accessed 24 October 2022).</w:t>
      </w:r>
    </w:p>
    <w:p w14:paraId="5BA5BFB3" w14:textId="77777777" w:rsidR="00AC1431" w:rsidRPr="00AC1431" w:rsidRDefault="00AC1431" w:rsidP="00AC1431">
      <w:pPr>
        <w:spacing w:line="480" w:lineRule="auto"/>
        <w:rPr>
          <w:sz w:val="28"/>
          <w:szCs w:val="28"/>
        </w:rPr>
      </w:pPr>
    </w:p>
    <w:sectPr w:rsidR="00AC1431" w:rsidRPr="00AC143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D987C" w14:textId="77777777" w:rsidR="0083161E" w:rsidRDefault="0083161E" w:rsidP="00AC1431">
      <w:pPr>
        <w:spacing w:after="0" w:line="240" w:lineRule="auto"/>
      </w:pPr>
      <w:r>
        <w:separator/>
      </w:r>
    </w:p>
  </w:endnote>
  <w:endnote w:type="continuationSeparator" w:id="0">
    <w:p w14:paraId="3BAE6237" w14:textId="77777777" w:rsidR="0083161E" w:rsidRDefault="0083161E" w:rsidP="00AC1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0590648"/>
      <w:docPartObj>
        <w:docPartGallery w:val="Page Numbers (Bottom of Page)"/>
        <w:docPartUnique/>
      </w:docPartObj>
    </w:sdtPr>
    <w:sdtEndPr>
      <w:rPr>
        <w:noProof/>
      </w:rPr>
    </w:sdtEndPr>
    <w:sdtContent>
      <w:p w14:paraId="45B3898B" w14:textId="72374811" w:rsidR="00AC1431" w:rsidRDefault="00AC14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B2A91D" w14:textId="77777777" w:rsidR="00AC1431" w:rsidRDefault="00AC1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44BE0" w14:textId="77777777" w:rsidR="0083161E" w:rsidRDefault="0083161E" w:rsidP="00AC1431">
      <w:pPr>
        <w:spacing w:after="0" w:line="240" w:lineRule="auto"/>
      </w:pPr>
      <w:r>
        <w:separator/>
      </w:r>
    </w:p>
  </w:footnote>
  <w:footnote w:type="continuationSeparator" w:id="0">
    <w:p w14:paraId="37989AB5" w14:textId="77777777" w:rsidR="0083161E" w:rsidRDefault="0083161E" w:rsidP="00AC14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A4C64" w14:textId="47BC205A" w:rsidR="00AC1431" w:rsidRDefault="00AC1431" w:rsidP="00AC1431">
    <w:pPr>
      <w:pStyle w:val="Header"/>
      <w:tabs>
        <w:tab w:val="clear" w:pos="4513"/>
      </w:tabs>
    </w:pPr>
    <w:r>
      <w:t>ECAD6007</w:t>
    </w:r>
    <w:r>
      <w:tab/>
      <w:t>Rhif Myfyiwr/Student Number: 2217613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431"/>
    <w:rsid w:val="00027A09"/>
    <w:rsid w:val="000C0FED"/>
    <w:rsid w:val="00141F6D"/>
    <w:rsid w:val="00142F32"/>
    <w:rsid w:val="0019554B"/>
    <w:rsid w:val="00256C9C"/>
    <w:rsid w:val="00290559"/>
    <w:rsid w:val="00340706"/>
    <w:rsid w:val="0043243C"/>
    <w:rsid w:val="004A4C1A"/>
    <w:rsid w:val="005727EB"/>
    <w:rsid w:val="00623C25"/>
    <w:rsid w:val="00645039"/>
    <w:rsid w:val="00765BAF"/>
    <w:rsid w:val="007D07DF"/>
    <w:rsid w:val="0083161E"/>
    <w:rsid w:val="00987120"/>
    <w:rsid w:val="00A35808"/>
    <w:rsid w:val="00AC1431"/>
    <w:rsid w:val="00B119C0"/>
    <w:rsid w:val="00BA55DE"/>
    <w:rsid w:val="00BB1570"/>
    <w:rsid w:val="00D32F3B"/>
    <w:rsid w:val="00DC6C39"/>
    <w:rsid w:val="00E61460"/>
    <w:rsid w:val="00F97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2384E"/>
  <w15:chartTrackingRefBased/>
  <w15:docId w15:val="{8FA5BD9F-EDB3-4854-A55C-80B0B83D3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4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431"/>
  </w:style>
  <w:style w:type="paragraph" w:styleId="Footer">
    <w:name w:val="footer"/>
    <w:basedOn w:val="Normal"/>
    <w:link w:val="FooterChar"/>
    <w:uiPriority w:val="99"/>
    <w:unhideWhenUsed/>
    <w:rsid w:val="00AC1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431"/>
  </w:style>
  <w:style w:type="character" w:customStyle="1" w:styleId="normaltextrun">
    <w:name w:val="normaltextrun"/>
    <w:basedOn w:val="DefaultParagraphFont"/>
    <w:rsid w:val="00AC1431"/>
  </w:style>
  <w:style w:type="paragraph" w:customStyle="1" w:styleId="paragraph">
    <w:name w:val="paragraph"/>
    <w:basedOn w:val="Normal"/>
    <w:rsid w:val="00AC1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C1431"/>
  </w:style>
  <w:style w:type="character" w:customStyle="1" w:styleId="tabchar">
    <w:name w:val="tabchar"/>
    <w:basedOn w:val="DefaultParagraphFont"/>
    <w:rsid w:val="00AC1431"/>
  </w:style>
  <w:style w:type="character" w:styleId="Hyperlink">
    <w:name w:val="Hyperlink"/>
    <w:basedOn w:val="DefaultParagraphFont"/>
    <w:uiPriority w:val="99"/>
    <w:unhideWhenUsed/>
    <w:rsid w:val="00141F6D"/>
    <w:rPr>
      <w:color w:val="0563C1" w:themeColor="hyperlink"/>
      <w:u w:val="single"/>
    </w:rPr>
  </w:style>
  <w:style w:type="character" w:styleId="UnresolvedMention">
    <w:name w:val="Unresolved Mention"/>
    <w:basedOn w:val="DefaultParagraphFont"/>
    <w:uiPriority w:val="99"/>
    <w:semiHidden/>
    <w:unhideWhenUsed/>
    <w:rsid w:val="00141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591994">
      <w:bodyDiv w:val="1"/>
      <w:marLeft w:val="0"/>
      <w:marRight w:val="0"/>
      <w:marTop w:val="0"/>
      <w:marBottom w:val="0"/>
      <w:divBdr>
        <w:top w:val="none" w:sz="0" w:space="0" w:color="auto"/>
        <w:left w:val="none" w:sz="0" w:space="0" w:color="auto"/>
        <w:bottom w:val="none" w:sz="0" w:space="0" w:color="auto"/>
        <w:right w:val="none" w:sz="0" w:space="0" w:color="auto"/>
      </w:divBdr>
      <w:divsChild>
        <w:div w:id="23602351">
          <w:marLeft w:val="0"/>
          <w:marRight w:val="0"/>
          <w:marTop w:val="0"/>
          <w:marBottom w:val="0"/>
          <w:divBdr>
            <w:top w:val="none" w:sz="0" w:space="0" w:color="auto"/>
            <w:left w:val="none" w:sz="0" w:space="0" w:color="auto"/>
            <w:bottom w:val="none" w:sz="0" w:space="0" w:color="auto"/>
            <w:right w:val="none" w:sz="0" w:space="0" w:color="auto"/>
          </w:divBdr>
        </w:div>
        <w:div w:id="1624649462">
          <w:marLeft w:val="0"/>
          <w:marRight w:val="0"/>
          <w:marTop w:val="0"/>
          <w:marBottom w:val="0"/>
          <w:divBdr>
            <w:top w:val="none" w:sz="0" w:space="0" w:color="auto"/>
            <w:left w:val="none" w:sz="0" w:space="0" w:color="auto"/>
            <w:bottom w:val="none" w:sz="0" w:space="0" w:color="auto"/>
            <w:right w:val="none" w:sz="0" w:space="0" w:color="auto"/>
          </w:divBdr>
        </w:div>
        <w:div w:id="379937995">
          <w:marLeft w:val="0"/>
          <w:marRight w:val="0"/>
          <w:marTop w:val="0"/>
          <w:marBottom w:val="0"/>
          <w:divBdr>
            <w:top w:val="none" w:sz="0" w:space="0" w:color="auto"/>
            <w:left w:val="none" w:sz="0" w:space="0" w:color="auto"/>
            <w:bottom w:val="none" w:sz="0" w:space="0" w:color="auto"/>
            <w:right w:val="none" w:sz="0" w:space="0" w:color="auto"/>
          </w:divBdr>
        </w:div>
        <w:div w:id="1584100276">
          <w:marLeft w:val="0"/>
          <w:marRight w:val="0"/>
          <w:marTop w:val="0"/>
          <w:marBottom w:val="0"/>
          <w:divBdr>
            <w:top w:val="none" w:sz="0" w:space="0" w:color="auto"/>
            <w:left w:val="none" w:sz="0" w:space="0" w:color="auto"/>
            <w:bottom w:val="none" w:sz="0" w:space="0" w:color="auto"/>
            <w:right w:val="none" w:sz="0" w:space="0" w:color="auto"/>
          </w:divBdr>
        </w:div>
        <w:div w:id="1765999550">
          <w:marLeft w:val="0"/>
          <w:marRight w:val="0"/>
          <w:marTop w:val="0"/>
          <w:marBottom w:val="0"/>
          <w:divBdr>
            <w:top w:val="none" w:sz="0" w:space="0" w:color="auto"/>
            <w:left w:val="none" w:sz="0" w:space="0" w:color="auto"/>
            <w:bottom w:val="none" w:sz="0" w:space="0" w:color="auto"/>
            <w:right w:val="none" w:sz="0" w:space="0" w:color="auto"/>
          </w:divBdr>
        </w:div>
        <w:div w:id="617218352">
          <w:marLeft w:val="0"/>
          <w:marRight w:val="0"/>
          <w:marTop w:val="0"/>
          <w:marBottom w:val="0"/>
          <w:divBdr>
            <w:top w:val="none" w:sz="0" w:space="0" w:color="auto"/>
            <w:left w:val="none" w:sz="0" w:space="0" w:color="auto"/>
            <w:bottom w:val="none" w:sz="0" w:space="0" w:color="auto"/>
            <w:right w:val="none" w:sz="0" w:space="0" w:color="auto"/>
          </w:divBdr>
        </w:div>
        <w:div w:id="239487440">
          <w:marLeft w:val="0"/>
          <w:marRight w:val="0"/>
          <w:marTop w:val="0"/>
          <w:marBottom w:val="0"/>
          <w:divBdr>
            <w:top w:val="none" w:sz="0" w:space="0" w:color="auto"/>
            <w:left w:val="none" w:sz="0" w:space="0" w:color="auto"/>
            <w:bottom w:val="none" w:sz="0" w:space="0" w:color="auto"/>
            <w:right w:val="none" w:sz="0" w:space="0" w:color="auto"/>
          </w:divBdr>
        </w:div>
        <w:div w:id="1440685321">
          <w:marLeft w:val="0"/>
          <w:marRight w:val="0"/>
          <w:marTop w:val="0"/>
          <w:marBottom w:val="0"/>
          <w:divBdr>
            <w:top w:val="none" w:sz="0" w:space="0" w:color="auto"/>
            <w:left w:val="none" w:sz="0" w:space="0" w:color="auto"/>
            <w:bottom w:val="none" w:sz="0" w:space="0" w:color="auto"/>
            <w:right w:val="none" w:sz="0" w:space="0" w:color="auto"/>
          </w:divBdr>
        </w:div>
        <w:div w:id="1882551772">
          <w:marLeft w:val="0"/>
          <w:marRight w:val="0"/>
          <w:marTop w:val="0"/>
          <w:marBottom w:val="0"/>
          <w:divBdr>
            <w:top w:val="none" w:sz="0" w:space="0" w:color="auto"/>
            <w:left w:val="none" w:sz="0" w:space="0" w:color="auto"/>
            <w:bottom w:val="none" w:sz="0" w:space="0" w:color="auto"/>
            <w:right w:val="none" w:sz="0" w:space="0" w:color="auto"/>
          </w:divBdr>
        </w:div>
        <w:div w:id="778912455">
          <w:marLeft w:val="0"/>
          <w:marRight w:val="0"/>
          <w:marTop w:val="0"/>
          <w:marBottom w:val="0"/>
          <w:divBdr>
            <w:top w:val="none" w:sz="0" w:space="0" w:color="auto"/>
            <w:left w:val="none" w:sz="0" w:space="0" w:color="auto"/>
            <w:bottom w:val="none" w:sz="0" w:space="0" w:color="auto"/>
            <w:right w:val="none" w:sz="0" w:space="0" w:color="auto"/>
          </w:divBdr>
        </w:div>
        <w:div w:id="1674143239">
          <w:marLeft w:val="0"/>
          <w:marRight w:val="0"/>
          <w:marTop w:val="0"/>
          <w:marBottom w:val="0"/>
          <w:divBdr>
            <w:top w:val="none" w:sz="0" w:space="0" w:color="auto"/>
            <w:left w:val="none" w:sz="0" w:space="0" w:color="auto"/>
            <w:bottom w:val="none" w:sz="0" w:space="0" w:color="auto"/>
            <w:right w:val="none" w:sz="0" w:space="0" w:color="auto"/>
          </w:divBdr>
        </w:div>
        <w:div w:id="1373384906">
          <w:marLeft w:val="0"/>
          <w:marRight w:val="0"/>
          <w:marTop w:val="0"/>
          <w:marBottom w:val="0"/>
          <w:divBdr>
            <w:top w:val="none" w:sz="0" w:space="0" w:color="auto"/>
            <w:left w:val="none" w:sz="0" w:space="0" w:color="auto"/>
            <w:bottom w:val="none" w:sz="0" w:space="0" w:color="auto"/>
            <w:right w:val="none" w:sz="0" w:space="0" w:color="auto"/>
          </w:divBdr>
        </w:div>
        <w:div w:id="1342658784">
          <w:marLeft w:val="0"/>
          <w:marRight w:val="0"/>
          <w:marTop w:val="0"/>
          <w:marBottom w:val="0"/>
          <w:divBdr>
            <w:top w:val="none" w:sz="0" w:space="0" w:color="auto"/>
            <w:left w:val="none" w:sz="0" w:space="0" w:color="auto"/>
            <w:bottom w:val="none" w:sz="0" w:space="0" w:color="auto"/>
            <w:right w:val="none" w:sz="0" w:space="0" w:color="auto"/>
          </w:divBdr>
        </w:div>
        <w:div w:id="768156872">
          <w:marLeft w:val="0"/>
          <w:marRight w:val="0"/>
          <w:marTop w:val="0"/>
          <w:marBottom w:val="0"/>
          <w:divBdr>
            <w:top w:val="none" w:sz="0" w:space="0" w:color="auto"/>
            <w:left w:val="none" w:sz="0" w:space="0" w:color="auto"/>
            <w:bottom w:val="none" w:sz="0" w:space="0" w:color="auto"/>
            <w:right w:val="none" w:sz="0" w:space="0" w:color="auto"/>
          </w:divBdr>
        </w:div>
        <w:div w:id="477115508">
          <w:marLeft w:val="0"/>
          <w:marRight w:val="0"/>
          <w:marTop w:val="0"/>
          <w:marBottom w:val="0"/>
          <w:divBdr>
            <w:top w:val="none" w:sz="0" w:space="0" w:color="auto"/>
            <w:left w:val="none" w:sz="0" w:space="0" w:color="auto"/>
            <w:bottom w:val="none" w:sz="0" w:space="0" w:color="auto"/>
            <w:right w:val="none" w:sz="0" w:space="0" w:color="auto"/>
          </w:divBdr>
        </w:div>
        <w:div w:id="1361931000">
          <w:marLeft w:val="0"/>
          <w:marRight w:val="0"/>
          <w:marTop w:val="0"/>
          <w:marBottom w:val="0"/>
          <w:divBdr>
            <w:top w:val="none" w:sz="0" w:space="0" w:color="auto"/>
            <w:left w:val="none" w:sz="0" w:space="0" w:color="auto"/>
            <w:bottom w:val="none" w:sz="0" w:space="0" w:color="auto"/>
            <w:right w:val="none" w:sz="0" w:space="0" w:color="auto"/>
          </w:divBdr>
        </w:div>
        <w:div w:id="1466001928">
          <w:marLeft w:val="0"/>
          <w:marRight w:val="0"/>
          <w:marTop w:val="0"/>
          <w:marBottom w:val="0"/>
          <w:divBdr>
            <w:top w:val="none" w:sz="0" w:space="0" w:color="auto"/>
            <w:left w:val="none" w:sz="0" w:space="0" w:color="auto"/>
            <w:bottom w:val="none" w:sz="0" w:space="0" w:color="auto"/>
            <w:right w:val="none" w:sz="0" w:space="0" w:color="auto"/>
          </w:divBdr>
        </w:div>
        <w:div w:id="1392192976">
          <w:marLeft w:val="0"/>
          <w:marRight w:val="0"/>
          <w:marTop w:val="0"/>
          <w:marBottom w:val="0"/>
          <w:divBdr>
            <w:top w:val="none" w:sz="0" w:space="0" w:color="auto"/>
            <w:left w:val="none" w:sz="0" w:space="0" w:color="auto"/>
            <w:bottom w:val="none" w:sz="0" w:space="0" w:color="auto"/>
            <w:right w:val="none" w:sz="0" w:space="0" w:color="auto"/>
          </w:divBdr>
        </w:div>
        <w:div w:id="438261011">
          <w:marLeft w:val="0"/>
          <w:marRight w:val="0"/>
          <w:marTop w:val="0"/>
          <w:marBottom w:val="0"/>
          <w:divBdr>
            <w:top w:val="none" w:sz="0" w:space="0" w:color="auto"/>
            <w:left w:val="none" w:sz="0" w:space="0" w:color="auto"/>
            <w:bottom w:val="none" w:sz="0" w:space="0" w:color="auto"/>
            <w:right w:val="none" w:sz="0" w:space="0" w:color="auto"/>
          </w:divBdr>
        </w:div>
        <w:div w:id="1214973739">
          <w:marLeft w:val="0"/>
          <w:marRight w:val="0"/>
          <w:marTop w:val="0"/>
          <w:marBottom w:val="0"/>
          <w:divBdr>
            <w:top w:val="none" w:sz="0" w:space="0" w:color="auto"/>
            <w:left w:val="none" w:sz="0" w:space="0" w:color="auto"/>
            <w:bottom w:val="none" w:sz="0" w:space="0" w:color="auto"/>
            <w:right w:val="none" w:sz="0" w:space="0" w:color="auto"/>
          </w:divBdr>
        </w:div>
        <w:div w:id="2088530528">
          <w:marLeft w:val="0"/>
          <w:marRight w:val="0"/>
          <w:marTop w:val="0"/>
          <w:marBottom w:val="0"/>
          <w:divBdr>
            <w:top w:val="none" w:sz="0" w:space="0" w:color="auto"/>
            <w:left w:val="none" w:sz="0" w:space="0" w:color="auto"/>
            <w:bottom w:val="none" w:sz="0" w:space="0" w:color="auto"/>
            <w:right w:val="none" w:sz="0" w:space="0" w:color="auto"/>
          </w:divBdr>
        </w:div>
        <w:div w:id="2048066306">
          <w:marLeft w:val="0"/>
          <w:marRight w:val="0"/>
          <w:marTop w:val="0"/>
          <w:marBottom w:val="0"/>
          <w:divBdr>
            <w:top w:val="none" w:sz="0" w:space="0" w:color="auto"/>
            <w:left w:val="none" w:sz="0" w:space="0" w:color="auto"/>
            <w:bottom w:val="none" w:sz="0" w:space="0" w:color="auto"/>
            <w:right w:val="none" w:sz="0" w:space="0" w:color="auto"/>
          </w:divBdr>
        </w:div>
        <w:div w:id="2057460220">
          <w:marLeft w:val="0"/>
          <w:marRight w:val="0"/>
          <w:marTop w:val="0"/>
          <w:marBottom w:val="0"/>
          <w:divBdr>
            <w:top w:val="none" w:sz="0" w:space="0" w:color="auto"/>
            <w:left w:val="none" w:sz="0" w:space="0" w:color="auto"/>
            <w:bottom w:val="none" w:sz="0" w:space="0" w:color="auto"/>
            <w:right w:val="none" w:sz="0" w:space="0" w:color="auto"/>
          </w:divBdr>
        </w:div>
        <w:div w:id="981814472">
          <w:marLeft w:val="0"/>
          <w:marRight w:val="0"/>
          <w:marTop w:val="0"/>
          <w:marBottom w:val="0"/>
          <w:divBdr>
            <w:top w:val="none" w:sz="0" w:space="0" w:color="auto"/>
            <w:left w:val="none" w:sz="0" w:space="0" w:color="auto"/>
            <w:bottom w:val="none" w:sz="0" w:space="0" w:color="auto"/>
            <w:right w:val="none" w:sz="0" w:space="0" w:color="auto"/>
          </w:divBdr>
        </w:div>
      </w:divsChild>
    </w:div>
    <w:div w:id="1221017935">
      <w:bodyDiv w:val="1"/>
      <w:marLeft w:val="0"/>
      <w:marRight w:val="0"/>
      <w:marTop w:val="0"/>
      <w:marBottom w:val="0"/>
      <w:divBdr>
        <w:top w:val="none" w:sz="0" w:space="0" w:color="auto"/>
        <w:left w:val="none" w:sz="0" w:space="0" w:color="auto"/>
        <w:bottom w:val="none" w:sz="0" w:space="0" w:color="auto"/>
        <w:right w:val="none" w:sz="0" w:space="0" w:color="auto"/>
      </w:divBdr>
      <w:divsChild>
        <w:div w:id="1173108115">
          <w:marLeft w:val="0"/>
          <w:marRight w:val="0"/>
          <w:marTop w:val="0"/>
          <w:marBottom w:val="0"/>
          <w:divBdr>
            <w:top w:val="none" w:sz="0" w:space="0" w:color="auto"/>
            <w:left w:val="none" w:sz="0" w:space="0" w:color="auto"/>
            <w:bottom w:val="none" w:sz="0" w:space="0" w:color="auto"/>
            <w:right w:val="none" w:sz="0" w:space="0" w:color="auto"/>
          </w:divBdr>
        </w:div>
        <w:div w:id="1740208461">
          <w:marLeft w:val="0"/>
          <w:marRight w:val="0"/>
          <w:marTop w:val="0"/>
          <w:marBottom w:val="0"/>
          <w:divBdr>
            <w:top w:val="none" w:sz="0" w:space="0" w:color="auto"/>
            <w:left w:val="none" w:sz="0" w:space="0" w:color="auto"/>
            <w:bottom w:val="none" w:sz="0" w:space="0" w:color="auto"/>
            <w:right w:val="none" w:sz="0" w:space="0" w:color="auto"/>
          </w:divBdr>
        </w:div>
        <w:div w:id="831414065">
          <w:marLeft w:val="0"/>
          <w:marRight w:val="0"/>
          <w:marTop w:val="0"/>
          <w:marBottom w:val="0"/>
          <w:divBdr>
            <w:top w:val="none" w:sz="0" w:space="0" w:color="auto"/>
            <w:left w:val="none" w:sz="0" w:space="0" w:color="auto"/>
            <w:bottom w:val="none" w:sz="0" w:space="0" w:color="auto"/>
            <w:right w:val="none" w:sz="0" w:space="0" w:color="auto"/>
          </w:divBdr>
        </w:div>
        <w:div w:id="1946616414">
          <w:marLeft w:val="0"/>
          <w:marRight w:val="0"/>
          <w:marTop w:val="0"/>
          <w:marBottom w:val="0"/>
          <w:divBdr>
            <w:top w:val="none" w:sz="0" w:space="0" w:color="auto"/>
            <w:left w:val="none" w:sz="0" w:space="0" w:color="auto"/>
            <w:bottom w:val="none" w:sz="0" w:space="0" w:color="auto"/>
            <w:right w:val="none" w:sz="0" w:space="0" w:color="auto"/>
          </w:divBdr>
        </w:div>
        <w:div w:id="1678314641">
          <w:marLeft w:val="0"/>
          <w:marRight w:val="0"/>
          <w:marTop w:val="0"/>
          <w:marBottom w:val="0"/>
          <w:divBdr>
            <w:top w:val="none" w:sz="0" w:space="0" w:color="auto"/>
            <w:left w:val="none" w:sz="0" w:space="0" w:color="auto"/>
            <w:bottom w:val="none" w:sz="0" w:space="0" w:color="auto"/>
            <w:right w:val="none" w:sz="0" w:space="0" w:color="auto"/>
          </w:divBdr>
        </w:div>
        <w:div w:id="363099420">
          <w:marLeft w:val="0"/>
          <w:marRight w:val="0"/>
          <w:marTop w:val="0"/>
          <w:marBottom w:val="0"/>
          <w:divBdr>
            <w:top w:val="none" w:sz="0" w:space="0" w:color="auto"/>
            <w:left w:val="none" w:sz="0" w:space="0" w:color="auto"/>
            <w:bottom w:val="none" w:sz="0" w:space="0" w:color="auto"/>
            <w:right w:val="none" w:sz="0" w:space="0" w:color="auto"/>
          </w:divBdr>
        </w:div>
        <w:div w:id="1606964714">
          <w:marLeft w:val="0"/>
          <w:marRight w:val="0"/>
          <w:marTop w:val="0"/>
          <w:marBottom w:val="0"/>
          <w:divBdr>
            <w:top w:val="none" w:sz="0" w:space="0" w:color="auto"/>
            <w:left w:val="none" w:sz="0" w:space="0" w:color="auto"/>
            <w:bottom w:val="none" w:sz="0" w:space="0" w:color="auto"/>
            <w:right w:val="none" w:sz="0" w:space="0" w:color="auto"/>
          </w:divBdr>
        </w:div>
        <w:div w:id="87309354">
          <w:marLeft w:val="0"/>
          <w:marRight w:val="0"/>
          <w:marTop w:val="0"/>
          <w:marBottom w:val="0"/>
          <w:divBdr>
            <w:top w:val="none" w:sz="0" w:space="0" w:color="auto"/>
            <w:left w:val="none" w:sz="0" w:space="0" w:color="auto"/>
            <w:bottom w:val="none" w:sz="0" w:space="0" w:color="auto"/>
            <w:right w:val="none" w:sz="0" w:space="0" w:color="auto"/>
          </w:divBdr>
        </w:div>
        <w:div w:id="509031696">
          <w:marLeft w:val="0"/>
          <w:marRight w:val="0"/>
          <w:marTop w:val="0"/>
          <w:marBottom w:val="0"/>
          <w:divBdr>
            <w:top w:val="none" w:sz="0" w:space="0" w:color="auto"/>
            <w:left w:val="none" w:sz="0" w:space="0" w:color="auto"/>
            <w:bottom w:val="none" w:sz="0" w:space="0" w:color="auto"/>
            <w:right w:val="none" w:sz="0" w:space="0" w:color="auto"/>
          </w:divBdr>
        </w:div>
        <w:div w:id="1020014650">
          <w:marLeft w:val="0"/>
          <w:marRight w:val="0"/>
          <w:marTop w:val="0"/>
          <w:marBottom w:val="0"/>
          <w:divBdr>
            <w:top w:val="none" w:sz="0" w:space="0" w:color="auto"/>
            <w:left w:val="none" w:sz="0" w:space="0" w:color="auto"/>
            <w:bottom w:val="none" w:sz="0" w:space="0" w:color="auto"/>
            <w:right w:val="none" w:sz="0" w:space="0" w:color="auto"/>
          </w:divBdr>
        </w:div>
        <w:div w:id="1250775642">
          <w:marLeft w:val="0"/>
          <w:marRight w:val="0"/>
          <w:marTop w:val="0"/>
          <w:marBottom w:val="0"/>
          <w:divBdr>
            <w:top w:val="none" w:sz="0" w:space="0" w:color="auto"/>
            <w:left w:val="none" w:sz="0" w:space="0" w:color="auto"/>
            <w:bottom w:val="none" w:sz="0" w:space="0" w:color="auto"/>
            <w:right w:val="none" w:sz="0" w:space="0" w:color="auto"/>
          </w:divBdr>
        </w:div>
        <w:div w:id="1522820135">
          <w:marLeft w:val="0"/>
          <w:marRight w:val="0"/>
          <w:marTop w:val="0"/>
          <w:marBottom w:val="0"/>
          <w:divBdr>
            <w:top w:val="none" w:sz="0" w:space="0" w:color="auto"/>
            <w:left w:val="none" w:sz="0" w:space="0" w:color="auto"/>
            <w:bottom w:val="none" w:sz="0" w:space="0" w:color="auto"/>
            <w:right w:val="none" w:sz="0" w:space="0" w:color="auto"/>
          </w:divBdr>
        </w:div>
        <w:div w:id="1565868670">
          <w:marLeft w:val="0"/>
          <w:marRight w:val="0"/>
          <w:marTop w:val="0"/>
          <w:marBottom w:val="0"/>
          <w:divBdr>
            <w:top w:val="none" w:sz="0" w:space="0" w:color="auto"/>
            <w:left w:val="none" w:sz="0" w:space="0" w:color="auto"/>
            <w:bottom w:val="none" w:sz="0" w:space="0" w:color="auto"/>
            <w:right w:val="none" w:sz="0" w:space="0" w:color="auto"/>
          </w:divBdr>
        </w:div>
        <w:div w:id="2069648136">
          <w:marLeft w:val="0"/>
          <w:marRight w:val="0"/>
          <w:marTop w:val="0"/>
          <w:marBottom w:val="0"/>
          <w:divBdr>
            <w:top w:val="none" w:sz="0" w:space="0" w:color="auto"/>
            <w:left w:val="none" w:sz="0" w:space="0" w:color="auto"/>
            <w:bottom w:val="none" w:sz="0" w:space="0" w:color="auto"/>
            <w:right w:val="none" w:sz="0" w:space="0" w:color="auto"/>
          </w:divBdr>
        </w:div>
        <w:div w:id="135032683">
          <w:marLeft w:val="0"/>
          <w:marRight w:val="0"/>
          <w:marTop w:val="0"/>
          <w:marBottom w:val="0"/>
          <w:divBdr>
            <w:top w:val="none" w:sz="0" w:space="0" w:color="auto"/>
            <w:left w:val="none" w:sz="0" w:space="0" w:color="auto"/>
            <w:bottom w:val="none" w:sz="0" w:space="0" w:color="auto"/>
            <w:right w:val="none" w:sz="0" w:space="0" w:color="auto"/>
          </w:divBdr>
        </w:div>
        <w:div w:id="158933638">
          <w:marLeft w:val="0"/>
          <w:marRight w:val="0"/>
          <w:marTop w:val="0"/>
          <w:marBottom w:val="0"/>
          <w:divBdr>
            <w:top w:val="none" w:sz="0" w:space="0" w:color="auto"/>
            <w:left w:val="none" w:sz="0" w:space="0" w:color="auto"/>
            <w:bottom w:val="none" w:sz="0" w:space="0" w:color="auto"/>
            <w:right w:val="none" w:sz="0" w:space="0" w:color="auto"/>
          </w:divBdr>
        </w:div>
        <w:div w:id="1923634978">
          <w:marLeft w:val="0"/>
          <w:marRight w:val="0"/>
          <w:marTop w:val="0"/>
          <w:marBottom w:val="0"/>
          <w:divBdr>
            <w:top w:val="none" w:sz="0" w:space="0" w:color="auto"/>
            <w:left w:val="none" w:sz="0" w:space="0" w:color="auto"/>
            <w:bottom w:val="none" w:sz="0" w:space="0" w:color="auto"/>
            <w:right w:val="none" w:sz="0" w:space="0" w:color="auto"/>
          </w:divBdr>
        </w:div>
        <w:div w:id="1653363225">
          <w:marLeft w:val="0"/>
          <w:marRight w:val="0"/>
          <w:marTop w:val="0"/>
          <w:marBottom w:val="0"/>
          <w:divBdr>
            <w:top w:val="none" w:sz="0" w:space="0" w:color="auto"/>
            <w:left w:val="none" w:sz="0" w:space="0" w:color="auto"/>
            <w:bottom w:val="none" w:sz="0" w:space="0" w:color="auto"/>
            <w:right w:val="none" w:sz="0" w:space="0" w:color="auto"/>
          </w:divBdr>
        </w:div>
        <w:div w:id="520582746">
          <w:marLeft w:val="0"/>
          <w:marRight w:val="0"/>
          <w:marTop w:val="0"/>
          <w:marBottom w:val="0"/>
          <w:divBdr>
            <w:top w:val="none" w:sz="0" w:space="0" w:color="auto"/>
            <w:left w:val="none" w:sz="0" w:space="0" w:color="auto"/>
            <w:bottom w:val="none" w:sz="0" w:space="0" w:color="auto"/>
            <w:right w:val="none" w:sz="0" w:space="0" w:color="auto"/>
          </w:divBdr>
        </w:div>
        <w:div w:id="123816470">
          <w:marLeft w:val="0"/>
          <w:marRight w:val="0"/>
          <w:marTop w:val="0"/>
          <w:marBottom w:val="0"/>
          <w:divBdr>
            <w:top w:val="none" w:sz="0" w:space="0" w:color="auto"/>
            <w:left w:val="none" w:sz="0" w:space="0" w:color="auto"/>
            <w:bottom w:val="none" w:sz="0" w:space="0" w:color="auto"/>
            <w:right w:val="none" w:sz="0" w:space="0" w:color="auto"/>
          </w:divBdr>
        </w:div>
        <w:div w:id="1556622260">
          <w:marLeft w:val="0"/>
          <w:marRight w:val="0"/>
          <w:marTop w:val="0"/>
          <w:marBottom w:val="0"/>
          <w:divBdr>
            <w:top w:val="none" w:sz="0" w:space="0" w:color="auto"/>
            <w:left w:val="none" w:sz="0" w:space="0" w:color="auto"/>
            <w:bottom w:val="none" w:sz="0" w:space="0" w:color="auto"/>
            <w:right w:val="none" w:sz="0" w:space="0" w:color="auto"/>
          </w:divBdr>
        </w:div>
        <w:div w:id="576093835">
          <w:marLeft w:val="0"/>
          <w:marRight w:val="0"/>
          <w:marTop w:val="0"/>
          <w:marBottom w:val="0"/>
          <w:divBdr>
            <w:top w:val="none" w:sz="0" w:space="0" w:color="auto"/>
            <w:left w:val="none" w:sz="0" w:space="0" w:color="auto"/>
            <w:bottom w:val="none" w:sz="0" w:space="0" w:color="auto"/>
            <w:right w:val="none" w:sz="0" w:space="0" w:color="auto"/>
          </w:divBdr>
        </w:div>
        <w:div w:id="995182255">
          <w:marLeft w:val="0"/>
          <w:marRight w:val="0"/>
          <w:marTop w:val="0"/>
          <w:marBottom w:val="0"/>
          <w:divBdr>
            <w:top w:val="none" w:sz="0" w:space="0" w:color="auto"/>
            <w:left w:val="none" w:sz="0" w:space="0" w:color="auto"/>
            <w:bottom w:val="none" w:sz="0" w:space="0" w:color="auto"/>
            <w:right w:val="none" w:sz="0" w:space="0" w:color="auto"/>
          </w:divBdr>
        </w:div>
        <w:div w:id="1155561955">
          <w:marLeft w:val="0"/>
          <w:marRight w:val="0"/>
          <w:marTop w:val="0"/>
          <w:marBottom w:val="0"/>
          <w:divBdr>
            <w:top w:val="none" w:sz="0" w:space="0" w:color="auto"/>
            <w:left w:val="none" w:sz="0" w:space="0" w:color="auto"/>
            <w:bottom w:val="none" w:sz="0" w:space="0" w:color="auto"/>
            <w:right w:val="none" w:sz="0" w:space="0" w:color="auto"/>
          </w:divBdr>
        </w:div>
        <w:div w:id="935596447">
          <w:marLeft w:val="0"/>
          <w:marRight w:val="0"/>
          <w:marTop w:val="0"/>
          <w:marBottom w:val="0"/>
          <w:divBdr>
            <w:top w:val="none" w:sz="0" w:space="0" w:color="auto"/>
            <w:left w:val="none" w:sz="0" w:space="0" w:color="auto"/>
            <w:bottom w:val="none" w:sz="0" w:space="0" w:color="auto"/>
            <w:right w:val="none" w:sz="0" w:space="0" w:color="auto"/>
          </w:divBdr>
        </w:div>
        <w:div w:id="35392186">
          <w:marLeft w:val="0"/>
          <w:marRight w:val="0"/>
          <w:marTop w:val="0"/>
          <w:marBottom w:val="0"/>
          <w:divBdr>
            <w:top w:val="none" w:sz="0" w:space="0" w:color="auto"/>
            <w:left w:val="none" w:sz="0" w:space="0" w:color="auto"/>
            <w:bottom w:val="none" w:sz="0" w:space="0" w:color="auto"/>
            <w:right w:val="none" w:sz="0" w:space="0" w:color="auto"/>
          </w:divBdr>
        </w:div>
        <w:div w:id="241717696">
          <w:marLeft w:val="0"/>
          <w:marRight w:val="0"/>
          <w:marTop w:val="0"/>
          <w:marBottom w:val="0"/>
          <w:divBdr>
            <w:top w:val="none" w:sz="0" w:space="0" w:color="auto"/>
            <w:left w:val="none" w:sz="0" w:space="0" w:color="auto"/>
            <w:bottom w:val="none" w:sz="0" w:space="0" w:color="auto"/>
            <w:right w:val="none" w:sz="0" w:space="0" w:color="auto"/>
          </w:divBdr>
        </w:div>
        <w:div w:id="1294629910">
          <w:marLeft w:val="0"/>
          <w:marRight w:val="0"/>
          <w:marTop w:val="0"/>
          <w:marBottom w:val="0"/>
          <w:divBdr>
            <w:top w:val="none" w:sz="0" w:space="0" w:color="auto"/>
            <w:left w:val="none" w:sz="0" w:space="0" w:color="auto"/>
            <w:bottom w:val="none" w:sz="0" w:space="0" w:color="auto"/>
            <w:right w:val="none" w:sz="0" w:space="0" w:color="auto"/>
          </w:divBdr>
        </w:div>
        <w:div w:id="3172565">
          <w:marLeft w:val="0"/>
          <w:marRight w:val="0"/>
          <w:marTop w:val="0"/>
          <w:marBottom w:val="0"/>
          <w:divBdr>
            <w:top w:val="none" w:sz="0" w:space="0" w:color="auto"/>
            <w:left w:val="none" w:sz="0" w:space="0" w:color="auto"/>
            <w:bottom w:val="none" w:sz="0" w:space="0" w:color="auto"/>
            <w:right w:val="none" w:sz="0" w:space="0" w:color="auto"/>
          </w:divBdr>
        </w:div>
        <w:div w:id="1710688417">
          <w:marLeft w:val="0"/>
          <w:marRight w:val="0"/>
          <w:marTop w:val="0"/>
          <w:marBottom w:val="0"/>
          <w:divBdr>
            <w:top w:val="none" w:sz="0" w:space="0" w:color="auto"/>
            <w:left w:val="none" w:sz="0" w:space="0" w:color="auto"/>
            <w:bottom w:val="none" w:sz="0" w:space="0" w:color="auto"/>
            <w:right w:val="none" w:sz="0" w:space="0" w:color="auto"/>
          </w:divBdr>
        </w:div>
        <w:div w:id="187378263">
          <w:marLeft w:val="0"/>
          <w:marRight w:val="0"/>
          <w:marTop w:val="0"/>
          <w:marBottom w:val="0"/>
          <w:divBdr>
            <w:top w:val="none" w:sz="0" w:space="0" w:color="auto"/>
            <w:left w:val="none" w:sz="0" w:space="0" w:color="auto"/>
            <w:bottom w:val="none" w:sz="0" w:space="0" w:color="auto"/>
            <w:right w:val="none" w:sz="0" w:space="0" w:color="auto"/>
          </w:divBdr>
        </w:div>
        <w:div w:id="1621108932">
          <w:marLeft w:val="0"/>
          <w:marRight w:val="0"/>
          <w:marTop w:val="0"/>
          <w:marBottom w:val="0"/>
          <w:divBdr>
            <w:top w:val="none" w:sz="0" w:space="0" w:color="auto"/>
            <w:left w:val="none" w:sz="0" w:space="0" w:color="auto"/>
            <w:bottom w:val="none" w:sz="0" w:space="0" w:color="auto"/>
            <w:right w:val="none" w:sz="0" w:space="0" w:color="auto"/>
          </w:divBdr>
        </w:div>
        <w:div w:id="104464981">
          <w:marLeft w:val="0"/>
          <w:marRight w:val="0"/>
          <w:marTop w:val="0"/>
          <w:marBottom w:val="0"/>
          <w:divBdr>
            <w:top w:val="none" w:sz="0" w:space="0" w:color="auto"/>
            <w:left w:val="none" w:sz="0" w:space="0" w:color="auto"/>
            <w:bottom w:val="none" w:sz="0" w:space="0" w:color="auto"/>
            <w:right w:val="none" w:sz="0" w:space="0" w:color="auto"/>
          </w:divBdr>
        </w:div>
        <w:div w:id="2146577742">
          <w:marLeft w:val="0"/>
          <w:marRight w:val="0"/>
          <w:marTop w:val="0"/>
          <w:marBottom w:val="0"/>
          <w:divBdr>
            <w:top w:val="none" w:sz="0" w:space="0" w:color="auto"/>
            <w:left w:val="none" w:sz="0" w:space="0" w:color="auto"/>
            <w:bottom w:val="none" w:sz="0" w:space="0" w:color="auto"/>
            <w:right w:val="none" w:sz="0" w:space="0" w:color="auto"/>
          </w:divBdr>
        </w:div>
        <w:div w:id="301816994">
          <w:marLeft w:val="0"/>
          <w:marRight w:val="0"/>
          <w:marTop w:val="0"/>
          <w:marBottom w:val="0"/>
          <w:divBdr>
            <w:top w:val="none" w:sz="0" w:space="0" w:color="auto"/>
            <w:left w:val="none" w:sz="0" w:space="0" w:color="auto"/>
            <w:bottom w:val="none" w:sz="0" w:space="0" w:color="auto"/>
            <w:right w:val="none" w:sz="0" w:space="0" w:color="auto"/>
          </w:divBdr>
        </w:div>
        <w:div w:id="1230312300">
          <w:marLeft w:val="0"/>
          <w:marRight w:val="0"/>
          <w:marTop w:val="0"/>
          <w:marBottom w:val="0"/>
          <w:divBdr>
            <w:top w:val="none" w:sz="0" w:space="0" w:color="auto"/>
            <w:left w:val="none" w:sz="0" w:space="0" w:color="auto"/>
            <w:bottom w:val="none" w:sz="0" w:space="0" w:color="auto"/>
            <w:right w:val="none" w:sz="0" w:space="0" w:color="auto"/>
          </w:divBdr>
        </w:div>
        <w:div w:id="875582924">
          <w:marLeft w:val="0"/>
          <w:marRight w:val="0"/>
          <w:marTop w:val="0"/>
          <w:marBottom w:val="0"/>
          <w:divBdr>
            <w:top w:val="none" w:sz="0" w:space="0" w:color="auto"/>
            <w:left w:val="none" w:sz="0" w:space="0" w:color="auto"/>
            <w:bottom w:val="none" w:sz="0" w:space="0" w:color="auto"/>
            <w:right w:val="none" w:sz="0" w:space="0" w:color="auto"/>
          </w:divBdr>
        </w:div>
        <w:div w:id="89400638">
          <w:marLeft w:val="0"/>
          <w:marRight w:val="0"/>
          <w:marTop w:val="0"/>
          <w:marBottom w:val="0"/>
          <w:divBdr>
            <w:top w:val="none" w:sz="0" w:space="0" w:color="auto"/>
            <w:left w:val="none" w:sz="0" w:space="0" w:color="auto"/>
            <w:bottom w:val="none" w:sz="0" w:space="0" w:color="auto"/>
            <w:right w:val="none" w:sz="0" w:space="0" w:color="auto"/>
          </w:divBdr>
        </w:div>
        <w:div w:id="1148790373">
          <w:marLeft w:val="0"/>
          <w:marRight w:val="0"/>
          <w:marTop w:val="0"/>
          <w:marBottom w:val="0"/>
          <w:divBdr>
            <w:top w:val="none" w:sz="0" w:space="0" w:color="auto"/>
            <w:left w:val="none" w:sz="0" w:space="0" w:color="auto"/>
            <w:bottom w:val="none" w:sz="0" w:space="0" w:color="auto"/>
            <w:right w:val="none" w:sz="0" w:space="0" w:color="auto"/>
          </w:divBdr>
        </w:div>
        <w:div w:id="340664237">
          <w:marLeft w:val="0"/>
          <w:marRight w:val="0"/>
          <w:marTop w:val="0"/>
          <w:marBottom w:val="0"/>
          <w:divBdr>
            <w:top w:val="none" w:sz="0" w:space="0" w:color="auto"/>
            <w:left w:val="none" w:sz="0" w:space="0" w:color="auto"/>
            <w:bottom w:val="none" w:sz="0" w:space="0" w:color="auto"/>
            <w:right w:val="none" w:sz="0" w:space="0" w:color="auto"/>
          </w:divBdr>
        </w:div>
        <w:div w:id="1255437692">
          <w:marLeft w:val="0"/>
          <w:marRight w:val="0"/>
          <w:marTop w:val="0"/>
          <w:marBottom w:val="0"/>
          <w:divBdr>
            <w:top w:val="none" w:sz="0" w:space="0" w:color="auto"/>
            <w:left w:val="none" w:sz="0" w:space="0" w:color="auto"/>
            <w:bottom w:val="none" w:sz="0" w:space="0" w:color="auto"/>
            <w:right w:val="none" w:sz="0" w:space="0" w:color="auto"/>
          </w:divBdr>
        </w:div>
      </w:divsChild>
    </w:div>
    <w:div w:id="1297758717">
      <w:bodyDiv w:val="1"/>
      <w:marLeft w:val="0"/>
      <w:marRight w:val="0"/>
      <w:marTop w:val="0"/>
      <w:marBottom w:val="0"/>
      <w:divBdr>
        <w:top w:val="none" w:sz="0" w:space="0" w:color="auto"/>
        <w:left w:val="none" w:sz="0" w:space="0" w:color="auto"/>
        <w:bottom w:val="none" w:sz="0" w:space="0" w:color="auto"/>
        <w:right w:val="none" w:sz="0" w:space="0" w:color="auto"/>
      </w:divBdr>
      <w:divsChild>
        <w:div w:id="1657953143">
          <w:marLeft w:val="0"/>
          <w:marRight w:val="0"/>
          <w:marTop w:val="0"/>
          <w:marBottom w:val="0"/>
          <w:divBdr>
            <w:top w:val="none" w:sz="0" w:space="0" w:color="auto"/>
            <w:left w:val="none" w:sz="0" w:space="0" w:color="auto"/>
            <w:bottom w:val="none" w:sz="0" w:space="0" w:color="auto"/>
            <w:right w:val="none" w:sz="0" w:space="0" w:color="auto"/>
          </w:divBdr>
        </w:div>
        <w:div w:id="1998804858">
          <w:marLeft w:val="0"/>
          <w:marRight w:val="0"/>
          <w:marTop w:val="0"/>
          <w:marBottom w:val="0"/>
          <w:divBdr>
            <w:top w:val="none" w:sz="0" w:space="0" w:color="auto"/>
            <w:left w:val="none" w:sz="0" w:space="0" w:color="auto"/>
            <w:bottom w:val="none" w:sz="0" w:space="0" w:color="auto"/>
            <w:right w:val="none" w:sz="0" w:space="0" w:color="auto"/>
          </w:divBdr>
        </w:div>
        <w:div w:id="253708506">
          <w:marLeft w:val="0"/>
          <w:marRight w:val="0"/>
          <w:marTop w:val="0"/>
          <w:marBottom w:val="0"/>
          <w:divBdr>
            <w:top w:val="none" w:sz="0" w:space="0" w:color="auto"/>
            <w:left w:val="none" w:sz="0" w:space="0" w:color="auto"/>
            <w:bottom w:val="none" w:sz="0" w:space="0" w:color="auto"/>
            <w:right w:val="none" w:sz="0" w:space="0" w:color="auto"/>
          </w:divBdr>
        </w:div>
        <w:div w:id="2059278198">
          <w:marLeft w:val="0"/>
          <w:marRight w:val="0"/>
          <w:marTop w:val="0"/>
          <w:marBottom w:val="0"/>
          <w:divBdr>
            <w:top w:val="none" w:sz="0" w:space="0" w:color="auto"/>
            <w:left w:val="none" w:sz="0" w:space="0" w:color="auto"/>
            <w:bottom w:val="none" w:sz="0" w:space="0" w:color="auto"/>
            <w:right w:val="none" w:sz="0" w:space="0" w:color="auto"/>
          </w:divBdr>
        </w:div>
        <w:div w:id="253787777">
          <w:marLeft w:val="0"/>
          <w:marRight w:val="0"/>
          <w:marTop w:val="0"/>
          <w:marBottom w:val="0"/>
          <w:divBdr>
            <w:top w:val="none" w:sz="0" w:space="0" w:color="auto"/>
            <w:left w:val="none" w:sz="0" w:space="0" w:color="auto"/>
            <w:bottom w:val="none" w:sz="0" w:space="0" w:color="auto"/>
            <w:right w:val="none" w:sz="0" w:space="0" w:color="auto"/>
          </w:divBdr>
        </w:div>
        <w:div w:id="1087116797">
          <w:marLeft w:val="0"/>
          <w:marRight w:val="0"/>
          <w:marTop w:val="0"/>
          <w:marBottom w:val="0"/>
          <w:divBdr>
            <w:top w:val="none" w:sz="0" w:space="0" w:color="auto"/>
            <w:left w:val="none" w:sz="0" w:space="0" w:color="auto"/>
            <w:bottom w:val="none" w:sz="0" w:space="0" w:color="auto"/>
            <w:right w:val="none" w:sz="0" w:space="0" w:color="auto"/>
          </w:divBdr>
        </w:div>
        <w:div w:id="574631898">
          <w:marLeft w:val="0"/>
          <w:marRight w:val="0"/>
          <w:marTop w:val="0"/>
          <w:marBottom w:val="0"/>
          <w:divBdr>
            <w:top w:val="none" w:sz="0" w:space="0" w:color="auto"/>
            <w:left w:val="none" w:sz="0" w:space="0" w:color="auto"/>
            <w:bottom w:val="none" w:sz="0" w:space="0" w:color="auto"/>
            <w:right w:val="none" w:sz="0" w:space="0" w:color="auto"/>
          </w:divBdr>
        </w:div>
        <w:div w:id="1229535425">
          <w:marLeft w:val="0"/>
          <w:marRight w:val="0"/>
          <w:marTop w:val="0"/>
          <w:marBottom w:val="0"/>
          <w:divBdr>
            <w:top w:val="none" w:sz="0" w:space="0" w:color="auto"/>
            <w:left w:val="none" w:sz="0" w:space="0" w:color="auto"/>
            <w:bottom w:val="none" w:sz="0" w:space="0" w:color="auto"/>
            <w:right w:val="none" w:sz="0" w:space="0" w:color="auto"/>
          </w:divBdr>
        </w:div>
        <w:div w:id="1497961205">
          <w:marLeft w:val="0"/>
          <w:marRight w:val="0"/>
          <w:marTop w:val="0"/>
          <w:marBottom w:val="0"/>
          <w:divBdr>
            <w:top w:val="none" w:sz="0" w:space="0" w:color="auto"/>
            <w:left w:val="none" w:sz="0" w:space="0" w:color="auto"/>
            <w:bottom w:val="none" w:sz="0" w:space="0" w:color="auto"/>
            <w:right w:val="none" w:sz="0" w:space="0" w:color="auto"/>
          </w:divBdr>
        </w:div>
        <w:div w:id="1122185662">
          <w:marLeft w:val="0"/>
          <w:marRight w:val="0"/>
          <w:marTop w:val="0"/>
          <w:marBottom w:val="0"/>
          <w:divBdr>
            <w:top w:val="none" w:sz="0" w:space="0" w:color="auto"/>
            <w:left w:val="none" w:sz="0" w:space="0" w:color="auto"/>
            <w:bottom w:val="none" w:sz="0" w:space="0" w:color="auto"/>
            <w:right w:val="none" w:sz="0" w:space="0" w:color="auto"/>
          </w:divBdr>
        </w:div>
        <w:div w:id="1780290956">
          <w:marLeft w:val="0"/>
          <w:marRight w:val="0"/>
          <w:marTop w:val="0"/>
          <w:marBottom w:val="0"/>
          <w:divBdr>
            <w:top w:val="none" w:sz="0" w:space="0" w:color="auto"/>
            <w:left w:val="none" w:sz="0" w:space="0" w:color="auto"/>
            <w:bottom w:val="none" w:sz="0" w:space="0" w:color="auto"/>
            <w:right w:val="none" w:sz="0" w:space="0" w:color="auto"/>
          </w:divBdr>
        </w:div>
        <w:div w:id="983436883">
          <w:marLeft w:val="0"/>
          <w:marRight w:val="0"/>
          <w:marTop w:val="0"/>
          <w:marBottom w:val="0"/>
          <w:divBdr>
            <w:top w:val="none" w:sz="0" w:space="0" w:color="auto"/>
            <w:left w:val="none" w:sz="0" w:space="0" w:color="auto"/>
            <w:bottom w:val="none" w:sz="0" w:space="0" w:color="auto"/>
            <w:right w:val="none" w:sz="0" w:space="0" w:color="auto"/>
          </w:divBdr>
        </w:div>
        <w:div w:id="514878181">
          <w:marLeft w:val="0"/>
          <w:marRight w:val="0"/>
          <w:marTop w:val="0"/>
          <w:marBottom w:val="0"/>
          <w:divBdr>
            <w:top w:val="none" w:sz="0" w:space="0" w:color="auto"/>
            <w:left w:val="none" w:sz="0" w:space="0" w:color="auto"/>
            <w:bottom w:val="none" w:sz="0" w:space="0" w:color="auto"/>
            <w:right w:val="none" w:sz="0" w:space="0" w:color="auto"/>
          </w:divBdr>
        </w:div>
        <w:div w:id="1902986352">
          <w:marLeft w:val="0"/>
          <w:marRight w:val="0"/>
          <w:marTop w:val="0"/>
          <w:marBottom w:val="0"/>
          <w:divBdr>
            <w:top w:val="none" w:sz="0" w:space="0" w:color="auto"/>
            <w:left w:val="none" w:sz="0" w:space="0" w:color="auto"/>
            <w:bottom w:val="none" w:sz="0" w:space="0" w:color="auto"/>
            <w:right w:val="none" w:sz="0" w:space="0" w:color="auto"/>
          </w:divBdr>
        </w:div>
        <w:div w:id="312949077">
          <w:marLeft w:val="0"/>
          <w:marRight w:val="0"/>
          <w:marTop w:val="0"/>
          <w:marBottom w:val="0"/>
          <w:divBdr>
            <w:top w:val="none" w:sz="0" w:space="0" w:color="auto"/>
            <w:left w:val="none" w:sz="0" w:space="0" w:color="auto"/>
            <w:bottom w:val="none" w:sz="0" w:space="0" w:color="auto"/>
            <w:right w:val="none" w:sz="0" w:space="0" w:color="auto"/>
          </w:divBdr>
        </w:div>
        <w:div w:id="53696953">
          <w:marLeft w:val="0"/>
          <w:marRight w:val="0"/>
          <w:marTop w:val="0"/>
          <w:marBottom w:val="0"/>
          <w:divBdr>
            <w:top w:val="none" w:sz="0" w:space="0" w:color="auto"/>
            <w:left w:val="none" w:sz="0" w:space="0" w:color="auto"/>
            <w:bottom w:val="none" w:sz="0" w:space="0" w:color="auto"/>
            <w:right w:val="none" w:sz="0" w:space="0" w:color="auto"/>
          </w:divBdr>
        </w:div>
        <w:div w:id="805241289">
          <w:marLeft w:val="0"/>
          <w:marRight w:val="0"/>
          <w:marTop w:val="0"/>
          <w:marBottom w:val="0"/>
          <w:divBdr>
            <w:top w:val="none" w:sz="0" w:space="0" w:color="auto"/>
            <w:left w:val="none" w:sz="0" w:space="0" w:color="auto"/>
            <w:bottom w:val="none" w:sz="0" w:space="0" w:color="auto"/>
            <w:right w:val="none" w:sz="0" w:space="0" w:color="auto"/>
          </w:divBdr>
        </w:div>
        <w:div w:id="1924220725">
          <w:marLeft w:val="0"/>
          <w:marRight w:val="0"/>
          <w:marTop w:val="0"/>
          <w:marBottom w:val="0"/>
          <w:divBdr>
            <w:top w:val="none" w:sz="0" w:space="0" w:color="auto"/>
            <w:left w:val="none" w:sz="0" w:space="0" w:color="auto"/>
            <w:bottom w:val="none" w:sz="0" w:space="0" w:color="auto"/>
            <w:right w:val="none" w:sz="0" w:space="0" w:color="auto"/>
          </w:divBdr>
        </w:div>
        <w:div w:id="1457796495">
          <w:marLeft w:val="0"/>
          <w:marRight w:val="0"/>
          <w:marTop w:val="0"/>
          <w:marBottom w:val="0"/>
          <w:divBdr>
            <w:top w:val="none" w:sz="0" w:space="0" w:color="auto"/>
            <w:left w:val="none" w:sz="0" w:space="0" w:color="auto"/>
            <w:bottom w:val="none" w:sz="0" w:space="0" w:color="auto"/>
            <w:right w:val="none" w:sz="0" w:space="0" w:color="auto"/>
          </w:divBdr>
        </w:div>
        <w:div w:id="973293171">
          <w:marLeft w:val="0"/>
          <w:marRight w:val="0"/>
          <w:marTop w:val="0"/>
          <w:marBottom w:val="0"/>
          <w:divBdr>
            <w:top w:val="none" w:sz="0" w:space="0" w:color="auto"/>
            <w:left w:val="none" w:sz="0" w:space="0" w:color="auto"/>
            <w:bottom w:val="none" w:sz="0" w:space="0" w:color="auto"/>
            <w:right w:val="none" w:sz="0" w:space="0" w:color="auto"/>
          </w:divBdr>
        </w:div>
        <w:div w:id="1404521116">
          <w:marLeft w:val="0"/>
          <w:marRight w:val="0"/>
          <w:marTop w:val="0"/>
          <w:marBottom w:val="0"/>
          <w:divBdr>
            <w:top w:val="none" w:sz="0" w:space="0" w:color="auto"/>
            <w:left w:val="none" w:sz="0" w:space="0" w:color="auto"/>
            <w:bottom w:val="none" w:sz="0" w:space="0" w:color="auto"/>
            <w:right w:val="none" w:sz="0" w:space="0" w:color="auto"/>
          </w:divBdr>
        </w:div>
        <w:div w:id="1785685059">
          <w:marLeft w:val="0"/>
          <w:marRight w:val="0"/>
          <w:marTop w:val="0"/>
          <w:marBottom w:val="0"/>
          <w:divBdr>
            <w:top w:val="none" w:sz="0" w:space="0" w:color="auto"/>
            <w:left w:val="none" w:sz="0" w:space="0" w:color="auto"/>
            <w:bottom w:val="none" w:sz="0" w:space="0" w:color="auto"/>
            <w:right w:val="none" w:sz="0" w:space="0" w:color="auto"/>
          </w:divBdr>
        </w:div>
        <w:div w:id="2078085305">
          <w:marLeft w:val="0"/>
          <w:marRight w:val="0"/>
          <w:marTop w:val="0"/>
          <w:marBottom w:val="0"/>
          <w:divBdr>
            <w:top w:val="none" w:sz="0" w:space="0" w:color="auto"/>
            <w:left w:val="none" w:sz="0" w:space="0" w:color="auto"/>
            <w:bottom w:val="none" w:sz="0" w:space="0" w:color="auto"/>
            <w:right w:val="none" w:sz="0" w:space="0" w:color="auto"/>
          </w:divBdr>
        </w:div>
        <w:div w:id="280647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ther-support-for-disadvantaged-pupils-heres-what-you-need-to-know/"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ducationhub.blog.gov.uk/2022/05/31/free-school-meals-and-other-support-for-disadvantaged-pupils-heres-what-you-need-to-know/"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ylocalschool.gov.wales/School/6704032?lang=en"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hwb.gov.wales/api/storage/19bc948b-8a3f-41e0-944a-%097bf2cadf7d18/professional-standards-for-teaching-and-leadership-interactive-pdf-%09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20</Pages>
  <Words>5004</Words>
  <Characters>28523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Pridmore</dc:creator>
  <cp:keywords/>
  <dc:description/>
  <cp:lastModifiedBy>Sophie Pridmore</cp:lastModifiedBy>
  <cp:revision>20</cp:revision>
  <dcterms:created xsi:type="dcterms:W3CDTF">2022-11-05T13:53:00Z</dcterms:created>
  <dcterms:modified xsi:type="dcterms:W3CDTF">2022-11-06T17:40:00Z</dcterms:modified>
</cp:coreProperties>
</file>