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5FDCE" w14:textId="77777777" w:rsidR="00672623" w:rsidRPr="001701E6" w:rsidRDefault="00672623" w:rsidP="001701E6">
      <w:pPr>
        <w:spacing w:line="360" w:lineRule="auto"/>
        <w:rPr>
          <w:rFonts w:ascii="Arial" w:hAnsi="Arial" w:cs="Arial"/>
          <w:lang w:val="en-US"/>
        </w:rPr>
      </w:pPr>
    </w:p>
    <w:p w14:paraId="0EAA9570" w14:textId="35D0F3CE" w:rsidR="00FE136E" w:rsidRPr="001701E6" w:rsidRDefault="00FE136E" w:rsidP="001701E6">
      <w:pPr>
        <w:spacing w:line="360" w:lineRule="auto"/>
        <w:rPr>
          <w:rFonts w:ascii="Arial" w:hAnsi="Arial" w:cs="Arial"/>
          <w:lang w:val="en-US"/>
        </w:rPr>
      </w:pPr>
      <w:r w:rsidRPr="001701E6">
        <w:rPr>
          <w:rFonts w:ascii="Arial" w:hAnsi="Arial" w:cs="Arial"/>
          <w:noProof/>
        </w:rPr>
        <w:drawing>
          <wp:inline distT="0" distB="0" distL="0" distR="0" wp14:anchorId="7947C14E" wp14:editId="50CFD422">
            <wp:extent cx="1813560" cy="723900"/>
            <wp:effectExtent l="0" t="0" r="0" b="0"/>
            <wp:docPr id="1231046590"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p w14:paraId="41339765" w14:textId="77777777" w:rsidR="00FE136E" w:rsidRPr="001701E6" w:rsidRDefault="00FE136E" w:rsidP="001701E6">
      <w:pPr>
        <w:spacing w:line="360" w:lineRule="auto"/>
        <w:jc w:val="center"/>
        <w:rPr>
          <w:rFonts w:ascii="Arial" w:hAnsi="Arial" w:cs="Arial"/>
          <w:b/>
          <w:bCs/>
        </w:rPr>
      </w:pPr>
      <w:r w:rsidRPr="001701E6">
        <w:rPr>
          <w:rFonts w:ascii="Arial" w:hAnsi="Arial" w:cs="Arial"/>
          <w:b/>
          <w:bCs/>
        </w:rPr>
        <w:t>Programme: Master of Business Administration</w:t>
      </w:r>
    </w:p>
    <w:p w14:paraId="7343CFE3" w14:textId="77777777" w:rsidR="00FE136E" w:rsidRPr="001701E6" w:rsidRDefault="00FE136E" w:rsidP="001701E6">
      <w:pPr>
        <w:spacing w:line="360" w:lineRule="auto"/>
        <w:jc w:val="center"/>
        <w:rPr>
          <w:rFonts w:ascii="Arial" w:hAnsi="Arial" w:cs="Arial"/>
          <w:b/>
          <w:bCs/>
        </w:rPr>
      </w:pPr>
      <w:r w:rsidRPr="001701E6">
        <w:rPr>
          <w:rFonts w:ascii="Arial" w:hAnsi="Arial" w:cs="Arial"/>
          <w:b/>
          <w:bCs/>
        </w:rPr>
        <w:t>Module: Marketing Management</w:t>
      </w:r>
    </w:p>
    <w:p w14:paraId="0B8B1B46" w14:textId="77777777" w:rsidR="00FE136E" w:rsidRPr="001701E6" w:rsidRDefault="00FE136E" w:rsidP="001701E6">
      <w:pPr>
        <w:spacing w:line="360" w:lineRule="auto"/>
        <w:jc w:val="center"/>
        <w:rPr>
          <w:rFonts w:ascii="Arial" w:hAnsi="Arial" w:cs="Arial"/>
          <w:b/>
          <w:bCs/>
        </w:rPr>
      </w:pPr>
      <w:r w:rsidRPr="001701E6">
        <w:rPr>
          <w:rFonts w:ascii="Arial" w:hAnsi="Arial" w:cs="Arial"/>
          <w:b/>
          <w:bCs/>
        </w:rPr>
        <w:t>Module Code: LCMB7024</w:t>
      </w:r>
    </w:p>
    <w:p w14:paraId="72A1FDCE" w14:textId="77777777" w:rsidR="00FE136E" w:rsidRPr="001701E6" w:rsidRDefault="00FE136E" w:rsidP="001701E6">
      <w:pPr>
        <w:spacing w:line="360" w:lineRule="auto"/>
        <w:jc w:val="center"/>
        <w:rPr>
          <w:rFonts w:ascii="Arial" w:hAnsi="Arial" w:cs="Arial"/>
          <w:b/>
          <w:bCs/>
        </w:rPr>
      </w:pPr>
      <w:r w:rsidRPr="001701E6">
        <w:rPr>
          <w:rFonts w:ascii="Arial" w:hAnsi="Arial" w:cs="Arial"/>
          <w:b/>
          <w:bCs/>
        </w:rPr>
        <w:t>Assignment Title: Marketing Environment Analysis</w:t>
      </w:r>
    </w:p>
    <w:p w14:paraId="4B92BC93" w14:textId="77777777" w:rsidR="00FE136E" w:rsidRPr="001701E6" w:rsidRDefault="00FE136E" w:rsidP="001701E6">
      <w:pPr>
        <w:spacing w:line="360" w:lineRule="auto"/>
        <w:jc w:val="center"/>
        <w:rPr>
          <w:rFonts w:ascii="Arial" w:hAnsi="Arial" w:cs="Arial"/>
          <w:b/>
          <w:bCs/>
        </w:rPr>
      </w:pPr>
      <w:r w:rsidRPr="001701E6">
        <w:rPr>
          <w:rFonts w:ascii="Arial" w:hAnsi="Arial" w:cs="Arial"/>
          <w:b/>
          <w:bCs/>
        </w:rPr>
        <w:t xml:space="preserve">Lecturer: Laila Maazouz, Taonga Kaonga, </w:t>
      </w:r>
      <w:proofErr w:type="spellStart"/>
      <w:r w:rsidRPr="001701E6">
        <w:rPr>
          <w:rFonts w:ascii="Arial" w:hAnsi="Arial" w:cs="Arial"/>
          <w:b/>
          <w:bCs/>
        </w:rPr>
        <w:t>Sobere-Snithers</w:t>
      </w:r>
      <w:proofErr w:type="spellEnd"/>
    </w:p>
    <w:p w14:paraId="57592D3E" w14:textId="77777777" w:rsidR="00FE136E" w:rsidRPr="001701E6" w:rsidRDefault="00FE136E" w:rsidP="001701E6">
      <w:pPr>
        <w:spacing w:line="360" w:lineRule="auto"/>
        <w:jc w:val="center"/>
        <w:rPr>
          <w:rFonts w:ascii="Arial" w:hAnsi="Arial" w:cs="Arial"/>
          <w:b/>
          <w:bCs/>
        </w:rPr>
      </w:pPr>
    </w:p>
    <w:p w14:paraId="13297533" w14:textId="56D562AC" w:rsidR="00FE136E" w:rsidRPr="001701E6" w:rsidRDefault="00FE136E" w:rsidP="001701E6">
      <w:pPr>
        <w:spacing w:line="360" w:lineRule="auto"/>
        <w:jc w:val="center"/>
        <w:rPr>
          <w:rFonts w:ascii="Arial" w:hAnsi="Arial" w:cs="Arial"/>
          <w:b/>
          <w:bCs/>
        </w:rPr>
      </w:pPr>
      <w:r w:rsidRPr="001701E6">
        <w:rPr>
          <w:rFonts w:ascii="Arial" w:hAnsi="Arial" w:cs="Arial"/>
          <w:b/>
          <w:bCs/>
        </w:rPr>
        <w:t xml:space="preserve">Chosen Company: </w:t>
      </w:r>
      <w:r w:rsidRPr="001701E6">
        <w:rPr>
          <w:rFonts w:ascii="Arial" w:hAnsi="Arial" w:cs="Arial"/>
          <w:b/>
          <w:bCs/>
        </w:rPr>
        <w:t>Tata Steel</w:t>
      </w:r>
    </w:p>
    <w:p w14:paraId="3881D88E" w14:textId="77777777" w:rsidR="00FE136E" w:rsidRPr="001701E6" w:rsidRDefault="00FE136E" w:rsidP="001701E6">
      <w:pPr>
        <w:spacing w:line="360" w:lineRule="auto"/>
        <w:jc w:val="center"/>
        <w:rPr>
          <w:rFonts w:ascii="Arial" w:hAnsi="Arial" w:cs="Arial"/>
          <w:b/>
          <w:bCs/>
        </w:rPr>
      </w:pPr>
      <w:r w:rsidRPr="001701E6">
        <w:rPr>
          <w:rFonts w:ascii="Arial" w:hAnsi="Arial" w:cs="Arial"/>
          <w:b/>
          <w:bCs/>
        </w:rPr>
        <w:t>Word Count:</w:t>
      </w:r>
    </w:p>
    <w:p w14:paraId="685D8DCF" w14:textId="77777777" w:rsidR="00FE136E" w:rsidRPr="001701E6" w:rsidRDefault="00FE136E" w:rsidP="001701E6">
      <w:pPr>
        <w:spacing w:line="360" w:lineRule="auto"/>
        <w:jc w:val="center"/>
        <w:rPr>
          <w:rFonts w:ascii="Arial" w:hAnsi="Arial" w:cs="Arial"/>
          <w:b/>
          <w:bCs/>
        </w:rPr>
      </w:pPr>
      <w:r w:rsidRPr="001701E6">
        <w:rPr>
          <w:rFonts w:ascii="Arial" w:hAnsi="Arial" w:cs="Arial"/>
          <w:b/>
          <w:bCs/>
        </w:rPr>
        <w:t>Submission Date:</w:t>
      </w:r>
    </w:p>
    <w:p w14:paraId="68163050" w14:textId="77777777" w:rsidR="00FE136E" w:rsidRDefault="00FE136E" w:rsidP="001701E6">
      <w:pPr>
        <w:spacing w:line="360" w:lineRule="auto"/>
        <w:jc w:val="center"/>
        <w:rPr>
          <w:rFonts w:ascii="Arial" w:hAnsi="Arial" w:cs="Arial"/>
          <w:b/>
          <w:bCs/>
        </w:rPr>
      </w:pPr>
    </w:p>
    <w:p w14:paraId="00477620" w14:textId="77777777" w:rsidR="001701E6" w:rsidRDefault="001701E6" w:rsidP="001701E6">
      <w:pPr>
        <w:spacing w:line="360" w:lineRule="auto"/>
        <w:jc w:val="center"/>
        <w:rPr>
          <w:rFonts w:ascii="Arial" w:hAnsi="Arial" w:cs="Arial"/>
          <w:b/>
          <w:bCs/>
        </w:rPr>
      </w:pPr>
    </w:p>
    <w:p w14:paraId="0A2F8646" w14:textId="77777777" w:rsidR="001701E6" w:rsidRPr="001701E6" w:rsidRDefault="001701E6" w:rsidP="001701E6">
      <w:pPr>
        <w:spacing w:line="360" w:lineRule="auto"/>
        <w:jc w:val="center"/>
        <w:rPr>
          <w:rFonts w:ascii="Arial" w:hAnsi="Arial" w:cs="Arial"/>
          <w:b/>
          <w:bCs/>
        </w:rPr>
      </w:pPr>
    </w:p>
    <w:p w14:paraId="36485F67" w14:textId="77777777" w:rsidR="00FE136E" w:rsidRPr="001701E6" w:rsidRDefault="00FE136E" w:rsidP="001701E6">
      <w:pPr>
        <w:spacing w:line="360" w:lineRule="auto"/>
        <w:rPr>
          <w:rFonts w:ascii="Arial" w:hAnsi="Arial" w:cs="Arial"/>
          <w:b/>
          <w:bCs/>
        </w:rPr>
      </w:pPr>
      <w:r w:rsidRPr="001701E6">
        <w:rPr>
          <w:rFonts w:ascii="Arial" w:hAnsi="Arial" w:cs="Arial"/>
          <w:b/>
          <w:bCs/>
        </w:rPr>
        <w:t>Student Name:</w:t>
      </w:r>
    </w:p>
    <w:p w14:paraId="1180D34E" w14:textId="77777777" w:rsidR="00FE136E" w:rsidRPr="001701E6" w:rsidRDefault="00FE136E" w:rsidP="001701E6">
      <w:pPr>
        <w:spacing w:line="360" w:lineRule="auto"/>
        <w:rPr>
          <w:rFonts w:ascii="Arial" w:hAnsi="Arial" w:cs="Arial"/>
          <w:b/>
          <w:bCs/>
        </w:rPr>
      </w:pPr>
      <w:r w:rsidRPr="001701E6">
        <w:rPr>
          <w:rFonts w:ascii="Arial" w:hAnsi="Arial" w:cs="Arial"/>
          <w:b/>
          <w:bCs/>
        </w:rPr>
        <w:t>Student ID:</w:t>
      </w:r>
    </w:p>
    <w:p w14:paraId="36BA90A7" w14:textId="5EBCDE57" w:rsidR="00FE136E" w:rsidRPr="001701E6" w:rsidRDefault="00FE136E" w:rsidP="001701E6">
      <w:pPr>
        <w:spacing w:line="360" w:lineRule="auto"/>
        <w:rPr>
          <w:rFonts w:ascii="Arial" w:hAnsi="Arial" w:cs="Arial"/>
          <w:lang w:val="en-US"/>
        </w:rPr>
      </w:pPr>
      <w:r w:rsidRPr="001701E6">
        <w:rPr>
          <w:rFonts w:ascii="Arial" w:hAnsi="Arial" w:cs="Arial"/>
          <w:lang w:val="en-US"/>
        </w:rPr>
        <w:br w:type="page"/>
      </w:r>
    </w:p>
    <w:sdt>
      <w:sdtPr>
        <w:rPr>
          <w:rFonts w:ascii="Arial" w:hAnsi="Arial" w:cs="Arial"/>
        </w:rPr>
        <w:id w:val="445117813"/>
        <w:docPartObj>
          <w:docPartGallery w:val="Table of Contents"/>
          <w:docPartUnique/>
        </w:docPartObj>
      </w:sdtPr>
      <w:sdtEndPr>
        <w:rPr>
          <w:rFonts w:eastAsiaTheme="minorHAnsi"/>
          <w:bCs/>
          <w:noProof/>
          <w:kern w:val="2"/>
          <w:sz w:val="24"/>
          <w:szCs w:val="24"/>
          <w:lang w:val="en-IN"/>
          <w14:ligatures w14:val="standardContextual"/>
        </w:rPr>
      </w:sdtEndPr>
      <w:sdtContent>
        <w:p w14:paraId="1F3892B9" w14:textId="78631C5B" w:rsidR="001701E6" w:rsidRPr="001701E6" w:rsidRDefault="001701E6">
          <w:pPr>
            <w:pStyle w:val="TOCHeading"/>
            <w:rPr>
              <w:rFonts w:ascii="Arial" w:hAnsi="Arial" w:cs="Arial"/>
            </w:rPr>
          </w:pPr>
          <w:r w:rsidRPr="001701E6">
            <w:rPr>
              <w:rFonts w:ascii="Arial" w:hAnsi="Arial" w:cs="Arial"/>
            </w:rPr>
            <w:t>Table of Contents</w:t>
          </w:r>
        </w:p>
        <w:p w14:paraId="741BBC2D" w14:textId="2D78CE11" w:rsidR="001701E6" w:rsidRPr="001701E6" w:rsidRDefault="001701E6">
          <w:pPr>
            <w:pStyle w:val="TOC1"/>
            <w:tabs>
              <w:tab w:val="right" w:leader="dot" w:pos="9016"/>
            </w:tabs>
            <w:rPr>
              <w:rFonts w:ascii="Arial" w:eastAsiaTheme="minorEastAsia" w:hAnsi="Arial" w:cs="Arial"/>
              <w:noProof/>
              <w:lang w:eastAsia="en-IN"/>
            </w:rPr>
          </w:pPr>
          <w:r w:rsidRPr="001701E6">
            <w:rPr>
              <w:rFonts w:ascii="Arial" w:hAnsi="Arial" w:cs="Arial"/>
            </w:rPr>
            <w:fldChar w:fldCharType="begin"/>
          </w:r>
          <w:r w:rsidRPr="001701E6">
            <w:rPr>
              <w:rFonts w:ascii="Arial" w:hAnsi="Arial" w:cs="Arial"/>
            </w:rPr>
            <w:instrText xml:space="preserve"> TOC \o "1-3" \h \z \u </w:instrText>
          </w:r>
          <w:r w:rsidRPr="001701E6">
            <w:rPr>
              <w:rFonts w:ascii="Arial" w:hAnsi="Arial" w:cs="Arial"/>
            </w:rPr>
            <w:fldChar w:fldCharType="separate"/>
          </w:r>
          <w:hyperlink w:anchor="_Toc233236544" w:history="1">
            <w:r w:rsidRPr="001701E6">
              <w:rPr>
                <w:rStyle w:val="Hyperlink"/>
                <w:rFonts w:ascii="Arial" w:hAnsi="Arial" w:cs="Arial"/>
                <w:noProof/>
              </w:rPr>
              <w:t>Task 1: Marketing Environment Analysis---Tata Steel</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_Toc233236544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3</w:t>
            </w:r>
            <w:r w:rsidRPr="001701E6">
              <w:rPr>
                <w:rFonts w:ascii="Arial" w:hAnsi="Arial" w:cs="Arial"/>
                <w:noProof/>
                <w:webHidden/>
              </w:rPr>
              <w:fldChar w:fldCharType="end"/>
            </w:r>
          </w:hyperlink>
        </w:p>
        <w:p w14:paraId="670F065A" w14:textId="4B329FBC" w:rsidR="001701E6" w:rsidRPr="001701E6" w:rsidRDefault="001701E6">
          <w:pPr>
            <w:pStyle w:val="TOC2"/>
            <w:tabs>
              <w:tab w:val="right" w:leader="dot" w:pos="9016"/>
            </w:tabs>
            <w:rPr>
              <w:rFonts w:ascii="Arial" w:eastAsiaTheme="minorEastAsia" w:hAnsi="Arial" w:cs="Arial"/>
              <w:noProof/>
              <w:lang w:eastAsia="en-IN"/>
            </w:rPr>
          </w:pPr>
          <w:hyperlink w:anchor="_Toc233236545" w:history="1">
            <w:r w:rsidRPr="001701E6">
              <w:rPr>
                <w:rStyle w:val="Hyperlink"/>
                <w:rFonts w:ascii="Arial" w:hAnsi="Arial" w:cs="Arial"/>
                <w:noProof/>
              </w:rPr>
              <w:t>Introduction</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_Toc233236545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3</w:t>
            </w:r>
            <w:r w:rsidRPr="001701E6">
              <w:rPr>
                <w:rFonts w:ascii="Arial" w:hAnsi="Arial" w:cs="Arial"/>
                <w:noProof/>
                <w:webHidden/>
              </w:rPr>
              <w:fldChar w:fldCharType="end"/>
            </w:r>
          </w:hyperlink>
        </w:p>
        <w:p w14:paraId="46739C36" w14:textId="19612803" w:rsidR="001701E6" w:rsidRPr="001701E6" w:rsidRDefault="001701E6">
          <w:pPr>
            <w:pStyle w:val="TOC2"/>
            <w:tabs>
              <w:tab w:val="right" w:leader="dot" w:pos="9016"/>
            </w:tabs>
            <w:rPr>
              <w:rFonts w:ascii="Arial" w:eastAsiaTheme="minorEastAsia" w:hAnsi="Arial" w:cs="Arial"/>
              <w:noProof/>
              <w:lang w:eastAsia="en-IN"/>
            </w:rPr>
          </w:pPr>
          <w:hyperlink w:anchor="_Toc233236546" w:history="1">
            <w:r w:rsidRPr="001701E6">
              <w:rPr>
                <w:rStyle w:val="Hyperlink"/>
                <w:rFonts w:ascii="Arial" w:hAnsi="Arial" w:cs="Arial"/>
                <w:noProof/>
              </w:rPr>
              <w:t>The Primary Actor: The Natural Environment</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_Toc233236546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3</w:t>
            </w:r>
            <w:r w:rsidRPr="001701E6">
              <w:rPr>
                <w:rFonts w:ascii="Arial" w:hAnsi="Arial" w:cs="Arial"/>
                <w:noProof/>
                <w:webHidden/>
              </w:rPr>
              <w:fldChar w:fldCharType="end"/>
            </w:r>
          </w:hyperlink>
        </w:p>
        <w:p w14:paraId="5C3CA493" w14:textId="650423D3" w:rsidR="001701E6" w:rsidRPr="001701E6" w:rsidRDefault="001701E6">
          <w:pPr>
            <w:pStyle w:val="TOC3"/>
            <w:tabs>
              <w:tab w:val="right" w:leader="dot" w:pos="9016"/>
            </w:tabs>
            <w:rPr>
              <w:rFonts w:ascii="Arial" w:eastAsiaTheme="minorEastAsia" w:hAnsi="Arial" w:cs="Arial"/>
              <w:noProof/>
              <w:lang w:eastAsia="en-IN"/>
            </w:rPr>
          </w:pPr>
          <w:hyperlink w:anchor="_Toc233236547" w:history="1">
            <w:r w:rsidRPr="001701E6">
              <w:rPr>
                <w:rStyle w:val="Hyperlink"/>
                <w:rFonts w:ascii="Arial" w:hAnsi="Arial" w:cs="Arial"/>
                <w:noProof/>
              </w:rPr>
              <w:t>Resource Scarcity, Carbon Budgets, and Operational Metamorphoses</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_Toc233236547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3</w:t>
            </w:r>
            <w:r w:rsidRPr="001701E6">
              <w:rPr>
                <w:rFonts w:ascii="Arial" w:hAnsi="Arial" w:cs="Arial"/>
                <w:noProof/>
                <w:webHidden/>
              </w:rPr>
              <w:fldChar w:fldCharType="end"/>
            </w:r>
          </w:hyperlink>
        </w:p>
        <w:p w14:paraId="1D8276E4" w14:textId="12D6DC4A" w:rsidR="001701E6" w:rsidRPr="001701E6" w:rsidRDefault="001701E6">
          <w:pPr>
            <w:pStyle w:val="TOC3"/>
            <w:tabs>
              <w:tab w:val="right" w:leader="dot" w:pos="9016"/>
            </w:tabs>
            <w:rPr>
              <w:rFonts w:ascii="Arial" w:eastAsiaTheme="minorEastAsia" w:hAnsi="Arial" w:cs="Arial"/>
              <w:noProof/>
              <w:lang w:eastAsia="en-IN"/>
            </w:rPr>
          </w:pPr>
          <w:hyperlink w:anchor="_Toc233236548" w:history="1">
            <w:r w:rsidRPr="001701E6">
              <w:rPr>
                <w:rStyle w:val="Hyperlink"/>
                <w:rFonts w:ascii="Arial" w:hAnsi="Arial" w:cs="Arial"/>
                <w:noProof/>
              </w:rPr>
              <w:t>The Shift to Secondary and Circular Production Models</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_Toc233236548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4</w:t>
            </w:r>
            <w:r w:rsidRPr="001701E6">
              <w:rPr>
                <w:rFonts w:ascii="Arial" w:hAnsi="Arial" w:cs="Arial"/>
                <w:noProof/>
                <w:webHidden/>
              </w:rPr>
              <w:fldChar w:fldCharType="end"/>
            </w:r>
          </w:hyperlink>
        </w:p>
        <w:p w14:paraId="3117DA5A" w14:textId="09ABBB2B" w:rsidR="001701E6" w:rsidRPr="001701E6" w:rsidRDefault="001701E6">
          <w:pPr>
            <w:pStyle w:val="TOC3"/>
            <w:tabs>
              <w:tab w:val="right" w:leader="dot" w:pos="9016"/>
            </w:tabs>
            <w:rPr>
              <w:rFonts w:ascii="Arial" w:eastAsiaTheme="minorEastAsia" w:hAnsi="Arial" w:cs="Arial"/>
              <w:noProof/>
              <w:lang w:eastAsia="en-IN"/>
            </w:rPr>
          </w:pPr>
          <w:hyperlink w:anchor="_Toc233236549" w:history="1">
            <w:r w:rsidRPr="001701E6">
              <w:rPr>
                <w:rStyle w:val="Hyperlink"/>
                <w:rFonts w:ascii="Arial" w:hAnsi="Arial" w:cs="Arial"/>
                <w:noProof/>
              </w:rPr>
              <w:t>Green Insetting and the Commercialisation of “Green Steel”</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_Toc233236549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4</w:t>
            </w:r>
            <w:r w:rsidRPr="001701E6">
              <w:rPr>
                <w:rFonts w:ascii="Arial" w:hAnsi="Arial" w:cs="Arial"/>
                <w:noProof/>
                <w:webHidden/>
              </w:rPr>
              <w:fldChar w:fldCharType="end"/>
            </w:r>
          </w:hyperlink>
        </w:p>
        <w:p w14:paraId="7B207A25" w14:textId="2CB8A827" w:rsidR="001701E6" w:rsidRPr="001701E6" w:rsidRDefault="001701E6">
          <w:pPr>
            <w:pStyle w:val="TOC2"/>
            <w:tabs>
              <w:tab w:val="right" w:leader="dot" w:pos="9016"/>
            </w:tabs>
            <w:rPr>
              <w:rFonts w:ascii="Arial" w:eastAsiaTheme="minorEastAsia" w:hAnsi="Arial" w:cs="Arial"/>
              <w:noProof/>
              <w:lang w:eastAsia="en-IN"/>
            </w:rPr>
          </w:pPr>
          <w:hyperlink w:anchor="_Toc233236550" w:history="1">
            <w:r w:rsidRPr="001701E6">
              <w:rPr>
                <w:rStyle w:val="Hyperlink"/>
                <w:rFonts w:ascii="Arial" w:hAnsi="Arial" w:cs="Arial"/>
                <w:noProof/>
              </w:rPr>
              <w:t>The Secondary Factor: The Political and Legal Environment</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_Toc233236550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5</w:t>
            </w:r>
            <w:r w:rsidRPr="001701E6">
              <w:rPr>
                <w:rFonts w:ascii="Arial" w:hAnsi="Arial" w:cs="Arial"/>
                <w:noProof/>
                <w:webHidden/>
              </w:rPr>
              <w:fldChar w:fldCharType="end"/>
            </w:r>
          </w:hyperlink>
        </w:p>
        <w:p w14:paraId="27FADA46" w14:textId="00DD29AD" w:rsidR="001701E6" w:rsidRPr="001701E6" w:rsidRDefault="001701E6">
          <w:pPr>
            <w:pStyle w:val="TOC3"/>
            <w:tabs>
              <w:tab w:val="right" w:leader="dot" w:pos="9016"/>
            </w:tabs>
            <w:rPr>
              <w:rFonts w:ascii="Arial" w:eastAsiaTheme="minorEastAsia" w:hAnsi="Arial" w:cs="Arial"/>
              <w:noProof/>
              <w:lang w:eastAsia="en-IN"/>
            </w:rPr>
          </w:pPr>
          <w:hyperlink w:anchor="_Toc233236551" w:history="1">
            <w:r w:rsidRPr="001701E6">
              <w:rPr>
                <w:rStyle w:val="Hyperlink"/>
                <w:rFonts w:ascii="Arial" w:hAnsi="Arial" w:cs="Arial"/>
                <w:noProof/>
              </w:rPr>
              <w:t>Carbon Border Protections and Trade Defences</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_Toc233236551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5</w:t>
            </w:r>
            <w:r w:rsidRPr="001701E6">
              <w:rPr>
                <w:rFonts w:ascii="Arial" w:hAnsi="Arial" w:cs="Arial"/>
                <w:noProof/>
                <w:webHidden/>
              </w:rPr>
              <w:fldChar w:fldCharType="end"/>
            </w:r>
          </w:hyperlink>
        </w:p>
        <w:p w14:paraId="5D947A95" w14:textId="421BB82F" w:rsidR="001701E6" w:rsidRPr="001701E6" w:rsidRDefault="001701E6">
          <w:pPr>
            <w:pStyle w:val="TOC3"/>
            <w:tabs>
              <w:tab w:val="right" w:leader="dot" w:pos="9016"/>
            </w:tabs>
            <w:rPr>
              <w:rFonts w:ascii="Arial" w:eastAsiaTheme="minorEastAsia" w:hAnsi="Arial" w:cs="Arial"/>
              <w:noProof/>
              <w:lang w:eastAsia="en-IN"/>
            </w:rPr>
          </w:pPr>
          <w:hyperlink w:anchor="_Toc233236552" w:history="1">
            <w:r w:rsidRPr="001701E6">
              <w:rPr>
                <w:rStyle w:val="Hyperlink"/>
                <w:rFonts w:ascii="Arial" w:hAnsi="Arial" w:cs="Arial"/>
                <w:noProof/>
              </w:rPr>
              <w:t>Public Procurement Policies and Market Demand</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_Toc233236552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5</w:t>
            </w:r>
            <w:r w:rsidRPr="001701E6">
              <w:rPr>
                <w:rFonts w:ascii="Arial" w:hAnsi="Arial" w:cs="Arial"/>
                <w:noProof/>
                <w:webHidden/>
              </w:rPr>
              <w:fldChar w:fldCharType="end"/>
            </w:r>
          </w:hyperlink>
        </w:p>
        <w:p w14:paraId="242F8717" w14:textId="0CC60435" w:rsidR="001701E6" w:rsidRPr="001701E6" w:rsidRDefault="001701E6">
          <w:pPr>
            <w:pStyle w:val="TOC2"/>
            <w:tabs>
              <w:tab w:val="right" w:leader="dot" w:pos="9016"/>
            </w:tabs>
            <w:rPr>
              <w:rFonts w:ascii="Arial" w:eastAsiaTheme="minorEastAsia" w:hAnsi="Arial" w:cs="Arial"/>
              <w:noProof/>
              <w:lang w:eastAsia="en-IN"/>
            </w:rPr>
          </w:pPr>
          <w:hyperlink w:anchor="_Toc233236553" w:history="1">
            <w:r w:rsidRPr="001701E6">
              <w:rPr>
                <w:rStyle w:val="Hyperlink"/>
                <w:rFonts w:ascii="Arial" w:hAnsi="Arial" w:cs="Arial"/>
                <w:noProof/>
              </w:rPr>
              <w:t>Critical Evaluation of Factor Interactivity</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_Toc233236553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6</w:t>
            </w:r>
            <w:r w:rsidRPr="001701E6">
              <w:rPr>
                <w:rFonts w:ascii="Arial" w:hAnsi="Arial" w:cs="Arial"/>
                <w:noProof/>
                <w:webHidden/>
              </w:rPr>
              <w:fldChar w:fldCharType="end"/>
            </w:r>
          </w:hyperlink>
        </w:p>
        <w:p w14:paraId="4E5E327B" w14:textId="38141C98" w:rsidR="001701E6" w:rsidRPr="001701E6" w:rsidRDefault="001701E6">
          <w:pPr>
            <w:pStyle w:val="TOC1"/>
            <w:tabs>
              <w:tab w:val="right" w:leader="dot" w:pos="9016"/>
            </w:tabs>
            <w:rPr>
              <w:rFonts w:ascii="Arial" w:eastAsiaTheme="minorEastAsia" w:hAnsi="Arial" w:cs="Arial"/>
              <w:noProof/>
              <w:lang w:eastAsia="en-IN"/>
            </w:rPr>
          </w:pPr>
          <w:hyperlink w:anchor="_Toc233236554" w:history="1">
            <w:r w:rsidRPr="001701E6">
              <w:rPr>
                <w:rStyle w:val="Hyperlink"/>
                <w:rFonts w:ascii="Arial" w:hAnsi="Arial" w:cs="Arial"/>
                <w:noProof/>
              </w:rPr>
              <w:t>Task 2: Strategic Growth and Competitive Positioning- Tata Steel</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_Toc233236554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6</w:t>
            </w:r>
            <w:r w:rsidRPr="001701E6">
              <w:rPr>
                <w:rFonts w:ascii="Arial" w:hAnsi="Arial" w:cs="Arial"/>
                <w:noProof/>
                <w:webHidden/>
              </w:rPr>
              <w:fldChar w:fldCharType="end"/>
            </w:r>
          </w:hyperlink>
        </w:p>
        <w:p w14:paraId="0EC36A35" w14:textId="067EDD10" w:rsidR="001701E6" w:rsidRPr="001701E6" w:rsidRDefault="001701E6">
          <w:pPr>
            <w:pStyle w:val="TOC2"/>
            <w:tabs>
              <w:tab w:val="right" w:leader="dot" w:pos="9016"/>
            </w:tabs>
            <w:rPr>
              <w:rFonts w:ascii="Arial" w:eastAsiaTheme="minorEastAsia" w:hAnsi="Arial" w:cs="Arial"/>
              <w:noProof/>
              <w:lang w:eastAsia="en-IN"/>
            </w:rPr>
          </w:pPr>
          <w:hyperlink w:anchor="_Toc233236555" w:history="1">
            <w:r w:rsidRPr="001701E6">
              <w:rPr>
                <w:rStyle w:val="Hyperlink"/>
                <w:rFonts w:ascii="Arial" w:hAnsi="Arial" w:cs="Arial"/>
                <w:noProof/>
              </w:rPr>
              <w:t>Introduction</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_Toc233236555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6</w:t>
            </w:r>
            <w:r w:rsidRPr="001701E6">
              <w:rPr>
                <w:rFonts w:ascii="Arial" w:hAnsi="Arial" w:cs="Arial"/>
                <w:noProof/>
                <w:webHidden/>
              </w:rPr>
              <w:fldChar w:fldCharType="end"/>
            </w:r>
          </w:hyperlink>
        </w:p>
        <w:p w14:paraId="79CE3EB4" w14:textId="53DD793E" w:rsidR="001701E6" w:rsidRPr="001701E6" w:rsidRDefault="001701E6">
          <w:pPr>
            <w:pStyle w:val="TOC2"/>
            <w:tabs>
              <w:tab w:val="right" w:leader="dot" w:pos="9016"/>
            </w:tabs>
            <w:rPr>
              <w:rFonts w:ascii="Arial" w:eastAsiaTheme="minorEastAsia" w:hAnsi="Arial" w:cs="Arial"/>
              <w:noProof/>
              <w:lang w:eastAsia="en-IN"/>
            </w:rPr>
          </w:pPr>
          <w:hyperlink w:anchor="_Toc233236556" w:history="1">
            <w:r w:rsidRPr="001701E6">
              <w:rPr>
                <w:rStyle w:val="Hyperlink"/>
                <w:rFonts w:ascii="Arial" w:hAnsi="Arial" w:cs="Arial"/>
                <w:noProof/>
              </w:rPr>
              <w:t>Growth Strategies Using the Ansoff Matrix</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_Toc233236556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7</w:t>
            </w:r>
            <w:r w:rsidRPr="001701E6">
              <w:rPr>
                <w:rFonts w:ascii="Arial" w:hAnsi="Arial" w:cs="Arial"/>
                <w:noProof/>
                <w:webHidden/>
              </w:rPr>
              <w:fldChar w:fldCharType="end"/>
            </w:r>
          </w:hyperlink>
        </w:p>
        <w:p w14:paraId="78487C38" w14:textId="5F2C85A5" w:rsidR="001701E6" w:rsidRPr="001701E6" w:rsidRDefault="001701E6">
          <w:pPr>
            <w:pStyle w:val="TOC3"/>
            <w:tabs>
              <w:tab w:val="right" w:leader="dot" w:pos="9016"/>
            </w:tabs>
            <w:rPr>
              <w:rFonts w:ascii="Arial" w:eastAsiaTheme="minorEastAsia" w:hAnsi="Arial" w:cs="Arial"/>
              <w:noProof/>
              <w:lang w:eastAsia="en-IN"/>
            </w:rPr>
          </w:pPr>
          <w:hyperlink w:anchor="_Toc233236557" w:history="1">
            <w:r w:rsidRPr="001701E6">
              <w:rPr>
                <w:rStyle w:val="Hyperlink"/>
                <w:rFonts w:ascii="Arial" w:hAnsi="Arial" w:cs="Arial"/>
                <w:noProof/>
                <w:lang w:val="en-US"/>
              </w:rPr>
              <w:t>Product Development: The Core Strategic Imperative</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_Toc233236557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7</w:t>
            </w:r>
            <w:r w:rsidRPr="001701E6">
              <w:rPr>
                <w:rFonts w:ascii="Arial" w:hAnsi="Arial" w:cs="Arial"/>
                <w:noProof/>
                <w:webHidden/>
              </w:rPr>
              <w:fldChar w:fldCharType="end"/>
            </w:r>
          </w:hyperlink>
        </w:p>
        <w:p w14:paraId="0FD261DD" w14:textId="5EEB1CC6" w:rsidR="001701E6" w:rsidRPr="001701E6" w:rsidRDefault="001701E6">
          <w:pPr>
            <w:pStyle w:val="TOC3"/>
            <w:tabs>
              <w:tab w:val="right" w:leader="dot" w:pos="9016"/>
            </w:tabs>
            <w:rPr>
              <w:rFonts w:ascii="Arial" w:eastAsiaTheme="minorEastAsia" w:hAnsi="Arial" w:cs="Arial"/>
              <w:noProof/>
              <w:lang w:eastAsia="en-IN"/>
            </w:rPr>
          </w:pPr>
          <w:hyperlink w:anchor="_Toc233236558" w:history="1">
            <w:r w:rsidRPr="001701E6">
              <w:rPr>
                <w:rStyle w:val="Hyperlink"/>
                <w:rFonts w:ascii="Arial" w:hAnsi="Arial" w:cs="Arial"/>
                <w:noProof/>
                <w:lang w:val="en-US"/>
              </w:rPr>
              <w:t>Secondary Strategy: Diversification</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_Toc233236558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8</w:t>
            </w:r>
            <w:r w:rsidRPr="001701E6">
              <w:rPr>
                <w:rFonts w:ascii="Arial" w:hAnsi="Arial" w:cs="Arial"/>
                <w:noProof/>
                <w:webHidden/>
              </w:rPr>
              <w:fldChar w:fldCharType="end"/>
            </w:r>
          </w:hyperlink>
        </w:p>
        <w:p w14:paraId="150115F5" w14:textId="4BA4B5F0" w:rsidR="001701E6" w:rsidRPr="001701E6" w:rsidRDefault="001701E6">
          <w:pPr>
            <w:pStyle w:val="TOC2"/>
            <w:tabs>
              <w:tab w:val="right" w:leader="dot" w:pos="9016"/>
            </w:tabs>
            <w:rPr>
              <w:rFonts w:ascii="Arial" w:eastAsiaTheme="minorEastAsia" w:hAnsi="Arial" w:cs="Arial"/>
              <w:noProof/>
              <w:lang w:eastAsia="en-IN"/>
            </w:rPr>
          </w:pPr>
          <w:hyperlink w:anchor="_Toc233236559" w:history="1">
            <w:r w:rsidRPr="001701E6">
              <w:rPr>
                <w:rStyle w:val="Hyperlink"/>
                <w:rFonts w:ascii="Arial" w:hAnsi="Arial" w:cs="Arial"/>
                <w:noProof/>
              </w:rPr>
              <w:t>Competitive Positioning through Porter’s Generic Strategies</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_Toc233236559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8</w:t>
            </w:r>
            <w:r w:rsidRPr="001701E6">
              <w:rPr>
                <w:rFonts w:ascii="Arial" w:hAnsi="Arial" w:cs="Arial"/>
                <w:noProof/>
                <w:webHidden/>
              </w:rPr>
              <w:fldChar w:fldCharType="end"/>
            </w:r>
          </w:hyperlink>
        </w:p>
        <w:p w14:paraId="65B41418" w14:textId="46D0C50A" w:rsidR="001701E6" w:rsidRPr="001701E6" w:rsidRDefault="001701E6">
          <w:pPr>
            <w:pStyle w:val="TOC3"/>
            <w:tabs>
              <w:tab w:val="right" w:leader="dot" w:pos="9016"/>
            </w:tabs>
            <w:rPr>
              <w:rFonts w:ascii="Arial" w:eastAsiaTheme="minorEastAsia" w:hAnsi="Arial" w:cs="Arial"/>
              <w:noProof/>
              <w:lang w:eastAsia="en-IN"/>
            </w:rPr>
          </w:pPr>
          <w:hyperlink w:anchor="_Toc233236560" w:history="1">
            <w:r w:rsidRPr="001701E6">
              <w:rPr>
                <w:rStyle w:val="Hyperlink"/>
                <w:rFonts w:ascii="Arial" w:hAnsi="Arial" w:cs="Arial"/>
                <w:noProof/>
              </w:rPr>
              <w:t>Shifting from the Cost leadership to the Focused differentiation</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_Toc233236560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8</w:t>
            </w:r>
            <w:r w:rsidRPr="001701E6">
              <w:rPr>
                <w:rFonts w:ascii="Arial" w:hAnsi="Arial" w:cs="Arial"/>
                <w:noProof/>
                <w:webHidden/>
              </w:rPr>
              <w:fldChar w:fldCharType="end"/>
            </w:r>
          </w:hyperlink>
        </w:p>
        <w:p w14:paraId="4873D07C" w14:textId="4593C4E4" w:rsidR="001701E6" w:rsidRPr="001701E6" w:rsidRDefault="001701E6">
          <w:pPr>
            <w:pStyle w:val="TOC2"/>
            <w:tabs>
              <w:tab w:val="right" w:leader="dot" w:pos="9016"/>
            </w:tabs>
            <w:rPr>
              <w:rFonts w:ascii="Arial" w:eastAsiaTheme="minorEastAsia" w:hAnsi="Arial" w:cs="Arial"/>
              <w:noProof/>
              <w:lang w:eastAsia="en-IN"/>
            </w:rPr>
          </w:pPr>
          <w:hyperlink w:anchor="_Toc233236561" w:history="1">
            <w:r w:rsidRPr="001701E6">
              <w:rPr>
                <w:rStyle w:val="Hyperlink"/>
                <w:rFonts w:ascii="Arial" w:hAnsi="Arial" w:cs="Arial"/>
                <w:noProof/>
              </w:rPr>
              <w:t>Strategic Trade-Offs and Implementation Challenges</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_Toc233236561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9</w:t>
            </w:r>
            <w:r w:rsidRPr="001701E6">
              <w:rPr>
                <w:rFonts w:ascii="Arial" w:hAnsi="Arial" w:cs="Arial"/>
                <w:noProof/>
                <w:webHidden/>
              </w:rPr>
              <w:fldChar w:fldCharType="end"/>
            </w:r>
          </w:hyperlink>
        </w:p>
        <w:p w14:paraId="1E11F0E0" w14:textId="689D6009" w:rsidR="001701E6" w:rsidRPr="001701E6" w:rsidRDefault="001701E6">
          <w:pPr>
            <w:pStyle w:val="TOC1"/>
            <w:tabs>
              <w:tab w:val="right" w:leader="dot" w:pos="9016"/>
            </w:tabs>
            <w:rPr>
              <w:rFonts w:ascii="Arial" w:eastAsiaTheme="minorEastAsia" w:hAnsi="Arial" w:cs="Arial"/>
              <w:noProof/>
              <w:lang w:eastAsia="en-IN"/>
            </w:rPr>
          </w:pPr>
          <w:hyperlink w:anchor="_Toc233236562" w:history="1">
            <w:r w:rsidRPr="001701E6">
              <w:rPr>
                <w:rStyle w:val="Hyperlink"/>
                <w:rFonts w:ascii="Arial" w:hAnsi="Arial" w:cs="Arial"/>
                <w:noProof/>
              </w:rPr>
              <w:t>Task 3:  Critical Reflection on AI Usage</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_Toc233236562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10</w:t>
            </w:r>
            <w:r w:rsidRPr="001701E6">
              <w:rPr>
                <w:rFonts w:ascii="Arial" w:hAnsi="Arial" w:cs="Arial"/>
                <w:noProof/>
                <w:webHidden/>
              </w:rPr>
              <w:fldChar w:fldCharType="end"/>
            </w:r>
          </w:hyperlink>
        </w:p>
        <w:p w14:paraId="31529452" w14:textId="00E80C11" w:rsidR="001701E6" w:rsidRPr="001701E6" w:rsidRDefault="001701E6">
          <w:pPr>
            <w:pStyle w:val="TOC2"/>
            <w:tabs>
              <w:tab w:val="right" w:leader="dot" w:pos="9016"/>
            </w:tabs>
            <w:rPr>
              <w:rFonts w:ascii="Arial" w:eastAsiaTheme="minorEastAsia" w:hAnsi="Arial" w:cs="Arial"/>
              <w:noProof/>
              <w:lang w:eastAsia="en-IN"/>
            </w:rPr>
          </w:pPr>
          <w:hyperlink w:anchor="_Toc233236563" w:history="1">
            <w:r w:rsidRPr="001701E6">
              <w:rPr>
                <w:rStyle w:val="Hyperlink"/>
                <w:rFonts w:ascii="Arial" w:hAnsi="Arial" w:cs="Arial"/>
                <w:noProof/>
              </w:rPr>
              <w:t>Tool disclosure</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_Toc233236563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10</w:t>
            </w:r>
            <w:r w:rsidRPr="001701E6">
              <w:rPr>
                <w:rFonts w:ascii="Arial" w:hAnsi="Arial" w:cs="Arial"/>
                <w:noProof/>
                <w:webHidden/>
              </w:rPr>
              <w:fldChar w:fldCharType="end"/>
            </w:r>
          </w:hyperlink>
        </w:p>
        <w:p w14:paraId="4810EA8D" w14:textId="30840B68" w:rsidR="001701E6" w:rsidRPr="001701E6" w:rsidRDefault="001701E6">
          <w:pPr>
            <w:pStyle w:val="TOC2"/>
            <w:tabs>
              <w:tab w:val="right" w:leader="dot" w:pos="9016"/>
            </w:tabs>
            <w:rPr>
              <w:rFonts w:ascii="Arial" w:eastAsiaTheme="minorEastAsia" w:hAnsi="Arial" w:cs="Arial"/>
              <w:noProof/>
              <w:lang w:eastAsia="en-IN"/>
            </w:rPr>
          </w:pPr>
          <w:hyperlink w:anchor="_Toc233236564" w:history="1">
            <w:r w:rsidRPr="001701E6">
              <w:rPr>
                <w:rStyle w:val="Hyperlink"/>
                <w:rFonts w:ascii="Arial" w:hAnsi="Arial" w:cs="Arial"/>
                <w:noProof/>
              </w:rPr>
              <w:t>Critical evaluation of AI output</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_Toc233236564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10</w:t>
            </w:r>
            <w:r w:rsidRPr="001701E6">
              <w:rPr>
                <w:rFonts w:ascii="Arial" w:hAnsi="Arial" w:cs="Arial"/>
                <w:noProof/>
                <w:webHidden/>
              </w:rPr>
              <w:fldChar w:fldCharType="end"/>
            </w:r>
          </w:hyperlink>
        </w:p>
        <w:p w14:paraId="4C02F81E" w14:textId="763A35DF" w:rsidR="001701E6" w:rsidRPr="001701E6" w:rsidRDefault="001701E6">
          <w:pPr>
            <w:pStyle w:val="TOC2"/>
            <w:tabs>
              <w:tab w:val="right" w:leader="dot" w:pos="9016"/>
            </w:tabs>
            <w:rPr>
              <w:rFonts w:ascii="Arial" w:eastAsiaTheme="minorEastAsia" w:hAnsi="Arial" w:cs="Arial"/>
              <w:noProof/>
              <w:lang w:eastAsia="en-IN"/>
            </w:rPr>
          </w:pPr>
          <w:hyperlink w:anchor="_Toc233236565" w:history="1">
            <w:r w:rsidRPr="001701E6">
              <w:rPr>
                <w:rStyle w:val="Hyperlink"/>
                <w:rFonts w:ascii="Arial" w:hAnsi="Arial" w:cs="Arial"/>
                <w:noProof/>
              </w:rPr>
              <w:t>Contribution analysis</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_Toc233236565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11</w:t>
            </w:r>
            <w:r w:rsidRPr="001701E6">
              <w:rPr>
                <w:rFonts w:ascii="Arial" w:hAnsi="Arial" w:cs="Arial"/>
                <w:noProof/>
                <w:webHidden/>
              </w:rPr>
              <w:fldChar w:fldCharType="end"/>
            </w:r>
          </w:hyperlink>
        </w:p>
        <w:p w14:paraId="28F56906" w14:textId="3308156D" w:rsidR="001701E6" w:rsidRPr="001701E6" w:rsidRDefault="001701E6">
          <w:pPr>
            <w:pStyle w:val="TOC2"/>
            <w:tabs>
              <w:tab w:val="right" w:leader="dot" w:pos="9016"/>
            </w:tabs>
            <w:rPr>
              <w:rFonts w:ascii="Arial" w:eastAsiaTheme="minorEastAsia" w:hAnsi="Arial" w:cs="Arial"/>
              <w:noProof/>
              <w:lang w:eastAsia="en-IN"/>
            </w:rPr>
          </w:pPr>
          <w:hyperlink w:anchor="_Toc233236566" w:history="1">
            <w:r w:rsidRPr="001701E6">
              <w:rPr>
                <w:rStyle w:val="Hyperlink"/>
                <w:rFonts w:ascii="Arial" w:hAnsi="Arial" w:cs="Arial"/>
                <w:noProof/>
              </w:rPr>
              <w:t>Ethical and Professional Reflection</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_Toc233236566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11</w:t>
            </w:r>
            <w:r w:rsidRPr="001701E6">
              <w:rPr>
                <w:rFonts w:ascii="Arial" w:hAnsi="Arial" w:cs="Arial"/>
                <w:noProof/>
                <w:webHidden/>
              </w:rPr>
              <w:fldChar w:fldCharType="end"/>
            </w:r>
          </w:hyperlink>
        </w:p>
        <w:p w14:paraId="69CAC1A6" w14:textId="7BBC5F2D" w:rsidR="001701E6" w:rsidRPr="001701E6" w:rsidRDefault="001701E6">
          <w:pPr>
            <w:pStyle w:val="TOC1"/>
            <w:tabs>
              <w:tab w:val="right" w:leader="dot" w:pos="9016"/>
            </w:tabs>
            <w:rPr>
              <w:rFonts w:ascii="Arial" w:eastAsiaTheme="minorEastAsia" w:hAnsi="Arial" w:cs="Arial"/>
              <w:noProof/>
              <w:lang w:eastAsia="en-IN"/>
            </w:rPr>
          </w:pPr>
          <w:hyperlink w:anchor="_Toc233236567" w:history="1">
            <w:r w:rsidRPr="001701E6">
              <w:rPr>
                <w:rStyle w:val="Hyperlink"/>
                <w:rFonts w:ascii="Arial" w:hAnsi="Arial" w:cs="Arial"/>
                <w:noProof/>
              </w:rPr>
              <w:t>References</w:t>
            </w:r>
            <w:r w:rsidRPr="001701E6">
              <w:rPr>
                <w:rFonts w:ascii="Arial" w:hAnsi="Arial" w:cs="Arial"/>
                <w:noProof/>
                <w:webHidden/>
              </w:rPr>
              <w:tab/>
            </w:r>
            <w:r w:rsidRPr="001701E6">
              <w:rPr>
                <w:rFonts w:ascii="Arial" w:hAnsi="Arial" w:cs="Arial"/>
                <w:noProof/>
                <w:webHidden/>
              </w:rPr>
              <w:fldChar w:fldCharType="begin"/>
            </w:r>
            <w:r w:rsidRPr="001701E6">
              <w:rPr>
                <w:rFonts w:ascii="Arial" w:hAnsi="Arial" w:cs="Arial"/>
                <w:noProof/>
                <w:webHidden/>
              </w:rPr>
              <w:instrText xml:space="preserve"> PAGEREF _Toc233236567 \h </w:instrText>
            </w:r>
            <w:r w:rsidRPr="001701E6">
              <w:rPr>
                <w:rFonts w:ascii="Arial" w:hAnsi="Arial" w:cs="Arial"/>
                <w:noProof/>
                <w:webHidden/>
              </w:rPr>
            </w:r>
            <w:r w:rsidRPr="001701E6">
              <w:rPr>
                <w:rFonts w:ascii="Arial" w:hAnsi="Arial" w:cs="Arial"/>
                <w:noProof/>
                <w:webHidden/>
              </w:rPr>
              <w:fldChar w:fldCharType="separate"/>
            </w:r>
            <w:r w:rsidRPr="001701E6">
              <w:rPr>
                <w:rFonts w:ascii="Arial" w:hAnsi="Arial" w:cs="Arial"/>
                <w:noProof/>
                <w:webHidden/>
              </w:rPr>
              <w:t>12</w:t>
            </w:r>
            <w:r w:rsidRPr="001701E6">
              <w:rPr>
                <w:rFonts w:ascii="Arial" w:hAnsi="Arial" w:cs="Arial"/>
                <w:noProof/>
                <w:webHidden/>
              </w:rPr>
              <w:fldChar w:fldCharType="end"/>
            </w:r>
          </w:hyperlink>
        </w:p>
        <w:p w14:paraId="58617675" w14:textId="2273FF88" w:rsidR="001701E6" w:rsidRPr="001701E6" w:rsidRDefault="001701E6">
          <w:pPr>
            <w:rPr>
              <w:rFonts w:ascii="Arial" w:hAnsi="Arial" w:cs="Arial"/>
            </w:rPr>
          </w:pPr>
          <w:r w:rsidRPr="001701E6">
            <w:rPr>
              <w:rFonts w:ascii="Arial" w:hAnsi="Arial" w:cs="Arial"/>
              <w:b/>
              <w:bCs/>
              <w:noProof/>
            </w:rPr>
            <w:fldChar w:fldCharType="end"/>
          </w:r>
        </w:p>
      </w:sdtContent>
    </w:sdt>
    <w:p w14:paraId="7347D875" w14:textId="77777777" w:rsidR="001701E6" w:rsidRDefault="001701E6">
      <w:pPr>
        <w:jc w:val="left"/>
        <w:rPr>
          <w:rFonts w:ascii="Arial" w:eastAsiaTheme="majorEastAsia" w:hAnsi="Arial" w:cs="Arial"/>
          <w:b/>
          <w:kern w:val="0"/>
          <w:lang w:val="en-US"/>
          <w14:ligatures w14:val="none"/>
        </w:rPr>
      </w:pPr>
      <w:r>
        <w:rPr>
          <w:rFonts w:ascii="Arial" w:hAnsi="Arial" w:cs="Arial"/>
        </w:rPr>
        <w:br w:type="page"/>
      </w:r>
    </w:p>
    <w:p w14:paraId="544444A4" w14:textId="5C3EE0ED" w:rsidR="00FE136E" w:rsidRPr="001701E6" w:rsidRDefault="00FE136E" w:rsidP="001701E6">
      <w:pPr>
        <w:pStyle w:val="Heading1"/>
        <w:spacing w:line="360" w:lineRule="auto"/>
        <w:rPr>
          <w:rFonts w:ascii="Arial" w:hAnsi="Arial" w:cs="Arial"/>
          <w:szCs w:val="24"/>
        </w:rPr>
      </w:pPr>
      <w:bookmarkStart w:id="0" w:name="_Toc233236544"/>
      <w:r w:rsidRPr="001701E6">
        <w:rPr>
          <w:rFonts w:ascii="Arial" w:hAnsi="Arial" w:cs="Arial"/>
          <w:szCs w:val="24"/>
        </w:rPr>
        <w:lastRenderedPageBreak/>
        <w:t>Task 1: Marketing Environment Analysis---Tata Steel</w:t>
      </w:r>
      <w:bookmarkEnd w:id="0"/>
    </w:p>
    <w:p w14:paraId="5A0A1C05" w14:textId="77777777" w:rsidR="00FE136E" w:rsidRPr="001701E6" w:rsidRDefault="00FE136E" w:rsidP="001701E6">
      <w:pPr>
        <w:pStyle w:val="Heading2"/>
        <w:spacing w:line="360" w:lineRule="auto"/>
        <w:rPr>
          <w:rFonts w:ascii="Arial" w:hAnsi="Arial" w:cs="Arial"/>
          <w:szCs w:val="24"/>
        </w:rPr>
      </w:pPr>
      <w:bookmarkStart w:id="1" w:name="_Toc233236545"/>
      <w:r w:rsidRPr="001701E6">
        <w:rPr>
          <w:rFonts w:ascii="Arial" w:hAnsi="Arial" w:cs="Arial"/>
          <w:szCs w:val="24"/>
        </w:rPr>
        <w:t>Introduction</w:t>
      </w:r>
      <w:bookmarkEnd w:id="1"/>
    </w:p>
    <w:p w14:paraId="50E1E0DB" w14:textId="1356BCB5" w:rsidR="00FE136E" w:rsidRPr="001701E6" w:rsidRDefault="00FE136E" w:rsidP="001701E6">
      <w:pPr>
        <w:spacing w:line="360" w:lineRule="auto"/>
        <w:rPr>
          <w:rFonts w:ascii="Arial" w:hAnsi="Arial" w:cs="Arial"/>
        </w:rPr>
      </w:pPr>
      <w:r w:rsidRPr="001701E6">
        <w:rPr>
          <w:rFonts w:ascii="Arial" w:hAnsi="Arial" w:cs="Arial"/>
        </w:rPr>
        <w:t xml:space="preserve">The universal metals and mining industry is in the middle of a once-in-a-while structural shift </w:t>
      </w:r>
      <w:proofErr w:type="spellStart"/>
      <w:r w:rsidRPr="001701E6">
        <w:rPr>
          <w:rFonts w:ascii="Arial" w:hAnsi="Arial" w:cs="Arial"/>
        </w:rPr>
        <w:t>impulsed</w:t>
      </w:r>
      <w:proofErr w:type="spellEnd"/>
      <w:r w:rsidRPr="001701E6">
        <w:rPr>
          <w:rFonts w:ascii="Arial" w:hAnsi="Arial" w:cs="Arial"/>
        </w:rPr>
        <w:t xml:space="preserve"> by the need to take charge of climate change. The sector is </w:t>
      </w:r>
      <w:r w:rsidRPr="001701E6">
        <w:rPr>
          <w:rFonts w:ascii="Arial" w:hAnsi="Arial" w:cs="Arial"/>
        </w:rPr>
        <w:t>responsible</w:t>
      </w:r>
      <w:r w:rsidRPr="001701E6">
        <w:rPr>
          <w:rFonts w:ascii="Arial" w:hAnsi="Arial" w:cs="Arial"/>
        </w:rPr>
        <w:t xml:space="preserve"> for approximately 25% of greenhouse gas emissions from the biggest global corporations and is under inspection (Kotler et al.,</w:t>
      </w:r>
      <w:r w:rsidRPr="001701E6">
        <w:rPr>
          <w:rFonts w:ascii="Arial" w:hAnsi="Arial" w:cs="Arial"/>
        </w:rPr>
        <w:t xml:space="preserve"> </w:t>
      </w:r>
      <w:r w:rsidRPr="001701E6">
        <w:rPr>
          <w:rFonts w:ascii="Arial" w:hAnsi="Arial" w:cs="Arial"/>
        </w:rPr>
        <w:t>2024). Tata Steel is a massive universal steel company with significant holdings in India and Europe. It performs its functions in a volatile micro- and macro-marketing environment.</w:t>
      </w:r>
    </w:p>
    <w:p w14:paraId="047C00C3" w14:textId="77777777" w:rsidR="00FE136E" w:rsidRPr="001701E6" w:rsidRDefault="00FE136E" w:rsidP="001701E6">
      <w:pPr>
        <w:spacing w:line="360" w:lineRule="auto"/>
        <w:rPr>
          <w:rFonts w:ascii="Arial" w:hAnsi="Arial" w:cs="Arial"/>
        </w:rPr>
      </w:pPr>
      <w:r w:rsidRPr="001701E6">
        <w:rPr>
          <w:rFonts w:ascii="Arial" w:hAnsi="Arial" w:cs="Arial"/>
        </w:rPr>
        <w:t>Kotler’s marketing environment framework pertains to an organisation’s marketing environment, as the market drivers and forces outside management impact its capacity to build and maintain prosperous relationships with intended customers. The report vitally evaluates two substantial external macro-environmental components that affect the industrial transformation with respect to Tata Steel, especially the Natural Environment and the Political/Legal Environment.</w:t>
      </w:r>
    </w:p>
    <w:p w14:paraId="2435EC18" w14:textId="77777777" w:rsidR="00FE136E" w:rsidRPr="001701E6" w:rsidRDefault="00FE136E" w:rsidP="001701E6">
      <w:pPr>
        <w:pStyle w:val="Heading2"/>
        <w:spacing w:line="360" w:lineRule="auto"/>
        <w:rPr>
          <w:rFonts w:ascii="Arial" w:hAnsi="Arial" w:cs="Arial"/>
          <w:szCs w:val="24"/>
        </w:rPr>
      </w:pPr>
      <w:bookmarkStart w:id="2" w:name="_Toc233236546"/>
      <w:r w:rsidRPr="001701E6">
        <w:rPr>
          <w:rFonts w:ascii="Arial" w:hAnsi="Arial" w:cs="Arial"/>
          <w:szCs w:val="24"/>
        </w:rPr>
        <w:t>The Primary Actor: The Natural Environment</w:t>
      </w:r>
      <w:bookmarkEnd w:id="2"/>
    </w:p>
    <w:p w14:paraId="43AF117C" w14:textId="0F58361C" w:rsidR="00FE136E" w:rsidRPr="001701E6" w:rsidRDefault="00FE136E" w:rsidP="001701E6">
      <w:pPr>
        <w:spacing w:line="360" w:lineRule="auto"/>
        <w:rPr>
          <w:rFonts w:ascii="Arial" w:hAnsi="Arial" w:cs="Arial"/>
        </w:rPr>
      </w:pPr>
      <w:r w:rsidRPr="001701E6">
        <w:rPr>
          <w:rFonts w:ascii="Arial" w:hAnsi="Arial" w:cs="Arial"/>
        </w:rPr>
        <w:t xml:space="preserve">The natural environment entails the physical atmosphere and natural resources leveraged as inputs by marketers or affected by marketing deeds (Kotler et al., 2024). Currently, Tata Steel relishes the natural environment not only as a passive purveyor of raw materials (iron ore and coking coal) </w:t>
      </w:r>
      <w:r w:rsidRPr="001701E6">
        <w:rPr>
          <w:rFonts w:ascii="Arial" w:hAnsi="Arial" w:cs="Arial"/>
        </w:rPr>
        <w:t>but also</w:t>
      </w:r>
      <w:r w:rsidRPr="001701E6">
        <w:rPr>
          <w:rFonts w:ascii="Arial" w:hAnsi="Arial" w:cs="Arial"/>
        </w:rPr>
        <w:t xml:space="preserve"> as a significant disruptive driver </w:t>
      </w:r>
      <w:r w:rsidRPr="001701E6">
        <w:rPr>
          <w:rFonts w:ascii="Arial" w:hAnsi="Arial" w:cs="Arial"/>
        </w:rPr>
        <w:t>that</w:t>
      </w:r>
      <w:r w:rsidRPr="001701E6">
        <w:rPr>
          <w:rFonts w:ascii="Arial" w:hAnsi="Arial" w:cs="Arial"/>
        </w:rPr>
        <w:t xml:space="preserve"> is varying its product portfolio, cost criteria, and brand equity.</w:t>
      </w:r>
    </w:p>
    <w:p w14:paraId="2E3EA7CD" w14:textId="77777777" w:rsidR="00FE136E" w:rsidRPr="001701E6" w:rsidRDefault="00FE136E" w:rsidP="001701E6">
      <w:pPr>
        <w:pStyle w:val="Heading3"/>
        <w:spacing w:line="360" w:lineRule="auto"/>
        <w:rPr>
          <w:rFonts w:ascii="Arial" w:hAnsi="Arial" w:cs="Arial"/>
          <w:szCs w:val="24"/>
        </w:rPr>
      </w:pPr>
      <w:bookmarkStart w:id="3" w:name="_Toc233236547"/>
      <w:r w:rsidRPr="001701E6">
        <w:rPr>
          <w:rFonts w:ascii="Arial" w:hAnsi="Arial" w:cs="Arial"/>
          <w:szCs w:val="24"/>
        </w:rPr>
        <w:t>Resource Scarcity, Carbon Budgets, and Operational Metamorphoses</w:t>
      </w:r>
      <w:bookmarkEnd w:id="3"/>
    </w:p>
    <w:p w14:paraId="34B83093" w14:textId="2343738F" w:rsidR="00FE136E" w:rsidRPr="001701E6" w:rsidRDefault="00FE136E" w:rsidP="001701E6">
      <w:pPr>
        <w:spacing w:line="360" w:lineRule="auto"/>
        <w:rPr>
          <w:rFonts w:ascii="Arial" w:hAnsi="Arial" w:cs="Arial"/>
        </w:rPr>
      </w:pPr>
      <w:r w:rsidRPr="001701E6">
        <w:rPr>
          <w:rFonts w:ascii="Arial" w:hAnsi="Arial" w:cs="Arial"/>
        </w:rPr>
        <w:t>Tata Steel’s keen advantage over competitors was formerly mostly due to its access to affordable raw materials. The rapid degradation of ecosystems across the world has driven industrial manufacturers to conduct their business within strict carbon budgets. The prevailing steelmaking approach serves the Blast Furnace-Basic Oxygen Furnace (BF-BOF) approach, which relies on the flaming of coking coal</w:t>
      </w:r>
      <w:r w:rsidR="00672623" w:rsidRPr="001701E6">
        <w:rPr>
          <w:rFonts w:ascii="Arial" w:hAnsi="Arial" w:cs="Arial"/>
        </w:rPr>
        <w:t xml:space="preserve"> (</w:t>
      </w:r>
      <w:proofErr w:type="spellStart"/>
      <w:r w:rsidR="00672623" w:rsidRPr="001701E6">
        <w:rPr>
          <w:rFonts w:ascii="Arial" w:hAnsi="Arial" w:cs="Arial"/>
        </w:rPr>
        <w:t>Gajdzik</w:t>
      </w:r>
      <w:proofErr w:type="spellEnd"/>
      <w:r w:rsidR="00672623" w:rsidRPr="001701E6">
        <w:rPr>
          <w:rFonts w:ascii="Arial" w:hAnsi="Arial" w:cs="Arial"/>
        </w:rPr>
        <w:t xml:space="preserve"> et al., 2025)</w:t>
      </w:r>
      <w:r w:rsidRPr="001701E6">
        <w:rPr>
          <w:rFonts w:ascii="Arial" w:hAnsi="Arial" w:cs="Arial"/>
        </w:rPr>
        <w:t>. Physical climate change has brought about excessive weather events and resource shortages, which have lowered societal and economic adoption of carbon-deepened primary extraction.</w:t>
      </w:r>
    </w:p>
    <w:p w14:paraId="192C4DB9" w14:textId="17371D59" w:rsidR="00FE136E" w:rsidRPr="001701E6" w:rsidRDefault="00FE136E" w:rsidP="001701E6">
      <w:pPr>
        <w:pStyle w:val="Heading3"/>
        <w:spacing w:line="360" w:lineRule="auto"/>
        <w:rPr>
          <w:rFonts w:ascii="Arial" w:hAnsi="Arial" w:cs="Arial"/>
          <w:szCs w:val="24"/>
        </w:rPr>
      </w:pPr>
      <w:bookmarkStart w:id="4" w:name="_Toc233236548"/>
      <w:r w:rsidRPr="001701E6">
        <w:rPr>
          <w:rFonts w:ascii="Arial" w:hAnsi="Arial" w:cs="Arial"/>
          <w:szCs w:val="24"/>
        </w:rPr>
        <w:lastRenderedPageBreak/>
        <w:t>The Shift to Secondary and Circular Production Models</w:t>
      </w:r>
      <w:bookmarkEnd w:id="4"/>
    </w:p>
    <w:p w14:paraId="616B09F8" w14:textId="401109BB" w:rsidR="00FE136E" w:rsidRPr="001701E6" w:rsidRDefault="00FE136E" w:rsidP="001701E6">
      <w:pPr>
        <w:spacing w:line="360" w:lineRule="auto"/>
        <w:rPr>
          <w:rFonts w:ascii="Arial" w:hAnsi="Arial" w:cs="Arial"/>
        </w:rPr>
      </w:pPr>
      <w:r w:rsidRPr="001701E6">
        <w:rPr>
          <w:rFonts w:ascii="Arial" w:hAnsi="Arial" w:cs="Arial"/>
        </w:rPr>
        <w:t xml:space="preserve">This natural environmental restriction forces Tata Steel to shift from initial (“virgin”) ore extraction to subsequent circular manufacturing for its product architecture. To that extent is apparent, particularly at its Port Talbot facility in the U.K. and its IJmuiden plant in the Netherlands. The company has established a £1.25 billion framework </w:t>
      </w:r>
      <w:r w:rsidRPr="001701E6">
        <w:rPr>
          <w:rFonts w:ascii="Arial" w:hAnsi="Arial" w:cs="Arial"/>
        </w:rPr>
        <w:t>transformation</w:t>
      </w:r>
      <w:r w:rsidRPr="001701E6">
        <w:rPr>
          <w:rFonts w:ascii="Arial" w:hAnsi="Arial" w:cs="Arial"/>
        </w:rPr>
        <w:t xml:space="preserve"> to replace ancient coal-fired blast furnaces with </w:t>
      </w:r>
      <w:r w:rsidRPr="001701E6">
        <w:rPr>
          <w:rFonts w:ascii="Arial" w:hAnsi="Arial" w:cs="Arial"/>
        </w:rPr>
        <w:t>power-efficient</w:t>
      </w:r>
      <w:r w:rsidRPr="001701E6">
        <w:rPr>
          <w:rFonts w:ascii="Arial" w:hAnsi="Arial" w:cs="Arial"/>
        </w:rPr>
        <w:t xml:space="preserve"> Electric Arc Furnaces (EAF)</w:t>
      </w:r>
      <w:r w:rsidR="00672623" w:rsidRPr="001701E6">
        <w:rPr>
          <w:rFonts w:ascii="Arial" w:hAnsi="Arial" w:cs="Arial"/>
        </w:rPr>
        <w:t xml:space="preserve"> (</w:t>
      </w:r>
      <w:r w:rsidR="00672623" w:rsidRPr="001701E6">
        <w:rPr>
          <w:rFonts w:ascii="Arial" w:hAnsi="Arial" w:cs="Arial"/>
        </w:rPr>
        <w:t>Tata Steel, 2025</w:t>
      </w:r>
      <w:r w:rsidR="00672623" w:rsidRPr="001701E6">
        <w:rPr>
          <w:rFonts w:ascii="Arial" w:hAnsi="Arial" w:cs="Arial"/>
        </w:rPr>
        <w:t>)</w:t>
      </w:r>
      <w:r w:rsidRPr="001701E6">
        <w:rPr>
          <w:rFonts w:ascii="Arial" w:hAnsi="Arial" w:cs="Arial"/>
        </w:rPr>
        <w:t>.</w:t>
      </w:r>
      <w:r w:rsidRPr="001701E6">
        <w:rPr>
          <w:rFonts w:ascii="Arial" w:hAnsi="Arial" w:cs="Arial"/>
        </w:rPr>
        <w:t xml:space="preserve"> </w:t>
      </w:r>
      <w:r w:rsidRPr="001701E6">
        <w:rPr>
          <w:rFonts w:ascii="Arial" w:hAnsi="Arial" w:cs="Arial"/>
        </w:rPr>
        <w:t xml:space="preserve">This alteration allows Tata Steel to majorly alter its input consumption pattern to one that uses scrap steel reusing infrastructure rather than one that uses raw metallurgical coal. This architectural alteration demotes direct (Scope 1) emissions to the same extent as 90%, protecting valuable global carbon budgets and guarding the local natural ecosystems throughout manufacturing </w:t>
      </w:r>
      <w:r w:rsidRPr="001701E6">
        <w:rPr>
          <w:rFonts w:ascii="Arial" w:hAnsi="Arial" w:cs="Arial"/>
        </w:rPr>
        <w:t>centres</w:t>
      </w:r>
      <w:r w:rsidRPr="001701E6">
        <w:rPr>
          <w:rFonts w:ascii="Arial" w:hAnsi="Arial" w:cs="Arial"/>
        </w:rPr>
        <w:t>.</w:t>
      </w:r>
    </w:p>
    <w:p w14:paraId="626A6ACC" w14:textId="460BC633" w:rsidR="00FE136E" w:rsidRPr="001701E6" w:rsidRDefault="00FE136E" w:rsidP="001701E6">
      <w:pPr>
        <w:pStyle w:val="Heading3"/>
        <w:spacing w:line="360" w:lineRule="auto"/>
        <w:rPr>
          <w:rFonts w:ascii="Arial" w:hAnsi="Arial" w:cs="Arial"/>
          <w:szCs w:val="24"/>
        </w:rPr>
      </w:pPr>
      <w:bookmarkStart w:id="5" w:name="_Toc233236549"/>
      <w:r w:rsidRPr="001701E6">
        <w:rPr>
          <w:rFonts w:ascii="Arial" w:hAnsi="Arial" w:cs="Arial"/>
          <w:szCs w:val="24"/>
        </w:rPr>
        <w:t xml:space="preserve">Green </w:t>
      </w:r>
      <w:proofErr w:type="spellStart"/>
      <w:r w:rsidRPr="001701E6">
        <w:rPr>
          <w:rFonts w:ascii="Arial" w:hAnsi="Arial" w:cs="Arial"/>
          <w:szCs w:val="24"/>
        </w:rPr>
        <w:t>Insetting</w:t>
      </w:r>
      <w:proofErr w:type="spellEnd"/>
      <w:r w:rsidRPr="001701E6">
        <w:rPr>
          <w:rFonts w:ascii="Arial" w:hAnsi="Arial" w:cs="Arial"/>
          <w:szCs w:val="24"/>
        </w:rPr>
        <w:t xml:space="preserve"> and the </w:t>
      </w:r>
      <w:r w:rsidRPr="001701E6">
        <w:rPr>
          <w:rFonts w:ascii="Arial" w:hAnsi="Arial" w:cs="Arial"/>
          <w:szCs w:val="24"/>
        </w:rPr>
        <w:t>Commercialisation</w:t>
      </w:r>
      <w:r w:rsidRPr="001701E6">
        <w:rPr>
          <w:rFonts w:ascii="Arial" w:hAnsi="Arial" w:cs="Arial"/>
          <w:szCs w:val="24"/>
        </w:rPr>
        <w:t xml:space="preserve"> of “Green Steel”</w:t>
      </w:r>
      <w:bookmarkEnd w:id="5"/>
    </w:p>
    <w:p w14:paraId="2790100B" w14:textId="77777777" w:rsidR="00FE136E" w:rsidRPr="001701E6" w:rsidRDefault="00FE136E" w:rsidP="001701E6">
      <w:pPr>
        <w:spacing w:line="360" w:lineRule="auto"/>
        <w:rPr>
          <w:rFonts w:ascii="Arial" w:hAnsi="Arial" w:cs="Arial"/>
        </w:rPr>
      </w:pPr>
      <w:r w:rsidRPr="001701E6">
        <w:rPr>
          <w:rFonts w:ascii="Arial" w:hAnsi="Arial" w:cs="Arial"/>
        </w:rPr>
        <w:t>From a marketing strategy viewpoint, modifications in the natural environment have transfigures in a way Tata Steel generates and spreads value. Commercial B2B shoppers in the automotive, construction, and consumer tool regions are diligently aiming to lower their Scope 3 upstream supply chain emissions.</w:t>
      </w:r>
    </w:p>
    <w:p w14:paraId="5CC43A1B" w14:textId="5A4F71CB" w:rsidR="00FE136E" w:rsidRPr="001701E6" w:rsidRDefault="00FE136E" w:rsidP="001701E6">
      <w:pPr>
        <w:spacing w:line="360" w:lineRule="auto"/>
        <w:rPr>
          <w:rFonts w:ascii="Arial" w:hAnsi="Arial" w:cs="Arial"/>
        </w:rPr>
      </w:pPr>
      <w:r w:rsidRPr="001701E6">
        <w:rPr>
          <w:rFonts w:ascii="Arial" w:hAnsi="Arial" w:cs="Arial"/>
        </w:rPr>
        <w:t xml:space="preserve">Tata Steel made the </w:t>
      </w:r>
      <w:proofErr w:type="spellStart"/>
      <w:r w:rsidRPr="001701E6">
        <w:rPr>
          <w:rFonts w:ascii="Arial" w:hAnsi="Arial" w:cs="Arial"/>
        </w:rPr>
        <w:t>Zeremis</w:t>
      </w:r>
      <w:proofErr w:type="spellEnd"/>
      <w:r w:rsidRPr="001701E6">
        <w:rPr>
          <w:rFonts w:ascii="Arial" w:hAnsi="Arial" w:cs="Arial"/>
        </w:rPr>
        <w:t xml:space="preserve"> brand umbrella to </w:t>
      </w:r>
      <w:r w:rsidRPr="001701E6">
        <w:rPr>
          <w:rFonts w:ascii="Arial" w:hAnsi="Arial" w:cs="Arial"/>
        </w:rPr>
        <w:t>fulfil</w:t>
      </w:r>
      <w:r w:rsidRPr="001701E6">
        <w:rPr>
          <w:rFonts w:ascii="Arial" w:hAnsi="Arial" w:cs="Arial"/>
        </w:rPr>
        <w:t xml:space="preserve"> market demand.</w:t>
      </w:r>
    </w:p>
    <w:tbl>
      <w:tblPr>
        <w:tblStyle w:val="TableGrid"/>
        <w:tblW w:w="0" w:type="auto"/>
        <w:tblLook w:val="04A0" w:firstRow="1" w:lastRow="0" w:firstColumn="1" w:lastColumn="0" w:noHBand="0" w:noVBand="1"/>
      </w:tblPr>
      <w:tblGrid>
        <w:gridCol w:w="2978"/>
        <w:gridCol w:w="3024"/>
        <w:gridCol w:w="3014"/>
      </w:tblGrid>
      <w:tr w:rsidR="00FE136E" w:rsidRPr="001701E6" w14:paraId="4C477D58" w14:textId="77777777" w:rsidTr="006C2E52">
        <w:tc>
          <w:tcPr>
            <w:tcW w:w="3116" w:type="dxa"/>
          </w:tcPr>
          <w:p w14:paraId="6EF5FBEA" w14:textId="77777777" w:rsidR="00FE136E" w:rsidRPr="001701E6" w:rsidRDefault="00FE136E" w:rsidP="001701E6">
            <w:pPr>
              <w:spacing w:line="360" w:lineRule="auto"/>
              <w:rPr>
                <w:rFonts w:ascii="Arial" w:hAnsi="Arial" w:cs="Arial"/>
                <w:b/>
              </w:rPr>
            </w:pPr>
            <w:r w:rsidRPr="001701E6">
              <w:rPr>
                <w:rFonts w:ascii="Arial" w:hAnsi="Arial" w:cs="Arial"/>
                <w:b/>
              </w:rPr>
              <w:t>Product Solution</w:t>
            </w:r>
          </w:p>
        </w:tc>
        <w:tc>
          <w:tcPr>
            <w:tcW w:w="3117" w:type="dxa"/>
          </w:tcPr>
          <w:p w14:paraId="6DCE459A" w14:textId="77777777" w:rsidR="00FE136E" w:rsidRPr="001701E6" w:rsidRDefault="00FE136E" w:rsidP="001701E6">
            <w:pPr>
              <w:spacing w:line="360" w:lineRule="auto"/>
              <w:rPr>
                <w:rFonts w:ascii="Arial" w:hAnsi="Arial" w:cs="Arial"/>
                <w:b/>
              </w:rPr>
            </w:pPr>
            <w:r w:rsidRPr="001701E6">
              <w:rPr>
                <w:rFonts w:ascii="Arial" w:hAnsi="Arial" w:cs="Arial"/>
                <w:b/>
              </w:rPr>
              <w:t>Environmental Mechanism</w:t>
            </w:r>
          </w:p>
        </w:tc>
        <w:tc>
          <w:tcPr>
            <w:tcW w:w="3117" w:type="dxa"/>
          </w:tcPr>
          <w:p w14:paraId="1D51200E" w14:textId="77777777" w:rsidR="00FE136E" w:rsidRPr="001701E6" w:rsidRDefault="00FE136E" w:rsidP="001701E6">
            <w:pPr>
              <w:spacing w:line="360" w:lineRule="auto"/>
              <w:rPr>
                <w:rFonts w:ascii="Arial" w:hAnsi="Arial" w:cs="Arial"/>
                <w:b/>
              </w:rPr>
            </w:pPr>
            <w:r w:rsidRPr="001701E6">
              <w:rPr>
                <w:rFonts w:ascii="Arial" w:hAnsi="Arial" w:cs="Arial"/>
                <w:b/>
              </w:rPr>
              <w:t>Market Value Proposition</w:t>
            </w:r>
          </w:p>
        </w:tc>
      </w:tr>
      <w:tr w:rsidR="00FE136E" w:rsidRPr="001701E6" w14:paraId="4A1132C9" w14:textId="77777777" w:rsidTr="006C2E52">
        <w:tc>
          <w:tcPr>
            <w:tcW w:w="3116" w:type="dxa"/>
          </w:tcPr>
          <w:p w14:paraId="6DA08503" w14:textId="77777777" w:rsidR="00FE136E" w:rsidRPr="001701E6" w:rsidRDefault="00FE136E" w:rsidP="001701E6">
            <w:pPr>
              <w:spacing w:line="360" w:lineRule="auto"/>
              <w:rPr>
                <w:rFonts w:ascii="Arial" w:hAnsi="Arial" w:cs="Arial"/>
                <w:b/>
              </w:rPr>
            </w:pPr>
            <w:proofErr w:type="spellStart"/>
            <w:r w:rsidRPr="001701E6">
              <w:rPr>
                <w:rFonts w:ascii="Arial" w:hAnsi="Arial" w:cs="Arial"/>
                <w:b/>
              </w:rPr>
              <w:t>Zeremis</w:t>
            </w:r>
            <w:proofErr w:type="spellEnd"/>
            <w:r w:rsidRPr="001701E6">
              <w:rPr>
                <w:rFonts w:ascii="Arial" w:hAnsi="Arial" w:cs="Arial"/>
                <w:b/>
              </w:rPr>
              <w:t xml:space="preserve"> Carbon Lite</w:t>
            </w:r>
          </w:p>
        </w:tc>
        <w:tc>
          <w:tcPr>
            <w:tcW w:w="3117" w:type="dxa"/>
          </w:tcPr>
          <w:p w14:paraId="421BC172" w14:textId="77777777" w:rsidR="00FE136E" w:rsidRPr="001701E6" w:rsidRDefault="00FE136E" w:rsidP="001701E6">
            <w:pPr>
              <w:spacing w:line="360" w:lineRule="auto"/>
              <w:rPr>
                <w:rFonts w:ascii="Arial" w:hAnsi="Arial" w:cs="Arial"/>
              </w:rPr>
            </w:pPr>
            <w:r w:rsidRPr="001701E6">
              <w:rPr>
                <w:rFonts w:ascii="Arial" w:hAnsi="Arial" w:cs="Arial"/>
              </w:rPr>
              <w:t>Det Norske Veritas (DNV) individually validated the inset mass-balanced allocation scheme.</w:t>
            </w:r>
          </w:p>
        </w:tc>
        <w:tc>
          <w:tcPr>
            <w:tcW w:w="3117" w:type="dxa"/>
          </w:tcPr>
          <w:p w14:paraId="3DD907E8" w14:textId="77777777" w:rsidR="00FE136E" w:rsidRPr="001701E6" w:rsidRDefault="00FE136E" w:rsidP="001701E6">
            <w:pPr>
              <w:spacing w:line="360" w:lineRule="auto"/>
              <w:rPr>
                <w:rFonts w:ascii="Arial" w:hAnsi="Arial" w:cs="Arial"/>
              </w:rPr>
            </w:pPr>
            <w:r w:rsidRPr="001701E6">
              <w:rPr>
                <w:rFonts w:ascii="Arial" w:hAnsi="Arial" w:cs="Arial"/>
              </w:rPr>
              <w:t>Permits certified steel with 90% carbon footprint reduction to be procured by B2B users.</w:t>
            </w:r>
          </w:p>
        </w:tc>
      </w:tr>
      <w:tr w:rsidR="00FE136E" w:rsidRPr="001701E6" w14:paraId="724EE09B" w14:textId="77777777" w:rsidTr="006C2E52">
        <w:tc>
          <w:tcPr>
            <w:tcW w:w="3116" w:type="dxa"/>
          </w:tcPr>
          <w:p w14:paraId="10D62B41" w14:textId="77777777" w:rsidR="00FE136E" w:rsidRPr="001701E6" w:rsidRDefault="00FE136E" w:rsidP="001701E6">
            <w:pPr>
              <w:spacing w:line="360" w:lineRule="auto"/>
              <w:rPr>
                <w:rFonts w:ascii="Arial" w:hAnsi="Arial" w:cs="Arial"/>
                <w:b/>
              </w:rPr>
            </w:pPr>
            <w:proofErr w:type="spellStart"/>
            <w:r w:rsidRPr="001701E6">
              <w:rPr>
                <w:rFonts w:ascii="Arial" w:hAnsi="Arial" w:cs="Arial"/>
                <w:b/>
              </w:rPr>
              <w:t>Zeremis</w:t>
            </w:r>
            <w:proofErr w:type="spellEnd"/>
            <w:r w:rsidRPr="001701E6">
              <w:rPr>
                <w:rFonts w:ascii="Arial" w:hAnsi="Arial" w:cs="Arial"/>
                <w:b/>
              </w:rPr>
              <w:t xml:space="preserve"> Recycled</w:t>
            </w:r>
          </w:p>
        </w:tc>
        <w:tc>
          <w:tcPr>
            <w:tcW w:w="3117" w:type="dxa"/>
          </w:tcPr>
          <w:p w14:paraId="0346151D" w14:textId="288BEE56" w:rsidR="00FE136E" w:rsidRPr="001701E6" w:rsidRDefault="00FE136E" w:rsidP="001701E6">
            <w:pPr>
              <w:spacing w:line="360" w:lineRule="auto"/>
              <w:rPr>
                <w:rFonts w:ascii="Arial" w:hAnsi="Arial" w:cs="Arial"/>
              </w:rPr>
            </w:pPr>
            <w:r w:rsidRPr="001701E6">
              <w:rPr>
                <w:rFonts w:ascii="Arial" w:hAnsi="Arial" w:cs="Arial"/>
              </w:rPr>
              <w:t xml:space="preserve">30% of authenticated post-consumer recycled content is </w:t>
            </w:r>
            <w:r w:rsidRPr="001701E6">
              <w:rPr>
                <w:rFonts w:ascii="Arial" w:hAnsi="Arial" w:cs="Arial"/>
              </w:rPr>
              <w:t>utilised</w:t>
            </w:r>
            <w:r w:rsidRPr="001701E6">
              <w:rPr>
                <w:rFonts w:ascii="Arial" w:hAnsi="Arial" w:cs="Arial"/>
              </w:rPr>
              <w:t>.</w:t>
            </w:r>
          </w:p>
        </w:tc>
        <w:tc>
          <w:tcPr>
            <w:tcW w:w="3117" w:type="dxa"/>
          </w:tcPr>
          <w:p w14:paraId="32A4AB5D" w14:textId="77777777" w:rsidR="00FE136E" w:rsidRPr="001701E6" w:rsidRDefault="00FE136E" w:rsidP="001701E6">
            <w:pPr>
              <w:spacing w:line="360" w:lineRule="auto"/>
              <w:rPr>
                <w:rFonts w:ascii="Arial" w:hAnsi="Arial" w:cs="Arial"/>
              </w:rPr>
            </w:pPr>
            <w:r w:rsidRPr="001701E6">
              <w:rPr>
                <w:rFonts w:ascii="Arial" w:hAnsi="Arial" w:cs="Arial"/>
              </w:rPr>
              <w:t>Directly handles the production objectives of the circular economy.</w:t>
            </w:r>
          </w:p>
        </w:tc>
      </w:tr>
      <w:tr w:rsidR="00FE136E" w:rsidRPr="001701E6" w14:paraId="222F9706" w14:textId="77777777" w:rsidTr="006C2E52">
        <w:tc>
          <w:tcPr>
            <w:tcW w:w="3116" w:type="dxa"/>
          </w:tcPr>
          <w:p w14:paraId="570B98A3" w14:textId="77777777" w:rsidR="00FE136E" w:rsidRPr="001701E6" w:rsidRDefault="00FE136E" w:rsidP="001701E6">
            <w:pPr>
              <w:spacing w:line="360" w:lineRule="auto"/>
              <w:rPr>
                <w:rFonts w:ascii="Arial" w:hAnsi="Arial" w:cs="Arial"/>
                <w:b/>
              </w:rPr>
            </w:pPr>
            <w:proofErr w:type="spellStart"/>
            <w:r w:rsidRPr="001701E6">
              <w:rPr>
                <w:rFonts w:ascii="Arial" w:hAnsi="Arial" w:cs="Arial"/>
                <w:b/>
              </w:rPr>
              <w:t>Zeremis</w:t>
            </w:r>
            <w:proofErr w:type="spellEnd"/>
            <w:r w:rsidRPr="001701E6">
              <w:rPr>
                <w:rFonts w:ascii="Arial" w:hAnsi="Arial" w:cs="Arial"/>
                <w:b/>
              </w:rPr>
              <w:t xml:space="preserve"> Delivered</w:t>
            </w:r>
          </w:p>
        </w:tc>
        <w:tc>
          <w:tcPr>
            <w:tcW w:w="3117" w:type="dxa"/>
          </w:tcPr>
          <w:p w14:paraId="72EB88A4" w14:textId="77777777" w:rsidR="00FE136E" w:rsidRPr="001701E6" w:rsidRDefault="00FE136E" w:rsidP="001701E6">
            <w:pPr>
              <w:spacing w:line="360" w:lineRule="auto"/>
              <w:rPr>
                <w:rFonts w:ascii="Arial" w:hAnsi="Arial" w:cs="Arial"/>
              </w:rPr>
            </w:pPr>
            <w:r w:rsidRPr="001701E6">
              <w:rPr>
                <w:rFonts w:ascii="Arial" w:hAnsi="Arial" w:cs="Arial"/>
              </w:rPr>
              <w:t>Carbon-neutral inbound and outbound logistics networks.</w:t>
            </w:r>
          </w:p>
        </w:tc>
        <w:tc>
          <w:tcPr>
            <w:tcW w:w="3117" w:type="dxa"/>
          </w:tcPr>
          <w:p w14:paraId="50E5FD34" w14:textId="77777777" w:rsidR="00FE136E" w:rsidRPr="001701E6" w:rsidRDefault="00FE136E" w:rsidP="001701E6">
            <w:pPr>
              <w:spacing w:line="360" w:lineRule="auto"/>
              <w:rPr>
                <w:rFonts w:ascii="Arial" w:hAnsi="Arial" w:cs="Arial"/>
              </w:rPr>
            </w:pPr>
            <w:r w:rsidRPr="001701E6">
              <w:rPr>
                <w:rFonts w:ascii="Arial" w:hAnsi="Arial" w:cs="Arial"/>
              </w:rPr>
              <w:t>Excludes steps of indirect downstream transportation.</w:t>
            </w:r>
          </w:p>
        </w:tc>
      </w:tr>
    </w:tbl>
    <w:p w14:paraId="16C18092" w14:textId="77777777" w:rsidR="00FE136E" w:rsidRPr="001701E6" w:rsidRDefault="00FE136E" w:rsidP="001701E6">
      <w:pPr>
        <w:spacing w:line="360" w:lineRule="auto"/>
        <w:rPr>
          <w:rFonts w:ascii="Arial" w:hAnsi="Arial" w:cs="Arial"/>
        </w:rPr>
      </w:pPr>
    </w:p>
    <w:p w14:paraId="186E2E25" w14:textId="77777777" w:rsidR="00FE136E" w:rsidRPr="001701E6" w:rsidRDefault="00FE136E" w:rsidP="001701E6">
      <w:pPr>
        <w:spacing w:line="360" w:lineRule="auto"/>
        <w:rPr>
          <w:rFonts w:ascii="Arial" w:hAnsi="Arial" w:cs="Arial"/>
        </w:rPr>
      </w:pPr>
      <w:r w:rsidRPr="001701E6">
        <w:rPr>
          <w:rFonts w:ascii="Arial" w:hAnsi="Arial" w:cs="Arial"/>
        </w:rPr>
        <w:lastRenderedPageBreak/>
        <w:t>The environment works as a fuel for value formation through these product metamorphoses. In a rising carbon-conscious world marketplace, it allows Tata Steel to displace from selling common, cost-conscious objects to market precious, earth-friendly solutions that secure its market status.</w:t>
      </w:r>
    </w:p>
    <w:p w14:paraId="55ECF165" w14:textId="77777777" w:rsidR="00FE136E" w:rsidRPr="001701E6" w:rsidRDefault="00FE136E" w:rsidP="001701E6">
      <w:pPr>
        <w:pStyle w:val="Heading2"/>
        <w:spacing w:line="360" w:lineRule="auto"/>
        <w:rPr>
          <w:rFonts w:ascii="Arial" w:hAnsi="Arial" w:cs="Arial"/>
          <w:szCs w:val="24"/>
        </w:rPr>
      </w:pPr>
      <w:bookmarkStart w:id="6" w:name="_Toc233236550"/>
      <w:r w:rsidRPr="001701E6">
        <w:rPr>
          <w:rFonts w:ascii="Arial" w:hAnsi="Arial" w:cs="Arial"/>
          <w:szCs w:val="24"/>
        </w:rPr>
        <w:t>The Secondary Factor: The Political and Legal Environment</w:t>
      </w:r>
      <w:bookmarkEnd w:id="6"/>
    </w:p>
    <w:p w14:paraId="7DF5931E" w14:textId="77777777" w:rsidR="00FE136E" w:rsidRPr="001701E6" w:rsidRDefault="00FE136E" w:rsidP="001701E6">
      <w:pPr>
        <w:spacing w:line="360" w:lineRule="auto"/>
        <w:rPr>
          <w:rFonts w:ascii="Arial" w:hAnsi="Arial" w:cs="Arial"/>
        </w:rPr>
      </w:pPr>
      <w:r w:rsidRPr="001701E6">
        <w:rPr>
          <w:rFonts w:ascii="Arial" w:hAnsi="Arial" w:cs="Arial"/>
        </w:rPr>
        <w:t>Alterations in the natural environment have a significant influence over the political and legal macroenvironment; the marketing environment does not act in isolation. The political and legal environment, which contains laws, government agencies, and pressure groups that oblige distinct businesses and people, has a major repercussion on marketing decisions (Kotler et al., 2024). Regulatory conduct acts as Tata Steel’s primary enforcement mechanism, transforming climate change into pivotal benefits and financial accountability.</w:t>
      </w:r>
    </w:p>
    <w:p w14:paraId="00B104F5" w14:textId="7E9D3CB5" w:rsidR="00FE136E" w:rsidRPr="001701E6" w:rsidRDefault="00FE136E" w:rsidP="001701E6">
      <w:pPr>
        <w:pStyle w:val="Heading3"/>
        <w:spacing w:line="360" w:lineRule="auto"/>
        <w:rPr>
          <w:rFonts w:ascii="Arial" w:hAnsi="Arial" w:cs="Arial"/>
          <w:szCs w:val="24"/>
        </w:rPr>
      </w:pPr>
      <w:bookmarkStart w:id="7" w:name="_Toc233236551"/>
      <w:r w:rsidRPr="001701E6">
        <w:rPr>
          <w:rFonts w:ascii="Arial" w:hAnsi="Arial" w:cs="Arial"/>
          <w:szCs w:val="24"/>
        </w:rPr>
        <w:t xml:space="preserve">Carbon Border Protections and Trade </w:t>
      </w:r>
      <w:r w:rsidRPr="001701E6">
        <w:rPr>
          <w:rFonts w:ascii="Arial" w:hAnsi="Arial" w:cs="Arial"/>
          <w:szCs w:val="24"/>
        </w:rPr>
        <w:t>Defences</w:t>
      </w:r>
      <w:bookmarkEnd w:id="7"/>
    </w:p>
    <w:p w14:paraId="06D63C59" w14:textId="1D7550A9" w:rsidR="00FE136E" w:rsidRPr="001701E6" w:rsidRDefault="00FE136E" w:rsidP="001701E6">
      <w:pPr>
        <w:spacing w:line="360" w:lineRule="auto"/>
        <w:rPr>
          <w:rFonts w:ascii="Arial" w:hAnsi="Arial" w:cs="Arial"/>
        </w:rPr>
      </w:pPr>
      <w:r w:rsidRPr="001701E6">
        <w:rPr>
          <w:rFonts w:ascii="Arial" w:hAnsi="Arial" w:cs="Arial"/>
        </w:rPr>
        <w:t>International trade conditions have been totally revised in Europe and the UK by legitimate structures like the Carbon Border Adjustment Mechanism (CBAM) of the European Union</w:t>
      </w:r>
      <w:r w:rsidR="00672623" w:rsidRPr="001701E6">
        <w:rPr>
          <w:rFonts w:ascii="Arial" w:hAnsi="Arial" w:cs="Arial"/>
        </w:rPr>
        <w:t xml:space="preserve"> (</w:t>
      </w:r>
      <w:r w:rsidR="00672623" w:rsidRPr="001701E6">
        <w:rPr>
          <w:rFonts w:ascii="Arial" w:hAnsi="Arial" w:cs="Arial"/>
        </w:rPr>
        <w:t>Leal-</w:t>
      </w:r>
      <w:proofErr w:type="spellStart"/>
      <w:r w:rsidR="00672623" w:rsidRPr="001701E6">
        <w:rPr>
          <w:rFonts w:ascii="Arial" w:hAnsi="Arial" w:cs="Arial"/>
        </w:rPr>
        <w:t>Arcas</w:t>
      </w:r>
      <w:proofErr w:type="spellEnd"/>
      <w:r w:rsidR="00672623" w:rsidRPr="001701E6">
        <w:rPr>
          <w:rFonts w:ascii="Arial" w:hAnsi="Arial" w:cs="Arial"/>
        </w:rPr>
        <w:t xml:space="preserve"> et al., 2022)</w:t>
      </w:r>
      <w:r w:rsidRPr="001701E6">
        <w:rPr>
          <w:rFonts w:ascii="Arial" w:hAnsi="Arial" w:cs="Arial"/>
        </w:rPr>
        <w:t>. Alike to costs pursued by native producers under the Emissions Trading System (ETS), CBAM imposes a carbon price on carbon-intensive articles introduced into the EU.</w:t>
      </w:r>
      <w:r w:rsidR="00672623" w:rsidRPr="001701E6">
        <w:rPr>
          <w:rFonts w:ascii="Arial" w:hAnsi="Arial" w:cs="Arial"/>
        </w:rPr>
        <w:t xml:space="preserve"> </w:t>
      </w:r>
      <w:r w:rsidRPr="001701E6">
        <w:rPr>
          <w:rFonts w:ascii="Arial" w:hAnsi="Arial" w:cs="Arial"/>
        </w:rPr>
        <w:t xml:space="preserve">Tata Steel’s visionary drive to EAF technology is a significant compliance route as governments constrict import prohibitions and enhance trade </w:t>
      </w:r>
      <w:r w:rsidRPr="001701E6">
        <w:rPr>
          <w:rFonts w:ascii="Arial" w:hAnsi="Arial" w:cs="Arial"/>
        </w:rPr>
        <w:t>defences</w:t>
      </w:r>
      <w:r w:rsidRPr="001701E6">
        <w:rPr>
          <w:rFonts w:ascii="Arial" w:hAnsi="Arial" w:cs="Arial"/>
        </w:rPr>
        <w:t xml:space="preserve"> against inexpensive, high-carbon steel ditched by multinational competitors. Its Products would face tough monetary fines in the </w:t>
      </w:r>
      <w:r w:rsidRPr="001701E6">
        <w:rPr>
          <w:rFonts w:ascii="Arial" w:hAnsi="Arial" w:cs="Arial"/>
        </w:rPr>
        <w:t>absence</w:t>
      </w:r>
      <w:r w:rsidRPr="001701E6">
        <w:rPr>
          <w:rFonts w:ascii="Arial" w:hAnsi="Arial" w:cs="Arial"/>
        </w:rPr>
        <w:t xml:space="preserve"> of this administrative harmony, </w:t>
      </w:r>
      <w:r w:rsidRPr="001701E6">
        <w:rPr>
          <w:rFonts w:ascii="Arial" w:hAnsi="Arial" w:cs="Arial"/>
        </w:rPr>
        <w:t>excluding</w:t>
      </w:r>
      <w:r w:rsidRPr="001701E6">
        <w:rPr>
          <w:rFonts w:ascii="Arial" w:hAnsi="Arial" w:cs="Arial"/>
        </w:rPr>
        <w:t xml:space="preserve"> them </w:t>
      </w:r>
      <w:r w:rsidRPr="001701E6">
        <w:rPr>
          <w:rFonts w:ascii="Arial" w:hAnsi="Arial" w:cs="Arial"/>
        </w:rPr>
        <w:t>from</w:t>
      </w:r>
      <w:r w:rsidRPr="001701E6">
        <w:rPr>
          <w:rFonts w:ascii="Arial" w:hAnsi="Arial" w:cs="Arial"/>
        </w:rPr>
        <w:t xml:space="preserve"> significant Western markets. </w:t>
      </w:r>
    </w:p>
    <w:p w14:paraId="63D5C489" w14:textId="77777777" w:rsidR="00FE136E" w:rsidRPr="001701E6" w:rsidRDefault="00FE136E" w:rsidP="001701E6">
      <w:pPr>
        <w:pStyle w:val="Heading3"/>
        <w:spacing w:line="360" w:lineRule="auto"/>
        <w:rPr>
          <w:rFonts w:ascii="Arial" w:hAnsi="Arial" w:cs="Arial"/>
          <w:szCs w:val="24"/>
        </w:rPr>
      </w:pPr>
      <w:bookmarkStart w:id="8" w:name="_Toc233236552"/>
      <w:r w:rsidRPr="001701E6">
        <w:rPr>
          <w:rFonts w:ascii="Arial" w:hAnsi="Arial" w:cs="Arial"/>
          <w:szCs w:val="24"/>
        </w:rPr>
        <w:t>Public Procurement Policies and Market Demand</w:t>
      </w:r>
      <w:bookmarkEnd w:id="8"/>
    </w:p>
    <w:p w14:paraId="5D9DE790" w14:textId="50FD0F21" w:rsidR="00FE136E" w:rsidRPr="001701E6" w:rsidRDefault="00FE136E" w:rsidP="001701E6">
      <w:pPr>
        <w:spacing w:line="360" w:lineRule="auto"/>
        <w:rPr>
          <w:rFonts w:ascii="Arial" w:hAnsi="Arial" w:cs="Arial"/>
        </w:rPr>
      </w:pPr>
      <w:r w:rsidRPr="001701E6">
        <w:rPr>
          <w:rFonts w:ascii="Arial" w:hAnsi="Arial" w:cs="Arial"/>
        </w:rPr>
        <w:t>Simultaneously, regional laws have begun to require sustainable sourcing for programs containing public infrastructure. Governments have levied compulsory requirements for steel logging, firmly choosing native buying with the lowest embodied carbon and a high local recycling content</w:t>
      </w:r>
      <w:r w:rsidR="00672623" w:rsidRPr="001701E6">
        <w:rPr>
          <w:rFonts w:ascii="Arial" w:hAnsi="Arial" w:cs="Arial"/>
        </w:rPr>
        <w:t xml:space="preserve"> (</w:t>
      </w:r>
      <w:r w:rsidR="00672623" w:rsidRPr="001701E6">
        <w:rPr>
          <w:rFonts w:ascii="Arial" w:hAnsi="Arial" w:cs="Arial"/>
        </w:rPr>
        <w:t>Rossetto</w:t>
      </w:r>
      <w:r w:rsidR="00672623" w:rsidRPr="001701E6">
        <w:rPr>
          <w:rFonts w:ascii="Arial" w:hAnsi="Arial" w:cs="Arial"/>
        </w:rPr>
        <w:t>, 2024)</w:t>
      </w:r>
      <w:r w:rsidRPr="001701E6">
        <w:rPr>
          <w:rFonts w:ascii="Arial" w:hAnsi="Arial" w:cs="Arial"/>
        </w:rPr>
        <w:t>.</w:t>
      </w:r>
      <w:r w:rsidR="00672623" w:rsidRPr="001701E6">
        <w:rPr>
          <w:rFonts w:ascii="Arial" w:hAnsi="Arial" w:cs="Arial"/>
        </w:rPr>
        <w:t xml:space="preserve"> </w:t>
      </w:r>
      <w:r w:rsidRPr="001701E6">
        <w:rPr>
          <w:rFonts w:ascii="Arial" w:hAnsi="Arial" w:cs="Arial"/>
        </w:rPr>
        <w:t xml:space="preserve">Tata Steel preserves its place as a preselected preliminary supplier for offshore wind pipelines, renewable energy facilities, and multibillion-dollar state architecture by restructuring its production core to </w:t>
      </w:r>
      <w:r w:rsidRPr="001701E6">
        <w:rPr>
          <w:rFonts w:ascii="Arial" w:hAnsi="Arial" w:cs="Arial"/>
        </w:rPr>
        <w:t>comply</w:t>
      </w:r>
      <w:r w:rsidRPr="001701E6">
        <w:rPr>
          <w:rFonts w:ascii="Arial" w:hAnsi="Arial" w:cs="Arial"/>
        </w:rPr>
        <w:t xml:space="preserve"> with these legislative delegations. Green compliance is now importantly a necessity to gain market access.</w:t>
      </w:r>
    </w:p>
    <w:p w14:paraId="0DC979F9" w14:textId="77777777" w:rsidR="00FE136E" w:rsidRPr="001701E6" w:rsidRDefault="00FE136E" w:rsidP="001701E6">
      <w:pPr>
        <w:pStyle w:val="Heading2"/>
        <w:spacing w:line="360" w:lineRule="auto"/>
        <w:rPr>
          <w:rFonts w:ascii="Arial" w:hAnsi="Arial" w:cs="Arial"/>
          <w:szCs w:val="24"/>
        </w:rPr>
      </w:pPr>
      <w:bookmarkStart w:id="9" w:name="_Toc233236553"/>
      <w:r w:rsidRPr="001701E6">
        <w:rPr>
          <w:rFonts w:ascii="Arial" w:hAnsi="Arial" w:cs="Arial"/>
          <w:szCs w:val="24"/>
        </w:rPr>
        <w:lastRenderedPageBreak/>
        <w:t>Critical Evaluation of Factor Interactivity</w:t>
      </w:r>
      <w:bookmarkEnd w:id="9"/>
    </w:p>
    <w:p w14:paraId="434F839B" w14:textId="0AE8133C" w:rsidR="00FE136E" w:rsidRPr="001701E6" w:rsidRDefault="00FE136E" w:rsidP="001701E6">
      <w:pPr>
        <w:spacing w:line="360" w:lineRule="auto"/>
        <w:rPr>
          <w:rFonts w:ascii="Arial" w:hAnsi="Arial" w:cs="Arial"/>
        </w:rPr>
      </w:pPr>
      <w:r w:rsidRPr="001701E6">
        <w:rPr>
          <w:rFonts w:ascii="Arial" w:hAnsi="Arial" w:cs="Arial"/>
        </w:rPr>
        <w:t xml:space="preserve">Macro-environmental factors function as an interrelated circle and are </w:t>
      </w:r>
      <w:r w:rsidRPr="001701E6">
        <w:rPr>
          <w:rFonts w:ascii="Arial" w:hAnsi="Arial" w:cs="Arial"/>
        </w:rPr>
        <w:t>recognised</w:t>
      </w:r>
      <w:r w:rsidRPr="001701E6">
        <w:rPr>
          <w:rFonts w:ascii="Arial" w:hAnsi="Arial" w:cs="Arial"/>
        </w:rPr>
        <w:t xml:space="preserve"> as not working coherently or independently for Level 7 analysis.</w:t>
      </w:r>
      <w:r w:rsidR="00672623" w:rsidRPr="001701E6">
        <w:rPr>
          <w:rFonts w:ascii="Arial" w:hAnsi="Arial" w:cs="Arial"/>
        </w:rPr>
        <w:t xml:space="preserve"> </w:t>
      </w:r>
      <w:r w:rsidRPr="001701E6">
        <w:rPr>
          <w:rFonts w:ascii="Arial" w:hAnsi="Arial" w:cs="Arial"/>
        </w:rPr>
        <w:t xml:space="preserve">Stakeholder dissatisfaction and public stress gave rise to physical realities of the natural environment, like resource depletion and global warming. The Political/Legal Environment is obligated by general pressure to demonstrate strict laws, carbon charges, and discounts for compliance. In sequence of lowering its environmental </w:t>
      </w:r>
      <w:r w:rsidRPr="001701E6">
        <w:rPr>
          <w:rFonts w:ascii="Arial" w:hAnsi="Arial" w:cs="Arial"/>
        </w:rPr>
        <w:t>impact</w:t>
      </w:r>
      <w:r w:rsidRPr="001701E6">
        <w:rPr>
          <w:rFonts w:ascii="Arial" w:hAnsi="Arial" w:cs="Arial"/>
        </w:rPr>
        <w:t xml:space="preserve">, Tata Steel is obliged by the administrative procedures to alter its production models and </w:t>
      </w:r>
      <w:r w:rsidRPr="001701E6">
        <w:rPr>
          <w:rFonts w:ascii="Arial" w:hAnsi="Arial" w:cs="Arial"/>
        </w:rPr>
        <w:t>publicise</w:t>
      </w:r>
      <w:r w:rsidRPr="001701E6">
        <w:rPr>
          <w:rFonts w:ascii="Arial" w:hAnsi="Arial" w:cs="Arial"/>
        </w:rPr>
        <w:t xml:space="preserve"> environmentally beneficial products like </w:t>
      </w:r>
      <w:proofErr w:type="spellStart"/>
      <w:r w:rsidRPr="001701E6">
        <w:rPr>
          <w:rFonts w:ascii="Arial" w:hAnsi="Arial" w:cs="Arial"/>
        </w:rPr>
        <w:t>Zeremis</w:t>
      </w:r>
      <w:proofErr w:type="spellEnd"/>
      <w:r w:rsidR="00CD0372" w:rsidRPr="001701E6">
        <w:rPr>
          <w:rFonts w:ascii="Arial" w:hAnsi="Arial" w:cs="Arial"/>
        </w:rPr>
        <w:t xml:space="preserve"> (</w:t>
      </w:r>
      <w:r w:rsidR="00CD0372" w:rsidRPr="001701E6">
        <w:rPr>
          <w:rFonts w:ascii="Arial" w:hAnsi="Arial" w:cs="Arial"/>
        </w:rPr>
        <w:t>Tata Steel, 2023</w:t>
      </w:r>
      <w:r w:rsidR="00CD0372" w:rsidRPr="001701E6">
        <w:rPr>
          <w:rFonts w:ascii="Arial" w:hAnsi="Arial" w:cs="Arial"/>
        </w:rPr>
        <w:t>)</w:t>
      </w:r>
      <w:r w:rsidRPr="001701E6">
        <w:rPr>
          <w:rFonts w:ascii="Arial" w:hAnsi="Arial" w:cs="Arial"/>
        </w:rPr>
        <w:t>.</w:t>
      </w:r>
    </w:p>
    <w:p w14:paraId="1C254429" w14:textId="24F1FF1B" w:rsidR="00FE136E" w:rsidRPr="001701E6" w:rsidRDefault="00FE136E" w:rsidP="001701E6">
      <w:pPr>
        <w:spacing w:line="360" w:lineRule="auto"/>
        <w:rPr>
          <w:rFonts w:ascii="Arial" w:hAnsi="Arial" w:cs="Arial"/>
        </w:rPr>
      </w:pPr>
      <w:r w:rsidRPr="001701E6">
        <w:rPr>
          <w:rFonts w:ascii="Arial" w:hAnsi="Arial" w:cs="Arial"/>
        </w:rPr>
        <w:t xml:space="preserve">The marketing consultants at Tata Steel perceive that communications in the corporate environment are modified by this environmental interactivity. Marketing is turning into an instrument for steering complex administrative structures and </w:t>
      </w:r>
      <w:r w:rsidRPr="001701E6">
        <w:rPr>
          <w:rFonts w:ascii="Arial" w:hAnsi="Arial" w:cs="Arial"/>
        </w:rPr>
        <w:t>remodelling</w:t>
      </w:r>
      <w:r w:rsidRPr="001701E6">
        <w:rPr>
          <w:rFonts w:ascii="Arial" w:hAnsi="Arial" w:cs="Arial"/>
        </w:rPr>
        <w:t xml:space="preserve"> environmental compliance into actual economic value for corporate buyers, instead of only commercial product features.</w:t>
      </w:r>
      <w:r w:rsidR="00672623" w:rsidRPr="001701E6">
        <w:rPr>
          <w:rFonts w:ascii="Arial" w:hAnsi="Arial" w:cs="Arial"/>
        </w:rPr>
        <w:t xml:space="preserve"> </w:t>
      </w:r>
      <w:r w:rsidRPr="001701E6">
        <w:rPr>
          <w:rFonts w:ascii="Arial" w:hAnsi="Arial" w:cs="Arial"/>
        </w:rPr>
        <w:t xml:space="preserve">Enterprises face the challenge of asset obsolescence and market banishment if they don’t predict </w:t>
      </w:r>
      <w:r w:rsidRPr="001701E6">
        <w:rPr>
          <w:rFonts w:ascii="Arial" w:hAnsi="Arial" w:cs="Arial"/>
        </w:rPr>
        <w:t>the relationships</w:t>
      </w:r>
      <w:r w:rsidRPr="001701E6">
        <w:rPr>
          <w:rFonts w:ascii="Arial" w:hAnsi="Arial" w:cs="Arial"/>
        </w:rPr>
        <w:t xml:space="preserve"> between natural limitations and legislative </w:t>
      </w:r>
      <w:r w:rsidRPr="001701E6">
        <w:rPr>
          <w:rFonts w:ascii="Arial" w:hAnsi="Arial" w:cs="Arial"/>
        </w:rPr>
        <w:t>regulations</w:t>
      </w:r>
      <w:r w:rsidRPr="001701E6">
        <w:rPr>
          <w:rFonts w:ascii="Arial" w:hAnsi="Arial" w:cs="Arial"/>
        </w:rPr>
        <w:t>. In diversity, Tata Steel considers environmental interests as a rich source of competitive distinction by ordering its product expansion with these overlaying forces.</w:t>
      </w:r>
    </w:p>
    <w:p w14:paraId="032B7D9B" w14:textId="7FBB2451" w:rsidR="00290F06" w:rsidRPr="001701E6" w:rsidRDefault="00FE136E" w:rsidP="001701E6">
      <w:pPr>
        <w:pStyle w:val="Heading1"/>
        <w:spacing w:line="360" w:lineRule="auto"/>
        <w:rPr>
          <w:rFonts w:ascii="Arial" w:hAnsi="Arial" w:cs="Arial"/>
          <w:szCs w:val="24"/>
          <w:lang w:val="en-IN"/>
        </w:rPr>
      </w:pPr>
      <w:bookmarkStart w:id="10" w:name="_Toc233236554"/>
      <w:r w:rsidRPr="001701E6">
        <w:rPr>
          <w:rFonts w:ascii="Arial" w:hAnsi="Arial" w:cs="Arial"/>
          <w:szCs w:val="24"/>
        </w:rPr>
        <w:t>T</w:t>
      </w:r>
      <w:r w:rsidR="00290F06" w:rsidRPr="001701E6">
        <w:rPr>
          <w:rFonts w:ascii="Arial" w:hAnsi="Arial" w:cs="Arial"/>
          <w:szCs w:val="24"/>
        </w:rPr>
        <w:t>ask 2: Strategic Growth and Competitive Positioning- Tata Steel</w:t>
      </w:r>
      <w:bookmarkEnd w:id="10"/>
      <w:r w:rsidR="00290F06" w:rsidRPr="001701E6">
        <w:rPr>
          <w:rFonts w:ascii="Arial" w:hAnsi="Arial" w:cs="Arial"/>
          <w:szCs w:val="24"/>
        </w:rPr>
        <w:t xml:space="preserve"> </w:t>
      </w:r>
    </w:p>
    <w:p w14:paraId="70ABF030" w14:textId="46BF5849" w:rsidR="00290F06" w:rsidRPr="001701E6" w:rsidRDefault="00290F06" w:rsidP="001701E6">
      <w:pPr>
        <w:pStyle w:val="Heading2"/>
        <w:spacing w:line="360" w:lineRule="auto"/>
        <w:rPr>
          <w:rFonts w:ascii="Arial" w:hAnsi="Arial" w:cs="Arial"/>
          <w:szCs w:val="24"/>
        </w:rPr>
      </w:pPr>
      <w:bookmarkStart w:id="11" w:name="_Toc233236555"/>
      <w:r w:rsidRPr="001701E6">
        <w:rPr>
          <w:rFonts w:ascii="Arial" w:hAnsi="Arial" w:cs="Arial"/>
          <w:szCs w:val="24"/>
        </w:rPr>
        <w:t>Introduction</w:t>
      </w:r>
      <w:bookmarkEnd w:id="11"/>
      <w:r w:rsidRPr="001701E6">
        <w:rPr>
          <w:rFonts w:ascii="Arial" w:hAnsi="Arial" w:cs="Arial"/>
          <w:szCs w:val="24"/>
        </w:rPr>
        <w:t xml:space="preserve"> </w:t>
      </w:r>
    </w:p>
    <w:p w14:paraId="275AA60A" w14:textId="46EF77B1" w:rsidR="00290F06" w:rsidRPr="001701E6" w:rsidRDefault="00290F06" w:rsidP="001701E6">
      <w:pPr>
        <w:spacing w:line="360" w:lineRule="auto"/>
        <w:rPr>
          <w:rFonts w:ascii="Arial" w:hAnsi="Arial" w:cs="Arial"/>
          <w:lang w:val="en-US"/>
        </w:rPr>
      </w:pPr>
      <w:r w:rsidRPr="001701E6">
        <w:rPr>
          <w:rFonts w:ascii="Arial" w:hAnsi="Arial" w:cs="Arial"/>
          <w:lang w:val="en-US"/>
        </w:rPr>
        <w:t xml:space="preserve">Building upon the macroenvironmental pressure that was found in Task 1, Tata Steel need to formulate </w:t>
      </w:r>
      <w:r w:rsidR="00FE136E" w:rsidRPr="001701E6">
        <w:rPr>
          <w:rFonts w:ascii="Arial" w:hAnsi="Arial" w:cs="Arial"/>
          <w:lang w:val="en-US"/>
        </w:rPr>
        <w:t>a</w:t>
      </w:r>
      <w:r w:rsidRPr="001701E6">
        <w:rPr>
          <w:rFonts w:ascii="Arial" w:hAnsi="Arial" w:cs="Arial"/>
          <w:lang w:val="en-US"/>
        </w:rPr>
        <w:t xml:space="preserve"> strong strategic framework to shift </w:t>
      </w:r>
      <w:r w:rsidR="00FE136E" w:rsidRPr="001701E6">
        <w:rPr>
          <w:rFonts w:ascii="Arial" w:hAnsi="Arial" w:cs="Arial"/>
          <w:lang w:val="en-US"/>
        </w:rPr>
        <w:t>its</w:t>
      </w:r>
      <w:r w:rsidRPr="001701E6">
        <w:rPr>
          <w:rFonts w:ascii="Arial" w:hAnsi="Arial" w:cs="Arial"/>
          <w:lang w:val="en-US"/>
        </w:rPr>
        <w:t xml:space="preserve"> industrial model without compromising long-term profitability. Strategic marketing needs to align the internal potential of the firm with the external legislative and ecological shifts. This section evaluates </w:t>
      </w:r>
      <w:r w:rsidR="00FE136E" w:rsidRPr="001701E6">
        <w:rPr>
          <w:rFonts w:ascii="Arial" w:hAnsi="Arial" w:cs="Arial"/>
          <w:lang w:val="en-US"/>
        </w:rPr>
        <w:t xml:space="preserve">the </w:t>
      </w:r>
      <w:r w:rsidRPr="001701E6">
        <w:rPr>
          <w:rFonts w:ascii="Arial" w:hAnsi="Arial" w:cs="Arial"/>
          <w:lang w:val="en-US"/>
        </w:rPr>
        <w:t xml:space="preserve">strategic growth trajectories of Tata Steel using the Ansoff Matrix and establishes its market alignment using Porter’s Generic Strategies. By using these models, this analysis presents how Tata Steel can maintain </w:t>
      </w:r>
      <w:r w:rsidR="00FE136E" w:rsidRPr="001701E6">
        <w:rPr>
          <w:rFonts w:ascii="Arial" w:hAnsi="Arial" w:cs="Arial"/>
          <w:lang w:val="en-US"/>
        </w:rPr>
        <w:t xml:space="preserve">sustainable competitive rivalry while systematically decoupling steel production from </w:t>
      </w:r>
      <w:r w:rsidRPr="001701E6">
        <w:rPr>
          <w:rFonts w:ascii="Arial" w:hAnsi="Arial" w:cs="Arial"/>
          <w:lang w:val="en-US"/>
        </w:rPr>
        <w:t xml:space="preserve">fossil-fuel dependence. </w:t>
      </w:r>
    </w:p>
    <w:p w14:paraId="181429F7" w14:textId="0DA93782" w:rsidR="00290F06" w:rsidRPr="001701E6" w:rsidRDefault="00290F06" w:rsidP="001701E6">
      <w:pPr>
        <w:pStyle w:val="Heading2"/>
        <w:spacing w:line="360" w:lineRule="auto"/>
        <w:rPr>
          <w:rFonts w:ascii="Arial" w:hAnsi="Arial" w:cs="Arial"/>
          <w:szCs w:val="24"/>
        </w:rPr>
      </w:pPr>
      <w:bookmarkStart w:id="12" w:name="_Toc233236556"/>
      <w:r w:rsidRPr="001701E6">
        <w:rPr>
          <w:rFonts w:ascii="Arial" w:hAnsi="Arial" w:cs="Arial"/>
          <w:szCs w:val="24"/>
        </w:rPr>
        <w:lastRenderedPageBreak/>
        <w:t xml:space="preserve">Growth </w:t>
      </w:r>
      <w:r w:rsidR="00FE136E" w:rsidRPr="001701E6">
        <w:rPr>
          <w:rFonts w:ascii="Arial" w:hAnsi="Arial" w:cs="Arial"/>
          <w:szCs w:val="24"/>
        </w:rPr>
        <w:t>Strategies Using the</w:t>
      </w:r>
      <w:r w:rsidRPr="001701E6">
        <w:rPr>
          <w:rFonts w:ascii="Arial" w:hAnsi="Arial" w:cs="Arial"/>
          <w:szCs w:val="24"/>
        </w:rPr>
        <w:t xml:space="preserve"> Ansoff Matrix</w:t>
      </w:r>
      <w:bookmarkEnd w:id="12"/>
      <w:r w:rsidRPr="001701E6">
        <w:rPr>
          <w:rFonts w:ascii="Arial" w:hAnsi="Arial" w:cs="Arial"/>
          <w:szCs w:val="24"/>
        </w:rPr>
        <w:t xml:space="preserve"> </w:t>
      </w:r>
    </w:p>
    <w:p w14:paraId="120B40E5" w14:textId="043781DF" w:rsidR="00290F06" w:rsidRPr="001701E6" w:rsidRDefault="006D23E6" w:rsidP="001701E6">
      <w:pPr>
        <w:spacing w:line="360" w:lineRule="auto"/>
        <w:rPr>
          <w:rFonts w:ascii="Arial" w:hAnsi="Arial" w:cs="Arial"/>
          <w:lang w:val="en-US"/>
        </w:rPr>
      </w:pPr>
      <w:r w:rsidRPr="001701E6">
        <w:rPr>
          <w:rFonts w:ascii="Arial" w:hAnsi="Arial" w:cs="Arial"/>
          <w:lang w:val="en-US"/>
        </w:rPr>
        <w:t xml:space="preserve">The Ansoff Matrix offers the framework for searching for corporate growth opportunities using the four different product-market combinations: Market Development, Market Penetration, Product Development and Diversification. To achieve this mandated business model </w:t>
      </w:r>
      <w:proofErr w:type="spellStart"/>
      <w:r w:rsidR="00FE136E" w:rsidRPr="001701E6">
        <w:rPr>
          <w:rFonts w:ascii="Arial" w:hAnsi="Arial" w:cs="Arial"/>
          <w:lang w:val="en-US"/>
        </w:rPr>
        <w:t>emphasising</w:t>
      </w:r>
      <w:proofErr w:type="spellEnd"/>
      <w:r w:rsidRPr="001701E6">
        <w:rPr>
          <w:rFonts w:ascii="Arial" w:hAnsi="Arial" w:cs="Arial"/>
          <w:lang w:val="en-US"/>
        </w:rPr>
        <w:t xml:space="preserve"> lower carbon </w:t>
      </w:r>
      <w:r w:rsidR="00FE136E" w:rsidRPr="001701E6">
        <w:rPr>
          <w:rFonts w:ascii="Arial" w:hAnsi="Arial" w:cs="Arial"/>
          <w:lang w:val="en-US"/>
        </w:rPr>
        <w:t>emissions</w:t>
      </w:r>
      <w:r w:rsidRPr="001701E6">
        <w:rPr>
          <w:rFonts w:ascii="Arial" w:hAnsi="Arial" w:cs="Arial"/>
          <w:lang w:val="en-US"/>
        </w:rPr>
        <w:t xml:space="preserve">, Tata Steel cannot depend on business-as-usual operations. It needs to balance the commercial risk against </w:t>
      </w:r>
      <w:proofErr w:type="gramStart"/>
      <w:r w:rsidRPr="001701E6">
        <w:rPr>
          <w:rFonts w:ascii="Arial" w:hAnsi="Arial" w:cs="Arial"/>
          <w:lang w:val="en-US"/>
        </w:rPr>
        <w:t>the strategic</w:t>
      </w:r>
      <w:proofErr w:type="gramEnd"/>
      <w:r w:rsidRPr="001701E6">
        <w:rPr>
          <w:rFonts w:ascii="Arial" w:hAnsi="Arial" w:cs="Arial"/>
          <w:lang w:val="en-US"/>
        </w:rPr>
        <w:t xml:space="preserve"> sustainability. </w:t>
      </w:r>
    </w:p>
    <w:tbl>
      <w:tblPr>
        <w:tblStyle w:val="TableGrid"/>
        <w:tblW w:w="0" w:type="auto"/>
        <w:tblLook w:val="04A0" w:firstRow="1" w:lastRow="0" w:firstColumn="1" w:lastColumn="0" w:noHBand="0" w:noVBand="1"/>
      </w:tblPr>
      <w:tblGrid>
        <w:gridCol w:w="3005"/>
        <w:gridCol w:w="3005"/>
        <w:gridCol w:w="3006"/>
      </w:tblGrid>
      <w:tr w:rsidR="008A5B1D" w:rsidRPr="001701E6" w14:paraId="3BDE7363" w14:textId="77777777" w:rsidTr="008A5B1D">
        <w:tc>
          <w:tcPr>
            <w:tcW w:w="3005" w:type="dxa"/>
          </w:tcPr>
          <w:p w14:paraId="39252FCB" w14:textId="77777777" w:rsidR="008A5B1D" w:rsidRPr="001701E6" w:rsidRDefault="008A5B1D" w:rsidP="001701E6">
            <w:pPr>
              <w:spacing w:line="360" w:lineRule="auto"/>
              <w:rPr>
                <w:rFonts w:ascii="Arial" w:hAnsi="Arial" w:cs="Arial"/>
                <w:lang w:val="en-US"/>
              </w:rPr>
            </w:pPr>
          </w:p>
        </w:tc>
        <w:tc>
          <w:tcPr>
            <w:tcW w:w="3005" w:type="dxa"/>
          </w:tcPr>
          <w:p w14:paraId="62A7604D" w14:textId="477996DA" w:rsidR="008A5B1D" w:rsidRPr="001701E6" w:rsidRDefault="008A5B1D" w:rsidP="001701E6">
            <w:pPr>
              <w:spacing w:line="360" w:lineRule="auto"/>
              <w:rPr>
                <w:rFonts w:ascii="Arial" w:hAnsi="Arial" w:cs="Arial"/>
                <w:b/>
                <w:bCs/>
                <w:i/>
                <w:iCs/>
                <w:lang w:val="en-US"/>
              </w:rPr>
            </w:pPr>
            <w:r w:rsidRPr="001701E6">
              <w:rPr>
                <w:rFonts w:ascii="Arial" w:hAnsi="Arial" w:cs="Arial"/>
                <w:b/>
                <w:bCs/>
                <w:i/>
                <w:iCs/>
                <w:lang w:val="en-US"/>
              </w:rPr>
              <w:t>Existing Products</w:t>
            </w:r>
          </w:p>
        </w:tc>
        <w:tc>
          <w:tcPr>
            <w:tcW w:w="3006" w:type="dxa"/>
          </w:tcPr>
          <w:p w14:paraId="4A2656D8" w14:textId="7CBB5AA8" w:rsidR="008A5B1D" w:rsidRPr="001701E6" w:rsidRDefault="008A5B1D" w:rsidP="001701E6">
            <w:pPr>
              <w:spacing w:line="360" w:lineRule="auto"/>
              <w:rPr>
                <w:rFonts w:ascii="Arial" w:hAnsi="Arial" w:cs="Arial"/>
                <w:b/>
                <w:bCs/>
                <w:i/>
                <w:iCs/>
                <w:lang w:val="en-US"/>
              </w:rPr>
            </w:pPr>
            <w:r w:rsidRPr="001701E6">
              <w:rPr>
                <w:rFonts w:ascii="Arial" w:hAnsi="Arial" w:cs="Arial"/>
                <w:b/>
                <w:bCs/>
                <w:i/>
                <w:iCs/>
                <w:lang w:val="en-US"/>
              </w:rPr>
              <w:t>New Products</w:t>
            </w:r>
          </w:p>
        </w:tc>
      </w:tr>
      <w:tr w:rsidR="008A5B1D" w:rsidRPr="001701E6" w14:paraId="596BDECD" w14:textId="77777777" w:rsidTr="008A5B1D">
        <w:tc>
          <w:tcPr>
            <w:tcW w:w="3005" w:type="dxa"/>
          </w:tcPr>
          <w:p w14:paraId="5FFD6B6A" w14:textId="74D00605" w:rsidR="008A5B1D" w:rsidRPr="001701E6" w:rsidRDefault="008A5B1D" w:rsidP="001701E6">
            <w:pPr>
              <w:spacing w:line="360" w:lineRule="auto"/>
              <w:rPr>
                <w:rFonts w:ascii="Arial" w:hAnsi="Arial" w:cs="Arial"/>
                <w:b/>
                <w:bCs/>
                <w:i/>
                <w:iCs/>
                <w:lang w:val="en-US"/>
              </w:rPr>
            </w:pPr>
            <w:r w:rsidRPr="001701E6">
              <w:rPr>
                <w:rFonts w:ascii="Arial" w:hAnsi="Arial" w:cs="Arial"/>
                <w:b/>
                <w:bCs/>
                <w:i/>
                <w:iCs/>
                <w:lang w:val="en-US"/>
              </w:rPr>
              <w:t xml:space="preserve">Existing Markets </w:t>
            </w:r>
          </w:p>
        </w:tc>
        <w:tc>
          <w:tcPr>
            <w:tcW w:w="3005" w:type="dxa"/>
          </w:tcPr>
          <w:p w14:paraId="502643C7" w14:textId="77777777" w:rsidR="008A5B1D" w:rsidRPr="001701E6" w:rsidRDefault="008A5B1D" w:rsidP="001701E6">
            <w:pPr>
              <w:spacing w:line="360" w:lineRule="auto"/>
              <w:rPr>
                <w:rFonts w:ascii="Arial" w:hAnsi="Arial" w:cs="Arial"/>
                <w:lang w:val="en-US"/>
              </w:rPr>
            </w:pPr>
            <w:r w:rsidRPr="001701E6">
              <w:rPr>
                <w:rFonts w:ascii="Arial" w:hAnsi="Arial" w:cs="Arial"/>
                <w:lang w:val="en-US"/>
              </w:rPr>
              <w:t>Market Penetration</w:t>
            </w:r>
          </w:p>
          <w:p w14:paraId="180EA22B" w14:textId="2E770F1A" w:rsidR="008A5B1D" w:rsidRPr="001701E6" w:rsidRDefault="008A5B1D" w:rsidP="001701E6">
            <w:pPr>
              <w:spacing w:line="360" w:lineRule="auto"/>
              <w:rPr>
                <w:rFonts w:ascii="Arial" w:hAnsi="Arial" w:cs="Arial"/>
                <w:lang w:val="en-US"/>
              </w:rPr>
            </w:pPr>
            <w:r w:rsidRPr="001701E6">
              <w:rPr>
                <w:rFonts w:ascii="Arial" w:hAnsi="Arial" w:cs="Arial"/>
                <w:lang w:val="en-US"/>
              </w:rPr>
              <w:t>(Volume expansion of the basic structural steel</w:t>
            </w:r>
            <w:r w:rsidR="000F5ADE" w:rsidRPr="001701E6">
              <w:rPr>
                <w:rFonts w:ascii="Arial" w:hAnsi="Arial" w:cs="Arial"/>
                <w:lang w:val="en-US"/>
              </w:rPr>
              <w:t xml:space="preserve"> variants)</w:t>
            </w:r>
          </w:p>
        </w:tc>
        <w:tc>
          <w:tcPr>
            <w:tcW w:w="3006" w:type="dxa"/>
          </w:tcPr>
          <w:p w14:paraId="2AEC4252" w14:textId="77777777" w:rsidR="008A5B1D" w:rsidRPr="001701E6" w:rsidRDefault="000F5ADE" w:rsidP="001701E6">
            <w:pPr>
              <w:spacing w:line="360" w:lineRule="auto"/>
              <w:rPr>
                <w:rFonts w:ascii="Arial" w:hAnsi="Arial" w:cs="Arial"/>
                <w:lang w:val="en-US"/>
              </w:rPr>
            </w:pPr>
            <w:r w:rsidRPr="001701E6">
              <w:rPr>
                <w:rFonts w:ascii="Arial" w:hAnsi="Arial" w:cs="Arial"/>
                <w:lang w:val="en-US"/>
              </w:rPr>
              <w:t xml:space="preserve">Product Development </w:t>
            </w:r>
          </w:p>
          <w:p w14:paraId="04700B3D" w14:textId="440A3A66" w:rsidR="00457C8D" w:rsidRPr="001701E6" w:rsidRDefault="00457C8D" w:rsidP="001701E6">
            <w:pPr>
              <w:spacing w:line="360" w:lineRule="auto"/>
              <w:rPr>
                <w:rFonts w:ascii="Arial" w:hAnsi="Arial" w:cs="Arial"/>
                <w:lang w:val="en-US"/>
              </w:rPr>
            </w:pPr>
            <w:r w:rsidRPr="001701E6">
              <w:rPr>
                <w:rFonts w:ascii="Arial" w:hAnsi="Arial" w:cs="Arial"/>
                <w:lang w:val="en-US"/>
              </w:rPr>
              <w:t>(</w:t>
            </w:r>
            <w:proofErr w:type="spellStart"/>
            <w:r w:rsidRPr="001701E6">
              <w:rPr>
                <w:rFonts w:ascii="Arial" w:hAnsi="Arial" w:cs="Arial"/>
                <w:lang w:val="en-US"/>
              </w:rPr>
              <w:t>Zeremis</w:t>
            </w:r>
            <w:proofErr w:type="spellEnd"/>
            <w:r w:rsidRPr="001701E6">
              <w:rPr>
                <w:rFonts w:ascii="Arial" w:hAnsi="Arial" w:cs="Arial"/>
                <w:lang w:val="en-US"/>
              </w:rPr>
              <w:t xml:space="preserve"> Carbon Lite, </w:t>
            </w:r>
            <w:proofErr w:type="spellStart"/>
            <w:r w:rsidRPr="001701E6">
              <w:rPr>
                <w:rFonts w:ascii="Arial" w:hAnsi="Arial" w:cs="Arial"/>
                <w:lang w:val="en-US"/>
              </w:rPr>
              <w:t>XCarb</w:t>
            </w:r>
            <w:proofErr w:type="spellEnd"/>
            <w:r w:rsidRPr="001701E6">
              <w:rPr>
                <w:rFonts w:ascii="Arial" w:hAnsi="Arial" w:cs="Arial"/>
                <w:lang w:val="en-US"/>
              </w:rPr>
              <w:t>-equivalent tech)</w:t>
            </w:r>
          </w:p>
        </w:tc>
      </w:tr>
      <w:tr w:rsidR="00457C8D" w:rsidRPr="001701E6" w14:paraId="20C415EB" w14:textId="77777777" w:rsidTr="008A5B1D">
        <w:tc>
          <w:tcPr>
            <w:tcW w:w="3005" w:type="dxa"/>
          </w:tcPr>
          <w:p w14:paraId="5DAE556B" w14:textId="74A79DD8" w:rsidR="00457C8D" w:rsidRPr="001701E6" w:rsidRDefault="00457C8D" w:rsidP="001701E6">
            <w:pPr>
              <w:spacing w:line="360" w:lineRule="auto"/>
              <w:rPr>
                <w:rFonts w:ascii="Arial" w:hAnsi="Arial" w:cs="Arial"/>
                <w:b/>
                <w:bCs/>
                <w:i/>
                <w:iCs/>
                <w:lang w:val="en-US"/>
              </w:rPr>
            </w:pPr>
            <w:r w:rsidRPr="001701E6">
              <w:rPr>
                <w:rFonts w:ascii="Arial" w:hAnsi="Arial" w:cs="Arial"/>
                <w:b/>
                <w:bCs/>
                <w:i/>
                <w:iCs/>
                <w:lang w:val="en-US"/>
              </w:rPr>
              <w:t xml:space="preserve">New Markets </w:t>
            </w:r>
          </w:p>
        </w:tc>
        <w:tc>
          <w:tcPr>
            <w:tcW w:w="3005" w:type="dxa"/>
          </w:tcPr>
          <w:p w14:paraId="0D532B4D" w14:textId="77777777" w:rsidR="00457C8D" w:rsidRPr="001701E6" w:rsidRDefault="00457C8D" w:rsidP="001701E6">
            <w:pPr>
              <w:spacing w:line="360" w:lineRule="auto"/>
              <w:rPr>
                <w:rFonts w:ascii="Arial" w:hAnsi="Arial" w:cs="Arial"/>
                <w:lang w:val="en-US"/>
              </w:rPr>
            </w:pPr>
            <w:r w:rsidRPr="001701E6">
              <w:rPr>
                <w:rFonts w:ascii="Arial" w:hAnsi="Arial" w:cs="Arial"/>
                <w:lang w:val="en-US"/>
              </w:rPr>
              <w:t xml:space="preserve">Market Development </w:t>
            </w:r>
          </w:p>
          <w:p w14:paraId="040FC9C9" w14:textId="1B3923EE" w:rsidR="008B3DBF" w:rsidRPr="001701E6" w:rsidRDefault="008B3DBF" w:rsidP="001701E6">
            <w:pPr>
              <w:spacing w:line="360" w:lineRule="auto"/>
              <w:rPr>
                <w:rFonts w:ascii="Arial" w:hAnsi="Arial" w:cs="Arial"/>
                <w:lang w:val="en-US"/>
              </w:rPr>
            </w:pPr>
            <w:r w:rsidRPr="001701E6">
              <w:rPr>
                <w:rFonts w:ascii="Arial" w:hAnsi="Arial" w:cs="Arial"/>
                <w:lang w:val="en-US"/>
              </w:rPr>
              <w:t>(Exporting standard steel to emerging economies)</w:t>
            </w:r>
          </w:p>
        </w:tc>
        <w:tc>
          <w:tcPr>
            <w:tcW w:w="3006" w:type="dxa"/>
          </w:tcPr>
          <w:p w14:paraId="77043804" w14:textId="77777777" w:rsidR="00457C8D" w:rsidRPr="001701E6" w:rsidRDefault="008B3DBF" w:rsidP="001701E6">
            <w:pPr>
              <w:spacing w:line="360" w:lineRule="auto"/>
              <w:rPr>
                <w:rFonts w:ascii="Arial" w:hAnsi="Arial" w:cs="Arial"/>
                <w:lang w:val="en-US"/>
              </w:rPr>
            </w:pPr>
            <w:r w:rsidRPr="001701E6">
              <w:rPr>
                <w:rFonts w:ascii="Arial" w:hAnsi="Arial" w:cs="Arial"/>
                <w:lang w:val="en-US"/>
              </w:rPr>
              <w:t>Diversification</w:t>
            </w:r>
          </w:p>
          <w:p w14:paraId="6CBCC450" w14:textId="13F2BF2C" w:rsidR="008B3DBF" w:rsidRPr="001701E6" w:rsidRDefault="008B3DBF" w:rsidP="001701E6">
            <w:pPr>
              <w:spacing w:line="360" w:lineRule="auto"/>
              <w:rPr>
                <w:rFonts w:ascii="Arial" w:hAnsi="Arial" w:cs="Arial"/>
                <w:lang w:val="en-US"/>
              </w:rPr>
            </w:pPr>
            <w:r w:rsidRPr="001701E6">
              <w:rPr>
                <w:rFonts w:ascii="Arial" w:hAnsi="Arial" w:cs="Arial"/>
                <w:lang w:val="en-US"/>
              </w:rPr>
              <w:t>(Entering green hydrogen or carbon-capture sectors)</w:t>
            </w:r>
          </w:p>
        </w:tc>
      </w:tr>
    </w:tbl>
    <w:p w14:paraId="5BE01C5F" w14:textId="77777777" w:rsidR="006D23E6" w:rsidRPr="001701E6" w:rsidRDefault="006D23E6" w:rsidP="001701E6">
      <w:pPr>
        <w:spacing w:line="360" w:lineRule="auto"/>
        <w:rPr>
          <w:rFonts w:ascii="Arial" w:hAnsi="Arial" w:cs="Arial"/>
          <w:lang w:val="en-US"/>
        </w:rPr>
      </w:pPr>
    </w:p>
    <w:p w14:paraId="2FFA753F" w14:textId="53937D92" w:rsidR="008B3DBF" w:rsidRPr="001701E6" w:rsidRDefault="008B3DBF" w:rsidP="001701E6">
      <w:pPr>
        <w:pStyle w:val="Heading3"/>
        <w:spacing w:line="360" w:lineRule="auto"/>
        <w:rPr>
          <w:rFonts w:ascii="Arial" w:hAnsi="Arial" w:cs="Arial"/>
          <w:szCs w:val="24"/>
          <w:lang w:val="en-US"/>
        </w:rPr>
      </w:pPr>
      <w:bookmarkStart w:id="13" w:name="_Toc233236557"/>
      <w:r w:rsidRPr="001701E6">
        <w:rPr>
          <w:rFonts w:ascii="Arial" w:hAnsi="Arial" w:cs="Arial"/>
          <w:szCs w:val="24"/>
          <w:lang w:val="en-US"/>
        </w:rPr>
        <w:t xml:space="preserve">Product Development: The </w:t>
      </w:r>
      <w:r w:rsidR="00A83F9B" w:rsidRPr="001701E6">
        <w:rPr>
          <w:rFonts w:ascii="Arial" w:hAnsi="Arial" w:cs="Arial"/>
          <w:szCs w:val="24"/>
          <w:lang w:val="en-US"/>
        </w:rPr>
        <w:t>Core Strategic Imperative</w:t>
      </w:r>
      <w:bookmarkEnd w:id="13"/>
      <w:r w:rsidR="00A83F9B" w:rsidRPr="001701E6">
        <w:rPr>
          <w:rFonts w:ascii="Arial" w:hAnsi="Arial" w:cs="Arial"/>
          <w:szCs w:val="24"/>
          <w:lang w:val="en-US"/>
        </w:rPr>
        <w:t xml:space="preserve"> </w:t>
      </w:r>
    </w:p>
    <w:p w14:paraId="75826BA1" w14:textId="6CE0BB16" w:rsidR="009E717D" w:rsidRPr="001701E6" w:rsidRDefault="008B3DBF" w:rsidP="001701E6">
      <w:pPr>
        <w:spacing w:line="360" w:lineRule="auto"/>
        <w:rPr>
          <w:rFonts w:ascii="Arial" w:hAnsi="Arial" w:cs="Arial"/>
          <w:lang w:val="en-US"/>
        </w:rPr>
      </w:pPr>
      <w:r w:rsidRPr="001701E6">
        <w:rPr>
          <w:rFonts w:ascii="Arial" w:hAnsi="Arial" w:cs="Arial"/>
          <w:lang w:val="en-US"/>
        </w:rPr>
        <w:t xml:space="preserve">For the primary business architecture of Tata, Product Development is the most vital vector of growth. This strategy involves creating new or modified products to sell into well-established and existing markets. Tata Steel possesses a deeply entrenched customer base in the highly audited, </w:t>
      </w:r>
      <w:r w:rsidR="00FE136E" w:rsidRPr="001701E6">
        <w:rPr>
          <w:rFonts w:ascii="Arial" w:hAnsi="Arial" w:cs="Arial"/>
          <w:lang w:val="en-US"/>
        </w:rPr>
        <w:t>high-value</w:t>
      </w:r>
      <w:r w:rsidR="009E717D" w:rsidRPr="001701E6">
        <w:rPr>
          <w:rFonts w:ascii="Arial" w:hAnsi="Arial" w:cs="Arial"/>
          <w:lang w:val="en-US"/>
        </w:rPr>
        <w:t xml:space="preserve"> B2B sectors, including the European automotive, structural engineering segments and aerospace. These existing customers do not need to be introduced to Tata Stell</w:t>
      </w:r>
      <w:r w:rsidR="00FE136E" w:rsidRPr="001701E6">
        <w:rPr>
          <w:rFonts w:ascii="Arial" w:hAnsi="Arial" w:cs="Arial"/>
          <w:lang w:val="en-US"/>
        </w:rPr>
        <w:t>; instead,</w:t>
      </w:r>
      <w:r w:rsidR="009E717D" w:rsidRPr="001701E6">
        <w:rPr>
          <w:rFonts w:ascii="Arial" w:hAnsi="Arial" w:cs="Arial"/>
          <w:lang w:val="en-US"/>
        </w:rPr>
        <w:t xml:space="preserve"> they need a radical evolution of the material itself to </w:t>
      </w:r>
      <w:r w:rsidR="00FE136E" w:rsidRPr="001701E6">
        <w:rPr>
          <w:rFonts w:ascii="Arial" w:hAnsi="Arial" w:cs="Arial"/>
          <w:lang w:val="en-US"/>
        </w:rPr>
        <w:t>fulfil</w:t>
      </w:r>
      <w:r w:rsidR="009E717D" w:rsidRPr="001701E6">
        <w:rPr>
          <w:rFonts w:ascii="Arial" w:hAnsi="Arial" w:cs="Arial"/>
          <w:lang w:val="en-US"/>
        </w:rPr>
        <w:t xml:space="preserve"> the mandates of scope 3 environmental compliance. Tata Ste</w:t>
      </w:r>
      <w:r w:rsidR="00C57D93" w:rsidRPr="001701E6">
        <w:rPr>
          <w:rFonts w:ascii="Arial" w:hAnsi="Arial" w:cs="Arial"/>
          <w:lang w:val="en-US"/>
        </w:rPr>
        <w:t xml:space="preserve">el has addressed this demand using the deployment of its </w:t>
      </w:r>
      <w:proofErr w:type="spellStart"/>
      <w:r w:rsidR="00C57D93" w:rsidRPr="001701E6">
        <w:rPr>
          <w:rFonts w:ascii="Arial" w:hAnsi="Arial" w:cs="Arial"/>
          <w:i/>
          <w:iCs/>
          <w:lang w:val="en-US"/>
        </w:rPr>
        <w:t>Zeremis</w:t>
      </w:r>
      <w:proofErr w:type="spellEnd"/>
      <w:r w:rsidR="00C57D93" w:rsidRPr="001701E6">
        <w:rPr>
          <w:rFonts w:ascii="Arial" w:hAnsi="Arial" w:cs="Arial"/>
          <w:i/>
          <w:iCs/>
          <w:lang w:val="en-US"/>
        </w:rPr>
        <w:t xml:space="preserve"> Carbon Lite </w:t>
      </w:r>
      <w:r w:rsidR="00C57D93" w:rsidRPr="001701E6">
        <w:rPr>
          <w:rFonts w:ascii="Arial" w:hAnsi="Arial" w:cs="Arial"/>
          <w:lang w:val="en-US"/>
        </w:rPr>
        <w:t xml:space="preserve">brand, which offers about </w:t>
      </w:r>
      <w:r w:rsidR="00CD0372" w:rsidRPr="001701E6">
        <w:rPr>
          <w:rFonts w:ascii="Arial" w:hAnsi="Arial" w:cs="Arial"/>
          <w:lang w:val="en-US"/>
        </w:rPr>
        <w:t>100</w:t>
      </w:r>
      <w:r w:rsidR="00C57D93" w:rsidRPr="001701E6">
        <w:rPr>
          <w:rFonts w:ascii="Arial" w:hAnsi="Arial" w:cs="Arial"/>
          <w:lang w:val="en-US"/>
        </w:rPr>
        <w:t>% decrease in the intensity of the carbon in comparison to the conventional hot-rolled coil steel</w:t>
      </w:r>
      <w:r w:rsidR="00CD0372" w:rsidRPr="001701E6">
        <w:rPr>
          <w:rFonts w:ascii="Arial" w:hAnsi="Arial" w:cs="Arial"/>
          <w:lang w:val="en-US"/>
        </w:rPr>
        <w:t xml:space="preserve"> (</w:t>
      </w:r>
      <w:r w:rsidR="00CD0372" w:rsidRPr="001701E6">
        <w:rPr>
          <w:rFonts w:ascii="Arial" w:hAnsi="Arial" w:cs="Arial"/>
        </w:rPr>
        <w:t>Tata Steel, 2022</w:t>
      </w:r>
      <w:r w:rsidR="00CD0372" w:rsidRPr="001701E6">
        <w:rPr>
          <w:rFonts w:ascii="Arial" w:hAnsi="Arial" w:cs="Arial"/>
          <w:lang w:val="en-US"/>
        </w:rPr>
        <w:t>)</w:t>
      </w:r>
      <w:r w:rsidR="00C57D93" w:rsidRPr="001701E6">
        <w:rPr>
          <w:rFonts w:ascii="Arial" w:hAnsi="Arial" w:cs="Arial"/>
          <w:lang w:val="en-US"/>
        </w:rPr>
        <w:t xml:space="preserve">. As the product is incorporated directly into the existing press shops and industrial manufacturing lines, it offers low disruption in switching for the </w:t>
      </w:r>
      <w:r w:rsidR="009A1834" w:rsidRPr="001701E6">
        <w:rPr>
          <w:rFonts w:ascii="Arial" w:hAnsi="Arial" w:cs="Arial"/>
          <w:lang w:val="en-US"/>
        </w:rPr>
        <w:t>client</w:t>
      </w:r>
      <w:r w:rsidR="00C57D93" w:rsidRPr="001701E6">
        <w:rPr>
          <w:rFonts w:ascii="Arial" w:hAnsi="Arial" w:cs="Arial"/>
          <w:lang w:val="en-US"/>
        </w:rPr>
        <w:t xml:space="preserve"> while introducing a whole new value proposition. </w:t>
      </w:r>
      <w:r w:rsidR="00FD4D6D" w:rsidRPr="001701E6">
        <w:rPr>
          <w:rFonts w:ascii="Arial" w:hAnsi="Arial" w:cs="Arial"/>
          <w:lang w:val="en-US"/>
        </w:rPr>
        <w:t>By focusing on Product Development, Tata Steel uses its existing B2B</w:t>
      </w:r>
      <w:r w:rsidR="005619BB" w:rsidRPr="001701E6">
        <w:rPr>
          <w:rFonts w:ascii="Arial" w:hAnsi="Arial" w:cs="Arial"/>
          <w:lang w:val="en-US"/>
        </w:rPr>
        <w:t xml:space="preserve"> distribution networks, contractual relationships and technical account managers, which dramatically decreases the structural risks that </w:t>
      </w:r>
      <w:r w:rsidR="00FE136E" w:rsidRPr="001701E6">
        <w:rPr>
          <w:rFonts w:ascii="Arial" w:hAnsi="Arial" w:cs="Arial"/>
          <w:lang w:val="en-US"/>
        </w:rPr>
        <w:t xml:space="preserve">are </w:t>
      </w:r>
      <w:r w:rsidR="005619BB" w:rsidRPr="001701E6">
        <w:rPr>
          <w:rFonts w:ascii="Arial" w:hAnsi="Arial" w:cs="Arial"/>
          <w:lang w:val="en-US"/>
        </w:rPr>
        <w:t xml:space="preserve">typically related </w:t>
      </w:r>
      <w:r w:rsidR="00FE136E" w:rsidRPr="001701E6">
        <w:rPr>
          <w:rFonts w:ascii="Arial" w:hAnsi="Arial" w:cs="Arial"/>
          <w:lang w:val="en-US"/>
        </w:rPr>
        <w:lastRenderedPageBreak/>
        <w:t>to</w:t>
      </w:r>
      <w:r w:rsidR="005619BB" w:rsidRPr="001701E6">
        <w:rPr>
          <w:rFonts w:ascii="Arial" w:hAnsi="Arial" w:cs="Arial"/>
          <w:lang w:val="en-US"/>
        </w:rPr>
        <w:t xml:space="preserve"> market expansion. This approach effectively shifts </w:t>
      </w:r>
      <w:proofErr w:type="gramStart"/>
      <w:r w:rsidR="005619BB" w:rsidRPr="001701E6">
        <w:rPr>
          <w:rFonts w:ascii="Arial" w:hAnsi="Arial" w:cs="Arial"/>
          <w:lang w:val="en-US"/>
        </w:rPr>
        <w:t>an operational</w:t>
      </w:r>
      <w:proofErr w:type="gramEnd"/>
      <w:r w:rsidR="005619BB" w:rsidRPr="001701E6">
        <w:rPr>
          <w:rFonts w:ascii="Arial" w:hAnsi="Arial" w:cs="Arial"/>
          <w:lang w:val="en-US"/>
        </w:rPr>
        <w:t xml:space="preserve"> responsibility (the requirement to remove blast furnaces) into a commercial product offering. </w:t>
      </w:r>
    </w:p>
    <w:p w14:paraId="4A7F021A" w14:textId="2FC31905" w:rsidR="005619BB" w:rsidRPr="001701E6" w:rsidRDefault="005619BB" w:rsidP="001701E6">
      <w:pPr>
        <w:pStyle w:val="Heading3"/>
        <w:spacing w:line="360" w:lineRule="auto"/>
        <w:rPr>
          <w:rFonts w:ascii="Arial" w:hAnsi="Arial" w:cs="Arial"/>
          <w:szCs w:val="24"/>
          <w:lang w:val="en-US"/>
        </w:rPr>
      </w:pPr>
      <w:bookmarkStart w:id="14" w:name="_Toc233236558"/>
      <w:r w:rsidRPr="001701E6">
        <w:rPr>
          <w:rFonts w:ascii="Arial" w:hAnsi="Arial" w:cs="Arial"/>
          <w:szCs w:val="24"/>
          <w:lang w:val="en-US"/>
        </w:rPr>
        <w:t>Secondary Strategy: Diversification</w:t>
      </w:r>
      <w:bookmarkEnd w:id="14"/>
      <w:r w:rsidRPr="001701E6">
        <w:rPr>
          <w:rFonts w:ascii="Arial" w:hAnsi="Arial" w:cs="Arial"/>
          <w:szCs w:val="24"/>
          <w:lang w:val="en-US"/>
        </w:rPr>
        <w:t xml:space="preserve"> </w:t>
      </w:r>
    </w:p>
    <w:p w14:paraId="62C368D1" w14:textId="55BAF166" w:rsidR="00A83F9B" w:rsidRPr="001701E6" w:rsidRDefault="000E2BC9" w:rsidP="001701E6">
      <w:pPr>
        <w:spacing w:line="360" w:lineRule="auto"/>
        <w:rPr>
          <w:rFonts w:ascii="Arial" w:hAnsi="Arial" w:cs="Arial"/>
          <w:lang w:val="en-US"/>
        </w:rPr>
      </w:pPr>
      <w:r w:rsidRPr="001701E6">
        <w:rPr>
          <w:rFonts w:ascii="Arial" w:hAnsi="Arial" w:cs="Arial"/>
          <w:lang w:val="en-US"/>
        </w:rPr>
        <w:t xml:space="preserve">Concurrently, Tata Steel need to engage in vertical diversification- introducing whole new products into the previously unexploited market regions, to secure its clean energy supply chains. By </w:t>
      </w:r>
      <w:r w:rsidR="00FE136E" w:rsidRPr="001701E6">
        <w:rPr>
          <w:rFonts w:ascii="Arial" w:hAnsi="Arial" w:cs="Arial"/>
          <w:lang w:val="en-US"/>
        </w:rPr>
        <w:t>establishing</w:t>
      </w:r>
      <w:r w:rsidRPr="001701E6">
        <w:rPr>
          <w:rFonts w:ascii="Arial" w:hAnsi="Arial" w:cs="Arial"/>
          <w:lang w:val="en-US"/>
        </w:rPr>
        <w:t xml:space="preserve"> the </w:t>
      </w:r>
      <w:proofErr w:type="spellStart"/>
      <w:r w:rsidR="00FE136E" w:rsidRPr="001701E6">
        <w:rPr>
          <w:rFonts w:ascii="Arial" w:hAnsi="Arial" w:cs="Arial"/>
          <w:lang w:val="en-US"/>
        </w:rPr>
        <w:t>localised</w:t>
      </w:r>
      <w:proofErr w:type="spellEnd"/>
      <w:r w:rsidRPr="001701E6">
        <w:rPr>
          <w:rFonts w:ascii="Arial" w:hAnsi="Arial" w:cs="Arial"/>
          <w:lang w:val="en-US"/>
        </w:rPr>
        <w:t xml:space="preserve"> joint ventures in industrial green hydrogen production and </w:t>
      </w:r>
      <w:proofErr w:type="spellStart"/>
      <w:r w:rsidR="00FE136E" w:rsidRPr="001701E6">
        <w:rPr>
          <w:rFonts w:ascii="Arial" w:hAnsi="Arial" w:cs="Arial"/>
          <w:lang w:val="en-US"/>
        </w:rPr>
        <w:t>commercialising</w:t>
      </w:r>
      <w:proofErr w:type="spellEnd"/>
      <w:r w:rsidRPr="001701E6">
        <w:rPr>
          <w:rFonts w:ascii="Arial" w:hAnsi="Arial" w:cs="Arial"/>
          <w:lang w:val="en-US"/>
        </w:rPr>
        <w:t xml:space="preserve"> circular scrap-metal recycling </w:t>
      </w:r>
      <w:r w:rsidR="00470EE8" w:rsidRPr="001701E6">
        <w:rPr>
          <w:rFonts w:ascii="Arial" w:hAnsi="Arial" w:cs="Arial"/>
          <w:lang w:val="en-US"/>
        </w:rPr>
        <w:t>aggregators</w:t>
      </w:r>
      <w:r w:rsidRPr="001701E6">
        <w:rPr>
          <w:rFonts w:ascii="Arial" w:hAnsi="Arial" w:cs="Arial"/>
          <w:lang w:val="en-US"/>
        </w:rPr>
        <w:t xml:space="preserve">, the </w:t>
      </w:r>
      <w:proofErr w:type="spellStart"/>
      <w:r w:rsidRPr="001701E6">
        <w:rPr>
          <w:rFonts w:ascii="Arial" w:hAnsi="Arial" w:cs="Arial"/>
          <w:lang w:val="en-US"/>
        </w:rPr>
        <w:t>organisation</w:t>
      </w:r>
      <w:proofErr w:type="spellEnd"/>
      <w:r w:rsidRPr="001701E6">
        <w:rPr>
          <w:rFonts w:ascii="Arial" w:hAnsi="Arial" w:cs="Arial"/>
          <w:lang w:val="en-US"/>
        </w:rPr>
        <w:t xml:space="preserve"> moves beyond traditional raw iron ore smelting. This dual-matrix approach is used to </w:t>
      </w:r>
      <w:proofErr w:type="spellStart"/>
      <w:r w:rsidR="00FE136E" w:rsidRPr="001701E6">
        <w:rPr>
          <w:rFonts w:ascii="Arial" w:hAnsi="Arial" w:cs="Arial"/>
          <w:lang w:val="en-US"/>
        </w:rPr>
        <w:t>stabilise</w:t>
      </w:r>
      <w:proofErr w:type="spellEnd"/>
      <w:r w:rsidRPr="001701E6">
        <w:rPr>
          <w:rFonts w:ascii="Arial" w:hAnsi="Arial" w:cs="Arial"/>
          <w:lang w:val="en-US"/>
        </w:rPr>
        <w:t xml:space="preserve"> its internal production needs while developing speculative B2B revenue streams in the expanding clean technology sector. </w:t>
      </w:r>
    </w:p>
    <w:p w14:paraId="739B916F" w14:textId="4E35324D" w:rsidR="00432282" w:rsidRPr="001701E6" w:rsidRDefault="00470EE8" w:rsidP="001701E6">
      <w:pPr>
        <w:pStyle w:val="Heading2"/>
        <w:spacing w:line="360" w:lineRule="auto"/>
        <w:rPr>
          <w:rFonts w:ascii="Arial" w:hAnsi="Arial" w:cs="Arial"/>
          <w:szCs w:val="24"/>
        </w:rPr>
      </w:pPr>
      <w:bookmarkStart w:id="15" w:name="_Toc233236559"/>
      <w:r w:rsidRPr="001701E6">
        <w:rPr>
          <w:rFonts w:ascii="Arial" w:hAnsi="Arial" w:cs="Arial"/>
          <w:szCs w:val="24"/>
        </w:rPr>
        <w:t>Competitive Positioning through Porter’s Generic Strategies</w:t>
      </w:r>
      <w:bookmarkEnd w:id="15"/>
    </w:p>
    <w:p w14:paraId="30606C58" w14:textId="559D5C3A" w:rsidR="00470EE8" w:rsidRPr="001701E6" w:rsidRDefault="00470EE8" w:rsidP="001701E6">
      <w:pPr>
        <w:spacing w:line="360" w:lineRule="auto"/>
        <w:rPr>
          <w:rFonts w:ascii="Arial" w:hAnsi="Arial" w:cs="Arial"/>
        </w:rPr>
      </w:pPr>
      <w:r w:rsidRPr="001701E6">
        <w:rPr>
          <w:rFonts w:ascii="Arial" w:hAnsi="Arial" w:cs="Arial"/>
        </w:rPr>
        <w:t xml:space="preserve">Michael Porter has presented that sustainable competitive rivalries </w:t>
      </w:r>
      <w:r w:rsidR="00FE136E" w:rsidRPr="001701E6">
        <w:rPr>
          <w:rFonts w:ascii="Arial" w:hAnsi="Arial" w:cs="Arial"/>
        </w:rPr>
        <w:t xml:space="preserve">are </w:t>
      </w:r>
      <w:r w:rsidRPr="001701E6">
        <w:rPr>
          <w:rFonts w:ascii="Arial" w:hAnsi="Arial" w:cs="Arial"/>
        </w:rPr>
        <w:t xml:space="preserve">achieved using either differentiation, cost leadership or a focus strategy. As the metal industry bifurcates into the </w:t>
      </w:r>
      <w:r w:rsidR="00FE136E" w:rsidRPr="001701E6">
        <w:rPr>
          <w:rFonts w:ascii="Arial" w:hAnsi="Arial" w:cs="Arial"/>
        </w:rPr>
        <w:t>high-carbon</w:t>
      </w:r>
      <w:r w:rsidRPr="001701E6">
        <w:rPr>
          <w:rFonts w:ascii="Arial" w:hAnsi="Arial" w:cs="Arial"/>
        </w:rPr>
        <w:t xml:space="preserve"> commodity steel and </w:t>
      </w:r>
      <w:r w:rsidR="00FE136E" w:rsidRPr="001701E6">
        <w:rPr>
          <w:rFonts w:ascii="Arial" w:hAnsi="Arial" w:cs="Arial"/>
        </w:rPr>
        <w:t>low-carbon</w:t>
      </w:r>
      <w:r w:rsidRPr="001701E6">
        <w:rPr>
          <w:rFonts w:ascii="Arial" w:hAnsi="Arial" w:cs="Arial"/>
        </w:rPr>
        <w:t xml:space="preserve"> premium alternatives, the historical dependence of Tata Steel on scaled cost economies is no longer viable in the highly regulated areas</w:t>
      </w:r>
      <w:r w:rsidR="00CD0372" w:rsidRPr="001701E6">
        <w:rPr>
          <w:rFonts w:ascii="Arial" w:hAnsi="Arial" w:cs="Arial"/>
        </w:rPr>
        <w:t xml:space="preserve"> </w:t>
      </w:r>
      <w:proofErr w:type="gramStart"/>
      <w:r w:rsidR="00CD0372" w:rsidRPr="001701E6">
        <w:rPr>
          <w:rFonts w:ascii="Arial" w:hAnsi="Arial" w:cs="Arial"/>
        </w:rPr>
        <w:t>(</w:t>
      </w:r>
      <w:r w:rsidR="00CD0372" w:rsidRPr="001701E6">
        <w:rPr>
          <w:rFonts w:ascii="Arial" w:hAnsi="Arial" w:cs="Arial"/>
        </w:rPr>
        <w:t xml:space="preserve"> Tata</w:t>
      </w:r>
      <w:proofErr w:type="gramEnd"/>
      <w:r w:rsidR="00CD0372" w:rsidRPr="001701E6">
        <w:rPr>
          <w:rFonts w:ascii="Arial" w:hAnsi="Arial" w:cs="Arial"/>
        </w:rPr>
        <w:t xml:space="preserve"> Steel, 2026b</w:t>
      </w:r>
      <w:r w:rsidR="00CD0372" w:rsidRPr="001701E6">
        <w:rPr>
          <w:rFonts w:ascii="Arial" w:hAnsi="Arial" w:cs="Arial"/>
        </w:rPr>
        <w:t>)</w:t>
      </w:r>
      <w:r w:rsidRPr="001701E6">
        <w:rPr>
          <w:rFonts w:ascii="Arial" w:hAnsi="Arial" w:cs="Arial"/>
        </w:rPr>
        <w:t>.</w:t>
      </w:r>
    </w:p>
    <w:p w14:paraId="39C162AF" w14:textId="3DC96D77" w:rsidR="00470EE8" w:rsidRPr="001701E6" w:rsidRDefault="00470EE8" w:rsidP="001701E6">
      <w:pPr>
        <w:pStyle w:val="Heading3"/>
        <w:spacing w:line="360" w:lineRule="auto"/>
        <w:rPr>
          <w:rFonts w:ascii="Arial" w:hAnsi="Arial" w:cs="Arial"/>
          <w:szCs w:val="24"/>
        </w:rPr>
      </w:pPr>
      <w:bookmarkStart w:id="16" w:name="_Toc233236560"/>
      <w:r w:rsidRPr="001701E6">
        <w:rPr>
          <w:rFonts w:ascii="Arial" w:hAnsi="Arial" w:cs="Arial"/>
          <w:szCs w:val="24"/>
        </w:rPr>
        <w:t>Shifting from the Cost leadership to the Focused differentiation</w:t>
      </w:r>
      <w:bookmarkEnd w:id="16"/>
    </w:p>
    <w:p w14:paraId="710CDDC6" w14:textId="2DC83E4F" w:rsidR="00470EE8" w:rsidRPr="001701E6" w:rsidRDefault="00FE136E" w:rsidP="001701E6">
      <w:pPr>
        <w:spacing w:line="360" w:lineRule="auto"/>
        <w:rPr>
          <w:rFonts w:ascii="Arial" w:hAnsi="Arial" w:cs="Arial"/>
        </w:rPr>
      </w:pPr>
      <w:r w:rsidRPr="001701E6">
        <w:rPr>
          <w:rFonts w:ascii="Arial" w:hAnsi="Arial" w:cs="Arial"/>
        </w:rPr>
        <w:t>Historically</w:t>
      </w:r>
      <w:r w:rsidR="00470EE8" w:rsidRPr="001701E6">
        <w:rPr>
          <w:rFonts w:ascii="Arial" w:hAnsi="Arial" w:cs="Arial"/>
        </w:rPr>
        <w:t>, the global steel marketing operated on the matrix of cost leadership, in which the profitability relies on processing scale, cheap metallurgical coal and energy accessibility</w:t>
      </w:r>
      <w:r w:rsidR="00CD0372" w:rsidRPr="001701E6">
        <w:rPr>
          <w:rFonts w:ascii="Arial" w:hAnsi="Arial" w:cs="Arial"/>
        </w:rPr>
        <w:t xml:space="preserve"> (</w:t>
      </w:r>
      <w:r w:rsidR="00CD0372" w:rsidRPr="001701E6">
        <w:rPr>
          <w:rFonts w:ascii="Arial" w:hAnsi="Arial" w:cs="Arial"/>
        </w:rPr>
        <w:t>Federal Steel Supply, 2025</w:t>
      </w:r>
      <w:r w:rsidR="00CD0372" w:rsidRPr="001701E6">
        <w:rPr>
          <w:rFonts w:ascii="Arial" w:hAnsi="Arial" w:cs="Arial"/>
        </w:rPr>
        <w:t>)</w:t>
      </w:r>
      <w:r w:rsidR="00470EE8" w:rsidRPr="001701E6">
        <w:rPr>
          <w:rFonts w:ascii="Arial" w:hAnsi="Arial" w:cs="Arial"/>
        </w:rPr>
        <w:t xml:space="preserve">. Meanwhile, the introduction of the carbon border adjustment and the capital expenditure needed to develop the modern Electric Arc Furnaces (EAF) make </w:t>
      </w:r>
      <w:r w:rsidRPr="001701E6">
        <w:rPr>
          <w:rFonts w:ascii="Arial" w:hAnsi="Arial" w:cs="Arial"/>
        </w:rPr>
        <w:t>low-cost</w:t>
      </w:r>
      <w:r w:rsidR="00470EE8" w:rsidRPr="001701E6">
        <w:rPr>
          <w:rFonts w:ascii="Arial" w:hAnsi="Arial" w:cs="Arial"/>
        </w:rPr>
        <w:t xml:space="preserve"> leadership impossible during the phase of green transition. </w:t>
      </w:r>
    </w:p>
    <w:p w14:paraId="0CEB0B50" w14:textId="77777777" w:rsidR="00470EE8" w:rsidRPr="001701E6" w:rsidRDefault="00470EE8" w:rsidP="001701E6">
      <w:pPr>
        <w:keepNext/>
        <w:spacing w:line="360" w:lineRule="auto"/>
        <w:jc w:val="center"/>
        <w:rPr>
          <w:rFonts w:ascii="Arial" w:hAnsi="Arial" w:cs="Arial"/>
        </w:rPr>
      </w:pPr>
      <w:r w:rsidRPr="001701E6">
        <w:rPr>
          <w:rFonts w:ascii="Arial" w:hAnsi="Arial" w:cs="Arial"/>
          <w:noProof/>
          <w:lang w:val="en-US"/>
        </w:rPr>
        <w:lastRenderedPageBreak/>
        <w:drawing>
          <wp:inline distT="0" distB="0" distL="0" distR="0" wp14:anchorId="0297D25B" wp14:editId="4F4841BA">
            <wp:extent cx="4413250" cy="2533650"/>
            <wp:effectExtent l="38100" t="0" r="44450" b="0"/>
            <wp:docPr id="179751728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33A6B84" w14:textId="710CE8F9" w:rsidR="00470EE8" w:rsidRPr="001701E6" w:rsidRDefault="00470EE8" w:rsidP="001701E6">
      <w:pPr>
        <w:pStyle w:val="Caption"/>
        <w:spacing w:line="360" w:lineRule="auto"/>
        <w:jc w:val="center"/>
        <w:rPr>
          <w:rFonts w:ascii="Arial" w:hAnsi="Arial" w:cs="Arial"/>
          <w:szCs w:val="24"/>
        </w:rPr>
      </w:pPr>
      <w:r w:rsidRPr="001701E6">
        <w:rPr>
          <w:rFonts w:ascii="Arial" w:hAnsi="Arial" w:cs="Arial"/>
          <w:szCs w:val="24"/>
        </w:rPr>
        <w:t xml:space="preserve">Figure </w:t>
      </w:r>
      <w:r w:rsidRPr="001701E6">
        <w:rPr>
          <w:rFonts w:ascii="Arial" w:hAnsi="Arial" w:cs="Arial"/>
          <w:szCs w:val="24"/>
        </w:rPr>
        <w:fldChar w:fldCharType="begin"/>
      </w:r>
      <w:r w:rsidRPr="001701E6">
        <w:rPr>
          <w:rFonts w:ascii="Arial" w:hAnsi="Arial" w:cs="Arial"/>
          <w:szCs w:val="24"/>
        </w:rPr>
        <w:instrText xml:space="preserve"> SEQ Figure \* ARABIC </w:instrText>
      </w:r>
      <w:r w:rsidRPr="001701E6">
        <w:rPr>
          <w:rFonts w:ascii="Arial" w:hAnsi="Arial" w:cs="Arial"/>
          <w:szCs w:val="24"/>
        </w:rPr>
        <w:fldChar w:fldCharType="separate"/>
      </w:r>
      <w:r w:rsidRPr="001701E6">
        <w:rPr>
          <w:rFonts w:ascii="Arial" w:hAnsi="Arial" w:cs="Arial"/>
          <w:noProof/>
          <w:szCs w:val="24"/>
        </w:rPr>
        <w:t>1</w:t>
      </w:r>
      <w:r w:rsidRPr="001701E6">
        <w:rPr>
          <w:rFonts w:ascii="Arial" w:hAnsi="Arial" w:cs="Arial"/>
          <w:noProof/>
          <w:szCs w:val="24"/>
        </w:rPr>
        <w:fldChar w:fldCharType="end"/>
      </w:r>
      <w:r w:rsidRPr="001701E6">
        <w:rPr>
          <w:rFonts w:ascii="Arial" w:hAnsi="Arial" w:cs="Arial"/>
          <w:szCs w:val="24"/>
        </w:rPr>
        <w:t>: Transition from the cost leadership to the focused differentiation</w:t>
      </w:r>
    </w:p>
    <w:p w14:paraId="5236B113" w14:textId="220E5583" w:rsidR="00470EE8" w:rsidRPr="001701E6" w:rsidRDefault="00470EE8" w:rsidP="001701E6">
      <w:pPr>
        <w:spacing w:line="360" w:lineRule="auto"/>
        <w:jc w:val="center"/>
        <w:rPr>
          <w:rFonts w:ascii="Arial" w:hAnsi="Arial" w:cs="Arial"/>
          <w:lang w:val="en-US"/>
        </w:rPr>
      </w:pPr>
      <w:r w:rsidRPr="001701E6">
        <w:rPr>
          <w:rFonts w:ascii="Arial" w:hAnsi="Arial" w:cs="Arial"/>
          <w:lang w:val="en-US"/>
        </w:rPr>
        <w:t>(Source: Author, 2026)</w:t>
      </w:r>
    </w:p>
    <w:p w14:paraId="5CD35285" w14:textId="13D6542F" w:rsidR="00470EE8" w:rsidRPr="001701E6" w:rsidRDefault="00470EE8" w:rsidP="001701E6">
      <w:pPr>
        <w:spacing w:line="360" w:lineRule="auto"/>
        <w:rPr>
          <w:rFonts w:ascii="Arial" w:hAnsi="Arial" w:cs="Arial"/>
          <w:lang w:val="en-US"/>
        </w:rPr>
      </w:pPr>
      <w:r w:rsidRPr="001701E6">
        <w:rPr>
          <w:rFonts w:ascii="Arial" w:hAnsi="Arial" w:cs="Arial"/>
          <w:lang w:val="en-US"/>
        </w:rPr>
        <w:t xml:space="preserve">Consequently, Tata Steel is efficiently pivoting towards </w:t>
      </w:r>
      <w:r w:rsidR="00FE136E" w:rsidRPr="001701E6">
        <w:rPr>
          <w:rFonts w:ascii="Arial" w:hAnsi="Arial" w:cs="Arial"/>
          <w:lang w:val="en-US"/>
        </w:rPr>
        <w:t xml:space="preserve">a </w:t>
      </w:r>
      <w:r w:rsidRPr="001701E6">
        <w:rPr>
          <w:rFonts w:ascii="Arial" w:hAnsi="Arial" w:cs="Arial"/>
          <w:i/>
          <w:iCs/>
          <w:lang w:val="en-US"/>
        </w:rPr>
        <w:t xml:space="preserve">focused differentiation </w:t>
      </w:r>
      <w:r w:rsidRPr="001701E6">
        <w:rPr>
          <w:rFonts w:ascii="Arial" w:hAnsi="Arial" w:cs="Arial"/>
          <w:lang w:val="en-US"/>
        </w:rPr>
        <w:t xml:space="preserve">strategy. Under this paradigm, the firm targets a different segment of luxury, eco-conscious B2B consumers, particularly the premium European automotive OEMs and the sustainable construction consortia, who </w:t>
      </w:r>
      <w:r w:rsidR="00FE136E" w:rsidRPr="001701E6">
        <w:rPr>
          <w:rFonts w:ascii="Arial" w:hAnsi="Arial" w:cs="Arial"/>
          <w:lang w:val="en-US"/>
        </w:rPr>
        <w:t>present</w:t>
      </w:r>
      <w:r w:rsidRPr="001701E6">
        <w:rPr>
          <w:rFonts w:ascii="Arial" w:hAnsi="Arial" w:cs="Arial"/>
          <w:lang w:val="en-US"/>
        </w:rPr>
        <w:t xml:space="preserve"> low price sensitivity in the case of </w:t>
      </w:r>
      <w:proofErr w:type="gramStart"/>
      <w:r w:rsidRPr="001701E6">
        <w:rPr>
          <w:rFonts w:ascii="Arial" w:hAnsi="Arial" w:cs="Arial"/>
          <w:lang w:val="en-US"/>
        </w:rPr>
        <w:t>the raw</w:t>
      </w:r>
      <w:proofErr w:type="gramEnd"/>
      <w:r w:rsidRPr="001701E6">
        <w:rPr>
          <w:rFonts w:ascii="Arial" w:hAnsi="Arial" w:cs="Arial"/>
          <w:lang w:val="en-US"/>
        </w:rPr>
        <w:t xml:space="preserve"> materials if it ensures compliance with the regulations and protects the brand equity. Moreover, by differentiating using the verified carbon neutrality, Tata Steel isolates itself from the direct price wars with the lower-cost, high-emission rivals based on weakly regulated market areas. The value proposition moves </w:t>
      </w:r>
      <w:r w:rsidR="00FE136E" w:rsidRPr="001701E6">
        <w:rPr>
          <w:rFonts w:ascii="Arial" w:hAnsi="Arial" w:cs="Arial"/>
          <w:lang w:val="en-US"/>
        </w:rPr>
        <w:t>from</w:t>
      </w:r>
      <w:r w:rsidRPr="001701E6">
        <w:rPr>
          <w:rFonts w:ascii="Arial" w:hAnsi="Arial" w:cs="Arial"/>
          <w:lang w:val="en-US"/>
        </w:rPr>
        <w:t xml:space="preserve"> the ‘price per </w:t>
      </w:r>
      <w:proofErr w:type="spellStart"/>
      <w:r w:rsidRPr="001701E6">
        <w:rPr>
          <w:rFonts w:ascii="Arial" w:hAnsi="Arial" w:cs="Arial"/>
          <w:lang w:val="en-US"/>
        </w:rPr>
        <w:t>tonne</w:t>
      </w:r>
      <w:proofErr w:type="spellEnd"/>
      <w:r w:rsidRPr="001701E6">
        <w:rPr>
          <w:rFonts w:ascii="Arial" w:hAnsi="Arial" w:cs="Arial"/>
          <w:lang w:val="en-US"/>
        </w:rPr>
        <w:t xml:space="preserve">’ to the ‘avoided carbon penalties per </w:t>
      </w:r>
      <w:proofErr w:type="spellStart"/>
      <w:r w:rsidRPr="001701E6">
        <w:rPr>
          <w:rFonts w:ascii="Arial" w:hAnsi="Arial" w:cs="Arial"/>
          <w:lang w:val="en-US"/>
        </w:rPr>
        <w:t>tonne</w:t>
      </w:r>
      <w:proofErr w:type="spellEnd"/>
      <w:r w:rsidRPr="001701E6">
        <w:rPr>
          <w:rFonts w:ascii="Arial" w:hAnsi="Arial" w:cs="Arial"/>
          <w:lang w:val="en-US"/>
        </w:rPr>
        <w:t xml:space="preserve">’, which allows Tata Steel to command the ‘green premium’ prices that </w:t>
      </w:r>
      <w:r w:rsidR="00FE136E" w:rsidRPr="001701E6">
        <w:rPr>
          <w:rFonts w:ascii="Arial" w:hAnsi="Arial" w:cs="Arial"/>
          <w:lang w:val="en-US"/>
        </w:rPr>
        <w:t>offset</w:t>
      </w:r>
      <w:r w:rsidRPr="001701E6">
        <w:rPr>
          <w:rFonts w:ascii="Arial" w:hAnsi="Arial" w:cs="Arial"/>
          <w:lang w:val="en-US"/>
        </w:rPr>
        <w:t xml:space="preserve"> the capital costs of its infrastructure overhauls. </w:t>
      </w:r>
    </w:p>
    <w:p w14:paraId="1E7179B9" w14:textId="403923AA" w:rsidR="00470EE8" w:rsidRPr="001701E6" w:rsidRDefault="00BC4DE9" w:rsidP="001701E6">
      <w:pPr>
        <w:pStyle w:val="Heading2"/>
        <w:spacing w:line="360" w:lineRule="auto"/>
        <w:rPr>
          <w:rFonts w:ascii="Arial" w:hAnsi="Arial" w:cs="Arial"/>
          <w:szCs w:val="24"/>
        </w:rPr>
      </w:pPr>
      <w:bookmarkStart w:id="17" w:name="_Toc233236561"/>
      <w:r w:rsidRPr="001701E6">
        <w:rPr>
          <w:rFonts w:ascii="Arial" w:hAnsi="Arial" w:cs="Arial"/>
          <w:szCs w:val="24"/>
        </w:rPr>
        <w:t>Strategic Trade-Offs and Implementation Challenges</w:t>
      </w:r>
      <w:bookmarkEnd w:id="17"/>
      <w:r w:rsidRPr="001701E6">
        <w:rPr>
          <w:rFonts w:ascii="Arial" w:hAnsi="Arial" w:cs="Arial"/>
          <w:szCs w:val="24"/>
        </w:rPr>
        <w:t xml:space="preserve"> </w:t>
      </w:r>
    </w:p>
    <w:p w14:paraId="6109A288" w14:textId="5116D899" w:rsidR="000B794F" w:rsidRPr="001701E6" w:rsidRDefault="000B794F" w:rsidP="001701E6">
      <w:pPr>
        <w:spacing w:line="360" w:lineRule="auto"/>
        <w:rPr>
          <w:rFonts w:ascii="Arial" w:hAnsi="Arial" w:cs="Arial"/>
        </w:rPr>
      </w:pPr>
      <w:r w:rsidRPr="001701E6">
        <w:rPr>
          <w:rFonts w:ascii="Arial" w:hAnsi="Arial" w:cs="Arial"/>
          <w:lang w:val="en-US"/>
        </w:rPr>
        <w:t xml:space="preserve">The evaluation of data shows that executing a Focused Differentiation Strategy using Product Differentiation </w:t>
      </w:r>
      <w:r w:rsidR="00FE136E" w:rsidRPr="001701E6">
        <w:rPr>
          <w:rFonts w:ascii="Arial" w:hAnsi="Arial" w:cs="Arial"/>
          <w:lang w:val="en-US"/>
        </w:rPr>
        <w:t>presents</w:t>
      </w:r>
      <w:r w:rsidRPr="001701E6">
        <w:rPr>
          <w:rFonts w:ascii="Arial" w:hAnsi="Arial" w:cs="Arial"/>
          <w:lang w:val="en-US"/>
        </w:rPr>
        <w:t xml:space="preserve"> vital frictions in the operations. The decommissioning of heavy blast furnaces, like the multi-million-pound shift at the Port Talbot site, leads to the structural production gap</w:t>
      </w:r>
      <w:r w:rsidR="00672623" w:rsidRPr="001701E6">
        <w:rPr>
          <w:rFonts w:ascii="Arial" w:hAnsi="Arial" w:cs="Arial"/>
          <w:lang w:val="en-US"/>
        </w:rPr>
        <w:t xml:space="preserve"> (</w:t>
      </w:r>
      <w:r w:rsidR="00672623" w:rsidRPr="001701E6">
        <w:rPr>
          <w:rFonts w:ascii="Arial" w:hAnsi="Arial" w:cs="Arial"/>
        </w:rPr>
        <w:t>Tata Steel, 2026</w:t>
      </w:r>
      <w:r w:rsidR="00CD0372" w:rsidRPr="001701E6">
        <w:rPr>
          <w:rFonts w:ascii="Arial" w:hAnsi="Arial" w:cs="Arial"/>
        </w:rPr>
        <w:t>a</w:t>
      </w:r>
      <w:r w:rsidR="00672623" w:rsidRPr="001701E6">
        <w:rPr>
          <w:rFonts w:ascii="Arial" w:hAnsi="Arial" w:cs="Arial"/>
          <w:lang w:val="en-US"/>
        </w:rPr>
        <w:t>)</w:t>
      </w:r>
      <w:r w:rsidRPr="001701E6">
        <w:rPr>
          <w:rFonts w:ascii="Arial" w:hAnsi="Arial" w:cs="Arial"/>
          <w:lang w:val="en-US"/>
        </w:rPr>
        <w:t xml:space="preserve">. </w:t>
      </w:r>
      <w:r w:rsidRPr="001701E6">
        <w:rPr>
          <w:rFonts w:ascii="Arial" w:hAnsi="Arial" w:cs="Arial"/>
        </w:rPr>
        <w:t xml:space="preserve">During the </w:t>
      </w:r>
      <w:r w:rsidR="00FE136E" w:rsidRPr="001701E6">
        <w:rPr>
          <w:rFonts w:ascii="Arial" w:hAnsi="Arial" w:cs="Arial"/>
        </w:rPr>
        <w:t>multi-year</w:t>
      </w:r>
      <w:r w:rsidRPr="001701E6">
        <w:rPr>
          <w:rFonts w:ascii="Arial" w:hAnsi="Arial" w:cs="Arial"/>
        </w:rPr>
        <w:t xml:space="preserve"> construction of replacement Electric Arc Furnaces, Tata Steel faces challenges of importing the </w:t>
      </w:r>
      <w:r w:rsidR="00FE136E" w:rsidRPr="001701E6">
        <w:rPr>
          <w:rFonts w:ascii="Arial" w:hAnsi="Arial" w:cs="Arial"/>
        </w:rPr>
        <w:t>semi-finished</w:t>
      </w:r>
      <w:r w:rsidRPr="001701E6">
        <w:rPr>
          <w:rFonts w:ascii="Arial" w:hAnsi="Arial" w:cs="Arial"/>
        </w:rPr>
        <w:t xml:space="preserve"> steel slabs to feed its downstream mills. This temporary dependence on the cross border logistic presents the form with the disruption and the supply chain and volatile shipping costs, which potentially reduce the margins just as </w:t>
      </w:r>
      <w:proofErr w:type="spellStart"/>
      <w:r w:rsidRPr="001701E6">
        <w:rPr>
          <w:rFonts w:ascii="Arial" w:hAnsi="Arial" w:cs="Arial"/>
        </w:rPr>
        <w:t>CapEx</w:t>
      </w:r>
      <w:proofErr w:type="spellEnd"/>
      <w:r w:rsidRPr="001701E6">
        <w:rPr>
          <w:rFonts w:ascii="Arial" w:hAnsi="Arial" w:cs="Arial"/>
        </w:rPr>
        <w:t xml:space="preserve"> requirements increase. Moreover</w:t>
      </w:r>
      <w:r w:rsidR="00FE136E" w:rsidRPr="001701E6">
        <w:rPr>
          <w:rFonts w:ascii="Arial" w:hAnsi="Arial" w:cs="Arial"/>
        </w:rPr>
        <w:t>,</w:t>
      </w:r>
      <w:r w:rsidRPr="001701E6">
        <w:rPr>
          <w:rFonts w:ascii="Arial" w:hAnsi="Arial" w:cs="Arial"/>
        </w:rPr>
        <w:t xml:space="preserve"> the renewable energy grades fail to extend fast </w:t>
      </w:r>
      <w:r w:rsidRPr="001701E6">
        <w:rPr>
          <w:rFonts w:ascii="Arial" w:hAnsi="Arial" w:cs="Arial"/>
        </w:rPr>
        <w:lastRenderedPageBreak/>
        <w:t xml:space="preserve">enough to offer </w:t>
      </w:r>
      <w:r w:rsidR="00FE136E" w:rsidRPr="001701E6">
        <w:rPr>
          <w:rFonts w:ascii="Arial" w:hAnsi="Arial" w:cs="Arial"/>
        </w:rPr>
        <w:t>affordable</w:t>
      </w:r>
      <w:r w:rsidRPr="001701E6">
        <w:rPr>
          <w:rFonts w:ascii="Arial" w:hAnsi="Arial" w:cs="Arial"/>
        </w:rPr>
        <w:t xml:space="preserve"> green electricity to power these new EAF plants, </w:t>
      </w:r>
      <w:r w:rsidR="00FE136E" w:rsidRPr="001701E6">
        <w:rPr>
          <w:rFonts w:ascii="Arial" w:hAnsi="Arial" w:cs="Arial"/>
        </w:rPr>
        <w:t xml:space="preserve">and </w:t>
      </w:r>
      <w:r w:rsidRPr="001701E6">
        <w:rPr>
          <w:rFonts w:ascii="Arial" w:hAnsi="Arial" w:cs="Arial"/>
        </w:rPr>
        <w:t xml:space="preserve">the differentiated product lines risk being </w:t>
      </w:r>
      <w:r w:rsidR="00FE136E" w:rsidRPr="001701E6">
        <w:rPr>
          <w:rFonts w:ascii="Arial" w:hAnsi="Arial" w:cs="Arial"/>
        </w:rPr>
        <w:t>priced</w:t>
      </w:r>
      <w:r w:rsidRPr="001701E6">
        <w:rPr>
          <w:rFonts w:ascii="Arial" w:hAnsi="Arial" w:cs="Arial"/>
        </w:rPr>
        <w:t xml:space="preserve"> out of the wider market. </w:t>
      </w:r>
      <w:r w:rsidR="00FE136E" w:rsidRPr="001701E6">
        <w:rPr>
          <w:rFonts w:ascii="Arial" w:hAnsi="Arial" w:cs="Arial"/>
        </w:rPr>
        <w:t>Navigating</w:t>
      </w:r>
      <w:r w:rsidRPr="001701E6">
        <w:rPr>
          <w:rFonts w:ascii="Arial" w:hAnsi="Arial" w:cs="Arial"/>
        </w:rPr>
        <w:t xml:space="preserve"> through these </w:t>
      </w:r>
      <w:r w:rsidR="00FE136E" w:rsidRPr="001701E6">
        <w:rPr>
          <w:rFonts w:ascii="Arial" w:hAnsi="Arial" w:cs="Arial"/>
        </w:rPr>
        <w:t>challenges</w:t>
      </w:r>
      <w:r w:rsidRPr="001701E6">
        <w:rPr>
          <w:rFonts w:ascii="Arial" w:hAnsi="Arial" w:cs="Arial"/>
        </w:rPr>
        <w:t xml:space="preserve">, the marketing department of Tata Steel should secure </w:t>
      </w:r>
      <w:r w:rsidR="00FE136E" w:rsidRPr="001701E6">
        <w:rPr>
          <w:rFonts w:ascii="Arial" w:hAnsi="Arial" w:cs="Arial"/>
        </w:rPr>
        <w:t>long-term</w:t>
      </w:r>
      <w:r w:rsidRPr="001701E6">
        <w:rPr>
          <w:rFonts w:ascii="Arial" w:hAnsi="Arial" w:cs="Arial"/>
        </w:rPr>
        <w:t xml:space="preserve">, forward volume contracts with the premium consumers. By rapidly </w:t>
      </w:r>
      <w:r w:rsidR="00FE136E" w:rsidRPr="001701E6">
        <w:rPr>
          <w:rFonts w:ascii="Arial" w:hAnsi="Arial" w:cs="Arial"/>
        </w:rPr>
        <w:t>locking</w:t>
      </w:r>
      <w:r w:rsidRPr="001701E6">
        <w:rPr>
          <w:rFonts w:ascii="Arial" w:hAnsi="Arial" w:cs="Arial"/>
        </w:rPr>
        <w:t xml:space="preserve"> in volume commitments, the company can stabilise the revenue projections and de-risk the huge capital investment which is required for its green transformation. </w:t>
      </w:r>
    </w:p>
    <w:p w14:paraId="0A21C195" w14:textId="008044C5" w:rsidR="000B794F" w:rsidRPr="001701E6" w:rsidRDefault="000B794F" w:rsidP="001701E6">
      <w:pPr>
        <w:spacing w:line="360" w:lineRule="auto"/>
        <w:rPr>
          <w:rFonts w:ascii="Arial" w:hAnsi="Arial" w:cs="Arial"/>
        </w:rPr>
      </w:pPr>
      <w:r w:rsidRPr="001701E6">
        <w:rPr>
          <w:rFonts w:ascii="Arial" w:hAnsi="Arial" w:cs="Arial"/>
        </w:rPr>
        <w:t xml:space="preserve">By </w:t>
      </w:r>
      <w:r w:rsidR="00FE136E" w:rsidRPr="001701E6">
        <w:rPr>
          <w:rFonts w:ascii="Arial" w:hAnsi="Arial" w:cs="Arial"/>
        </w:rPr>
        <w:t>synthesising</w:t>
      </w:r>
      <w:r w:rsidRPr="001701E6">
        <w:rPr>
          <w:rFonts w:ascii="Arial" w:hAnsi="Arial" w:cs="Arial"/>
        </w:rPr>
        <w:t xml:space="preserve"> the product development strategy along with the Ansoff Matrix, with the Focused Differentiation position under Michael Porter's framework, Tata Steel establishes a resilient path towards </w:t>
      </w:r>
      <w:r w:rsidR="00FE136E" w:rsidRPr="001701E6">
        <w:rPr>
          <w:rFonts w:ascii="Arial" w:hAnsi="Arial" w:cs="Arial"/>
        </w:rPr>
        <w:t xml:space="preserve">a </w:t>
      </w:r>
      <w:r w:rsidRPr="001701E6">
        <w:rPr>
          <w:rFonts w:ascii="Arial" w:hAnsi="Arial" w:cs="Arial"/>
        </w:rPr>
        <w:t xml:space="preserve">sustainable and </w:t>
      </w:r>
      <w:r w:rsidR="00FE136E" w:rsidRPr="001701E6">
        <w:rPr>
          <w:rFonts w:ascii="Arial" w:hAnsi="Arial" w:cs="Arial"/>
        </w:rPr>
        <w:t>low-carbon</w:t>
      </w:r>
      <w:r w:rsidRPr="001701E6">
        <w:rPr>
          <w:rFonts w:ascii="Arial" w:hAnsi="Arial" w:cs="Arial"/>
        </w:rPr>
        <w:t xml:space="preserve"> business model. It is </w:t>
      </w:r>
      <w:r w:rsidR="00FE136E" w:rsidRPr="001701E6">
        <w:rPr>
          <w:rFonts w:ascii="Arial" w:hAnsi="Arial" w:cs="Arial"/>
        </w:rPr>
        <w:t xml:space="preserve">an </w:t>
      </w:r>
      <w:r w:rsidRPr="001701E6">
        <w:rPr>
          <w:rFonts w:ascii="Arial" w:hAnsi="Arial" w:cs="Arial"/>
        </w:rPr>
        <w:t xml:space="preserve">integrated approach </w:t>
      </w:r>
      <w:r w:rsidR="00FE136E" w:rsidRPr="001701E6">
        <w:rPr>
          <w:rFonts w:ascii="Arial" w:hAnsi="Arial" w:cs="Arial"/>
        </w:rPr>
        <w:t xml:space="preserve">that </w:t>
      </w:r>
      <w:r w:rsidRPr="001701E6">
        <w:rPr>
          <w:rFonts w:ascii="Arial" w:hAnsi="Arial" w:cs="Arial"/>
        </w:rPr>
        <w:t xml:space="preserve">ensures that the compliance towards the environment is treated not as the operational cost </w:t>
      </w:r>
      <w:r w:rsidR="00FE136E" w:rsidRPr="001701E6">
        <w:rPr>
          <w:rFonts w:ascii="Arial" w:hAnsi="Arial" w:cs="Arial"/>
        </w:rPr>
        <w:t>centre</w:t>
      </w:r>
      <w:r w:rsidRPr="001701E6">
        <w:rPr>
          <w:rFonts w:ascii="Arial" w:hAnsi="Arial" w:cs="Arial"/>
        </w:rPr>
        <w:t xml:space="preserve">, but as the major driver of commercial differentiation and customer lock-in. </w:t>
      </w:r>
    </w:p>
    <w:p w14:paraId="5A5D1E37" w14:textId="6798D035" w:rsidR="000B794F" w:rsidRPr="001701E6" w:rsidRDefault="000B794F" w:rsidP="001701E6">
      <w:pPr>
        <w:pStyle w:val="Heading1"/>
        <w:spacing w:line="360" w:lineRule="auto"/>
        <w:rPr>
          <w:rFonts w:ascii="Arial" w:hAnsi="Arial" w:cs="Arial"/>
          <w:szCs w:val="24"/>
        </w:rPr>
      </w:pPr>
      <w:bookmarkStart w:id="18" w:name="_Toc233236562"/>
      <w:r w:rsidRPr="001701E6">
        <w:rPr>
          <w:rFonts w:ascii="Arial" w:hAnsi="Arial" w:cs="Arial"/>
          <w:szCs w:val="24"/>
        </w:rPr>
        <w:t>Task 3</w:t>
      </w:r>
      <w:proofErr w:type="gramStart"/>
      <w:r w:rsidRPr="001701E6">
        <w:rPr>
          <w:rFonts w:ascii="Arial" w:hAnsi="Arial" w:cs="Arial"/>
          <w:szCs w:val="24"/>
        </w:rPr>
        <w:t>:  Critical</w:t>
      </w:r>
      <w:proofErr w:type="gramEnd"/>
      <w:r w:rsidRPr="001701E6">
        <w:rPr>
          <w:rFonts w:ascii="Arial" w:hAnsi="Arial" w:cs="Arial"/>
          <w:szCs w:val="24"/>
        </w:rPr>
        <w:t xml:space="preserve"> Reflection on AI Usage</w:t>
      </w:r>
      <w:bookmarkEnd w:id="18"/>
      <w:r w:rsidRPr="001701E6">
        <w:rPr>
          <w:rFonts w:ascii="Arial" w:hAnsi="Arial" w:cs="Arial"/>
          <w:szCs w:val="24"/>
        </w:rPr>
        <w:t xml:space="preserve"> </w:t>
      </w:r>
    </w:p>
    <w:p w14:paraId="63FA4EF8" w14:textId="6B1A1768" w:rsidR="000B794F" w:rsidRPr="001701E6" w:rsidRDefault="00930482" w:rsidP="001701E6">
      <w:pPr>
        <w:pStyle w:val="Heading2"/>
        <w:spacing w:line="360" w:lineRule="auto"/>
        <w:rPr>
          <w:rFonts w:ascii="Arial" w:hAnsi="Arial" w:cs="Arial"/>
          <w:szCs w:val="24"/>
        </w:rPr>
      </w:pPr>
      <w:bookmarkStart w:id="19" w:name="_Toc233236563"/>
      <w:r w:rsidRPr="001701E6">
        <w:rPr>
          <w:rFonts w:ascii="Arial" w:hAnsi="Arial" w:cs="Arial"/>
          <w:szCs w:val="24"/>
        </w:rPr>
        <w:t>Tool disclosure</w:t>
      </w:r>
      <w:bookmarkEnd w:id="19"/>
      <w:r w:rsidRPr="001701E6">
        <w:rPr>
          <w:rFonts w:ascii="Arial" w:hAnsi="Arial" w:cs="Arial"/>
          <w:szCs w:val="24"/>
        </w:rPr>
        <w:t xml:space="preserve"> </w:t>
      </w:r>
    </w:p>
    <w:p w14:paraId="537056EC" w14:textId="733CA9C1" w:rsidR="00930482" w:rsidRPr="001701E6" w:rsidRDefault="00930482" w:rsidP="001701E6">
      <w:pPr>
        <w:spacing w:line="360" w:lineRule="auto"/>
        <w:rPr>
          <w:rFonts w:ascii="Arial" w:hAnsi="Arial" w:cs="Arial"/>
        </w:rPr>
      </w:pPr>
      <w:r w:rsidRPr="001701E6">
        <w:rPr>
          <w:rFonts w:ascii="Arial" w:hAnsi="Arial" w:cs="Arial"/>
        </w:rPr>
        <w:t xml:space="preserve">As per the assessment guidelines for module LCMB7024, generative AI was integrated strictly as </w:t>
      </w:r>
      <w:r w:rsidR="00FE136E" w:rsidRPr="001701E6">
        <w:rPr>
          <w:rFonts w:ascii="Arial" w:hAnsi="Arial" w:cs="Arial"/>
        </w:rPr>
        <w:t>an</w:t>
      </w:r>
      <w:r w:rsidRPr="001701E6">
        <w:rPr>
          <w:rFonts w:ascii="Arial" w:hAnsi="Arial" w:cs="Arial"/>
        </w:rPr>
        <w:t xml:space="preserve"> interactive research and proofreading assistant. I have used the large language models to rapidly query, scan and summarise the extensive literature on the industry</w:t>
      </w:r>
      <w:r w:rsidR="00FE136E" w:rsidRPr="001701E6">
        <w:rPr>
          <w:rFonts w:ascii="Arial" w:hAnsi="Arial" w:cs="Arial"/>
        </w:rPr>
        <w:t>,</w:t>
      </w:r>
      <w:r w:rsidRPr="001701E6">
        <w:rPr>
          <w:rFonts w:ascii="Arial" w:hAnsi="Arial" w:cs="Arial"/>
        </w:rPr>
        <w:t xml:space="preserve"> with the major emphasis on the global operations of Tata Steel, along with the investor presentations and sustainable product descriptions. Moreover</w:t>
      </w:r>
      <w:r w:rsidR="00FE136E" w:rsidRPr="001701E6">
        <w:rPr>
          <w:rFonts w:ascii="Arial" w:hAnsi="Arial" w:cs="Arial"/>
        </w:rPr>
        <w:t>,</w:t>
      </w:r>
      <w:r w:rsidRPr="001701E6">
        <w:rPr>
          <w:rFonts w:ascii="Arial" w:hAnsi="Arial" w:cs="Arial"/>
        </w:rPr>
        <w:t xml:space="preserve"> the AI tool was used by me for the later stage proofreading so that I could refine the syntax of the sentence, the typographical discrepancies within the text and ensure objective academic formatting. Moreover</w:t>
      </w:r>
      <w:r w:rsidR="00FE136E" w:rsidRPr="001701E6">
        <w:rPr>
          <w:rFonts w:ascii="Arial" w:hAnsi="Arial" w:cs="Arial"/>
        </w:rPr>
        <w:t>,</w:t>
      </w:r>
      <w:r w:rsidRPr="001701E6">
        <w:rPr>
          <w:rFonts w:ascii="Arial" w:hAnsi="Arial" w:cs="Arial"/>
        </w:rPr>
        <w:t xml:space="preserve"> AI was not permitted to generate the original narrative content, formulate the strategic arguments and dictate the structural outline for this report</w:t>
      </w:r>
      <w:r w:rsidR="00FE136E" w:rsidRPr="001701E6">
        <w:rPr>
          <w:rFonts w:ascii="Arial" w:hAnsi="Arial" w:cs="Arial"/>
        </w:rPr>
        <w:t>;</w:t>
      </w:r>
      <w:r w:rsidRPr="001701E6">
        <w:rPr>
          <w:rFonts w:ascii="Arial" w:hAnsi="Arial" w:cs="Arial"/>
        </w:rPr>
        <w:t xml:space="preserve"> those elements were independently created to maintain the academic integrity </w:t>
      </w:r>
      <w:r w:rsidR="00FE136E" w:rsidRPr="001701E6">
        <w:rPr>
          <w:rFonts w:ascii="Arial" w:hAnsi="Arial" w:cs="Arial"/>
        </w:rPr>
        <w:t>that</w:t>
      </w:r>
      <w:r w:rsidRPr="001701E6">
        <w:rPr>
          <w:rFonts w:ascii="Arial" w:hAnsi="Arial" w:cs="Arial"/>
        </w:rPr>
        <w:t xml:space="preserve"> is required at this level. </w:t>
      </w:r>
    </w:p>
    <w:p w14:paraId="29DE0A1B" w14:textId="620E6B21" w:rsidR="00930482" w:rsidRPr="001701E6" w:rsidRDefault="00930482" w:rsidP="001701E6">
      <w:pPr>
        <w:pStyle w:val="Heading2"/>
        <w:spacing w:line="360" w:lineRule="auto"/>
        <w:rPr>
          <w:rFonts w:ascii="Arial" w:hAnsi="Arial" w:cs="Arial"/>
          <w:szCs w:val="24"/>
        </w:rPr>
      </w:pPr>
      <w:bookmarkStart w:id="20" w:name="_Toc233236564"/>
      <w:r w:rsidRPr="001701E6">
        <w:rPr>
          <w:rFonts w:ascii="Arial" w:hAnsi="Arial" w:cs="Arial"/>
          <w:szCs w:val="24"/>
        </w:rPr>
        <w:t>Critical evaluation of AI output</w:t>
      </w:r>
      <w:bookmarkEnd w:id="20"/>
    </w:p>
    <w:p w14:paraId="2C3D85C4" w14:textId="459BC77B" w:rsidR="00930482" w:rsidRPr="001701E6" w:rsidRDefault="00930482" w:rsidP="001701E6">
      <w:pPr>
        <w:spacing w:line="360" w:lineRule="auto"/>
        <w:rPr>
          <w:rFonts w:ascii="Arial" w:hAnsi="Arial" w:cs="Arial"/>
        </w:rPr>
      </w:pPr>
      <w:r w:rsidRPr="001701E6">
        <w:rPr>
          <w:rFonts w:ascii="Arial" w:hAnsi="Arial" w:cs="Arial"/>
        </w:rPr>
        <w:t xml:space="preserve">I have tried to navigate through the inherent risk of AI hallucinations. The structural timelines, data </w:t>
      </w:r>
      <w:r w:rsidR="00FE136E" w:rsidRPr="001701E6">
        <w:rPr>
          <w:rFonts w:ascii="Arial" w:hAnsi="Arial" w:cs="Arial"/>
        </w:rPr>
        <w:t>points,</w:t>
      </w:r>
      <w:r w:rsidRPr="001701E6">
        <w:rPr>
          <w:rFonts w:ascii="Arial" w:hAnsi="Arial" w:cs="Arial"/>
        </w:rPr>
        <w:t xml:space="preserve"> and corporate </w:t>
      </w:r>
      <w:r w:rsidR="00FE136E" w:rsidRPr="001701E6">
        <w:rPr>
          <w:rFonts w:ascii="Arial" w:hAnsi="Arial" w:cs="Arial"/>
        </w:rPr>
        <w:t>events</w:t>
      </w:r>
      <w:r w:rsidRPr="001701E6">
        <w:rPr>
          <w:rFonts w:ascii="Arial" w:hAnsi="Arial" w:cs="Arial"/>
        </w:rPr>
        <w:t xml:space="preserve"> generated by the </w:t>
      </w:r>
      <w:proofErr w:type="spellStart"/>
      <w:r w:rsidRPr="001701E6">
        <w:rPr>
          <w:rFonts w:ascii="Arial" w:hAnsi="Arial" w:cs="Arial"/>
        </w:rPr>
        <w:t>iis</w:t>
      </w:r>
      <w:proofErr w:type="spellEnd"/>
      <w:r w:rsidRPr="001701E6">
        <w:rPr>
          <w:rFonts w:ascii="Arial" w:hAnsi="Arial" w:cs="Arial"/>
        </w:rPr>
        <w:t xml:space="preserve"> session </w:t>
      </w:r>
      <w:r w:rsidR="00FE136E" w:rsidRPr="001701E6">
        <w:rPr>
          <w:rFonts w:ascii="Arial" w:hAnsi="Arial" w:cs="Arial"/>
        </w:rPr>
        <w:t>were</w:t>
      </w:r>
      <w:r w:rsidRPr="001701E6">
        <w:rPr>
          <w:rFonts w:ascii="Arial" w:hAnsi="Arial" w:cs="Arial"/>
        </w:rPr>
        <w:t xml:space="preserve"> treated as speculative </w:t>
      </w:r>
      <w:r w:rsidR="00FE136E" w:rsidRPr="001701E6">
        <w:rPr>
          <w:rFonts w:ascii="Arial" w:hAnsi="Arial" w:cs="Arial"/>
        </w:rPr>
        <w:t>hypotheses,</w:t>
      </w:r>
      <w:r w:rsidRPr="001701E6">
        <w:rPr>
          <w:rFonts w:ascii="Arial" w:hAnsi="Arial" w:cs="Arial"/>
        </w:rPr>
        <w:t xml:space="preserve"> and I crosscheck it through empirical proof. For instance, when the AI initially synthesised </w:t>
      </w:r>
      <w:r w:rsidR="00FE136E" w:rsidRPr="001701E6">
        <w:rPr>
          <w:rFonts w:ascii="Arial" w:hAnsi="Arial" w:cs="Arial"/>
        </w:rPr>
        <w:t>the</w:t>
      </w:r>
      <w:r w:rsidRPr="001701E6">
        <w:rPr>
          <w:rFonts w:ascii="Arial" w:hAnsi="Arial" w:cs="Arial"/>
        </w:rPr>
        <w:t xml:space="preserve"> formation in relation to Tata Steel UK’s Port Talbot transition, it outputted the conflicting timelines in relation to </w:t>
      </w:r>
      <w:r w:rsidR="00FE136E" w:rsidRPr="001701E6">
        <w:rPr>
          <w:rFonts w:ascii="Arial" w:hAnsi="Arial" w:cs="Arial"/>
        </w:rPr>
        <w:t xml:space="preserve">the </w:t>
      </w:r>
      <w:r w:rsidRPr="001701E6">
        <w:rPr>
          <w:rFonts w:ascii="Arial" w:hAnsi="Arial" w:cs="Arial"/>
        </w:rPr>
        <w:t xml:space="preserve">decommissioning of </w:t>
      </w:r>
      <w:r w:rsidRPr="001701E6">
        <w:rPr>
          <w:rFonts w:ascii="Arial" w:hAnsi="Arial" w:cs="Arial"/>
        </w:rPr>
        <w:lastRenderedPageBreak/>
        <w:t xml:space="preserve">the blast furnaces and </w:t>
      </w:r>
      <w:r w:rsidR="00FE136E" w:rsidRPr="001701E6">
        <w:rPr>
          <w:rFonts w:ascii="Arial" w:hAnsi="Arial" w:cs="Arial"/>
        </w:rPr>
        <w:t xml:space="preserve">the </w:t>
      </w:r>
      <w:r w:rsidRPr="001701E6">
        <w:rPr>
          <w:rFonts w:ascii="Arial" w:hAnsi="Arial" w:cs="Arial"/>
        </w:rPr>
        <w:t xml:space="preserve">exact scale of </w:t>
      </w:r>
      <w:r w:rsidR="00FE136E" w:rsidRPr="001701E6">
        <w:rPr>
          <w:rFonts w:ascii="Arial" w:hAnsi="Arial" w:cs="Arial"/>
        </w:rPr>
        <w:t xml:space="preserve">the </w:t>
      </w:r>
      <w:r w:rsidRPr="001701E6">
        <w:rPr>
          <w:rFonts w:ascii="Arial" w:hAnsi="Arial" w:cs="Arial"/>
        </w:rPr>
        <w:t xml:space="preserve">UK government's capital subsidy. To remove these errors, I </w:t>
      </w:r>
      <w:r w:rsidR="00FE136E" w:rsidRPr="001701E6">
        <w:rPr>
          <w:rFonts w:ascii="Arial" w:hAnsi="Arial" w:cs="Arial"/>
        </w:rPr>
        <w:t>cross-examined</w:t>
      </w:r>
      <w:r w:rsidRPr="001701E6">
        <w:rPr>
          <w:rFonts w:ascii="Arial" w:hAnsi="Arial" w:cs="Arial"/>
        </w:rPr>
        <w:t xml:space="preserve"> everything and each output directly against the primary corporate disclosures and the official and district crisis statements of the company from early 2026. The data streams in relation to the carbon reduction metrics were manually verified against the annual reports of Tata Steel. This rigorous process of verification </w:t>
      </w:r>
      <w:r w:rsidR="00FE136E" w:rsidRPr="001701E6">
        <w:rPr>
          <w:rFonts w:ascii="Arial" w:hAnsi="Arial" w:cs="Arial"/>
        </w:rPr>
        <w:t>was undertaken</w:t>
      </w:r>
      <w:r w:rsidRPr="001701E6">
        <w:rPr>
          <w:rFonts w:ascii="Arial" w:hAnsi="Arial" w:cs="Arial"/>
        </w:rPr>
        <w:t xml:space="preserve"> to ensure that there is no artificial fabrication or distorted market interpretation compromising the empirical accuracy of data. </w:t>
      </w:r>
    </w:p>
    <w:p w14:paraId="0814B3A0" w14:textId="74F492F7" w:rsidR="00930482" w:rsidRPr="001701E6" w:rsidRDefault="00930482" w:rsidP="001701E6">
      <w:pPr>
        <w:pStyle w:val="Heading2"/>
        <w:spacing w:line="360" w:lineRule="auto"/>
        <w:rPr>
          <w:rFonts w:ascii="Arial" w:hAnsi="Arial" w:cs="Arial"/>
          <w:szCs w:val="24"/>
        </w:rPr>
      </w:pPr>
      <w:bookmarkStart w:id="21" w:name="_Toc233236565"/>
      <w:r w:rsidRPr="001701E6">
        <w:rPr>
          <w:rFonts w:ascii="Arial" w:hAnsi="Arial" w:cs="Arial"/>
          <w:szCs w:val="24"/>
        </w:rPr>
        <w:t>Contribution analysis</w:t>
      </w:r>
      <w:bookmarkEnd w:id="21"/>
    </w:p>
    <w:p w14:paraId="3222807E" w14:textId="64DF5430" w:rsidR="00930482" w:rsidRPr="001701E6" w:rsidRDefault="00FE136E" w:rsidP="001701E6">
      <w:pPr>
        <w:spacing w:line="360" w:lineRule="auto"/>
        <w:rPr>
          <w:rFonts w:ascii="Arial" w:hAnsi="Arial" w:cs="Arial"/>
        </w:rPr>
      </w:pPr>
      <w:r w:rsidRPr="001701E6">
        <w:rPr>
          <w:rFonts w:ascii="Arial" w:hAnsi="Arial" w:cs="Arial"/>
        </w:rPr>
        <w:t>A</w:t>
      </w:r>
      <w:r w:rsidR="00930482" w:rsidRPr="001701E6">
        <w:rPr>
          <w:rFonts w:ascii="Arial" w:hAnsi="Arial" w:cs="Arial"/>
        </w:rPr>
        <w:t xml:space="preserve"> clear line of demarcation has separated the assistance of AI from the original academic synthesis. Every point in this report was entirely written by me. While AI helped me to compile the raw information on B2B marketing transition, the critical evaluation (particularly identifying the transition risk of importing steel slabs during the Port Talbot Electric Arc Furnace Buildup) was a product of my own independent analysis and critical evaluation. </w:t>
      </w:r>
    </w:p>
    <w:p w14:paraId="16FB2E39" w14:textId="73E23870" w:rsidR="00930482" w:rsidRPr="001701E6" w:rsidRDefault="00930482" w:rsidP="001701E6">
      <w:pPr>
        <w:pStyle w:val="Heading2"/>
        <w:spacing w:line="360" w:lineRule="auto"/>
        <w:rPr>
          <w:rFonts w:ascii="Arial" w:hAnsi="Arial" w:cs="Arial"/>
          <w:szCs w:val="24"/>
        </w:rPr>
      </w:pPr>
      <w:bookmarkStart w:id="22" w:name="_Toc233236566"/>
      <w:r w:rsidRPr="001701E6">
        <w:rPr>
          <w:rFonts w:ascii="Arial" w:hAnsi="Arial" w:cs="Arial"/>
          <w:szCs w:val="24"/>
        </w:rPr>
        <w:t>Ethical and Professional Reflection</w:t>
      </w:r>
      <w:bookmarkEnd w:id="22"/>
      <w:r w:rsidRPr="001701E6">
        <w:rPr>
          <w:rFonts w:ascii="Arial" w:hAnsi="Arial" w:cs="Arial"/>
          <w:szCs w:val="24"/>
        </w:rPr>
        <w:t xml:space="preserve"> </w:t>
      </w:r>
    </w:p>
    <w:p w14:paraId="3028C48F" w14:textId="7260FAB2" w:rsidR="00FE136E" w:rsidRPr="001701E6" w:rsidRDefault="00FE136E" w:rsidP="001701E6">
      <w:pPr>
        <w:spacing w:line="360" w:lineRule="auto"/>
        <w:rPr>
          <w:rFonts w:ascii="Arial" w:hAnsi="Arial" w:cs="Arial"/>
        </w:rPr>
      </w:pPr>
      <w:r w:rsidRPr="001701E6">
        <w:rPr>
          <w:rFonts w:ascii="Arial" w:hAnsi="Arial" w:cs="Arial"/>
        </w:rPr>
        <w:t xml:space="preserve">Using generative AI in marketing analysis can lead to profound ethical considerations. In the professional B2B marketing practices, an over-dependence on automated tools contributes to the homogenised strategic planning, transition in the geopolitical risks that define the global trade and missing the nuanced human relationships. Professionally, using the AI without any disclosure can lead to plagiarism and copyright infringement, which directly affects and violates the corporate and academic compliance codes. Moreover, from the environmental perspective, running large models of AI consumes substantial computational energy, which leads to an ethical paradox when using the data-heavy technologies to develop sustainable strategies. By keeping the AI in a supportive and administrative role, and focusing on rigorous human oversight, this analysis models the transparent, responsible and ethically balanced use of technology required for a forward-thinking global business leader. </w:t>
      </w:r>
    </w:p>
    <w:p w14:paraId="0D7E6F6F" w14:textId="77777777" w:rsidR="00FE136E" w:rsidRPr="001701E6" w:rsidRDefault="00FE136E" w:rsidP="001701E6">
      <w:pPr>
        <w:spacing w:line="360" w:lineRule="auto"/>
        <w:rPr>
          <w:rFonts w:ascii="Arial" w:hAnsi="Arial" w:cs="Arial"/>
        </w:rPr>
      </w:pPr>
      <w:r w:rsidRPr="001701E6">
        <w:rPr>
          <w:rFonts w:ascii="Arial" w:hAnsi="Arial" w:cs="Arial"/>
        </w:rPr>
        <w:br w:type="page"/>
      </w:r>
    </w:p>
    <w:p w14:paraId="02F23C16" w14:textId="7071F996" w:rsidR="00FE136E" w:rsidRPr="001701E6" w:rsidRDefault="00FE136E" w:rsidP="001701E6">
      <w:pPr>
        <w:pStyle w:val="Heading1"/>
        <w:spacing w:line="360" w:lineRule="auto"/>
        <w:rPr>
          <w:rFonts w:ascii="Arial" w:hAnsi="Arial" w:cs="Arial"/>
          <w:szCs w:val="24"/>
        </w:rPr>
      </w:pPr>
      <w:bookmarkStart w:id="23" w:name="_Toc233236567"/>
      <w:r w:rsidRPr="001701E6">
        <w:rPr>
          <w:rFonts w:ascii="Arial" w:hAnsi="Arial" w:cs="Arial"/>
          <w:szCs w:val="24"/>
        </w:rPr>
        <w:lastRenderedPageBreak/>
        <w:t>References</w:t>
      </w:r>
      <w:bookmarkEnd w:id="23"/>
    </w:p>
    <w:p w14:paraId="67AA6A93" w14:textId="77777777" w:rsidR="001701E6" w:rsidRPr="001701E6" w:rsidRDefault="001701E6" w:rsidP="001701E6">
      <w:pPr>
        <w:spacing w:line="360" w:lineRule="auto"/>
        <w:rPr>
          <w:rFonts w:ascii="Arial" w:hAnsi="Arial" w:cs="Arial"/>
        </w:rPr>
      </w:pPr>
      <w:r w:rsidRPr="001701E6">
        <w:rPr>
          <w:rFonts w:ascii="Arial" w:hAnsi="Arial" w:cs="Arial"/>
        </w:rPr>
        <w:t xml:space="preserve">Federal Steel Supply (2025) </w:t>
      </w:r>
      <w:r w:rsidRPr="001701E6">
        <w:rPr>
          <w:rFonts w:ascii="Arial" w:hAnsi="Arial" w:cs="Arial"/>
          <w:i/>
          <w:iCs/>
        </w:rPr>
        <w:t>Steel Industry Trends 2025: Innovations, Sustainability &amp; Market Shifts</w:t>
      </w:r>
      <w:r w:rsidRPr="001701E6">
        <w:rPr>
          <w:rFonts w:ascii="Arial" w:hAnsi="Arial" w:cs="Arial"/>
        </w:rPr>
        <w:t xml:space="preserve">. Available at: </w:t>
      </w:r>
      <w:hyperlink r:id="rId14" w:tgtFrame="_blank" w:history="1">
        <w:r w:rsidRPr="001701E6">
          <w:rPr>
            <w:rStyle w:val="Hyperlink"/>
            <w:rFonts w:ascii="Arial" w:hAnsi="Arial" w:cs="Arial"/>
          </w:rPr>
          <w:t>https://www.fedsteel.com/insights/steel-industry-trends-2025/</w:t>
        </w:r>
      </w:hyperlink>
      <w:r w:rsidRPr="001701E6">
        <w:rPr>
          <w:rFonts w:ascii="Arial" w:hAnsi="Arial" w:cs="Arial"/>
        </w:rPr>
        <w:t xml:space="preserve"> (Accessed: 24 June 2026).</w:t>
      </w:r>
    </w:p>
    <w:p w14:paraId="0FC7698A" w14:textId="77777777" w:rsidR="001701E6" w:rsidRPr="001701E6" w:rsidRDefault="001701E6" w:rsidP="001701E6">
      <w:pPr>
        <w:spacing w:line="360" w:lineRule="auto"/>
        <w:rPr>
          <w:rFonts w:ascii="Arial" w:hAnsi="Arial" w:cs="Arial"/>
        </w:rPr>
      </w:pPr>
      <w:r w:rsidRPr="001701E6">
        <w:rPr>
          <w:rFonts w:ascii="Arial" w:hAnsi="Arial" w:cs="Arial"/>
        </w:rPr>
        <w:t xml:space="preserve">Gajdzik, B., Wolniak, R. and Grebski, W. (2025) 'An Econometric Analysis of CO2 Emission Intensity in Poland’s Blast Furnace–Basic Oxygen Furnace Steelmaking Process', </w:t>
      </w:r>
      <w:r w:rsidRPr="001701E6">
        <w:rPr>
          <w:rFonts w:ascii="Arial" w:hAnsi="Arial" w:cs="Arial"/>
          <w:i/>
          <w:iCs/>
        </w:rPr>
        <w:t>Sustainability</w:t>
      </w:r>
      <w:r w:rsidRPr="001701E6">
        <w:rPr>
          <w:rFonts w:ascii="Arial" w:hAnsi="Arial" w:cs="Arial"/>
        </w:rPr>
        <w:t xml:space="preserve">, 17(9), p. 4045. </w:t>
      </w:r>
      <w:proofErr w:type="spellStart"/>
      <w:r w:rsidRPr="001701E6">
        <w:rPr>
          <w:rFonts w:ascii="Arial" w:hAnsi="Arial" w:cs="Arial"/>
        </w:rPr>
        <w:t>doi</w:t>
      </w:r>
      <w:proofErr w:type="spellEnd"/>
      <w:r w:rsidRPr="001701E6">
        <w:rPr>
          <w:rFonts w:ascii="Arial" w:hAnsi="Arial" w:cs="Arial"/>
        </w:rPr>
        <w:t>: 10.3390/su17094045.</w:t>
      </w:r>
    </w:p>
    <w:p w14:paraId="70288854" w14:textId="77777777" w:rsidR="001701E6" w:rsidRPr="001701E6" w:rsidRDefault="001701E6" w:rsidP="001701E6">
      <w:pPr>
        <w:spacing w:line="360" w:lineRule="auto"/>
        <w:rPr>
          <w:rFonts w:ascii="Arial" w:hAnsi="Arial" w:cs="Arial"/>
        </w:rPr>
      </w:pPr>
      <w:r w:rsidRPr="001701E6">
        <w:rPr>
          <w:rFonts w:ascii="Arial" w:hAnsi="Arial" w:cs="Arial"/>
        </w:rPr>
        <w:t xml:space="preserve">Kotler, P., Armstrong, G., Harris, L.C. and He, H. (2024) </w:t>
      </w:r>
      <w:r w:rsidRPr="001701E6">
        <w:rPr>
          <w:rFonts w:ascii="Arial" w:hAnsi="Arial" w:cs="Arial"/>
          <w:i/>
          <w:iCs/>
        </w:rPr>
        <w:t>Principles of marketing</w:t>
      </w:r>
      <w:r w:rsidRPr="001701E6">
        <w:rPr>
          <w:rFonts w:ascii="Arial" w:hAnsi="Arial" w:cs="Arial"/>
        </w:rPr>
        <w:t xml:space="preserve">. 19th </w:t>
      </w:r>
      <w:proofErr w:type="spellStart"/>
      <w:r w:rsidRPr="001701E6">
        <w:rPr>
          <w:rFonts w:ascii="Arial" w:hAnsi="Arial" w:cs="Arial"/>
        </w:rPr>
        <w:t>edn</w:t>
      </w:r>
      <w:proofErr w:type="spellEnd"/>
      <w:r w:rsidRPr="001701E6">
        <w:rPr>
          <w:rFonts w:ascii="Arial" w:hAnsi="Arial" w:cs="Arial"/>
        </w:rPr>
        <w:t>. Harlow: Pearson.</w:t>
      </w:r>
    </w:p>
    <w:p w14:paraId="5E02FD5E" w14:textId="77777777" w:rsidR="001701E6" w:rsidRPr="001701E6" w:rsidRDefault="001701E6" w:rsidP="001701E6">
      <w:pPr>
        <w:spacing w:line="360" w:lineRule="auto"/>
        <w:rPr>
          <w:rFonts w:ascii="Arial" w:hAnsi="Arial" w:cs="Arial"/>
        </w:rPr>
      </w:pPr>
      <w:r w:rsidRPr="001701E6">
        <w:rPr>
          <w:rFonts w:ascii="Arial" w:hAnsi="Arial" w:cs="Arial"/>
        </w:rPr>
        <w:t>Leal-</w:t>
      </w:r>
      <w:proofErr w:type="spellStart"/>
      <w:r w:rsidRPr="001701E6">
        <w:rPr>
          <w:rFonts w:ascii="Arial" w:hAnsi="Arial" w:cs="Arial"/>
        </w:rPr>
        <w:t>Arcas</w:t>
      </w:r>
      <w:proofErr w:type="spellEnd"/>
      <w:r w:rsidRPr="001701E6">
        <w:rPr>
          <w:rFonts w:ascii="Arial" w:hAnsi="Arial" w:cs="Arial"/>
        </w:rPr>
        <w:t xml:space="preserve">, R., </w:t>
      </w:r>
      <w:proofErr w:type="spellStart"/>
      <w:r w:rsidRPr="001701E6">
        <w:rPr>
          <w:rFonts w:ascii="Arial" w:hAnsi="Arial" w:cs="Arial"/>
        </w:rPr>
        <w:t>Faktaufon</w:t>
      </w:r>
      <w:proofErr w:type="spellEnd"/>
      <w:r w:rsidRPr="001701E6">
        <w:rPr>
          <w:rFonts w:ascii="Arial" w:hAnsi="Arial" w:cs="Arial"/>
        </w:rPr>
        <w:t xml:space="preserve">, M. and </w:t>
      </w:r>
      <w:proofErr w:type="spellStart"/>
      <w:r w:rsidRPr="001701E6">
        <w:rPr>
          <w:rFonts w:ascii="Arial" w:hAnsi="Arial" w:cs="Arial"/>
        </w:rPr>
        <w:t>Kyprianou</w:t>
      </w:r>
      <w:proofErr w:type="spellEnd"/>
      <w:r w:rsidRPr="001701E6">
        <w:rPr>
          <w:rFonts w:ascii="Arial" w:hAnsi="Arial" w:cs="Arial"/>
        </w:rPr>
        <w:t xml:space="preserve">, A. (2022) 'A legal exploration of the European Union’s carbon border adjustment mechanism', </w:t>
      </w:r>
      <w:r w:rsidRPr="001701E6">
        <w:rPr>
          <w:rFonts w:ascii="Arial" w:hAnsi="Arial" w:cs="Arial"/>
          <w:i/>
          <w:iCs/>
        </w:rPr>
        <w:t>European Energy and Environmental Law Review</w:t>
      </w:r>
      <w:r w:rsidRPr="001701E6">
        <w:rPr>
          <w:rFonts w:ascii="Arial" w:hAnsi="Arial" w:cs="Arial"/>
        </w:rPr>
        <w:t>, 31(4), pp. 210–224.</w:t>
      </w:r>
    </w:p>
    <w:p w14:paraId="33BEECEB" w14:textId="77777777" w:rsidR="001701E6" w:rsidRPr="001701E6" w:rsidRDefault="001701E6" w:rsidP="001701E6">
      <w:pPr>
        <w:spacing w:line="360" w:lineRule="auto"/>
        <w:rPr>
          <w:rFonts w:ascii="Arial" w:hAnsi="Arial" w:cs="Arial"/>
        </w:rPr>
      </w:pPr>
      <w:r w:rsidRPr="001701E6">
        <w:rPr>
          <w:rFonts w:ascii="Arial" w:hAnsi="Arial" w:cs="Arial"/>
        </w:rPr>
        <w:t xml:space="preserve">Rossetto, D. (2024) 'The role of border carbon adjustments and subsidies in incentivising investment: Comparing equivalence in the context of steel recycling and decarbonisation', </w:t>
      </w:r>
      <w:r w:rsidRPr="001701E6">
        <w:rPr>
          <w:rFonts w:ascii="Arial" w:hAnsi="Arial" w:cs="Arial"/>
          <w:i/>
          <w:iCs/>
        </w:rPr>
        <w:t>Discover Sustainability</w:t>
      </w:r>
      <w:r w:rsidRPr="001701E6">
        <w:rPr>
          <w:rFonts w:ascii="Arial" w:hAnsi="Arial" w:cs="Arial"/>
        </w:rPr>
        <w:t xml:space="preserve">, 5(1), p. 132. </w:t>
      </w:r>
      <w:proofErr w:type="spellStart"/>
      <w:r w:rsidRPr="001701E6">
        <w:rPr>
          <w:rFonts w:ascii="Arial" w:hAnsi="Arial" w:cs="Arial"/>
        </w:rPr>
        <w:t>doi</w:t>
      </w:r>
      <w:proofErr w:type="spellEnd"/>
      <w:r w:rsidRPr="001701E6">
        <w:rPr>
          <w:rFonts w:ascii="Arial" w:hAnsi="Arial" w:cs="Arial"/>
        </w:rPr>
        <w:t>: 10.1007/s43621-024-00337-9.</w:t>
      </w:r>
    </w:p>
    <w:p w14:paraId="3E93D12F" w14:textId="77777777" w:rsidR="001701E6" w:rsidRPr="001701E6" w:rsidRDefault="001701E6" w:rsidP="001701E6">
      <w:pPr>
        <w:spacing w:line="360" w:lineRule="auto"/>
        <w:rPr>
          <w:rFonts w:ascii="Arial" w:hAnsi="Arial" w:cs="Arial"/>
        </w:rPr>
      </w:pPr>
      <w:r w:rsidRPr="001701E6">
        <w:rPr>
          <w:rFonts w:ascii="Arial" w:hAnsi="Arial" w:cs="Arial"/>
        </w:rPr>
        <w:t xml:space="preserve">Tata Steel (2022) </w:t>
      </w:r>
      <w:r w:rsidRPr="001701E6">
        <w:rPr>
          <w:rFonts w:ascii="Arial" w:hAnsi="Arial" w:cs="Arial"/>
          <w:i/>
          <w:iCs/>
        </w:rPr>
        <w:t>Tata Steel launches low-CO2 steel</w:t>
      </w:r>
      <w:r w:rsidRPr="001701E6">
        <w:rPr>
          <w:rFonts w:ascii="Arial" w:hAnsi="Arial" w:cs="Arial"/>
        </w:rPr>
        <w:t xml:space="preserve">. Available at: </w:t>
      </w:r>
      <w:hyperlink r:id="rId15" w:tgtFrame="_blank" w:history="1">
        <w:r w:rsidRPr="001701E6">
          <w:rPr>
            <w:rStyle w:val="Hyperlink"/>
            <w:rFonts w:ascii="Arial" w:hAnsi="Arial" w:cs="Arial"/>
          </w:rPr>
          <w:t>https://www.tatasteeluk.com/corporate/news/tata-steel-launches-low-co2-steel</w:t>
        </w:r>
      </w:hyperlink>
      <w:r w:rsidRPr="001701E6">
        <w:rPr>
          <w:rFonts w:ascii="Arial" w:hAnsi="Arial" w:cs="Arial"/>
        </w:rPr>
        <w:t xml:space="preserve"> (Accessed: 24 June 2026).</w:t>
      </w:r>
    </w:p>
    <w:p w14:paraId="47CCBB6F" w14:textId="77777777" w:rsidR="001701E6" w:rsidRPr="001701E6" w:rsidRDefault="001701E6" w:rsidP="001701E6">
      <w:pPr>
        <w:spacing w:line="360" w:lineRule="auto"/>
        <w:rPr>
          <w:rFonts w:ascii="Arial" w:hAnsi="Arial" w:cs="Arial"/>
        </w:rPr>
      </w:pPr>
      <w:r w:rsidRPr="001701E6">
        <w:rPr>
          <w:rFonts w:ascii="Arial" w:hAnsi="Arial" w:cs="Arial"/>
        </w:rPr>
        <w:t xml:space="preserve">Tata Steel (2023) </w:t>
      </w:r>
      <w:r w:rsidRPr="001701E6">
        <w:rPr>
          <w:rFonts w:ascii="Arial" w:hAnsi="Arial" w:cs="Arial"/>
          <w:i/>
          <w:iCs/>
        </w:rPr>
        <w:t>Forging sustainable steel</w:t>
      </w:r>
      <w:r w:rsidRPr="001701E6">
        <w:rPr>
          <w:rFonts w:ascii="Arial" w:hAnsi="Arial" w:cs="Arial"/>
        </w:rPr>
        <w:t xml:space="preserve">. Available at: </w:t>
      </w:r>
      <w:hyperlink r:id="rId16" w:tgtFrame="_blank" w:history="1">
        <w:r w:rsidRPr="001701E6">
          <w:rPr>
            <w:rStyle w:val="Hyperlink"/>
            <w:rFonts w:ascii="Arial" w:hAnsi="Arial" w:cs="Arial"/>
          </w:rPr>
          <w:t>https://www.tatasteel.com/investors/integrated-report-2022-23/forging-sustainable-steel.html</w:t>
        </w:r>
      </w:hyperlink>
      <w:r w:rsidRPr="001701E6">
        <w:rPr>
          <w:rFonts w:ascii="Arial" w:hAnsi="Arial" w:cs="Arial"/>
        </w:rPr>
        <w:t xml:space="preserve"> (Accessed: 24 June 2026).</w:t>
      </w:r>
    </w:p>
    <w:p w14:paraId="143F767B" w14:textId="77777777" w:rsidR="001701E6" w:rsidRPr="001701E6" w:rsidRDefault="001701E6" w:rsidP="001701E6">
      <w:pPr>
        <w:spacing w:line="360" w:lineRule="auto"/>
        <w:rPr>
          <w:rFonts w:ascii="Arial" w:hAnsi="Arial" w:cs="Arial"/>
        </w:rPr>
      </w:pPr>
      <w:r w:rsidRPr="001701E6">
        <w:rPr>
          <w:rFonts w:ascii="Arial" w:hAnsi="Arial" w:cs="Arial"/>
        </w:rPr>
        <w:t xml:space="preserve">Tata Steel (2025) </w:t>
      </w:r>
      <w:r w:rsidRPr="001701E6">
        <w:rPr>
          <w:rFonts w:ascii="Arial" w:hAnsi="Arial" w:cs="Arial"/>
          <w:i/>
          <w:iCs/>
        </w:rPr>
        <w:t>Tata Group Chairman N. Chandrasekaran marks groundbreaking of new Electric Arc Furnace at Port Talbot</w:t>
      </w:r>
      <w:r w:rsidRPr="001701E6">
        <w:rPr>
          <w:rFonts w:ascii="Arial" w:hAnsi="Arial" w:cs="Arial"/>
        </w:rPr>
        <w:t xml:space="preserve">. Available at: </w:t>
      </w:r>
      <w:hyperlink r:id="rId17" w:tgtFrame="_blank" w:history="1">
        <w:r w:rsidRPr="001701E6">
          <w:rPr>
            <w:rStyle w:val="Hyperlink"/>
            <w:rFonts w:ascii="Arial" w:hAnsi="Arial" w:cs="Arial"/>
          </w:rPr>
          <w:t>https://www.tatasteel.com/newsroom/press-releases/india/2025/tata-group-chairman-n-chandrasekaran-marks-groundbreaking-of-new-electric-arc-furnace-at-port-talbot/</w:t>
        </w:r>
      </w:hyperlink>
      <w:r w:rsidRPr="001701E6">
        <w:rPr>
          <w:rFonts w:ascii="Arial" w:hAnsi="Arial" w:cs="Arial"/>
        </w:rPr>
        <w:t xml:space="preserve"> (Accessed: 24 June 2026).</w:t>
      </w:r>
    </w:p>
    <w:p w14:paraId="61B10866" w14:textId="77777777" w:rsidR="001701E6" w:rsidRPr="001701E6" w:rsidRDefault="001701E6" w:rsidP="001701E6">
      <w:pPr>
        <w:spacing w:line="360" w:lineRule="auto"/>
        <w:rPr>
          <w:rFonts w:ascii="Arial" w:hAnsi="Arial" w:cs="Arial"/>
        </w:rPr>
      </w:pPr>
      <w:r w:rsidRPr="001701E6">
        <w:rPr>
          <w:rFonts w:ascii="Arial" w:hAnsi="Arial" w:cs="Arial"/>
        </w:rPr>
        <w:t xml:space="preserve">Tata Steel (2026a) </w:t>
      </w:r>
      <w:r w:rsidRPr="001701E6">
        <w:rPr>
          <w:rFonts w:ascii="Arial" w:hAnsi="Arial" w:cs="Arial"/>
          <w:i/>
          <w:iCs/>
        </w:rPr>
        <w:t>One year on as Port Talbot's electric arc furnace transformation takes shape</w:t>
      </w:r>
      <w:r w:rsidRPr="001701E6">
        <w:rPr>
          <w:rFonts w:ascii="Arial" w:hAnsi="Arial" w:cs="Arial"/>
        </w:rPr>
        <w:t xml:space="preserve">. Available at: </w:t>
      </w:r>
      <w:hyperlink r:id="rId18" w:tgtFrame="_blank" w:history="1">
        <w:r w:rsidRPr="001701E6">
          <w:rPr>
            <w:rStyle w:val="Hyperlink"/>
            <w:rFonts w:ascii="Arial" w:hAnsi="Arial" w:cs="Arial"/>
          </w:rPr>
          <w:t>https://www.tatasteeluk.com/one-year-on-port-talbot-electric-arc-furnace-transformation</w:t>
        </w:r>
      </w:hyperlink>
      <w:r w:rsidRPr="001701E6">
        <w:rPr>
          <w:rFonts w:ascii="Arial" w:hAnsi="Arial" w:cs="Arial"/>
        </w:rPr>
        <w:t xml:space="preserve"> (Accessed: 24 June 2026).</w:t>
      </w:r>
    </w:p>
    <w:p w14:paraId="5F9C2857" w14:textId="77777777" w:rsidR="001701E6" w:rsidRPr="001701E6" w:rsidRDefault="001701E6" w:rsidP="001701E6">
      <w:pPr>
        <w:spacing w:line="360" w:lineRule="auto"/>
        <w:rPr>
          <w:rFonts w:ascii="Arial" w:hAnsi="Arial" w:cs="Arial"/>
        </w:rPr>
      </w:pPr>
      <w:r w:rsidRPr="001701E6">
        <w:rPr>
          <w:rFonts w:ascii="Arial" w:hAnsi="Arial" w:cs="Arial"/>
        </w:rPr>
        <w:lastRenderedPageBreak/>
        <w:t xml:space="preserve">Tata Steel (2026b) </w:t>
      </w:r>
      <w:r w:rsidRPr="001701E6">
        <w:rPr>
          <w:rFonts w:ascii="Arial" w:hAnsi="Arial" w:cs="Arial"/>
          <w:i/>
          <w:iCs/>
        </w:rPr>
        <w:t>Tata Steel adopts differing European, Indian decarbonisation strategy</w:t>
      </w:r>
      <w:r w:rsidRPr="001701E6">
        <w:rPr>
          <w:rFonts w:ascii="Arial" w:hAnsi="Arial" w:cs="Arial"/>
        </w:rPr>
        <w:t xml:space="preserve">. Available at: </w:t>
      </w:r>
      <w:hyperlink r:id="rId19" w:tgtFrame="_blank" w:history="1">
        <w:r w:rsidRPr="001701E6">
          <w:rPr>
            <w:rStyle w:val="Hyperlink"/>
            <w:rFonts w:ascii="Arial" w:hAnsi="Arial" w:cs="Arial"/>
          </w:rPr>
          <w:t>https://eurometal.net/tata-steel-adopts-differing-european-indian-decarbonisation-strategy/</w:t>
        </w:r>
      </w:hyperlink>
      <w:r w:rsidRPr="001701E6">
        <w:rPr>
          <w:rFonts w:ascii="Arial" w:hAnsi="Arial" w:cs="Arial"/>
        </w:rPr>
        <w:t xml:space="preserve"> (Accessed: 24 June 2026).</w:t>
      </w:r>
    </w:p>
    <w:p w14:paraId="5BC3783D" w14:textId="202DD7D7" w:rsidR="00CD0372" w:rsidRPr="001701E6" w:rsidRDefault="00CD0372" w:rsidP="001701E6">
      <w:pPr>
        <w:spacing w:line="360" w:lineRule="auto"/>
        <w:ind w:left="360"/>
        <w:rPr>
          <w:rFonts w:ascii="Arial" w:hAnsi="Arial" w:cs="Arial"/>
        </w:rPr>
      </w:pPr>
    </w:p>
    <w:sectPr w:rsidR="00CD0372" w:rsidRPr="001701E6">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D37D4" w14:textId="77777777" w:rsidR="00F91F25" w:rsidRDefault="00F91F25" w:rsidP="001701E6">
      <w:pPr>
        <w:spacing w:after="0" w:line="240" w:lineRule="auto"/>
      </w:pPr>
      <w:r>
        <w:separator/>
      </w:r>
    </w:p>
  </w:endnote>
  <w:endnote w:type="continuationSeparator" w:id="0">
    <w:p w14:paraId="472C167A" w14:textId="77777777" w:rsidR="00F91F25" w:rsidRDefault="00F91F25" w:rsidP="00170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9981236"/>
      <w:docPartObj>
        <w:docPartGallery w:val="Page Numbers (Bottom of Page)"/>
        <w:docPartUnique/>
      </w:docPartObj>
    </w:sdtPr>
    <w:sdtEndPr>
      <w:rPr>
        <w:noProof/>
      </w:rPr>
    </w:sdtEndPr>
    <w:sdtContent>
      <w:p w14:paraId="2B3EEF1A" w14:textId="1C794260" w:rsidR="001701E6" w:rsidRDefault="001701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1FEC2F" w14:textId="77777777" w:rsidR="001701E6" w:rsidRDefault="001701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1ABF0" w14:textId="77777777" w:rsidR="00F91F25" w:rsidRDefault="00F91F25" w:rsidP="001701E6">
      <w:pPr>
        <w:spacing w:after="0" w:line="240" w:lineRule="auto"/>
      </w:pPr>
      <w:r>
        <w:separator/>
      </w:r>
    </w:p>
  </w:footnote>
  <w:footnote w:type="continuationSeparator" w:id="0">
    <w:p w14:paraId="020EA774" w14:textId="77777777" w:rsidR="00F91F25" w:rsidRDefault="00F91F25" w:rsidP="001701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134B2"/>
    <w:multiLevelType w:val="multilevel"/>
    <w:tmpl w:val="B98A5664"/>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E636125"/>
    <w:multiLevelType w:val="multilevel"/>
    <w:tmpl w:val="5B147B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EB83306"/>
    <w:multiLevelType w:val="multilevel"/>
    <w:tmpl w:val="B98A5664"/>
    <w:lvl w:ilvl="0">
      <w:start w:val="1"/>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5A3862AF"/>
    <w:multiLevelType w:val="hybridMultilevel"/>
    <w:tmpl w:val="B0E6F6A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18286927">
    <w:abstractNumId w:val="1"/>
  </w:num>
  <w:num w:numId="2" w16cid:durableId="573204905">
    <w:abstractNumId w:val="0"/>
  </w:num>
  <w:num w:numId="3" w16cid:durableId="805926311">
    <w:abstractNumId w:val="2"/>
  </w:num>
  <w:num w:numId="4" w16cid:durableId="5040571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2EF"/>
    <w:rsid w:val="00053A65"/>
    <w:rsid w:val="000A05FE"/>
    <w:rsid w:val="000B794F"/>
    <w:rsid w:val="000E2BC9"/>
    <w:rsid w:val="000F5ADE"/>
    <w:rsid w:val="00106ED7"/>
    <w:rsid w:val="001115C3"/>
    <w:rsid w:val="00116352"/>
    <w:rsid w:val="00151467"/>
    <w:rsid w:val="00153B5B"/>
    <w:rsid w:val="001701E6"/>
    <w:rsid w:val="00187981"/>
    <w:rsid w:val="001E3A83"/>
    <w:rsid w:val="00252174"/>
    <w:rsid w:val="00290F06"/>
    <w:rsid w:val="002B26F5"/>
    <w:rsid w:val="003547B5"/>
    <w:rsid w:val="0039547A"/>
    <w:rsid w:val="003A0E7A"/>
    <w:rsid w:val="003D364F"/>
    <w:rsid w:val="00432282"/>
    <w:rsid w:val="00445B1D"/>
    <w:rsid w:val="00457C8D"/>
    <w:rsid w:val="00470EE8"/>
    <w:rsid w:val="004D09E9"/>
    <w:rsid w:val="004F2B7F"/>
    <w:rsid w:val="005619BB"/>
    <w:rsid w:val="00561F88"/>
    <w:rsid w:val="00590660"/>
    <w:rsid w:val="00635B1B"/>
    <w:rsid w:val="00670710"/>
    <w:rsid w:val="00672623"/>
    <w:rsid w:val="006D23E6"/>
    <w:rsid w:val="00712247"/>
    <w:rsid w:val="00725B88"/>
    <w:rsid w:val="00740C72"/>
    <w:rsid w:val="00826CF1"/>
    <w:rsid w:val="0084548A"/>
    <w:rsid w:val="00883F3F"/>
    <w:rsid w:val="008A5B1D"/>
    <w:rsid w:val="008B3DBF"/>
    <w:rsid w:val="00930482"/>
    <w:rsid w:val="00951BDB"/>
    <w:rsid w:val="0099256C"/>
    <w:rsid w:val="009A1834"/>
    <w:rsid w:val="009C2231"/>
    <w:rsid w:val="009E717D"/>
    <w:rsid w:val="00A63438"/>
    <w:rsid w:val="00A83F9B"/>
    <w:rsid w:val="00B252EF"/>
    <w:rsid w:val="00BC4DE9"/>
    <w:rsid w:val="00BC53B5"/>
    <w:rsid w:val="00BD23E0"/>
    <w:rsid w:val="00BD5688"/>
    <w:rsid w:val="00C07D1C"/>
    <w:rsid w:val="00C57D93"/>
    <w:rsid w:val="00CA4B74"/>
    <w:rsid w:val="00CD0372"/>
    <w:rsid w:val="00CF5545"/>
    <w:rsid w:val="00D57D55"/>
    <w:rsid w:val="00DD4F16"/>
    <w:rsid w:val="00EC2DE8"/>
    <w:rsid w:val="00F120F7"/>
    <w:rsid w:val="00F26AEC"/>
    <w:rsid w:val="00F91F25"/>
    <w:rsid w:val="00FD4D6D"/>
    <w:rsid w:val="00FE136E"/>
    <w:rsid w:val="00FF0A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46566"/>
  <w15:chartTrackingRefBased/>
  <w15:docId w15:val="{10D6A724-ABB2-47B2-AC98-CB5BC4E2B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B88"/>
    <w:pPr>
      <w:jc w:val="both"/>
    </w:pPr>
    <w:rPr>
      <w:rFonts w:ascii="Times New Roman" w:hAnsi="Times New Roman"/>
    </w:rPr>
  </w:style>
  <w:style w:type="paragraph" w:styleId="Heading1">
    <w:name w:val="heading 1"/>
    <w:basedOn w:val="Normal"/>
    <w:next w:val="Normal"/>
    <w:link w:val="Heading1Char"/>
    <w:autoRedefine/>
    <w:uiPriority w:val="9"/>
    <w:qFormat/>
    <w:rsid w:val="00CA4B74"/>
    <w:pPr>
      <w:keepNext/>
      <w:keepLines/>
      <w:spacing w:before="360" w:after="80" w:line="240" w:lineRule="auto"/>
      <w:outlineLvl w:val="0"/>
    </w:pPr>
    <w:rPr>
      <w:rFonts w:eastAsiaTheme="majorEastAsia" w:cstheme="majorBidi"/>
      <w:b/>
      <w:kern w:val="0"/>
      <w:szCs w:val="40"/>
      <w:lang w:val="en-US"/>
      <w14:ligatures w14:val="none"/>
    </w:rPr>
  </w:style>
  <w:style w:type="paragraph" w:styleId="Heading2">
    <w:name w:val="heading 2"/>
    <w:basedOn w:val="Normal"/>
    <w:next w:val="Normal"/>
    <w:link w:val="Heading2Char"/>
    <w:autoRedefine/>
    <w:uiPriority w:val="9"/>
    <w:unhideWhenUsed/>
    <w:qFormat/>
    <w:rsid w:val="00561F88"/>
    <w:pPr>
      <w:keepNext/>
      <w:keepLines/>
      <w:spacing w:before="160" w:after="80" w:line="240" w:lineRule="auto"/>
      <w:outlineLvl w:val="1"/>
    </w:pPr>
    <w:rPr>
      <w:rFonts w:eastAsiaTheme="majorEastAsia" w:cstheme="majorBidi"/>
      <w:b/>
      <w:kern w:val="0"/>
      <w:szCs w:val="32"/>
      <w:lang w:val="en-US"/>
      <w14:ligatures w14:val="none"/>
    </w:rPr>
  </w:style>
  <w:style w:type="paragraph" w:styleId="Heading3">
    <w:name w:val="heading 3"/>
    <w:basedOn w:val="Normal"/>
    <w:next w:val="Normal"/>
    <w:link w:val="Heading3Char"/>
    <w:autoRedefine/>
    <w:uiPriority w:val="9"/>
    <w:unhideWhenUsed/>
    <w:qFormat/>
    <w:rsid w:val="0059066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B252E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252E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252E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252E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252E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252E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B74"/>
    <w:rPr>
      <w:rFonts w:ascii="Times New Roman" w:eastAsiaTheme="majorEastAsia" w:hAnsi="Times New Roman" w:cstheme="majorBidi"/>
      <w:b/>
      <w:kern w:val="0"/>
      <w:szCs w:val="40"/>
      <w:lang w:val="en-US"/>
      <w14:ligatures w14:val="none"/>
    </w:rPr>
  </w:style>
  <w:style w:type="character" w:customStyle="1" w:styleId="Heading2Char">
    <w:name w:val="Heading 2 Char"/>
    <w:basedOn w:val="DefaultParagraphFont"/>
    <w:link w:val="Heading2"/>
    <w:uiPriority w:val="9"/>
    <w:rsid w:val="00561F88"/>
    <w:rPr>
      <w:rFonts w:ascii="Times New Roman" w:eastAsiaTheme="majorEastAsia" w:hAnsi="Times New Roman" w:cstheme="majorBidi"/>
      <w:b/>
      <w:kern w:val="0"/>
      <w:szCs w:val="32"/>
      <w:lang w:val="en-US"/>
      <w14:ligatures w14:val="none"/>
    </w:rPr>
  </w:style>
  <w:style w:type="character" w:customStyle="1" w:styleId="Heading3Char">
    <w:name w:val="Heading 3 Char"/>
    <w:basedOn w:val="DefaultParagraphFont"/>
    <w:link w:val="Heading3"/>
    <w:uiPriority w:val="9"/>
    <w:rsid w:val="00590660"/>
    <w:rPr>
      <w:rFonts w:ascii="Times New Roman" w:eastAsiaTheme="majorEastAsia" w:hAnsi="Times New Roman" w:cstheme="majorBidi"/>
      <w:b/>
      <w:szCs w:val="28"/>
    </w:rPr>
  </w:style>
  <w:style w:type="paragraph" w:styleId="Caption">
    <w:name w:val="caption"/>
    <w:basedOn w:val="Normal"/>
    <w:next w:val="Normal"/>
    <w:autoRedefine/>
    <w:uiPriority w:val="35"/>
    <w:unhideWhenUsed/>
    <w:qFormat/>
    <w:rsid w:val="000A05FE"/>
    <w:rPr>
      <w:iCs/>
      <w:szCs w:val="18"/>
    </w:rPr>
  </w:style>
  <w:style w:type="paragraph" w:styleId="TOCHeading">
    <w:name w:val="TOC Heading"/>
    <w:basedOn w:val="Heading1"/>
    <w:next w:val="Normal"/>
    <w:autoRedefine/>
    <w:uiPriority w:val="39"/>
    <w:unhideWhenUsed/>
    <w:qFormat/>
    <w:rsid w:val="004F2B7F"/>
    <w:pPr>
      <w:outlineLvl w:val="9"/>
    </w:pPr>
    <w:rPr>
      <w:sz w:val="28"/>
    </w:rPr>
  </w:style>
  <w:style w:type="character" w:customStyle="1" w:styleId="Heading4Char">
    <w:name w:val="Heading 4 Char"/>
    <w:basedOn w:val="DefaultParagraphFont"/>
    <w:link w:val="Heading4"/>
    <w:uiPriority w:val="9"/>
    <w:semiHidden/>
    <w:rsid w:val="00B25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2EF"/>
    <w:rPr>
      <w:rFonts w:eastAsiaTheme="majorEastAsia" w:cstheme="majorBidi"/>
      <w:color w:val="272727" w:themeColor="text1" w:themeTint="D8"/>
    </w:rPr>
  </w:style>
  <w:style w:type="paragraph" w:styleId="Title">
    <w:name w:val="Title"/>
    <w:basedOn w:val="Normal"/>
    <w:next w:val="Normal"/>
    <w:link w:val="TitleChar"/>
    <w:uiPriority w:val="10"/>
    <w:qFormat/>
    <w:rsid w:val="00B252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2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2E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2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2EF"/>
    <w:pPr>
      <w:spacing w:before="160"/>
      <w:jc w:val="center"/>
    </w:pPr>
    <w:rPr>
      <w:i/>
      <w:iCs/>
      <w:color w:val="404040" w:themeColor="text1" w:themeTint="BF"/>
    </w:rPr>
  </w:style>
  <w:style w:type="character" w:customStyle="1" w:styleId="QuoteChar">
    <w:name w:val="Quote Char"/>
    <w:basedOn w:val="DefaultParagraphFont"/>
    <w:link w:val="Quote"/>
    <w:uiPriority w:val="29"/>
    <w:rsid w:val="00B252EF"/>
    <w:rPr>
      <w:rFonts w:ascii="Times New Roman" w:hAnsi="Times New Roman"/>
      <w:i/>
      <w:iCs/>
      <w:color w:val="404040" w:themeColor="text1" w:themeTint="BF"/>
    </w:rPr>
  </w:style>
  <w:style w:type="paragraph" w:styleId="ListParagraph">
    <w:name w:val="List Paragraph"/>
    <w:basedOn w:val="Normal"/>
    <w:uiPriority w:val="34"/>
    <w:qFormat/>
    <w:rsid w:val="00B252EF"/>
    <w:pPr>
      <w:ind w:left="720"/>
      <w:contextualSpacing/>
    </w:pPr>
  </w:style>
  <w:style w:type="character" w:styleId="IntenseEmphasis">
    <w:name w:val="Intense Emphasis"/>
    <w:basedOn w:val="DefaultParagraphFont"/>
    <w:uiPriority w:val="21"/>
    <w:qFormat/>
    <w:rsid w:val="00B252EF"/>
    <w:rPr>
      <w:i/>
      <w:iCs/>
      <w:color w:val="0F4761" w:themeColor="accent1" w:themeShade="BF"/>
    </w:rPr>
  </w:style>
  <w:style w:type="paragraph" w:styleId="IntenseQuote">
    <w:name w:val="Intense Quote"/>
    <w:basedOn w:val="Normal"/>
    <w:next w:val="Normal"/>
    <w:link w:val="IntenseQuoteChar"/>
    <w:uiPriority w:val="30"/>
    <w:qFormat/>
    <w:rsid w:val="00B25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52EF"/>
    <w:rPr>
      <w:rFonts w:ascii="Times New Roman" w:hAnsi="Times New Roman"/>
      <w:i/>
      <w:iCs/>
      <w:color w:val="0F4761" w:themeColor="accent1" w:themeShade="BF"/>
    </w:rPr>
  </w:style>
  <w:style w:type="character" w:styleId="IntenseReference">
    <w:name w:val="Intense Reference"/>
    <w:basedOn w:val="DefaultParagraphFont"/>
    <w:uiPriority w:val="32"/>
    <w:qFormat/>
    <w:rsid w:val="00B252EF"/>
    <w:rPr>
      <w:b/>
      <w:bCs/>
      <w:smallCaps/>
      <w:color w:val="0F4761" w:themeColor="accent1" w:themeShade="BF"/>
      <w:spacing w:val="5"/>
    </w:rPr>
  </w:style>
  <w:style w:type="table" w:styleId="TableGrid">
    <w:name w:val="Table Grid"/>
    <w:basedOn w:val="TableNormal"/>
    <w:uiPriority w:val="39"/>
    <w:rsid w:val="008A5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72623"/>
    <w:rPr>
      <w:color w:val="467886" w:themeColor="hyperlink"/>
      <w:u w:val="single"/>
    </w:rPr>
  </w:style>
  <w:style w:type="character" w:styleId="UnresolvedMention">
    <w:name w:val="Unresolved Mention"/>
    <w:basedOn w:val="DefaultParagraphFont"/>
    <w:uiPriority w:val="99"/>
    <w:semiHidden/>
    <w:unhideWhenUsed/>
    <w:rsid w:val="00672623"/>
    <w:rPr>
      <w:color w:val="605E5C"/>
      <w:shd w:val="clear" w:color="auto" w:fill="E1DFDD"/>
    </w:rPr>
  </w:style>
  <w:style w:type="paragraph" w:styleId="Header">
    <w:name w:val="header"/>
    <w:basedOn w:val="Normal"/>
    <w:link w:val="HeaderChar"/>
    <w:uiPriority w:val="99"/>
    <w:unhideWhenUsed/>
    <w:rsid w:val="001701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1E6"/>
    <w:rPr>
      <w:rFonts w:ascii="Times New Roman" w:hAnsi="Times New Roman"/>
    </w:rPr>
  </w:style>
  <w:style w:type="paragraph" w:styleId="Footer">
    <w:name w:val="footer"/>
    <w:basedOn w:val="Normal"/>
    <w:link w:val="FooterChar"/>
    <w:uiPriority w:val="99"/>
    <w:unhideWhenUsed/>
    <w:rsid w:val="001701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1E6"/>
    <w:rPr>
      <w:rFonts w:ascii="Times New Roman" w:hAnsi="Times New Roman"/>
    </w:rPr>
  </w:style>
  <w:style w:type="paragraph" w:styleId="TOC1">
    <w:name w:val="toc 1"/>
    <w:basedOn w:val="Normal"/>
    <w:next w:val="Normal"/>
    <w:autoRedefine/>
    <w:uiPriority w:val="39"/>
    <w:unhideWhenUsed/>
    <w:rsid w:val="001701E6"/>
    <w:pPr>
      <w:spacing w:after="100"/>
    </w:pPr>
  </w:style>
  <w:style w:type="paragraph" w:styleId="TOC2">
    <w:name w:val="toc 2"/>
    <w:basedOn w:val="Normal"/>
    <w:next w:val="Normal"/>
    <w:autoRedefine/>
    <w:uiPriority w:val="39"/>
    <w:unhideWhenUsed/>
    <w:rsid w:val="001701E6"/>
    <w:pPr>
      <w:spacing w:after="100"/>
      <w:ind w:left="240"/>
    </w:pPr>
  </w:style>
  <w:style w:type="paragraph" w:styleId="TOC3">
    <w:name w:val="toc 3"/>
    <w:basedOn w:val="Normal"/>
    <w:next w:val="Normal"/>
    <w:autoRedefine/>
    <w:uiPriority w:val="39"/>
    <w:unhideWhenUsed/>
    <w:rsid w:val="001701E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www.google.com/search?q=https%3A%2F%2Fwww.tatasteeluk.com%2Fone-year-on-port-talbot-electric-arc-furnace-transformatio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google.com/search?q=https%3A%2F%2Fwww.tatasteel.com%2Fnewsroom%2Fpress-releases%2Findia%2F2025%2Ftata-group-chairman-n-chandrasekaran-marks-groundbreaking-of-new-electric-arc-furnace-at-port-talbot%2F" TargetMode="External"/><Relationship Id="rId2" Type="http://schemas.openxmlformats.org/officeDocument/2006/relationships/numbering" Target="numbering.xml"/><Relationship Id="rId16" Type="http://schemas.openxmlformats.org/officeDocument/2006/relationships/hyperlink" Target="https://www.google.com/search?q=https%3A%2F%2Fwww.tatasteel.com%2Finvestors%2Fintegrated-report-2022-23%2Fforging-sustainable-steel.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www.tatasteeluk.com/corporate/news/tata-steel-launches-low-co2-steel" TargetMode="External"/><Relationship Id="rId10" Type="http://schemas.openxmlformats.org/officeDocument/2006/relationships/diagramLayout" Target="diagrams/layout1.xml"/><Relationship Id="rId19" Type="http://schemas.openxmlformats.org/officeDocument/2006/relationships/hyperlink" Target="https://www.google.com/search?q=https%3A%2F%2Feurometal.net%2Ftata-steel-adopts-differing-european-indian-decarbonisation-strategy%2F"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fedsteel.com/insights/steel-industry-trends-2025/"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AA66FC-2BC6-4C12-A21A-EF1473564512}" type="doc">
      <dgm:prSet loTypeId="urn:microsoft.com/office/officeart/2005/8/layout/lProcess3" loCatId="process" qsTypeId="urn:microsoft.com/office/officeart/2005/8/quickstyle/3d2" qsCatId="3D" csTypeId="urn:microsoft.com/office/officeart/2005/8/colors/colorful3" csCatId="colorful" phldr="1"/>
      <dgm:spPr/>
      <dgm:t>
        <a:bodyPr/>
        <a:lstStyle/>
        <a:p>
          <a:endParaRPr lang="en-IN"/>
        </a:p>
      </dgm:t>
    </dgm:pt>
    <dgm:pt modelId="{3DA8A903-84AD-4886-901B-93E92C21558C}">
      <dgm:prSet phldrT="[Text]"/>
      <dgm:spPr/>
      <dgm:t>
        <a:bodyPr/>
        <a:lstStyle/>
        <a:p>
          <a:r>
            <a:rPr lang="en-IN"/>
            <a:t>Legacy Strategy: Cost Leadership </a:t>
          </a:r>
        </a:p>
      </dgm:t>
    </dgm:pt>
    <dgm:pt modelId="{A62E3370-AF50-48BE-8E97-A9AF2373734A}" type="parTrans" cxnId="{DCB5B887-56FF-44CB-B760-CCBE5D3E231A}">
      <dgm:prSet/>
      <dgm:spPr/>
      <dgm:t>
        <a:bodyPr/>
        <a:lstStyle/>
        <a:p>
          <a:endParaRPr lang="en-IN"/>
        </a:p>
      </dgm:t>
    </dgm:pt>
    <dgm:pt modelId="{24723C42-7CD2-4C3A-A694-4319B7725A80}" type="sibTrans" cxnId="{DCB5B887-56FF-44CB-B760-CCBE5D3E231A}">
      <dgm:prSet/>
      <dgm:spPr/>
      <dgm:t>
        <a:bodyPr/>
        <a:lstStyle/>
        <a:p>
          <a:endParaRPr lang="en-IN"/>
        </a:p>
      </dgm:t>
    </dgm:pt>
    <dgm:pt modelId="{9A416B47-467C-4AE9-B8AF-74AA6B40702F}">
      <dgm:prSet phldrT="[Text]"/>
      <dgm:spPr/>
      <dgm:t>
        <a:bodyPr/>
        <a:lstStyle/>
        <a:p>
          <a:r>
            <a:rPr lang="en-IN"/>
            <a:t>Dependent on cheap coal and high processing volumes v/s</a:t>
          </a:r>
        </a:p>
      </dgm:t>
    </dgm:pt>
    <dgm:pt modelId="{C0BC1712-5AF2-4BDF-AE53-1446F3115F28}" type="parTrans" cxnId="{02356A8A-D104-4C46-909D-C7EA76999442}">
      <dgm:prSet/>
      <dgm:spPr/>
      <dgm:t>
        <a:bodyPr/>
        <a:lstStyle/>
        <a:p>
          <a:endParaRPr lang="en-IN"/>
        </a:p>
      </dgm:t>
    </dgm:pt>
    <dgm:pt modelId="{1E3D3BE8-743A-4A64-AE8B-F8818A74A32E}" type="sibTrans" cxnId="{02356A8A-D104-4C46-909D-C7EA76999442}">
      <dgm:prSet/>
      <dgm:spPr/>
      <dgm:t>
        <a:bodyPr/>
        <a:lstStyle/>
        <a:p>
          <a:endParaRPr lang="en-IN"/>
        </a:p>
      </dgm:t>
    </dgm:pt>
    <dgm:pt modelId="{B2542853-666D-4EC7-987C-A5BB909BC51D}">
      <dgm:prSet phldrT="[Text]"/>
      <dgm:spPr/>
      <dgm:t>
        <a:bodyPr/>
        <a:lstStyle/>
        <a:p>
          <a:r>
            <a:rPr lang="en-IN"/>
            <a:t>Emerging Strategy: Focused Differentiation</a:t>
          </a:r>
        </a:p>
      </dgm:t>
    </dgm:pt>
    <dgm:pt modelId="{EEEA1F43-C9B4-4FB6-9D5C-53E53A8239FC}" type="parTrans" cxnId="{C767D62C-0A03-443F-BAAB-E73077A4CA31}">
      <dgm:prSet/>
      <dgm:spPr/>
      <dgm:t>
        <a:bodyPr/>
        <a:lstStyle/>
        <a:p>
          <a:endParaRPr lang="en-IN"/>
        </a:p>
      </dgm:t>
    </dgm:pt>
    <dgm:pt modelId="{82C68864-DD96-41C7-9A02-2F9F1188907A}" type="sibTrans" cxnId="{C767D62C-0A03-443F-BAAB-E73077A4CA31}">
      <dgm:prSet/>
      <dgm:spPr/>
      <dgm:t>
        <a:bodyPr/>
        <a:lstStyle/>
        <a:p>
          <a:endParaRPr lang="en-IN"/>
        </a:p>
      </dgm:t>
    </dgm:pt>
    <dgm:pt modelId="{36916E75-C50E-4D7D-9620-BCEAEA03E699}">
      <dgm:prSet phldrT="[Text]"/>
      <dgm:spPr/>
      <dgm:t>
        <a:bodyPr/>
        <a:lstStyle/>
        <a:p>
          <a:r>
            <a:rPr lang="en-IN"/>
            <a:t>Dependent on low-carbon premium (green premium)</a:t>
          </a:r>
        </a:p>
      </dgm:t>
    </dgm:pt>
    <dgm:pt modelId="{8368E22A-43E4-4BDB-A404-09DF2C625CF9}" type="parTrans" cxnId="{4FA1B66C-BBE8-4FC4-993A-24B4FF614F88}">
      <dgm:prSet/>
      <dgm:spPr/>
      <dgm:t>
        <a:bodyPr/>
        <a:lstStyle/>
        <a:p>
          <a:endParaRPr lang="en-IN"/>
        </a:p>
      </dgm:t>
    </dgm:pt>
    <dgm:pt modelId="{471DE9CD-3D21-4AAD-BDFF-2EC765039214}" type="sibTrans" cxnId="{4FA1B66C-BBE8-4FC4-993A-24B4FF614F88}">
      <dgm:prSet/>
      <dgm:spPr/>
      <dgm:t>
        <a:bodyPr/>
        <a:lstStyle/>
        <a:p>
          <a:endParaRPr lang="en-IN"/>
        </a:p>
      </dgm:t>
    </dgm:pt>
    <dgm:pt modelId="{A65AA78D-56A7-442E-B555-E60FD716B21D}" type="pres">
      <dgm:prSet presAssocID="{B9AA66FC-2BC6-4C12-A21A-EF1473564512}" presName="Name0" presStyleCnt="0">
        <dgm:presLayoutVars>
          <dgm:chPref val="3"/>
          <dgm:dir/>
          <dgm:animLvl val="lvl"/>
          <dgm:resizeHandles/>
        </dgm:presLayoutVars>
      </dgm:prSet>
      <dgm:spPr/>
    </dgm:pt>
    <dgm:pt modelId="{C2C44DB3-47CB-4581-ADC1-344EBF88F3B6}" type="pres">
      <dgm:prSet presAssocID="{3DA8A903-84AD-4886-901B-93E92C21558C}" presName="horFlow" presStyleCnt="0"/>
      <dgm:spPr/>
    </dgm:pt>
    <dgm:pt modelId="{2D3C2E03-2EBA-4246-898D-1A8BE432F4E6}" type="pres">
      <dgm:prSet presAssocID="{3DA8A903-84AD-4886-901B-93E92C21558C}" presName="bigChev" presStyleLbl="node1" presStyleIdx="0" presStyleCnt="2"/>
      <dgm:spPr/>
    </dgm:pt>
    <dgm:pt modelId="{A3456CE7-1104-4BDB-A08A-DFD8412341DC}" type="pres">
      <dgm:prSet presAssocID="{C0BC1712-5AF2-4BDF-AE53-1446F3115F28}" presName="parTrans" presStyleCnt="0"/>
      <dgm:spPr/>
    </dgm:pt>
    <dgm:pt modelId="{61036752-622B-41DB-9A9D-BAE899CA0C22}" type="pres">
      <dgm:prSet presAssocID="{9A416B47-467C-4AE9-B8AF-74AA6B40702F}" presName="node" presStyleLbl="alignAccFollowNode1" presStyleIdx="0" presStyleCnt="2">
        <dgm:presLayoutVars>
          <dgm:bulletEnabled val="1"/>
        </dgm:presLayoutVars>
      </dgm:prSet>
      <dgm:spPr/>
    </dgm:pt>
    <dgm:pt modelId="{8EAA7B35-D4C4-41CD-88D3-6E9A406F393E}" type="pres">
      <dgm:prSet presAssocID="{3DA8A903-84AD-4886-901B-93E92C21558C}" presName="vSp" presStyleCnt="0"/>
      <dgm:spPr/>
    </dgm:pt>
    <dgm:pt modelId="{E8E7C5B8-01EA-456D-B55F-962034D9D950}" type="pres">
      <dgm:prSet presAssocID="{B2542853-666D-4EC7-987C-A5BB909BC51D}" presName="horFlow" presStyleCnt="0"/>
      <dgm:spPr/>
    </dgm:pt>
    <dgm:pt modelId="{2A9CFC37-585F-4EDB-A83C-254FEA3579E2}" type="pres">
      <dgm:prSet presAssocID="{B2542853-666D-4EC7-987C-A5BB909BC51D}" presName="bigChev" presStyleLbl="node1" presStyleIdx="1" presStyleCnt="2"/>
      <dgm:spPr/>
    </dgm:pt>
    <dgm:pt modelId="{5C423AC2-BF2A-4114-A694-7F050EEBB537}" type="pres">
      <dgm:prSet presAssocID="{8368E22A-43E4-4BDB-A404-09DF2C625CF9}" presName="parTrans" presStyleCnt="0"/>
      <dgm:spPr/>
    </dgm:pt>
    <dgm:pt modelId="{9352754A-92FB-41C5-92F1-89D77400F12D}" type="pres">
      <dgm:prSet presAssocID="{36916E75-C50E-4D7D-9620-BCEAEA03E699}" presName="node" presStyleLbl="alignAccFollowNode1" presStyleIdx="1" presStyleCnt="2">
        <dgm:presLayoutVars>
          <dgm:bulletEnabled val="1"/>
        </dgm:presLayoutVars>
      </dgm:prSet>
      <dgm:spPr/>
    </dgm:pt>
  </dgm:ptLst>
  <dgm:cxnLst>
    <dgm:cxn modelId="{9AD9B727-4D8C-4D8D-BE38-03D5BEBE86E6}" type="presOf" srcId="{9A416B47-467C-4AE9-B8AF-74AA6B40702F}" destId="{61036752-622B-41DB-9A9D-BAE899CA0C22}" srcOrd="0" destOrd="0" presId="urn:microsoft.com/office/officeart/2005/8/layout/lProcess3"/>
    <dgm:cxn modelId="{C767D62C-0A03-443F-BAAB-E73077A4CA31}" srcId="{B9AA66FC-2BC6-4C12-A21A-EF1473564512}" destId="{B2542853-666D-4EC7-987C-A5BB909BC51D}" srcOrd="1" destOrd="0" parTransId="{EEEA1F43-C9B4-4FB6-9D5C-53E53A8239FC}" sibTransId="{82C68864-DD96-41C7-9A02-2F9F1188907A}"/>
    <dgm:cxn modelId="{14126549-B7D5-40D4-AAF5-2A93F885F923}" type="presOf" srcId="{36916E75-C50E-4D7D-9620-BCEAEA03E699}" destId="{9352754A-92FB-41C5-92F1-89D77400F12D}" srcOrd="0" destOrd="0" presId="urn:microsoft.com/office/officeart/2005/8/layout/lProcess3"/>
    <dgm:cxn modelId="{982E8C6A-1097-45A9-8BFB-D9A827908716}" type="presOf" srcId="{B9AA66FC-2BC6-4C12-A21A-EF1473564512}" destId="{A65AA78D-56A7-442E-B555-E60FD716B21D}" srcOrd="0" destOrd="0" presId="urn:microsoft.com/office/officeart/2005/8/layout/lProcess3"/>
    <dgm:cxn modelId="{2BE3986A-19EB-45BD-AC9F-1C1AA6EA10EC}" type="presOf" srcId="{3DA8A903-84AD-4886-901B-93E92C21558C}" destId="{2D3C2E03-2EBA-4246-898D-1A8BE432F4E6}" srcOrd="0" destOrd="0" presId="urn:microsoft.com/office/officeart/2005/8/layout/lProcess3"/>
    <dgm:cxn modelId="{4FA1B66C-BBE8-4FC4-993A-24B4FF614F88}" srcId="{B2542853-666D-4EC7-987C-A5BB909BC51D}" destId="{36916E75-C50E-4D7D-9620-BCEAEA03E699}" srcOrd="0" destOrd="0" parTransId="{8368E22A-43E4-4BDB-A404-09DF2C625CF9}" sibTransId="{471DE9CD-3D21-4AAD-BDFF-2EC765039214}"/>
    <dgm:cxn modelId="{38920756-6974-4682-B6D3-A96815FE8A58}" type="presOf" srcId="{B2542853-666D-4EC7-987C-A5BB909BC51D}" destId="{2A9CFC37-585F-4EDB-A83C-254FEA3579E2}" srcOrd="0" destOrd="0" presId="urn:microsoft.com/office/officeart/2005/8/layout/lProcess3"/>
    <dgm:cxn modelId="{DCB5B887-56FF-44CB-B760-CCBE5D3E231A}" srcId="{B9AA66FC-2BC6-4C12-A21A-EF1473564512}" destId="{3DA8A903-84AD-4886-901B-93E92C21558C}" srcOrd="0" destOrd="0" parTransId="{A62E3370-AF50-48BE-8E97-A9AF2373734A}" sibTransId="{24723C42-7CD2-4C3A-A694-4319B7725A80}"/>
    <dgm:cxn modelId="{02356A8A-D104-4C46-909D-C7EA76999442}" srcId="{3DA8A903-84AD-4886-901B-93E92C21558C}" destId="{9A416B47-467C-4AE9-B8AF-74AA6B40702F}" srcOrd="0" destOrd="0" parTransId="{C0BC1712-5AF2-4BDF-AE53-1446F3115F28}" sibTransId="{1E3D3BE8-743A-4A64-AE8B-F8818A74A32E}"/>
    <dgm:cxn modelId="{50455FED-3A00-492B-88F6-52D33A15EFC5}" type="presParOf" srcId="{A65AA78D-56A7-442E-B555-E60FD716B21D}" destId="{C2C44DB3-47CB-4581-ADC1-344EBF88F3B6}" srcOrd="0" destOrd="0" presId="urn:microsoft.com/office/officeart/2005/8/layout/lProcess3"/>
    <dgm:cxn modelId="{57642A52-649C-48B7-828F-59FE851632EF}" type="presParOf" srcId="{C2C44DB3-47CB-4581-ADC1-344EBF88F3B6}" destId="{2D3C2E03-2EBA-4246-898D-1A8BE432F4E6}" srcOrd="0" destOrd="0" presId="urn:microsoft.com/office/officeart/2005/8/layout/lProcess3"/>
    <dgm:cxn modelId="{68A059F4-5EA9-480F-AE30-FE35E2AC8454}" type="presParOf" srcId="{C2C44DB3-47CB-4581-ADC1-344EBF88F3B6}" destId="{A3456CE7-1104-4BDB-A08A-DFD8412341DC}" srcOrd="1" destOrd="0" presId="urn:microsoft.com/office/officeart/2005/8/layout/lProcess3"/>
    <dgm:cxn modelId="{1543A3F1-C62F-416D-9F85-4FBCB64BB4B2}" type="presParOf" srcId="{C2C44DB3-47CB-4581-ADC1-344EBF88F3B6}" destId="{61036752-622B-41DB-9A9D-BAE899CA0C22}" srcOrd="2" destOrd="0" presId="urn:microsoft.com/office/officeart/2005/8/layout/lProcess3"/>
    <dgm:cxn modelId="{30A65FDB-153D-4CB5-92CC-2D419792BA7F}" type="presParOf" srcId="{A65AA78D-56A7-442E-B555-E60FD716B21D}" destId="{8EAA7B35-D4C4-41CD-88D3-6E9A406F393E}" srcOrd="1" destOrd="0" presId="urn:microsoft.com/office/officeart/2005/8/layout/lProcess3"/>
    <dgm:cxn modelId="{A54883C3-9D6A-4E12-8813-6AD4A930E9DC}" type="presParOf" srcId="{A65AA78D-56A7-442E-B555-E60FD716B21D}" destId="{E8E7C5B8-01EA-456D-B55F-962034D9D950}" srcOrd="2" destOrd="0" presId="urn:microsoft.com/office/officeart/2005/8/layout/lProcess3"/>
    <dgm:cxn modelId="{39F72AA4-83EC-458B-9308-8CD7B3F106CC}" type="presParOf" srcId="{E8E7C5B8-01EA-456D-B55F-962034D9D950}" destId="{2A9CFC37-585F-4EDB-A83C-254FEA3579E2}" srcOrd="0" destOrd="0" presId="urn:microsoft.com/office/officeart/2005/8/layout/lProcess3"/>
    <dgm:cxn modelId="{BD515402-B8DF-4BA8-A62B-FFF8CA65214F}" type="presParOf" srcId="{E8E7C5B8-01EA-456D-B55F-962034D9D950}" destId="{5C423AC2-BF2A-4114-A694-7F050EEBB537}" srcOrd="1" destOrd="0" presId="urn:microsoft.com/office/officeart/2005/8/layout/lProcess3"/>
    <dgm:cxn modelId="{AB1B1B55-E506-46B6-A4B3-3B8F96FB782F}" type="presParOf" srcId="{E8E7C5B8-01EA-456D-B55F-962034D9D950}" destId="{9352754A-92FB-41C5-92F1-89D77400F12D}" srcOrd="2" destOrd="0" presId="urn:microsoft.com/office/officeart/2005/8/layout/lProcess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3C2E03-2EBA-4246-898D-1A8BE432F4E6}">
      <dsp:nvSpPr>
        <dsp:cNvPr id="0" name=""/>
        <dsp:cNvSpPr/>
      </dsp:nvSpPr>
      <dsp:spPr>
        <a:xfrm>
          <a:off x="1292" y="156375"/>
          <a:ext cx="2594508" cy="1037803"/>
        </a:xfrm>
        <a:prstGeom prst="chevron">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2860" tIns="11430" rIns="0" bIns="11430" numCol="1" spcCol="1270" anchor="ctr" anchorCtr="0">
          <a:noAutofit/>
        </a:bodyPr>
        <a:lstStyle/>
        <a:p>
          <a:pPr marL="0" lvl="0" indent="0" algn="ctr" defTabSz="800100">
            <a:lnSpc>
              <a:spcPct val="90000"/>
            </a:lnSpc>
            <a:spcBef>
              <a:spcPct val="0"/>
            </a:spcBef>
            <a:spcAft>
              <a:spcPct val="35000"/>
            </a:spcAft>
            <a:buNone/>
          </a:pPr>
          <a:r>
            <a:rPr lang="en-IN" sz="1800" kern="1200"/>
            <a:t>Legacy Strategy: Cost Leadership </a:t>
          </a:r>
        </a:p>
      </dsp:txBody>
      <dsp:txXfrm>
        <a:off x="520194" y="156375"/>
        <a:ext cx="1556705" cy="1037803"/>
      </dsp:txXfrm>
    </dsp:sp>
    <dsp:sp modelId="{61036752-622B-41DB-9A9D-BAE899CA0C22}">
      <dsp:nvSpPr>
        <dsp:cNvPr id="0" name=""/>
        <dsp:cNvSpPr/>
      </dsp:nvSpPr>
      <dsp:spPr>
        <a:xfrm>
          <a:off x="2258515" y="244588"/>
          <a:ext cx="2153441" cy="861376"/>
        </a:xfrm>
        <a:prstGeom prst="chevron">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17780" tIns="8890" rIns="0" bIns="8890" numCol="1" spcCol="1270" anchor="ctr" anchorCtr="0">
          <a:noAutofit/>
        </a:bodyPr>
        <a:lstStyle/>
        <a:p>
          <a:pPr marL="0" lvl="0" indent="0" algn="ctr" defTabSz="622300">
            <a:lnSpc>
              <a:spcPct val="90000"/>
            </a:lnSpc>
            <a:spcBef>
              <a:spcPct val="0"/>
            </a:spcBef>
            <a:spcAft>
              <a:spcPct val="35000"/>
            </a:spcAft>
            <a:buNone/>
          </a:pPr>
          <a:r>
            <a:rPr lang="en-IN" sz="1400" kern="1200"/>
            <a:t>Dependent on cheap coal and high processing volumes v/s</a:t>
          </a:r>
        </a:p>
      </dsp:txBody>
      <dsp:txXfrm>
        <a:off x="2689203" y="244588"/>
        <a:ext cx="1292065" cy="861376"/>
      </dsp:txXfrm>
    </dsp:sp>
    <dsp:sp modelId="{2A9CFC37-585F-4EDB-A83C-254FEA3579E2}">
      <dsp:nvSpPr>
        <dsp:cNvPr id="0" name=""/>
        <dsp:cNvSpPr/>
      </dsp:nvSpPr>
      <dsp:spPr>
        <a:xfrm>
          <a:off x="1292" y="1339471"/>
          <a:ext cx="2594508" cy="1037803"/>
        </a:xfrm>
        <a:prstGeom prst="chevron">
          <a:avLst/>
        </a:prstGeom>
        <a:gradFill rotWithShape="0">
          <a:gsLst>
            <a:gs pos="0">
              <a:schemeClr val="accent3">
                <a:hueOff val="4117163"/>
                <a:satOff val="24712"/>
                <a:lumOff val="18825"/>
                <a:alphaOff val="0"/>
                <a:satMod val="103000"/>
                <a:lumMod val="102000"/>
                <a:tint val="94000"/>
              </a:schemeClr>
            </a:gs>
            <a:gs pos="50000">
              <a:schemeClr val="accent3">
                <a:hueOff val="4117163"/>
                <a:satOff val="24712"/>
                <a:lumOff val="18825"/>
                <a:alphaOff val="0"/>
                <a:satMod val="110000"/>
                <a:lumMod val="100000"/>
                <a:shade val="100000"/>
              </a:schemeClr>
            </a:gs>
            <a:gs pos="100000">
              <a:schemeClr val="accent3">
                <a:hueOff val="4117163"/>
                <a:satOff val="24712"/>
                <a:lumOff val="1882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2860" tIns="11430" rIns="0" bIns="11430" numCol="1" spcCol="1270" anchor="ctr" anchorCtr="0">
          <a:noAutofit/>
        </a:bodyPr>
        <a:lstStyle/>
        <a:p>
          <a:pPr marL="0" lvl="0" indent="0" algn="ctr" defTabSz="800100">
            <a:lnSpc>
              <a:spcPct val="90000"/>
            </a:lnSpc>
            <a:spcBef>
              <a:spcPct val="0"/>
            </a:spcBef>
            <a:spcAft>
              <a:spcPct val="35000"/>
            </a:spcAft>
            <a:buNone/>
          </a:pPr>
          <a:r>
            <a:rPr lang="en-IN" sz="1800" kern="1200"/>
            <a:t>Emerging Strategy: Focused Differentiation</a:t>
          </a:r>
        </a:p>
      </dsp:txBody>
      <dsp:txXfrm>
        <a:off x="520194" y="1339471"/>
        <a:ext cx="1556705" cy="1037803"/>
      </dsp:txXfrm>
    </dsp:sp>
    <dsp:sp modelId="{9352754A-92FB-41C5-92F1-89D77400F12D}">
      <dsp:nvSpPr>
        <dsp:cNvPr id="0" name=""/>
        <dsp:cNvSpPr/>
      </dsp:nvSpPr>
      <dsp:spPr>
        <a:xfrm>
          <a:off x="2258515" y="1427684"/>
          <a:ext cx="2153441" cy="861376"/>
        </a:xfrm>
        <a:prstGeom prst="chevron">
          <a:avLst/>
        </a:prstGeom>
        <a:solidFill>
          <a:schemeClr val="accent3">
            <a:tint val="40000"/>
            <a:alpha val="90000"/>
            <a:hueOff val="5055155"/>
            <a:satOff val="44705"/>
            <a:lumOff val="5295"/>
            <a:alphaOff val="0"/>
          </a:schemeClr>
        </a:solidFill>
        <a:ln w="12700" cap="flat" cmpd="sng" algn="ctr">
          <a:solidFill>
            <a:schemeClr val="accent3">
              <a:tint val="40000"/>
              <a:alpha val="90000"/>
              <a:hueOff val="5055155"/>
              <a:satOff val="44705"/>
              <a:lumOff val="5295"/>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17780" tIns="8890" rIns="0" bIns="8890" numCol="1" spcCol="1270" anchor="ctr" anchorCtr="0">
          <a:noAutofit/>
        </a:bodyPr>
        <a:lstStyle/>
        <a:p>
          <a:pPr marL="0" lvl="0" indent="0" algn="ctr" defTabSz="622300">
            <a:lnSpc>
              <a:spcPct val="90000"/>
            </a:lnSpc>
            <a:spcBef>
              <a:spcPct val="0"/>
            </a:spcBef>
            <a:spcAft>
              <a:spcPct val="35000"/>
            </a:spcAft>
            <a:buNone/>
          </a:pPr>
          <a:r>
            <a:rPr lang="en-IN" sz="1400" kern="1200"/>
            <a:t>Dependent on low-carbon premium (green premium)</a:t>
          </a:r>
        </a:p>
      </dsp:txBody>
      <dsp:txXfrm>
        <a:off x="2689203" y="1427684"/>
        <a:ext cx="1292065" cy="861376"/>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6EEBD-7D30-40A2-BAE9-311FF7EC3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13</Pages>
  <Words>3682</Words>
  <Characters>20989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104</cp:revision>
  <dcterms:created xsi:type="dcterms:W3CDTF">2026-06-24T06:50:00Z</dcterms:created>
  <dcterms:modified xsi:type="dcterms:W3CDTF">2026-06-24T18:05:00Z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e50eb477-83fc-4352-8d36-4870ccb6fa0e</vt:lpwstr>
  </property>
</Properties>
</file>