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AB8A5" w14:textId="77777777" w:rsidR="008706C5" w:rsidRPr="008706C5" w:rsidRDefault="008706C5" w:rsidP="008706C5">
      <w:pPr>
        <w:jc w:val="center"/>
        <w:rPr>
          <w:rFonts w:asciiTheme="majorHAnsi" w:eastAsiaTheme="majorEastAsia" w:hAnsiTheme="majorHAnsi" w:cstheme="majorBidi"/>
          <w:b/>
          <w:bCs/>
          <w:sz w:val="28"/>
          <w:szCs w:val="28"/>
        </w:rPr>
      </w:pPr>
      <w:r w:rsidRPr="008706C5">
        <w:rPr>
          <w:rFonts w:asciiTheme="majorHAnsi" w:eastAsiaTheme="majorEastAsia" w:hAnsiTheme="majorHAnsi" w:cstheme="majorBidi"/>
          <w:b/>
          <w:bCs/>
          <w:sz w:val="28"/>
          <w:szCs w:val="28"/>
        </w:rPr>
        <w:t>(ECIE 6003) Classroom Management: Critically discuss whether current classroom management strategies are inclusive for all learners.</w:t>
      </w:r>
    </w:p>
    <w:p w14:paraId="178A81A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Classroom management has long been recognised as a cornerstone of effective teaching and learning. At its most basic, it refers to the routines, systems, and relationships that enable teachers to maintain order and create an environment where all pupils can thrive. As Doyle (1986) observes, management serves both academic and social purposes; it maximises learning time while also shaping pupils’ moral and social development. The question of whether current approaches truly support all learners remains open to debate. In recent years, the focus of policy and practice in the UK and Wales has been on creating calm, orderly classrooms through behaviour systems, consistent routines, and teacher authority. These strategies have been shown to reduce disruption and improve academic outcomes (Marzano and Marzano, 2003; Ofsted, 2014). However, inclusivity within these approaches is less certain. Pupils with additional learning needs (ALN), those affected by trauma, or those from disadvantaged backgrounds may struggle to conform to rigid expectations and are at greater risk of sanction or exclusion (Ofsted, 2019).</w:t>
      </w:r>
    </w:p>
    <w:p w14:paraId="379D03A4"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This essay critically examines the inclusivity of classroom management by drawing on two influential theoretical perspectives: behaviourism and humanism. Behaviourism has informed much of current policy, promoting order through rewards and sanctions, while humanism emphasises respect, autonomy, and the “whole child". The discussion will explore how these approaches have shaped guidance in England and Wales, including the ALN Code (Welsh Government, 2021), and consider their impact on practice. It will argue that although behaviourist strategies can promote order and efficiency, they risk marginalising vulnerable learners if applied inflexibly. Humanistic approaches, by contrast, offer more inclusive principles but are harder to implement in today’s pressured school environments. Ultimately, achieving inclusivity in classroom management requires balancing structure with empathy, consistency with flexibility, and policy with the lived realities of diverse learners.</w:t>
      </w:r>
    </w:p>
    <w:p w14:paraId="573F7B9B" w14:textId="266F8478" w:rsidR="008706C5" w:rsidRPr="008706C5" w:rsidRDefault="008706C5" w:rsidP="00C52012">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Evidence suggests that consistent routines and positive relationships are key to inclusive management. The Education Endowment Foundation (EEF, 2019) highlights simple strategies such as greeting students at the door and maintaining a low praise-to-reprimand ratio as low-cost, high-impact practices. Marzano </w:t>
      </w:r>
      <w:r w:rsidRPr="008706C5">
        <w:rPr>
          <w:rFonts w:asciiTheme="majorHAnsi" w:eastAsiaTheme="majorEastAsia" w:hAnsiTheme="majorHAnsi" w:cstheme="majorBidi"/>
          <w:sz w:val="28"/>
          <w:szCs w:val="28"/>
        </w:rPr>
        <w:lastRenderedPageBreak/>
        <w:t>(2003) found that strong teacher–student relationships reduce behaviour problems by up to 31%. Such approaches promote inclusion by fostering belonging and trust, essential for pupils facing disadvantage. Yet inclusivity depends on consistency. Ofsted (2019) reported that only one-third of teachers felt behaviour policies were applied fairly in their schools. Where policies are inconsistently enforced, marginalised learners may feel excluded or targeted. Additionally, differentiated work and technology (e.g., Immersive Reader, translation tools) are widely promoted under the ALN Code (Welsh Government, 2021). These strategies allow pupils to access learning at their level, reducing disengagement and disruption. ICT can therefore enhance inclusivity by scaffolding learning for pupils with additional needs or language barriers. However, differentiation can also stigmatise learners if it singles them out. True inclusivity requires universal design approaches where tools are available to all, preventing learners from being labelled as “different” (NASEN, 2020). Restorative conversations and trauma-informed strategies represent a shift from punitive discipline to relationship-building. These approaches align with humanistic theory and inclusive policy, focusing on repair and pupil voice rather than exclusion. However, such practices require significant training and time, which not all schools can provide consistently (Postholm, 2013).</w:t>
      </w:r>
    </w:p>
    <w:p w14:paraId="3975BCE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The goal of classroom management is to help students develop self-control by encouraging good conduct and academic performance. Thus, the idea of classroom management is closely related to academic success, teacher effectiveness, and student and teacher conduct. Education professionals have long viewed discipline as one of the biggest obstacles to promoting effective teaching. Class control and a favourable teaching and learning environment are the results of effective classroom management (Ritu, 2022). Teachers in Welsh schools today follow a set of guidelines that have been in place for the previous twenty years. The Education and Inspections Act 2006 granted teachers and staff legal rights and duties when it came to conduct. It also mandated that all schools establish and implement a conduct policy (UK Government, 2006). The Rights of Children and Young Persons (Wales) Measure 2011 amended this. It also states that all Welsh educational policies must adhere to the UNCRC and that behaviour standards must be based on respect, fairness, and giving students a voice (Welsh Government, 2011). The Practical Approaches to Behaviour Management (2012) </w:t>
      </w:r>
      <w:r w:rsidRPr="008706C5">
        <w:rPr>
          <w:rFonts w:asciiTheme="majorHAnsi" w:eastAsiaTheme="majorEastAsia" w:hAnsiTheme="majorHAnsi" w:cstheme="majorBidi"/>
          <w:sz w:val="28"/>
          <w:szCs w:val="28"/>
        </w:rPr>
        <w:lastRenderedPageBreak/>
        <w:t>and the Reducing Restrictive Practices Framework (rev. 2022) frameworks underlined the importance of consistent routines, de-escalation, and safe handling (Welsh Government, 2012; Welsh Government, 2022a). The Additional Learning Needs and Education Tribunal (Wales) Act 2018 and ALN Code 2021 mandated the inclusion of planning for all pupils, encompassing those with additional needs (Welsh Government, 2018; Welsh Government, 2021). The new way Estyn inspects schools obviously looks at behaviour and health (Welsh Government, 2022b; Estyn, 2024). The national behaviour handbooks made these rules start to work in 2012, and the ALN Code and curriculum implementation made them more common in 2021–22. Their job now is to make sure that classrooms are calm, friendly, and equitable, which is especially important now that the pandemic has ended. While these policies aim to create equitable classrooms, implementation remains uneven. Estyn (2024) inspections note continuing challenges in applying inclusive behaviour practices consistently, particularly in post-pandemic contexts where pupil needs are more complex.</w:t>
      </w:r>
    </w:p>
    <w:p w14:paraId="74DDC535"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Spencer Kagan argues that children should participate in deciding classroom rules. By helping to create the rules, pupils build a sense of classroom community, working together with a shared understanding of expectations (Kagan, 1995). Teachers are advised not to let personal issues influence their teaching and to take responsibility for solving problems in the classroom in the long term (Educational Leadership, 2003). Transitions can cause several classroom issues. Theorist Jacob Kounin emphasised the necessity of "with-it-ness", or teachers’ awareness of what is happening in the classroom. Teachers who demonstrate with-it-ness can recognise misbehaviour when pupils are unhappy and address it before it disrupts learning, ensuring that the classroom remains under control (Kounin, 1970). Identifying potential issues early is essential for supporting student success in a learning environment (Classroom Management for Effective Teaching, 2017). Teachers who have strong relationships with their pupils are more likely to identify the root causes of behaviour and help learners to develop strategies to prevent recurrence. Classroom behaviour problems can increase stress for both teachers and students, interfere with the flow of instruction, and work against learning goals and routines. They also alter the classroom dynamic </w:t>
      </w:r>
      <w:r w:rsidRPr="008706C5">
        <w:rPr>
          <w:rFonts w:asciiTheme="majorHAnsi" w:eastAsiaTheme="majorEastAsia" w:hAnsiTheme="majorHAnsi" w:cstheme="majorBidi"/>
          <w:sz w:val="28"/>
          <w:szCs w:val="28"/>
        </w:rPr>
        <w:lastRenderedPageBreak/>
        <w:t>by diverting attention away from academic work to the delays caused by disruption (Simonsen et al., 2012).</w:t>
      </w:r>
    </w:p>
    <w:p w14:paraId="7AE37EC8"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Teachers and students bring in experiences and challenges from their wider ecological systems, such as the school community, home, family, and the globe. Interventions for individual students may not solve classroom behaviour issues. Focusing on individuals may lead one to ignore systemic issues in teacher-pupil relations, teacher management and teaching styles, the curriculum and the skills students need to access it, the order of activities, and many other aspects of the classroom and school ecology. Effective teaching and well-functioning classrooms with minimal disruptive behaviour require careful planning and consistency. Factors contributing to these outcomes, as identified in a literature review by Kern and Clemens (2007), include clear and simple rules and expectations that are consistently applied. The predictability of events and activities can be enhanced by establishing routines, providing information, and utilising cues and signals regarding upcoming transitions and changes, as well as detailing the content, duration, and consequences of activities. Regular use of both verbal and non-verbal praise is also important. Teacher praise has been shown to affect both recipients and observers, and verbal praise must be specific and descriptive. Educators are encouraged to provide at least four positive reinforcement statements for every instance of discipline directed at a child (Department for Education, 2011). To be effective, all students should have opportunities to participate in classroom activities, use materials, and respond to requests.</w:t>
      </w:r>
    </w:p>
    <w:p w14:paraId="0483BAAB"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Jacob Kounin argued that student engagement in lessons correlates with a reduction in misbehaviour (Kounin, 1970). Additional theorists, such as Glasser, Curwin, and Mendler, have also emphasised that when lessons are structured and delivered at a consistent pace, students are less likely to engage in misbehaviour or conflicts (Glasser, 1990; Curwin and Mendler, 1988). Engagement in a lesson not only minimises the likelihood of misbehaviour but also enhances focus on the task at hand. Similarly, Spencer Kagan asserted that students should actively participate in the establishment of classroom rules, as this fosters a sense of community and shared responsibility (Kagan, 1995). Allowing pupils to contribute to rule creation promotes collaboration and ensures that all members of the classroom understand and accept the rules (Ritu, 2022). </w:t>
      </w:r>
      <w:r w:rsidRPr="008706C5">
        <w:rPr>
          <w:rFonts w:asciiTheme="majorHAnsi" w:eastAsiaTheme="majorEastAsia" w:hAnsiTheme="majorHAnsi" w:cstheme="majorBidi"/>
          <w:sz w:val="28"/>
          <w:szCs w:val="28"/>
        </w:rPr>
        <w:lastRenderedPageBreak/>
        <w:t>Students from a wide range of backgrounds, skills, and experiences come together to study and develop in the modern classroom, which serves as a microcosm of society. Although this diversity is a strength, it also presents challenges, including behavioural, emotional, and social difficulties that some pupils may face. Fostering an inclusive and supportive learning environment requires acknowledging these challenges and putting appropriate support mechanisms in place (Pearson, 2016). Emotional difficulties may include anxiety, depression, low self-esteem, and mood disorders, all of which can severely affect a student’s academic achievement, general well-being, and capacity to build positive relationships (ISJ, 2020). Moreover, mental health and wider social pressures, such as social media, poverty, and trauma, create challenges that extend beyond the reach of traditional classroom strategies (Kern and Clemens, 2007). The organisation and style of children's physical surroundings have an impact on their feelings, actions, and behaviours. The layout of the room for play and learning influences students' social and cognitive interactions. Clayton and Forton (2001) argue that poorly designed classrooms can cause disruptions and negative social interactions among students and between students and teachers. Furthermore, large class sizes have been shown to reduce teachers’ capacity to provide individualised support (Blatchford, Bassett, and Brown, 2011). Blatchford, Bassett, and Brown (2011) found that smaller Key Stage 1 classes in the UK improved behaviour management, tailored instruction, and academic achievement. Although the gains were modest, they were significant over time, particularly for at-risk pupils. Primary and secondary class teachers, form tutors, and support staff all play crucial roles; regularly spending lesser amounts of time learning about a child or young person’s interests can strengthen these relationships. In addition, awareness of significant life events or well-being concerns enables earlier intervention and more effective responses. Children’s behaviour may also be influenced by adverse childhood experiences (ACEs) and bullying, further emphasising the importance of supportive, proactive approaches (Education Endowment Foundation, 2019).</w:t>
      </w:r>
    </w:p>
    <w:p w14:paraId="4C9CD6E9"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w:t>
      </w:r>
    </w:p>
    <w:p w14:paraId="37ED899A" w14:textId="3C1C575E"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 The Additional Learning Needs Code (Welsh Government, 2021) highlights the importance of individualised methodologies, with ICT tools such as Immersive Reader and speech-to-text identified in guidance as effective for reducing barriers </w:t>
      </w:r>
      <w:r w:rsidRPr="008706C5">
        <w:rPr>
          <w:rFonts w:asciiTheme="majorHAnsi" w:eastAsiaTheme="majorEastAsia" w:hAnsiTheme="majorHAnsi" w:cstheme="majorBidi"/>
          <w:sz w:val="28"/>
          <w:szCs w:val="28"/>
        </w:rPr>
        <w:lastRenderedPageBreak/>
        <w:t>to learning. Information and Communication Technology (ICT) enables educators to deliver assignments at varied levels, including scaffolded resources and translation tools. When students can engage with material according to their level of proficiency, they are less likely to become disengaged or display disruptive behaviour. Research further suggests that individualised instruction supported by ICT can enhance engagement and outcomes (Education Endowment Foundation, 2021; UCL Institute of Education, 2020; Geographical Association, 2020</w:t>
      </w:r>
      <w:r w:rsidR="00A1202D" w:rsidRPr="008706C5">
        <w:rPr>
          <w:rFonts w:asciiTheme="majorHAnsi" w:eastAsiaTheme="majorEastAsia" w:hAnsiTheme="majorHAnsi" w:cstheme="majorBidi"/>
          <w:sz w:val="28"/>
          <w:szCs w:val="28"/>
        </w:rPr>
        <w:t>). Implementing</w:t>
      </w:r>
      <w:r w:rsidRPr="008706C5">
        <w:rPr>
          <w:rFonts w:asciiTheme="majorHAnsi" w:eastAsiaTheme="majorEastAsia" w:hAnsiTheme="majorHAnsi" w:cstheme="majorBidi"/>
          <w:sz w:val="28"/>
          <w:szCs w:val="28"/>
        </w:rPr>
        <w:t xml:space="preserve"> differentiated instruction can serve as an effective classroom management technique. Research and inspectorate findings demonstrate that when tasks are suitably tailored and diversified to meet student needs, engagement and focus increase, leading to fewer interruptions (Tomlinson, 2014). In Welsh educational institutions, for example, disruptive behaviour is most common in classrooms where educators fail to present engaging and challenging lessons that address the diverse requirements of all learners (Estyn, 2006). Studies further support that differentiated instruction enhances classroom engagement and reduces misbehaviour (Subban, 2006).</w:t>
      </w:r>
    </w:p>
    <w:p w14:paraId="2EC4B46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w:t>
      </w:r>
    </w:p>
    <w:p w14:paraId="11476B4A" w14:textId="70230FC3" w:rsidR="008706C5" w:rsidRPr="008706C5" w:rsidRDefault="008706C5" w:rsidP="00A1202D">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 The National Association for Special Educational Needs (NASEN) stresses that some pupils with additional learning needs benefit from different resources, teaching materials and strategies to access their learning (NASEN, 2018). Differentiation should not, however, stigmatise pupils; resources should be offered as choices accessible to all learners so that scaffolds feel normal rather than marking a child as different (Education Endowment Foundation, 2021). The Education Endowment Foundation (EEF) reports that positive behaviour strategies, such as specific praise, improve not only behaviour but also motivation and confidence (Education Endowment Foundation, 2019). This clearly associates consistent classroom routines and effective management, behaviour-specific praise, and supportive adult relationships with the enhancement of good learning behaviours. These strategies are likely to enhance self-esteem as students perceive themselves as competent and recognised. The Research Schools Network highlights that consistency avoids unfairness, that behaviour systems should be known to pupils and staff, that good routines help learning, and that fairness is part of effective management (Research Schools Network, 2019; GOV.UK, 2018). Ofsted found that only one-third of teachers in a 2019 </w:t>
      </w:r>
      <w:r w:rsidRPr="008706C5">
        <w:rPr>
          <w:rFonts w:asciiTheme="majorHAnsi" w:eastAsiaTheme="majorEastAsia" w:hAnsiTheme="majorHAnsi" w:cstheme="majorBidi"/>
          <w:sz w:val="28"/>
          <w:szCs w:val="28"/>
        </w:rPr>
        <w:lastRenderedPageBreak/>
        <w:t>survey felt their school’s behaviour policy was applied consistently by staff, and many said uneven enforcement, as well as lack of leadership support, undermined their classroom management (Ofsted, 2019a; GOV.UK, 2019). The Department for Education’s (DfE) Behaviour in Schools guidance states that “consistent and clear language should be used when praising positive behaviour and addressing misbehaviour” (Department for Education, 2022a). Teachers can increase motivation, conduct, and learning with incentives, consequences, praise, and criticism. Clear standards go hand in hand with regular routines. Ofsted’s 2019 study found that many schools that do well have a set of “consistent routines that are put into practice and carefully and consistently applied” (Ofsted, 2019b; GOV.UK, 2019). According to the DfE, “routines should be used to teach and reinforce the behaviours expected of all pupils” and create a calmer environment (Department for Education, 2022b).</w:t>
      </w:r>
    </w:p>
    <w:p w14:paraId="7BEBA5FC"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 Behaviour and learning are conditioned reactions to external stimuli. Developed by Ivan Pavlov and B.F. Skinner, behaviourist theories assert that a system of rewards and punishments may be used to teach and reinforce desired actions (Twinkl, 2023a). Positive behaviours are encouraged by positive reinforcement (e.g., praise, tangible rewards), while negative behaviours are discouraged by consequences or removal of rewards (Twinkl, 2023a). According to behaviourist theory, actions that result in positive outcomes are more likely to occur again, whereas those that result in negative outcomes decrease (Growth Engineering, 2023) This focus on observable behaviour and measurable outcomes leads to a highly structured, teacher-directed approach. Teachers are expected to “have clear rules and routines for behaviour and a framework for discipline with a range of strategies, using praise, sanctions, and rewards consistently and fairly,” according to the UK Teachers’ Standards (Department for Education, 2011). This reflects the influence of behaviourist principles on official policy. A positive reinforcement ratio (lots of praise for every reprimand) is often recommended in training to encourage a supportive tone. However, critics note that behaviourist strategies may unfairly exclude or penalise learners with ADHD, autism, or trauma histories; such students often struggle with rigid conformity to behavioural norms, and punitive or reward-based systems may lead to disproportionate sanctioning (Emerson, 2022; Ijaz et al., 2024; Stalford et al., 2024). In this sense, behaviourist approaches can reinforce inequality rather than inclusion. As Ofsted </w:t>
      </w:r>
      <w:r w:rsidRPr="008706C5">
        <w:rPr>
          <w:rFonts w:asciiTheme="majorHAnsi" w:eastAsiaTheme="majorEastAsia" w:hAnsiTheme="majorHAnsi" w:cstheme="majorBidi"/>
          <w:sz w:val="28"/>
          <w:szCs w:val="28"/>
        </w:rPr>
        <w:lastRenderedPageBreak/>
        <w:t>(2019) noted, inconsistent or punitive enforcement of behaviour policies often undermines fairness, which directly conflicts with inclusive principles.</w:t>
      </w:r>
    </w:p>
    <w:p w14:paraId="1A4BA5E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By contrast, humanistic education theory emphasises the learner’s individual needs, emotions, and autonomy. Formulated by theorists such as Abraham Maslow and Carl Rogers, humanism posits that effective learning necessitates attending to the “whole child", encompassing intellect, emotions, and fundamental needs (University of Leicester, 2023). Maslow’s Hierarchy of Needs illustrates that students must have fundamental needs met (food, safety, belonging, esteem) before reaching their full potential in learning (self-actualisation) (Twinkl, 2023b). Unlike behaviourism’s external control, humanism assumes individuals are inherently capable of growth and positive choices, given the right supportive environment (University of Leicester, 2023). Emerging as a reaction against behaviourist perspectives of humans as motivated only by rewards or punishment, humanistic education emphasises intrinsic motivation, self-direction, and personal meaning in learning (University of Leicester, 2023). In practice, this means valuing student choice, fostering self-esteem, and building strong teacher–student relationships grounded in respect. A humanistic approach informs a more student-centred style of classroom management: the teacher’s role is less “strict authority” and more facilitator or mentor, creating a climate where students feel respected, safe, and engaged. Setting expectations under this framework involves mutual respect and shared responsibility. Teachers still set boundaries, but rules may be developed with input from pupils, highlighting fairness and reasoning (Twinkl, 2023b). While inherently inclusive, humanism is challenging to implement in practice. Large class sizes, accountability pressures, and policy emphasis on measurable behaviour outcomes can push teachers toward more behaviourist approaches. Nonetheless, restorative practices, trauma-informed approaches, and growth mindset pedagogy (Dweck, 2006) demonstrate how humanism can inform inclusive management strategies today.</w:t>
      </w:r>
    </w:p>
    <w:p w14:paraId="6328D51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Classroom management can be inclusive for all learners, but this requires more than routines and sanctions; it depends on consistency, relational practice, and sustained support for teachers. Current approaches in the UK and Wales draw on both behaviourist and humanist traditions. Behaviourist strategies, embedded in national policies, bring much-needed structure and order. However, they risk </w:t>
      </w:r>
      <w:r w:rsidRPr="008706C5">
        <w:rPr>
          <w:rFonts w:asciiTheme="majorHAnsi" w:eastAsiaTheme="majorEastAsia" w:hAnsiTheme="majorHAnsi" w:cstheme="majorBidi"/>
          <w:sz w:val="28"/>
          <w:szCs w:val="28"/>
        </w:rPr>
        <w:lastRenderedPageBreak/>
        <w:t>marginalising pupils who cannot consistently conform, such as those with additional learning needs or trauma histories (Ofsted, 2019). In contrast, humanist and restorative strategies better align with inclusivity by prioritising emotional needs, relationships, and pupil voice, though they remain more difficult to implement within high-pressure systems (Welsh Government, 2021).</w:t>
      </w:r>
    </w:p>
    <w:p w14:paraId="5A5E2517" w14:textId="58E2DCDE" w:rsidR="008706C5" w:rsidRPr="008706C5" w:rsidRDefault="008706C5" w:rsidP="00A1202D">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Addressing behavioural, emotional, and social difficulties is central to creating classrooms where all students can succeed. These challenges are rarely the fault of pupils; rather, they often stem from wider factors such as poverty, mental health, or adverse experiences and can be mitigated with appropriate support (Pearson, 2016; ISJ, 2020). The teacher’s role is therefore not simply to enforce compliance but to guide every learner towards their highest achievement. Effective classroom management should be inseparable from instructional goals and underpinned by a supportive climate.</w:t>
      </w:r>
      <w:r w:rsidR="00A1202D">
        <w:rPr>
          <w:rFonts w:asciiTheme="majorHAnsi" w:eastAsiaTheme="majorEastAsia" w:hAnsiTheme="majorHAnsi" w:cstheme="majorBidi"/>
          <w:sz w:val="28"/>
          <w:szCs w:val="28"/>
        </w:rPr>
        <w:t xml:space="preserve"> </w:t>
      </w:r>
      <w:r w:rsidRPr="008706C5">
        <w:rPr>
          <w:rFonts w:asciiTheme="majorHAnsi" w:eastAsiaTheme="majorEastAsia" w:hAnsiTheme="majorHAnsi" w:cstheme="majorBidi"/>
          <w:sz w:val="28"/>
          <w:szCs w:val="28"/>
        </w:rPr>
        <w:t>This is particularly important for early-career teachers, for whom behaviour management is often the greatest challenge. Creating a culture where teachers can reflect on their practice, access coaching, and trial innovative approaches over time will have the most lasting impact (Estyn, 2024). True inclusion requires system-wide commitment to equity, ensuring that all learners, regardless of background, ability, or need, can thrive.</w:t>
      </w:r>
    </w:p>
    <w:p w14:paraId="68C1DC96"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w:t>
      </w:r>
    </w:p>
    <w:p w14:paraId="703862A5" w14:textId="77777777" w:rsidR="008706C5" w:rsidRPr="008706C5" w:rsidRDefault="008706C5" w:rsidP="008706C5">
      <w:pPr>
        <w:jc w:val="both"/>
        <w:rPr>
          <w:rFonts w:asciiTheme="majorHAnsi" w:eastAsiaTheme="majorEastAsia" w:hAnsiTheme="majorHAnsi" w:cstheme="majorBidi"/>
          <w:b/>
          <w:bCs/>
          <w:sz w:val="28"/>
          <w:szCs w:val="28"/>
        </w:rPr>
      </w:pPr>
      <w:r w:rsidRPr="008706C5">
        <w:rPr>
          <w:rFonts w:asciiTheme="majorHAnsi" w:eastAsiaTheme="majorEastAsia" w:hAnsiTheme="majorHAnsi" w:cstheme="majorBidi"/>
          <w:b/>
          <w:bCs/>
          <w:sz w:val="28"/>
          <w:szCs w:val="28"/>
        </w:rPr>
        <w:t>References:</w:t>
      </w:r>
    </w:p>
    <w:p w14:paraId="3E2D5352"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Blatchford, P., Bassett, P. and Brown, P. (2011) ‘Examining the effect of class size on classroom engagement and behaviour’, </w:t>
      </w:r>
      <w:r w:rsidRPr="008706C5">
        <w:rPr>
          <w:rFonts w:asciiTheme="majorHAnsi" w:eastAsiaTheme="majorEastAsia" w:hAnsiTheme="majorHAnsi" w:cstheme="majorBidi"/>
          <w:i/>
          <w:iCs/>
          <w:sz w:val="28"/>
          <w:szCs w:val="28"/>
        </w:rPr>
        <w:t>British Educational Research Journal</w:t>
      </w:r>
      <w:r w:rsidRPr="008706C5">
        <w:rPr>
          <w:rFonts w:asciiTheme="majorHAnsi" w:eastAsiaTheme="majorEastAsia" w:hAnsiTheme="majorHAnsi" w:cstheme="majorBidi"/>
          <w:sz w:val="28"/>
          <w:szCs w:val="28"/>
        </w:rPr>
        <w:t>, 37(1), pp. 1–23.</w:t>
      </w:r>
    </w:p>
    <w:p w14:paraId="6BE24289"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Cambridge University (2021) </w:t>
      </w:r>
      <w:r w:rsidRPr="008706C5">
        <w:rPr>
          <w:rFonts w:asciiTheme="majorHAnsi" w:eastAsiaTheme="majorEastAsia" w:hAnsiTheme="majorHAnsi" w:cstheme="majorBidi"/>
          <w:i/>
          <w:iCs/>
          <w:sz w:val="28"/>
          <w:szCs w:val="28"/>
        </w:rPr>
        <w:t>Limited resources leave school leaders with few options to manage poor behaviour</w:t>
      </w:r>
      <w:r w:rsidRPr="008706C5">
        <w:rPr>
          <w:rFonts w:asciiTheme="majorHAnsi" w:eastAsiaTheme="majorEastAsia" w:hAnsiTheme="majorHAnsi" w:cstheme="majorBidi"/>
          <w:sz w:val="28"/>
          <w:szCs w:val="28"/>
        </w:rPr>
        <w:t xml:space="preserve">. Cambridge: University of Cambridge. Available at: </w:t>
      </w:r>
      <w:hyperlink r:id="rId5" w:tgtFrame="_blank" w:history="1">
        <w:r w:rsidRPr="008706C5">
          <w:rPr>
            <w:rStyle w:val="Hyperlink"/>
            <w:rFonts w:asciiTheme="majorHAnsi" w:eastAsiaTheme="majorEastAsia" w:hAnsiTheme="majorHAnsi" w:cstheme="majorBidi"/>
            <w:sz w:val="28"/>
            <w:szCs w:val="28"/>
          </w:rPr>
          <w:t>https://www.cam.ac.uk/research/news/limited-resources-leave-school-leaders-with-few-options-to-manage-poor-behaviour</w:t>
        </w:r>
      </w:hyperlink>
      <w:r w:rsidRPr="008706C5">
        <w:rPr>
          <w:rFonts w:asciiTheme="majorHAnsi" w:eastAsiaTheme="majorEastAsia" w:hAnsiTheme="majorHAnsi" w:cstheme="majorBidi"/>
          <w:sz w:val="28"/>
          <w:szCs w:val="28"/>
        </w:rPr>
        <w:t xml:space="preserve"> (Accessed: 27 September 2025).</w:t>
      </w:r>
    </w:p>
    <w:p w14:paraId="621F6220"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Clayton, M. and Forton, M.B. (2001) </w:t>
      </w:r>
      <w:r w:rsidRPr="008706C5">
        <w:rPr>
          <w:rFonts w:asciiTheme="majorHAnsi" w:eastAsiaTheme="majorEastAsia" w:hAnsiTheme="majorHAnsi" w:cstheme="majorBidi"/>
          <w:i/>
          <w:iCs/>
          <w:sz w:val="28"/>
          <w:szCs w:val="28"/>
        </w:rPr>
        <w:t>Classroom Spaces that Work</w:t>
      </w:r>
      <w:r w:rsidRPr="008706C5">
        <w:rPr>
          <w:rFonts w:asciiTheme="majorHAnsi" w:eastAsiaTheme="majorEastAsia" w:hAnsiTheme="majorHAnsi" w:cstheme="majorBidi"/>
          <w:sz w:val="28"/>
          <w:szCs w:val="28"/>
        </w:rPr>
        <w:t>. Greenfield, MA: Northeast Foundation for Children.</w:t>
      </w:r>
    </w:p>
    <w:p w14:paraId="6904563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Coe, R., Aloisi, C., Higgins, S. and Major, L.E. (2014) </w:t>
      </w:r>
      <w:r w:rsidRPr="008706C5">
        <w:rPr>
          <w:rFonts w:asciiTheme="majorHAnsi" w:eastAsiaTheme="majorEastAsia" w:hAnsiTheme="majorHAnsi" w:cstheme="majorBidi"/>
          <w:i/>
          <w:iCs/>
          <w:sz w:val="28"/>
          <w:szCs w:val="28"/>
        </w:rPr>
        <w:t>What Makes Great Teaching? Review of the Underpinning Research</w:t>
      </w:r>
      <w:r w:rsidRPr="008706C5">
        <w:rPr>
          <w:rFonts w:asciiTheme="majorHAnsi" w:eastAsiaTheme="majorEastAsia" w:hAnsiTheme="majorHAnsi" w:cstheme="majorBidi"/>
          <w:sz w:val="28"/>
          <w:szCs w:val="28"/>
        </w:rPr>
        <w:t xml:space="preserve">. Durham: Sutton Trust. Available at: </w:t>
      </w:r>
      <w:hyperlink r:id="rId6" w:tgtFrame="_blank" w:history="1">
        <w:r w:rsidRPr="008706C5">
          <w:rPr>
            <w:rStyle w:val="Hyperlink"/>
            <w:rFonts w:asciiTheme="majorHAnsi" w:eastAsiaTheme="majorEastAsia" w:hAnsiTheme="majorHAnsi" w:cstheme="majorBidi"/>
            <w:sz w:val="28"/>
            <w:szCs w:val="28"/>
          </w:rPr>
          <w:t>https://www.suttontrust.com/wp-content/uploads/2014/10/What-makes-great-teaching-FINAL-4.11.14-1.pdf</w:t>
        </w:r>
      </w:hyperlink>
      <w:r w:rsidRPr="008706C5">
        <w:rPr>
          <w:rFonts w:asciiTheme="majorHAnsi" w:eastAsiaTheme="majorEastAsia" w:hAnsiTheme="majorHAnsi" w:cstheme="majorBidi"/>
          <w:sz w:val="28"/>
          <w:szCs w:val="28"/>
        </w:rPr>
        <w:t xml:space="preserve"> (Accessed: 27 September 2025).</w:t>
      </w:r>
    </w:p>
    <w:p w14:paraId="666D6296"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Curwin, R.L. and Mendler, A.N. (1988) </w:t>
      </w:r>
      <w:r w:rsidRPr="008706C5">
        <w:rPr>
          <w:rFonts w:asciiTheme="majorHAnsi" w:eastAsiaTheme="majorEastAsia" w:hAnsiTheme="majorHAnsi" w:cstheme="majorBidi"/>
          <w:i/>
          <w:iCs/>
          <w:sz w:val="28"/>
          <w:szCs w:val="28"/>
        </w:rPr>
        <w:t>Discipline with Dignity</w:t>
      </w:r>
      <w:r w:rsidRPr="008706C5">
        <w:rPr>
          <w:rFonts w:asciiTheme="majorHAnsi" w:eastAsiaTheme="majorEastAsia" w:hAnsiTheme="majorHAnsi" w:cstheme="majorBidi"/>
          <w:sz w:val="28"/>
          <w:szCs w:val="28"/>
        </w:rPr>
        <w:t>. Alexandria, VA: Association for Supervision and Curriculum Development.</w:t>
      </w:r>
    </w:p>
    <w:p w14:paraId="0D6BFB13"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Department for Education (DfE) (2011) </w:t>
      </w:r>
      <w:r w:rsidRPr="008706C5">
        <w:rPr>
          <w:rFonts w:asciiTheme="majorHAnsi" w:eastAsiaTheme="majorEastAsia" w:hAnsiTheme="majorHAnsi" w:cstheme="majorBidi"/>
          <w:i/>
          <w:iCs/>
          <w:sz w:val="28"/>
          <w:szCs w:val="28"/>
        </w:rPr>
        <w:t>Teachers’ Standards: Guidance for School Leaders, School Staff, and Governing Bodies</w:t>
      </w:r>
      <w:r w:rsidRPr="008706C5">
        <w:rPr>
          <w:rFonts w:asciiTheme="majorHAnsi" w:eastAsiaTheme="majorEastAsia" w:hAnsiTheme="majorHAnsi" w:cstheme="majorBidi"/>
          <w:sz w:val="28"/>
          <w:szCs w:val="28"/>
        </w:rPr>
        <w:t xml:space="preserve">. London: DfE. Available at: </w:t>
      </w:r>
      <w:hyperlink r:id="rId7" w:tgtFrame="_blank" w:history="1">
        <w:r w:rsidRPr="008706C5">
          <w:rPr>
            <w:rStyle w:val="Hyperlink"/>
            <w:rFonts w:asciiTheme="majorHAnsi" w:eastAsiaTheme="majorEastAsia" w:hAnsiTheme="majorHAnsi" w:cstheme="majorBidi"/>
            <w:sz w:val="28"/>
            <w:szCs w:val="28"/>
          </w:rPr>
          <w:t>https://assets.publishing.service.gov.uk/government/uploads/system/uploads/attachment_data/file/665520/Teachers__Standards.pdf</w:t>
        </w:r>
      </w:hyperlink>
      <w:r w:rsidRPr="008706C5">
        <w:rPr>
          <w:rFonts w:asciiTheme="majorHAnsi" w:eastAsiaTheme="majorEastAsia" w:hAnsiTheme="majorHAnsi" w:cstheme="majorBidi"/>
          <w:sz w:val="28"/>
          <w:szCs w:val="28"/>
        </w:rPr>
        <w:t xml:space="preserve"> (Accessed: 29 September 2025).</w:t>
      </w:r>
    </w:p>
    <w:p w14:paraId="028BAE92"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Department for Education (DfE) (2022a). </w:t>
      </w:r>
      <w:r w:rsidRPr="008706C5">
        <w:rPr>
          <w:rFonts w:asciiTheme="majorHAnsi" w:eastAsiaTheme="majorEastAsia" w:hAnsiTheme="majorHAnsi" w:cstheme="majorBidi"/>
          <w:i/>
          <w:iCs/>
          <w:sz w:val="28"/>
          <w:szCs w:val="28"/>
        </w:rPr>
        <w:t>Behaviour in Schools: Advice for Headteachers and School Staff</w:t>
      </w:r>
      <w:r w:rsidRPr="008706C5">
        <w:rPr>
          <w:rFonts w:asciiTheme="majorHAnsi" w:eastAsiaTheme="majorEastAsia" w:hAnsiTheme="majorHAnsi" w:cstheme="majorBidi"/>
          <w:sz w:val="28"/>
          <w:szCs w:val="28"/>
        </w:rPr>
        <w:t xml:space="preserve">. London: DfE. Available at: </w:t>
      </w:r>
      <w:hyperlink r:id="rId8" w:tgtFrame="_blank" w:history="1">
        <w:r w:rsidRPr="008706C5">
          <w:rPr>
            <w:rStyle w:val="Hyperlink"/>
            <w:rFonts w:asciiTheme="majorHAnsi" w:eastAsiaTheme="majorEastAsia" w:hAnsiTheme="majorHAnsi" w:cstheme="majorBidi"/>
            <w:sz w:val="28"/>
            <w:szCs w:val="28"/>
          </w:rPr>
          <w:t>https://consult.education.gov.uk/school-absence-and-exclusions-team/revised-school-behaviour-and-exclusion-guidance/supporting_documents/Behaviour%20in%20schools%20%20advice%20for%20headteachers%20and%20school%20staff.pdf</w:t>
        </w:r>
      </w:hyperlink>
      <w:r w:rsidRPr="008706C5">
        <w:rPr>
          <w:rFonts w:asciiTheme="majorHAnsi" w:eastAsiaTheme="majorEastAsia" w:hAnsiTheme="majorHAnsi" w:cstheme="majorBidi"/>
          <w:sz w:val="28"/>
          <w:szCs w:val="28"/>
        </w:rPr>
        <w:t xml:space="preserve"> (Accessed: 27 September 2025).</w:t>
      </w:r>
    </w:p>
    <w:p w14:paraId="43B4C006"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Department for Education (DfE) (2022b) </w:t>
      </w:r>
      <w:r w:rsidRPr="008706C5">
        <w:rPr>
          <w:rFonts w:asciiTheme="majorHAnsi" w:eastAsiaTheme="majorEastAsia" w:hAnsiTheme="majorHAnsi" w:cstheme="majorBidi"/>
          <w:i/>
          <w:iCs/>
          <w:sz w:val="28"/>
          <w:szCs w:val="28"/>
        </w:rPr>
        <w:t>Behaviour in Schools Guidance: Routines and Reinforcement</w:t>
      </w:r>
      <w:r w:rsidRPr="008706C5">
        <w:rPr>
          <w:rFonts w:asciiTheme="majorHAnsi" w:eastAsiaTheme="majorEastAsia" w:hAnsiTheme="majorHAnsi" w:cstheme="majorBidi"/>
          <w:sz w:val="28"/>
          <w:szCs w:val="28"/>
        </w:rPr>
        <w:t>. London: DfE.</w:t>
      </w:r>
    </w:p>
    <w:p w14:paraId="08378DB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Doyle, W. (1986) ‘Classroom organisation and management’, in Wittrock, M.C. (ed.) </w:t>
      </w:r>
      <w:r w:rsidRPr="008706C5">
        <w:rPr>
          <w:rFonts w:asciiTheme="majorHAnsi" w:eastAsiaTheme="majorEastAsia" w:hAnsiTheme="majorHAnsi" w:cstheme="majorBidi"/>
          <w:i/>
          <w:iCs/>
          <w:sz w:val="28"/>
          <w:szCs w:val="28"/>
        </w:rPr>
        <w:t>Handbook of Research on Teaching</w:t>
      </w:r>
      <w:r w:rsidRPr="008706C5">
        <w:rPr>
          <w:rFonts w:asciiTheme="majorHAnsi" w:eastAsiaTheme="majorEastAsia" w:hAnsiTheme="majorHAnsi" w:cstheme="majorBidi"/>
          <w:sz w:val="28"/>
          <w:szCs w:val="28"/>
        </w:rPr>
        <w:t>. New York: Macmillan, pp. 392–431.</w:t>
      </w:r>
    </w:p>
    <w:p w14:paraId="564530D3"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Dweck, C.S. (2006) </w:t>
      </w:r>
      <w:r w:rsidRPr="008706C5">
        <w:rPr>
          <w:rFonts w:asciiTheme="majorHAnsi" w:eastAsiaTheme="majorEastAsia" w:hAnsiTheme="majorHAnsi" w:cstheme="majorBidi"/>
          <w:i/>
          <w:iCs/>
          <w:sz w:val="28"/>
          <w:szCs w:val="28"/>
        </w:rPr>
        <w:t>Mindset: The New Psychology of Success</w:t>
      </w:r>
      <w:r w:rsidRPr="008706C5">
        <w:rPr>
          <w:rFonts w:asciiTheme="majorHAnsi" w:eastAsiaTheme="majorEastAsia" w:hAnsiTheme="majorHAnsi" w:cstheme="majorBidi"/>
          <w:sz w:val="28"/>
          <w:szCs w:val="28"/>
        </w:rPr>
        <w:t>. New York: Random House.</w:t>
      </w:r>
    </w:p>
    <w:p w14:paraId="376EEC17"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Education Endowment Foundation (EEF) (2019). </w:t>
      </w:r>
      <w:r w:rsidRPr="008706C5">
        <w:rPr>
          <w:rFonts w:asciiTheme="majorHAnsi" w:eastAsiaTheme="majorEastAsia" w:hAnsiTheme="majorHAnsi" w:cstheme="majorBidi"/>
          <w:i/>
          <w:iCs/>
          <w:sz w:val="28"/>
          <w:szCs w:val="28"/>
        </w:rPr>
        <w:t>Improving Behaviour in Schools: Guidance Report</w:t>
      </w:r>
      <w:r w:rsidRPr="008706C5">
        <w:rPr>
          <w:rFonts w:asciiTheme="majorHAnsi" w:eastAsiaTheme="majorEastAsia" w:hAnsiTheme="majorHAnsi" w:cstheme="majorBidi"/>
          <w:sz w:val="28"/>
          <w:szCs w:val="28"/>
        </w:rPr>
        <w:t xml:space="preserve">. London: EEF. Available at: </w:t>
      </w:r>
      <w:hyperlink r:id="rId9" w:tgtFrame="_blank" w:history="1">
        <w:r w:rsidRPr="008706C5">
          <w:rPr>
            <w:rStyle w:val="Hyperlink"/>
            <w:rFonts w:asciiTheme="majorHAnsi" w:eastAsiaTheme="majorEastAsia" w:hAnsiTheme="majorHAnsi" w:cstheme="majorBidi"/>
            <w:sz w:val="28"/>
            <w:szCs w:val="28"/>
          </w:rPr>
          <w:t>https://educationendowmentfoundation.org.uk/education-evidence/guidance-reports/behaviour</w:t>
        </w:r>
      </w:hyperlink>
      <w:r w:rsidRPr="008706C5">
        <w:rPr>
          <w:rFonts w:asciiTheme="majorHAnsi" w:eastAsiaTheme="majorEastAsia" w:hAnsiTheme="majorHAnsi" w:cstheme="majorBidi"/>
          <w:sz w:val="28"/>
          <w:szCs w:val="28"/>
        </w:rPr>
        <w:t xml:space="preserve"> (Accessed: 1 October 2025).</w:t>
      </w:r>
    </w:p>
    <w:p w14:paraId="3563F53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Education Endowment Foundation (EEF) (2021) </w:t>
      </w:r>
      <w:r w:rsidRPr="008706C5">
        <w:rPr>
          <w:rFonts w:asciiTheme="majorHAnsi" w:eastAsiaTheme="majorEastAsia" w:hAnsiTheme="majorHAnsi" w:cstheme="majorBidi"/>
          <w:i/>
          <w:iCs/>
          <w:sz w:val="28"/>
          <w:szCs w:val="28"/>
        </w:rPr>
        <w:t>Special Educational Needs in Mainstream Schools</w:t>
      </w:r>
      <w:r w:rsidRPr="008706C5">
        <w:rPr>
          <w:rFonts w:asciiTheme="majorHAnsi" w:eastAsiaTheme="majorEastAsia" w:hAnsiTheme="majorHAnsi" w:cstheme="majorBidi"/>
          <w:sz w:val="28"/>
          <w:szCs w:val="28"/>
        </w:rPr>
        <w:t xml:space="preserve">. London: EEF. Available at: </w:t>
      </w:r>
      <w:hyperlink r:id="rId10" w:tgtFrame="_blank" w:history="1">
        <w:r w:rsidRPr="008706C5">
          <w:rPr>
            <w:rStyle w:val="Hyperlink"/>
            <w:rFonts w:asciiTheme="majorHAnsi" w:eastAsiaTheme="majorEastAsia" w:hAnsiTheme="majorHAnsi" w:cstheme="majorBidi"/>
            <w:sz w:val="28"/>
            <w:szCs w:val="28"/>
          </w:rPr>
          <w:t>https://educationendowmentfoundation.org.uk/education-evidence/guidance-reports/send</w:t>
        </w:r>
      </w:hyperlink>
      <w:r w:rsidRPr="008706C5">
        <w:rPr>
          <w:rFonts w:asciiTheme="majorHAnsi" w:eastAsiaTheme="majorEastAsia" w:hAnsiTheme="majorHAnsi" w:cstheme="majorBidi"/>
          <w:sz w:val="28"/>
          <w:szCs w:val="28"/>
        </w:rPr>
        <w:t xml:space="preserve"> (Accessed: 27 September 2025).</w:t>
      </w:r>
    </w:p>
    <w:p w14:paraId="56C3F88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lastRenderedPageBreak/>
        <w:t xml:space="preserve">Emerson, E. (2022) ‘Behaviour management and inclusion for pupils with SEND’, </w:t>
      </w:r>
      <w:r w:rsidRPr="008706C5">
        <w:rPr>
          <w:rFonts w:asciiTheme="majorHAnsi" w:eastAsiaTheme="majorEastAsia" w:hAnsiTheme="majorHAnsi" w:cstheme="majorBidi"/>
          <w:i/>
          <w:iCs/>
          <w:sz w:val="28"/>
          <w:szCs w:val="28"/>
        </w:rPr>
        <w:t>British Journal of Special Education</w:t>
      </w:r>
      <w:r w:rsidRPr="008706C5">
        <w:rPr>
          <w:rFonts w:asciiTheme="majorHAnsi" w:eastAsiaTheme="majorEastAsia" w:hAnsiTheme="majorHAnsi" w:cstheme="majorBidi"/>
          <w:sz w:val="28"/>
          <w:szCs w:val="28"/>
        </w:rPr>
        <w:t>, 49(3), pp. 245–258.</w:t>
      </w:r>
    </w:p>
    <w:p w14:paraId="37233FCB"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Emmer, E.T. and Sabornie, E.J. (eds.) (2015) </w:t>
      </w:r>
      <w:r w:rsidRPr="008706C5">
        <w:rPr>
          <w:rFonts w:asciiTheme="majorHAnsi" w:eastAsiaTheme="majorEastAsia" w:hAnsiTheme="majorHAnsi" w:cstheme="majorBidi"/>
          <w:i/>
          <w:iCs/>
          <w:sz w:val="28"/>
          <w:szCs w:val="28"/>
        </w:rPr>
        <w:t>Handbook of Classroom Management: Research, Practice, and Contemporary Issues</w:t>
      </w:r>
      <w:r w:rsidRPr="008706C5">
        <w:rPr>
          <w:rFonts w:asciiTheme="majorHAnsi" w:eastAsiaTheme="majorEastAsia" w:hAnsiTheme="majorHAnsi" w:cstheme="majorBidi"/>
          <w:sz w:val="28"/>
          <w:szCs w:val="28"/>
        </w:rPr>
        <w:t>. 2nd edn. New York: Routledge.</w:t>
      </w:r>
    </w:p>
    <w:p w14:paraId="5E533146"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Estyn (2006) </w:t>
      </w:r>
      <w:r w:rsidRPr="008706C5">
        <w:rPr>
          <w:rFonts w:asciiTheme="majorHAnsi" w:eastAsiaTheme="majorEastAsia" w:hAnsiTheme="majorHAnsi" w:cstheme="majorBidi"/>
          <w:i/>
          <w:iCs/>
          <w:sz w:val="28"/>
          <w:szCs w:val="28"/>
        </w:rPr>
        <w:t>Behaviour and Attendance in Schools</w:t>
      </w:r>
      <w:r w:rsidRPr="008706C5">
        <w:rPr>
          <w:rFonts w:asciiTheme="majorHAnsi" w:eastAsiaTheme="majorEastAsia" w:hAnsiTheme="majorHAnsi" w:cstheme="majorBidi"/>
          <w:sz w:val="28"/>
          <w:szCs w:val="28"/>
        </w:rPr>
        <w:t xml:space="preserve">. Cardiff: Estyn. Available at: </w:t>
      </w:r>
      <w:hyperlink r:id="rId11" w:tgtFrame="_blank" w:history="1">
        <w:r w:rsidRPr="008706C5">
          <w:rPr>
            <w:rStyle w:val="Hyperlink"/>
            <w:rFonts w:asciiTheme="majorHAnsi" w:eastAsiaTheme="majorEastAsia" w:hAnsiTheme="majorHAnsi" w:cstheme="majorBidi"/>
            <w:sz w:val="28"/>
            <w:szCs w:val="28"/>
          </w:rPr>
          <w:t>https://dera.ioe.ac.uk/</w:t>
        </w:r>
      </w:hyperlink>
      <w:r w:rsidRPr="008706C5">
        <w:rPr>
          <w:rFonts w:asciiTheme="majorHAnsi" w:eastAsiaTheme="majorEastAsia" w:hAnsiTheme="majorHAnsi" w:cstheme="majorBidi"/>
          <w:sz w:val="28"/>
          <w:szCs w:val="28"/>
        </w:rPr>
        <w:t xml:space="preserve"> (Accessed: 30 September 2025).</w:t>
      </w:r>
    </w:p>
    <w:p w14:paraId="3896452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Estyn (2024) </w:t>
      </w:r>
      <w:r w:rsidRPr="008706C5">
        <w:rPr>
          <w:rFonts w:asciiTheme="majorHAnsi" w:eastAsiaTheme="majorEastAsia" w:hAnsiTheme="majorHAnsi" w:cstheme="majorBidi"/>
          <w:i/>
          <w:iCs/>
          <w:sz w:val="28"/>
          <w:szCs w:val="28"/>
        </w:rPr>
        <w:t>Annual Report: Behaviour, Well-being and Inclusion in Welsh Schools</w:t>
      </w:r>
      <w:r w:rsidRPr="008706C5">
        <w:rPr>
          <w:rFonts w:asciiTheme="majorHAnsi" w:eastAsiaTheme="majorEastAsia" w:hAnsiTheme="majorHAnsi" w:cstheme="majorBidi"/>
          <w:sz w:val="28"/>
          <w:szCs w:val="28"/>
        </w:rPr>
        <w:t>. Cardiff: Estyn.</w:t>
      </w:r>
    </w:p>
    <w:p w14:paraId="77E823F6"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Geographical Association (2020) </w:t>
      </w:r>
      <w:r w:rsidRPr="008706C5">
        <w:rPr>
          <w:rFonts w:asciiTheme="majorHAnsi" w:eastAsiaTheme="majorEastAsia" w:hAnsiTheme="majorHAnsi" w:cstheme="majorBidi"/>
          <w:i/>
          <w:iCs/>
          <w:sz w:val="28"/>
          <w:szCs w:val="28"/>
        </w:rPr>
        <w:t>Differentiation in Practice</w:t>
      </w:r>
      <w:r w:rsidRPr="008706C5">
        <w:rPr>
          <w:rFonts w:asciiTheme="majorHAnsi" w:eastAsiaTheme="majorEastAsia" w:hAnsiTheme="majorHAnsi" w:cstheme="majorBidi"/>
          <w:sz w:val="28"/>
          <w:szCs w:val="28"/>
        </w:rPr>
        <w:t xml:space="preserve">. London: Geographical Association. Available at: </w:t>
      </w:r>
      <w:hyperlink r:id="rId12" w:tgtFrame="_blank" w:history="1">
        <w:r w:rsidRPr="008706C5">
          <w:rPr>
            <w:rStyle w:val="Hyperlink"/>
            <w:rFonts w:asciiTheme="majorHAnsi" w:eastAsiaTheme="majorEastAsia" w:hAnsiTheme="majorHAnsi" w:cstheme="majorBidi"/>
            <w:sz w:val="28"/>
            <w:szCs w:val="28"/>
          </w:rPr>
          <w:t>https://www.geography.org.uk</w:t>
        </w:r>
      </w:hyperlink>
      <w:r w:rsidRPr="008706C5">
        <w:rPr>
          <w:rFonts w:asciiTheme="majorHAnsi" w:eastAsiaTheme="majorEastAsia" w:hAnsiTheme="majorHAnsi" w:cstheme="majorBidi"/>
          <w:sz w:val="28"/>
          <w:szCs w:val="28"/>
        </w:rPr>
        <w:t xml:space="preserve"> (Accessed: 21 October 2025).</w:t>
      </w:r>
    </w:p>
    <w:p w14:paraId="1FB88E0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Glasser, W. (1990) </w:t>
      </w:r>
      <w:r w:rsidRPr="008706C5">
        <w:rPr>
          <w:rFonts w:asciiTheme="majorHAnsi" w:eastAsiaTheme="majorEastAsia" w:hAnsiTheme="majorHAnsi" w:cstheme="majorBidi"/>
          <w:i/>
          <w:iCs/>
          <w:sz w:val="28"/>
          <w:szCs w:val="28"/>
        </w:rPr>
        <w:t>The Quality School: Managing Students Without Coercion</w:t>
      </w:r>
      <w:r w:rsidRPr="008706C5">
        <w:rPr>
          <w:rFonts w:asciiTheme="majorHAnsi" w:eastAsiaTheme="majorEastAsia" w:hAnsiTheme="majorHAnsi" w:cstheme="majorBidi"/>
          <w:sz w:val="28"/>
          <w:szCs w:val="28"/>
        </w:rPr>
        <w:t>. New York: Harper &amp; Row.</w:t>
      </w:r>
    </w:p>
    <w:p w14:paraId="062E61F7"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Growth Engineering (2023) </w:t>
      </w:r>
      <w:r w:rsidRPr="008706C5">
        <w:rPr>
          <w:rFonts w:asciiTheme="majorHAnsi" w:eastAsiaTheme="majorEastAsia" w:hAnsiTheme="majorHAnsi" w:cstheme="majorBidi"/>
          <w:i/>
          <w:iCs/>
          <w:sz w:val="28"/>
          <w:szCs w:val="28"/>
        </w:rPr>
        <w:t>Behaviourism in Education: A Practical Guide</w:t>
      </w:r>
      <w:r w:rsidRPr="008706C5">
        <w:rPr>
          <w:rFonts w:asciiTheme="majorHAnsi" w:eastAsiaTheme="majorEastAsia" w:hAnsiTheme="majorHAnsi" w:cstheme="majorBidi"/>
          <w:sz w:val="28"/>
          <w:szCs w:val="28"/>
        </w:rPr>
        <w:t xml:space="preserve">. London: Growth Engineering. Available at: </w:t>
      </w:r>
      <w:hyperlink r:id="rId13" w:tgtFrame="_blank" w:history="1">
        <w:r w:rsidRPr="008706C5">
          <w:rPr>
            <w:rStyle w:val="Hyperlink"/>
            <w:rFonts w:asciiTheme="majorHAnsi" w:eastAsiaTheme="majorEastAsia" w:hAnsiTheme="majorHAnsi" w:cstheme="majorBidi"/>
            <w:sz w:val="28"/>
            <w:szCs w:val="28"/>
          </w:rPr>
          <w:t>https://www.growthengineering.co.uk/behaviourism-in-education</w:t>
        </w:r>
      </w:hyperlink>
      <w:r w:rsidRPr="008706C5">
        <w:rPr>
          <w:rFonts w:asciiTheme="majorHAnsi" w:eastAsiaTheme="majorEastAsia" w:hAnsiTheme="majorHAnsi" w:cstheme="majorBidi"/>
          <w:sz w:val="28"/>
          <w:szCs w:val="28"/>
        </w:rPr>
        <w:t xml:space="preserve"> (Accessed: 11 September 2025).</w:t>
      </w:r>
    </w:p>
    <w:p w14:paraId="3C710105"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Ijaz, S., Cooper, C. and Marsh, J. (2024) ‘Neurodiversity and Behaviour Policies in Mainstream Schools’, </w:t>
      </w:r>
      <w:r w:rsidRPr="008706C5">
        <w:rPr>
          <w:rFonts w:asciiTheme="majorHAnsi" w:eastAsiaTheme="majorEastAsia" w:hAnsiTheme="majorHAnsi" w:cstheme="majorBidi"/>
          <w:i/>
          <w:iCs/>
          <w:sz w:val="28"/>
          <w:szCs w:val="28"/>
        </w:rPr>
        <w:t>Educational Review</w:t>
      </w:r>
      <w:r w:rsidRPr="008706C5">
        <w:rPr>
          <w:rFonts w:asciiTheme="majorHAnsi" w:eastAsiaTheme="majorEastAsia" w:hAnsiTheme="majorHAnsi" w:cstheme="majorBidi"/>
          <w:sz w:val="28"/>
          <w:szCs w:val="28"/>
        </w:rPr>
        <w:t>, 76(2), pp. 310–327.</w:t>
      </w:r>
    </w:p>
    <w:p w14:paraId="5640F0C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ISJ (2020) </w:t>
      </w:r>
      <w:r w:rsidRPr="008706C5">
        <w:rPr>
          <w:rFonts w:asciiTheme="majorHAnsi" w:eastAsiaTheme="majorEastAsia" w:hAnsiTheme="majorHAnsi" w:cstheme="majorBidi"/>
          <w:i/>
          <w:iCs/>
          <w:sz w:val="28"/>
          <w:szCs w:val="28"/>
        </w:rPr>
        <w:t>Behavioural, Emotional, and Social Difficulties in the Classroom: Understanding Students in Context</w:t>
      </w:r>
      <w:r w:rsidRPr="008706C5">
        <w:rPr>
          <w:rFonts w:asciiTheme="majorHAnsi" w:eastAsiaTheme="majorEastAsia" w:hAnsiTheme="majorHAnsi" w:cstheme="majorBidi"/>
          <w:sz w:val="28"/>
          <w:szCs w:val="28"/>
        </w:rPr>
        <w:t>. Jakarta: Independent School Jakarta.</w:t>
      </w:r>
    </w:p>
    <w:p w14:paraId="146326CB"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Kagan, S. (1995) </w:t>
      </w:r>
      <w:r w:rsidRPr="008706C5">
        <w:rPr>
          <w:rFonts w:asciiTheme="majorHAnsi" w:eastAsiaTheme="majorEastAsia" w:hAnsiTheme="majorHAnsi" w:cstheme="majorBidi"/>
          <w:i/>
          <w:iCs/>
          <w:sz w:val="28"/>
          <w:szCs w:val="28"/>
        </w:rPr>
        <w:t>Cooperative Learning</w:t>
      </w:r>
      <w:r w:rsidRPr="008706C5">
        <w:rPr>
          <w:rFonts w:asciiTheme="majorHAnsi" w:eastAsiaTheme="majorEastAsia" w:hAnsiTheme="majorHAnsi" w:cstheme="majorBidi"/>
          <w:sz w:val="28"/>
          <w:szCs w:val="28"/>
        </w:rPr>
        <w:t>. San Juan Capistrano, CA: Kagan Publishing.</w:t>
      </w:r>
    </w:p>
    <w:p w14:paraId="3AD3FB4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Kern, L. and Clemens, N.H. (2007) ‘Antecedent strategies to promote appropriate classroom behaviour’, </w:t>
      </w:r>
      <w:r w:rsidRPr="008706C5">
        <w:rPr>
          <w:rFonts w:asciiTheme="majorHAnsi" w:eastAsiaTheme="majorEastAsia" w:hAnsiTheme="majorHAnsi" w:cstheme="majorBidi"/>
          <w:i/>
          <w:iCs/>
          <w:sz w:val="28"/>
          <w:szCs w:val="28"/>
        </w:rPr>
        <w:t>Psychology in the Schools</w:t>
      </w:r>
      <w:r w:rsidRPr="008706C5">
        <w:rPr>
          <w:rFonts w:asciiTheme="majorHAnsi" w:eastAsiaTheme="majorEastAsia" w:hAnsiTheme="majorHAnsi" w:cstheme="majorBidi"/>
          <w:sz w:val="28"/>
          <w:szCs w:val="28"/>
        </w:rPr>
        <w:t>, 44(1), pp. 65–75.</w:t>
      </w:r>
    </w:p>
    <w:p w14:paraId="715CDD10"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Kounin, J.S. (1970) </w:t>
      </w:r>
      <w:r w:rsidRPr="008706C5">
        <w:rPr>
          <w:rFonts w:asciiTheme="majorHAnsi" w:eastAsiaTheme="majorEastAsia" w:hAnsiTheme="majorHAnsi" w:cstheme="majorBidi"/>
          <w:i/>
          <w:iCs/>
          <w:sz w:val="28"/>
          <w:szCs w:val="28"/>
        </w:rPr>
        <w:t>Discipline and Group Management in Classrooms</w:t>
      </w:r>
      <w:r w:rsidRPr="008706C5">
        <w:rPr>
          <w:rFonts w:asciiTheme="majorHAnsi" w:eastAsiaTheme="majorEastAsia" w:hAnsiTheme="majorHAnsi" w:cstheme="majorBidi"/>
          <w:sz w:val="28"/>
          <w:szCs w:val="28"/>
        </w:rPr>
        <w:t>. New York: Holt, Rinehart &amp; Winston.</w:t>
      </w:r>
    </w:p>
    <w:p w14:paraId="1299A713"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Leader in Me (2020). </w:t>
      </w:r>
      <w:r w:rsidRPr="008706C5">
        <w:rPr>
          <w:rFonts w:asciiTheme="majorHAnsi" w:eastAsiaTheme="majorEastAsia" w:hAnsiTheme="majorHAnsi" w:cstheme="majorBidi"/>
          <w:i/>
          <w:iCs/>
          <w:sz w:val="28"/>
          <w:szCs w:val="28"/>
        </w:rPr>
        <w:t>Learning Theories: Understanding the Four Major Ones for the Classroom</w:t>
      </w:r>
      <w:r w:rsidRPr="008706C5">
        <w:rPr>
          <w:rFonts w:asciiTheme="majorHAnsi" w:eastAsiaTheme="majorEastAsia" w:hAnsiTheme="majorHAnsi" w:cstheme="majorBidi"/>
          <w:sz w:val="28"/>
          <w:szCs w:val="28"/>
        </w:rPr>
        <w:t xml:space="preserve">. Utah: Franklin Covey Education. Available at: </w:t>
      </w:r>
      <w:hyperlink r:id="rId14" w:tgtFrame="_blank" w:history="1">
        <w:r w:rsidRPr="008706C5">
          <w:rPr>
            <w:rStyle w:val="Hyperlink"/>
            <w:rFonts w:asciiTheme="majorHAnsi" w:eastAsiaTheme="majorEastAsia" w:hAnsiTheme="majorHAnsi" w:cstheme="majorBidi"/>
            <w:sz w:val="28"/>
            <w:szCs w:val="28"/>
          </w:rPr>
          <w:t>https://www.leaderinme.org/learning-theories-understanding-the-4-major-ones-for-the-classroom</w:t>
        </w:r>
      </w:hyperlink>
      <w:r w:rsidRPr="008706C5">
        <w:rPr>
          <w:rFonts w:asciiTheme="majorHAnsi" w:eastAsiaTheme="majorEastAsia" w:hAnsiTheme="majorHAnsi" w:cstheme="majorBidi"/>
          <w:sz w:val="28"/>
          <w:szCs w:val="28"/>
        </w:rPr>
        <w:t xml:space="preserve"> (Accessed: 11 September 2025).</w:t>
      </w:r>
    </w:p>
    <w:p w14:paraId="2BAB4BE9"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Marzano, R.J. and Marzano, J.S. (2003) ‘The key to classroom management’, </w:t>
      </w:r>
      <w:r w:rsidRPr="008706C5">
        <w:rPr>
          <w:rFonts w:asciiTheme="majorHAnsi" w:eastAsiaTheme="majorEastAsia" w:hAnsiTheme="majorHAnsi" w:cstheme="majorBidi"/>
          <w:i/>
          <w:iCs/>
          <w:sz w:val="28"/>
          <w:szCs w:val="28"/>
        </w:rPr>
        <w:t>Educational Leadership</w:t>
      </w:r>
      <w:r w:rsidRPr="008706C5">
        <w:rPr>
          <w:rFonts w:asciiTheme="majorHAnsi" w:eastAsiaTheme="majorEastAsia" w:hAnsiTheme="majorHAnsi" w:cstheme="majorBidi"/>
          <w:sz w:val="28"/>
          <w:szCs w:val="28"/>
        </w:rPr>
        <w:t>, 61(1), pp. 6–13.</w:t>
      </w:r>
    </w:p>
    <w:p w14:paraId="658BF279"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Moore, K. and Cooper, P. (2013) </w:t>
      </w:r>
      <w:r w:rsidRPr="008706C5">
        <w:rPr>
          <w:rFonts w:asciiTheme="majorHAnsi" w:eastAsiaTheme="majorEastAsia" w:hAnsiTheme="majorHAnsi" w:cstheme="majorBidi"/>
          <w:i/>
          <w:iCs/>
          <w:sz w:val="28"/>
          <w:szCs w:val="28"/>
        </w:rPr>
        <w:t>Challenging Behaviour in the Classroom: Strategies for Teachers</w:t>
      </w:r>
      <w:r w:rsidRPr="008706C5">
        <w:rPr>
          <w:rFonts w:asciiTheme="majorHAnsi" w:eastAsiaTheme="majorEastAsia" w:hAnsiTheme="majorHAnsi" w:cstheme="majorBidi"/>
          <w:sz w:val="28"/>
          <w:szCs w:val="28"/>
        </w:rPr>
        <w:t>. London: Routledge.</w:t>
      </w:r>
    </w:p>
    <w:p w14:paraId="44E1FB13"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NASEN (2018) </w:t>
      </w:r>
      <w:r w:rsidRPr="008706C5">
        <w:rPr>
          <w:rFonts w:asciiTheme="majorHAnsi" w:eastAsiaTheme="majorEastAsia" w:hAnsiTheme="majorHAnsi" w:cstheme="majorBidi"/>
          <w:i/>
          <w:iCs/>
          <w:sz w:val="28"/>
          <w:szCs w:val="28"/>
        </w:rPr>
        <w:t>Effective Support for Children with SEND</w:t>
      </w:r>
      <w:r w:rsidRPr="008706C5">
        <w:rPr>
          <w:rFonts w:asciiTheme="majorHAnsi" w:eastAsiaTheme="majorEastAsia" w:hAnsiTheme="majorHAnsi" w:cstheme="majorBidi"/>
          <w:sz w:val="28"/>
          <w:szCs w:val="28"/>
        </w:rPr>
        <w:t>. London: National Association for Special Educational Needs.</w:t>
      </w:r>
    </w:p>
    <w:p w14:paraId="2C69F00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NASEN (2020) </w:t>
      </w:r>
      <w:r w:rsidRPr="008706C5">
        <w:rPr>
          <w:rFonts w:asciiTheme="majorHAnsi" w:eastAsiaTheme="majorEastAsia" w:hAnsiTheme="majorHAnsi" w:cstheme="majorBidi"/>
          <w:i/>
          <w:iCs/>
          <w:sz w:val="28"/>
          <w:szCs w:val="28"/>
        </w:rPr>
        <w:t>Universal Design for Learning and Inclusive Practice</w:t>
      </w:r>
      <w:r w:rsidRPr="008706C5">
        <w:rPr>
          <w:rFonts w:asciiTheme="majorHAnsi" w:eastAsiaTheme="majorEastAsia" w:hAnsiTheme="majorHAnsi" w:cstheme="majorBidi"/>
          <w:sz w:val="28"/>
          <w:szCs w:val="28"/>
        </w:rPr>
        <w:t>. London: National Association for Special Educational Needs.</w:t>
      </w:r>
    </w:p>
    <w:p w14:paraId="772B0EF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Ofsted (2014). </w:t>
      </w:r>
      <w:r w:rsidRPr="008706C5">
        <w:rPr>
          <w:rFonts w:asciiTheme="majorHAnsi" w:eastAsiaTheme="majorEastAsia" w:hAnsiTheme="majorHAnsi" w:cstheme="majorBidi"/>
          <w:i/>
          <w:iCs/>
          <w:sz w:val="28"/>
          <w:szCs w:val="28"/>
        </w:rPr>
        <w:t>Below the Radar: Low-Level Disruption in the Country’s Classrooms</w:t>
      </w:r>
      <w:r w:rsidRPr="008706C5">
        <w:rPr>
          <w:rFonts w:asciiTheme="majorHAnsi" w:eastAsiaTheme="majorEastAsia" w:hAnsiTheme="majorHAnsi" w:cstheme="majorBidi"/>
          <w:sz w:val="28"/>
          <w:szCs w:val="28"/>
        </w:rPr>
        <w:t xml:space="preserve">. London: Ofsted. Available at: </w:t>
      </w:r>
      <w:hyperlink r:id="rId15" w:tgtFrame="_blank" w:history="1">
        <w:r w:rsidRPr="008706C5">
          <w:rPr>
            <w:rStyle w:val="Hyperlink"/>
            <w:rFonts w:asciiTheme="majorHAnsi" w:eastAsiaTheme="majorEastAsia" w:hAnsiTheme="majorHAnsi" w:cstheme="majorBidi"/>
            <w:sz w:val="28"/>
            <w:szCs w:val="28"/>
          </w:rPr>
          <w:t>https://www.gov.uk/government/publications/low-level-disruption-in-classrooms</w:t>
        </w:r>
      </w:hyperlink>
      <w:r w:rsidRPr="008706C5">
        <w:rPr>
          <w:rFonts w:asciiTheme="majorHAnsi" w:eastAsiaTheme="majorEastAsia" w:hAnsiTheme="majorHAnsi" w:cstheme="majorBidi"/>
          <w:sz w:val="28"/>
          <w:szCs w:val="28"/>
        </w:rPr>
        <w:t xml:space="preserve"> (Accessed: 27 October 2025).</w:t>
      </w:r>
    </w:p>
    <w:p w14:paraId="49EB122B"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Ofsted (2019a). </w:t>
      </w:r>
      <w:r w:rsidRPr="008706C5">
        <w:rPr>
          <w:rFonts w:asciiTheme="majorHAnsi" w:eastAsiaTheme="majorEastAsia" w:hAnsiTheme="majorHAnsi" w:cstheme="majorBidi"/>
          <w:i/>
          <w:iCs/>
          <w:sz w:val="28"/>
          <w:szCs w:val="28"/>
        </w:rPr>
        <w:t>Teacher Well-being at Work in Schools and Further Education Providers</w:t>
      </w:r>
      <w:r w:rsidRPr="008706C5">
        <w:rPr>
          <w:rFonts w:asciiTheme="majorHAnsi" w:eastAsiaTheme="majorEastAsia" w:hAnsiTheme="majorHAnsi" w:cstheme="majorBidi"/>
          <w:sz w:val="28"/>
          <w:szCs w:val="28"/>
        </w:rPr>
        <w:t xml:space="preserve">. London: Ofsted. Available at: </w:t>
      </w:r>
      <w:hyperlink r:id="rId16" w:tgtFrame="_blank" w:history="1">
        <w:r w:rsidRPr="008706C5">
          <w:rPr>
            <w:rStyle w:val="Hyperlink"/>
            <w:rFonts w:asciiTheme="majorHAnsi" w:eastAsiaTheme="majorEastAsia" w:hAnsiTheme="majorHAnsi" w:cstheme="majorBidi"/>
            <w:sz w:val="28"/>
            <w:szCs w:val="28"/>
          </w:rPr>
          <w:t>https://www.gov.uk/government/publications/teacher-well-being-at-work-in-schools-and-further-education-providers</w:t>
        </w:r>
      </w:hyperlink>
      <w:r w:rsidRPr="008706C5">
        <w:rPr>
          <w:rFonts w:asciiTheme="majorHAnsi" w:eastAsiaTheme="majorEastAsia" w:hAnsiTheme="majorHAnsi" w:cstheme="majorBidi"/>
          <w:sz w:val="28"/>
          <w:szCs w:val="28"/>
        </w:rPr>
        <w:t xml:space="preserve"> (Accessed: 27 September 2025).</w:t>
      </w:r>
    </w:p>
    <w:p w14:paraId="5A24EB0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Ofsted (2019b) </w:t>
      </w:r>
      <w:r w:rsidRPr="008706C5">
        <w:rPr>
          <w:rFonts w:asciiTheme="majorHAnsi" w:eastAsiaTheme="majorEastAsia" w:hAnsiTheme="majorHAnsi" w:cstheme="majorBidi"/>
          <w:i/>
          <w:iCs/>
          <w:sz w:val="28"/>
          <w:szCs w:val="28"/>
        </w:rPr>
        <w:t>School Inspection Handbook: Education Inspection Framework</w:t>
      </w:r>
      <w:r w:rsidRPr="008706C5">
        <w:rPr>
          <w:rFonts w:asciiTheme="majorHAnsi" w:eastAsiaTheme="majorEastAsia" w:hAnsiTheme="majorHAnsi" w:cstheme="majorBidi"/>
          <w:sz w:val="28"/>
          <w:szCs w:val="28"/>
        </w:rPr>
        <w:t xml:space="preserve">. London: Ofsted. Available at: </w:t>
      </w:r>
      <w:hyperlink r:id="rId17" w:tgtFrame="_blank" w:history="1">
        <w:r w:rsidRPr="008706C5">
          <w:rPr>
            <w:rStyle w:val="Hyperlink"/>
            <w:rFonts w:asciiTheme="majorHAnsi" w:eastAsiaTheme="majorEastAsia" w:hAnsiTheme="majorHAnsi" w:cstheme="majorBidi"/>
            <w:sz w:val="28"/>
            <w:szCs w:val="28"/>
          </w:rPr>
          <w:t>https://www.gov.uk/government/publications/school-inspection-handbook-eif</w:t>
        </w:r>
      </w:hyperlink>
      <w:r w:rsidRPr="008706C5">
        <w:rPr>
          <w:rFonts w:asciiTheme="majorHAnsi" w:eastAsiaTheme="majorEastAsia" w:hAnsiTheme="majorHAnsi" w:cstheme="majorBidi"/>
          <w:sz w:val="28"/>
          <w:szCs w:val="28"/>
        </w:rPr>
        <w:t xml:space="preserve"> (Accessed: 27 September 2025).</w:t>
      </w:r>
    </w:p>
    <w:p w14:paraId="5559BC4B"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Pearson (2016). </w:t>
      </w:r>
      <w:r w:rsidRPr="008706C5">
        <w:rPr>
          <w:rFonts w:asciiTheme="majorHAnsi" w:eastAsiaTheme="majorEastAsia" w:hAnsiTheme="majorHAnsi" w:cstheme="majorBidi"/>
          <w:i/>
          <w:iCs/>
          <w:sz w:val="28"/>
          <w:szCs w:val="28"/>
        </w:rPr>
        <w:t>Behavioural, Emotional, and Social Difficulties in the Classroom: Strategies to Support Learners</w:t>
      </w:r>
      <w:r w:rsidRPr="008706C5">
        <w:rPr>
          <w:rFonts w:asciiTheme="majorHAnsi" w:eastAsiaTheme="majorEastAsia" w:hAnsiTheme="majorHAnsi" w:cstheme="majorBidi"/>
          <w:sz w:val="28"/>
          <w:szCs w:val="28"/>
        </w:rPr>
        <w:t>. London: Pearson Education.</w:t>
      </w:r>
    </w:p>
    <w:p w14:paraId="6E996508"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Postholm, M.B. (2013) ‘Teachers’ professional development: A theoretical review’, </w:t>
      </w:r>
      <w:r w:rsidRPr="008706C5">
        <w:rPr>
          <w:rFonts w:asciiTheme="majorHAnsi" w:eastAsiaTheme="majorEastAsia" w:hAnsiTheme="majorHAnsi" w:cstheme="majorBidi"/>
          <w:i/>
          <w:iCs/>
          <w:sz w:val="28"/>
          <w:szCs w:val="28"/>
        </w:rPr>
        <w:t>Educational Research</w:t>
      </w:r>
      <w:r w:rsidRPr="008706C5">
        <w:rPr>
          <w:rFonts w:asciiTheme="majorHAnsi" w:eastAsiaTheme="majorEastAsia" w:hAnsiTheme="majorHAnsi" w:cstheme="majorBidi"/>
          <w:sz w:val="28"/>
          <w:szCs w:val="28"/>
        </w:rPr>
        <w:t>, 55(4), pp. 405–429.</w:t>
      </w:r>
    </w:p>
    <w:p w14:paraId="0DC5D14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Research Schools Network (2019) </w:t>
      </w:r>
      <w:r w:rsidRPr="008706C5">
        <w:rPr>
          <w:rFonts w:asciiTheme="majorHAnsi" w:eastAsiaTheme="majorEastAsia" w:hAnsiTheme="majorHAnsi" w:cstheme="majorBidi"/>
          <w:i/>
          <w:iCs/>
          <w:sz w:val="28"/>
          <w:szCs w:val="28"/>
        </w:rPr>
        <w:t>EEF Blog: Improving Behaviour in Schools</w:t>
      </w:r>
      <w:r w:rsidRPr="008706C5">
        <w:rPr>
          <w:rFonts w:asciiTheme="majorHAnsi" w:eastAsiaTheme="majorEastAsia" w:hAnsiTheme="majorHAnsi" w:cstheme="majorBidi"/>
          <w:sz w:val="28"/>
          <w:szCs w:val="28"/>
        </w:rPr>
        <w:t xml:space="preserve">. London: EEF. Available at: </w:t>
      </w:r>
      <w:hyperlink r:id="rId18" w:tgtFrame="_blank" w:history="1">
        <w:r w:rsidRPr="008706C5">
          <w:rPr>
            <w:rStyle w:val="Hyperlink"/>
            <w:rFonts w:asciiTheme="majorHAnsi" w:eastAsiaTheme="majorEastAsia" w:hAnsiTheme="majorHAnsi" w:cstheme="majorBidi"/>
            <w:sz w:val="28"/>
            <w:szCs w:val="28"/>
          </w:rPr>
          <w:t>https://researchschool.org.uk/</w:t>
        </w:r>
      </w:hyperlink>
      <w:r w:rsidRPr="008706C5">
        <w:rPr>
          <w:rFonts w:asciiTheme="majorHAnsi" w:eastAsiaTheme="majorEastAsia" w:hAnsiTheme="majorHAnsi" w:cstheme="majorBidi"/>
          <w:sz w:val="28"/>
          <w:szCs w:val="28"/>
        </w:rPr>
        <w:t xml:space="preserve"> (Accessed: 30 September 2025).</w:t>
      </w:r>
    </w:p>
    <w:p w14:paraId="78FB584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lastRenderedPageBreak/>
        <w:t xml:space="preserve">Ritu, R. (2022) ‘Classroom management: A key to effective teaching and learning’, </w:t>
      </w:r>
      <w:r w:rsidRPr="008706C5">
        <w:rPr>
          <w:rFonts w:asciiTheme="majorHAnsi" w:eastAsiaTheme="majorEastAsia" w:hAnsiTheme="majorHAnsi" w:cstheme="majorBidi"/>
          <w:i/>
          <w:iCs/>
          <w:sz w:val="28"/>
          <w:szCs w:val="28"/>
        </w:rPr>
        <w:t>International Journal of Multidisciplinary Research Review</w:t>
      </w:r>
      <w:r w:rsidRPr="008706C5">
        <w:rPr>
          <w:rFonts w:asciiTheme="majorHAnsi" w:eastAsiaTheme="majorEastAsia" w:hAnsiTheme="majorHAnsi" w:cstheme="majorBidi"/>
          <w:sz w:val="28"/>
          <w:szCs w:val="28"/>
        </w:rPr>
        <w:t xml:space="preserve">, 44004, pp. 2200–2205. Available at: </w:t>
      </w:r>
      <w:hyperlink r:id="rId19" w:tgtFrame="_blank" w:history="1">
        <w:r w:rsidRPr="008706C5">
          <w:rPr>
            <w:rStyle w:val="Hyperlink"/>
            <w:rFonts w:asciiTheme="majorHAnsi" w:eastAsiaTheme="majorEastAsia" w:hAnsiTheme="majorHAnsi" w:cstheme="majorBidi"/>
            <w:sz w:val="28"/>
            <w:szCs w:val="28"/>
          </w:rPr>
          <w:t>https://www.researchgate.net/publication/313889949_Classroom_Management_for_Effective_Teaching</w:t>
        </w:r>
      </w:hyperlink>
      <w:r w:rsidRPr="008706C5">
        <w:rPr>
          <w:rFonts w:asciiTheme="majorHAnsi" w:eastAsiaTheme="majorEastAsia" w:hAnsiTheme="majorHAnsi" w:cstheme="majorBidi"/>
          <w:sz w:val="28"/>
          <w:szCs w:val="28"/>
        </w:rPr>
        <w:t xml:space="preserve"> (Accessed: 27 October 2025).</w:t>
      </w:r>
    </w:p>
    <w:p w14:paraId="5D77804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Sheridan, S.M., Swanger-Gagné, M.S. and Welch, G.W. (2009) ‘Barriers and facilitators to teachers’ use of behavioural classroom interventions’, </w:t>
      </w:r>
      <w:r w:rsidRPr="008706C5">
        <w:rPr>
          <w:rFonts w:asciiTheme="majorHAnsi" w:eastAsiaTheme="majorEastAsia" w:hAnsiTheme="majorHAnsi" w:cstheme="majorBidi"/>
          <w:i/>
          <w:iCs/>
          <w:sz w:val="28"/>
          <w:szCs w:val="28"/>
        </w:rPr>
        <w:t>Journal of Early and Intensive Behaviour Intervention</w:t>
      </w:r>
      <w:r w:rsidRPr="008706C5">
        <w:rPr>
          <w:rFonts w:asciiTheme="majorHAnsi" w:eastAsiaTheme="majorEastAsia" w:hAnsiTheme="majorHAnsi" w:cstheme="majorBidi"/>
          <w:sz w:val="28"/>
          <w:szCs w:val="28"/>
        </w:rPr>
        <w:t>, 5(1), pp. 41–56.</w:t>
      </w:r>
    </w:p>
    <w:p w14:paraId="4C81ED67"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Simonsen, B., Fairbanks, S., Briesch, A., Myers, D. and Sugai, G. (2012) ‘Classroom management practices: The critical role of evidence-based practices for teachers’, </w:t>
      </w:r>
      <w:r w:rsidRPr="008706C5">
        <w:rPr>
          <w:rFonts w:asciiTheme="majorHAnsi" w:eastAsiaTheme="majorEastAsia" w:hAnsiTheme="majorHAnsi" w:cstheme="majorBidi"/>
          <w:i/>
          <w:iCs/>
          <w:sz w:val="28"/>
          <w:szCs w:val="28"/>
        </w:rPr>
        <w:t>Journal of Positive Behaviour Interventions</w:t>
      </w:r>
      <w:r w:rsidRPr="008706C5">
        <w:rPr>
          <w:rFonts w:asciiTheme="majorHAnsi" w:eastAsiaTheme="majorEastAsia" w:hAnsiTheme="majorHAnsi" w:cstheme="majorBidi"/>
          <w:sz w:val="28"/>
          <w:szCs w:val="28"/>
        </w:rPr>
        <w:t>, 14(2), pp. 69–79.</w:t>
      </w:r>
    </w:p>
    <w:p w14:paraId="2F7D63A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Stalford, H., Fisher, D. and Houghton, C. (2024) ‘Exclusion and Vulnerability: Rethinking Behavioural Sanctions in Inclusive Education’, </w:t>
      </w:r>
      <w:r w:rsidRPr="008706C5">
        <w:rPr>
          <w:rFonts w:asciiTheme="majorHAnsi" w:eastAsiaTheme="majorEastAsia" w:hAnsiTheme="majorHAnsi" w:cstheme="majorBidi"/>
          <w:i/>
          <w:iCs/>
          <w:sz w:val="28"/>
          <w:szCs w:val="28"/>
        </w:rPr>
        <w:t>British Journal of Educational Studies</w:t>
      </w:r>
      <w:r w:rsidRPr="008706C5">
        <w:rPr>
          <w:rFonts w:asciiTheme="majorHAnsi" w:eastAsiaTheme="majorEastAsia" w:hAnsiTheme="majorHAnsi" w:cstheme="majorBidi"/>
          <w:sz w:val="28"/>
          <w:szCs w:val="28"/>
        </w:rPr>
        <w:t>, 72(3), pp. 340–358.</w:t>
      </w:r>
    </w:p>
    <w:p w14:paraId="7865ED30"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Subban, P. (2006) ‘Differentiated instruction: A research basis’, </w:t>
      </w:r>
      <w:r w:rsidRPr="008706C5">
        <w:rPr>
          <w:rFonts w:asciiTheme="majorHAnsi" w:eastAsiaTheme="majorEastAsia" w:hAnsiTheme="majorHAnsi" w:cstheme="majorBidi"/>
          <w:i/>
          <w:iCs/>
          <w:sz w:val="28"/>
          <w:szCs w:val="28"/>
        </w:rPr>
        <w:t>International Education Journal</w:t>
      </w:r>
      <w:r w:rsidRPr="008706C5">
        <w:rPr>
          <w:rFonts w:asciiTheme="majorHAnsi" w:eastAsiaTheme="majorEastAsia" w:hAnsiTheme="majorHAnsi" w:cstheme="majorBidi"/>
          <w:sz w:val="28"/>
          <w:szCs w:val="28"/>
        </w:rPr>
        <w:t>, 7(7), pp. 935–947.</w:t>
      </w:r>
    </w:p>
    <w:p w14:paraId="7949489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Tomlinson, C.A. (2014) </w:t>
      </w:r>
      <w:r w:rsidRPr="008706C5">
        <w:rPr>
          <w:rFonts w:asciiTheme="majorHAnsi" w:eastAsiaTheme="majorEastAsia" w:hAnsiTheme="majorHAnsi" w:cstheme="majorBidi"/>
          <w:i/>
          <w:iCs/>
          <w:sz w:val="28"/>
          <w:szCs w:val="28"/>
        </w:rPr>
        <w:t>The Differentiated Classroom: Responding to the Needs of All Learners</w:t>
      </w:r>
      <w:r w:rsidRPr="008706C5">
        <w:rPr>
          <w:rFonts w:asciiTheme="majorHAnsi" w:eastAsiaTheme="majorEastAsia" w:hAnsiTheme="majorHAnsi" w:cstheme="majorBidi"/>
          <w:sz w:val="28"/>
          <w:szCs w:val="28"/>
        </w:rPr>
        <w:t>. 2nd edn. Alexandria, VA: ASCD.</w:t>
      </w:r>
    </w:p>
    <w:p w14:paraId="0B73AAB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Twinkl (2023a). </w:t>
      </w:r>
      <w:r w:rsidRPr="008706C5">
        <w:rPr>
          <w:rFonts w:asciiTheme="majorHAnsi" w:eastAsiaTheme="majorEastAsia" w:hAnsiTheme="majorHAnsi" w:cstheme="majorBidi"/>
          <w:i/>
          <w:iCs/>
          <w:sz w:val="28"/>
          <w:szCs w:val="28"/>
        </w:rPr>
        <w:t>Behaviourism in the Classroom</w:t>
      </w:r>
      <w:r w:rsidRPr="008706C5">
        <w:rPr>
          <w:rFonts w:asciiTheme="majorHAnsi" w:eastAsiaTheme="majorEastAsia" w:hAnsiTheme="majorHAnsi" w:cstheme="majorBidi"/>
          <w:sz w:val="28"/>
          <w:szCs w:val="28"/>
        </w:rPr>
        <w:t xml:space="preserve">. Sheffield: Twinkl Educational Publishing. Available at: </w:t>
      </w:r>
      <w:hyperlink r:id="rId20" w:tgtFrame="_blank" w:history="1">
        <w:r w:rsidRPr="008706C5">
          <w:rPr>
            <w:rStyle w:val="Hyperlink"/>
            <w:rFonts w:asciiTheme="majorHAnsi" w:eastAsiaTheme="majorEastAsia" w:hAnsiTheme="majorHAnsi" w:cstheme="majorBidi"/>
            <w:sz w:val="28"/>
            <w:szCs w:val="28"/>
          </w:rPr>
          <w:t>https://www.twinkl.co.uk/teaching-wiki/behaviourism</w:t>
        </w:r>
      </w:hyperlink>
      <w:r w:rsidRPr="008706C5">
        <w:rPr>
          <w:rFonts w:asciiTheme="majorHAnsi" w:eastAsiaTheme="majorEastAsia" w:hAnsiTheme="majorHAnsi" w:cstheme="majorBidi"/>
          <w:sz w:val="28"/>
          <w:szCs w:val="28"/>
        </w:rPr>
        <w:t xml:space="preserve"> (Accessed: 12 September 2025).</w:t>
      </w:r>
    </w:p>
    <w:p w14:paraId="6F6A10A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Twinkl (2023b). </w:t>
      </w:r>
      <w:r w:rsidRPr="008706C5">
        <w:rPr>
          <w:rFonts w:asciiTheme="majorHAnsi" w:eastAsiaTheme="majorEastAsia" w:hAnsiTheme="majorHAnsi" w:cstheme="majorBidi"/>
          <w:i/>
          <w:iCs/>
          <w:sz w:val="28"/>
          <w:szCs w:val="28"/>
        </w:rPr>
        <w:t>Maslow’s Hierarchy of Needs Explained</w:t>
      </w:r>
      <w:r w:rsidRPr="008706C5">
        <w:rPr>
          <w:rFonts w:asciiTheme="majorHAnsi" w:eastAsiaTheme="majorEastAsia" w:hAnsiTheme="majorHAnsi" w:cstheme="majorBidi"/>
          <w:sz w:val="28"/>
          <w:szCs w:val="28"/>
        </w:rPr>
        <w:t xml:space="preserve">. Sheffield: Twinkl Educational Publishing. Available at: </w:t>
      </w:r>
      <w:hyperlink r:id="rId21" w:tgtFrame="_blank" w:history="1">
        <w:r w:rsidRPr="008706C5">
          <w:rPr>
            <w:rStyle w:val="Hyperlink"/>
            <w:rFonts w:asciiTheme="majorHAnsi" w:eastAsiaTheme="majorEastAsia" w:hAnsiTheme="majorHAnsi" w:cstheme="majorBidi"/>
            <w:sz w:val="28"/>
            <w:szCs w:val="28"/>
          </w:rPr>
          <w:t>https://www.twinkl.co.uk/teaching-wiki/maslows-hierarchy-of-needs</w:t>
        </w:r>
      </w:hyperlink>
      <w:r w:rsidRPr="008706C5">
        <w:rPr>
          <w:rFonts w:asciiTheme="majorHAnsi" w:eastAsiaTheme="majorEastAsia" w:hAnsiTheme="majorHAnsi" w:cstheme="majorBidi"/>
          <w:sz w:val="28"/>
          <w:szCs w:val="28"/>
        </w:rPr>
        <w:t xml:space="preserve"> (Accessed: 12 September 2025).</w:t>
      </w:r>
    </w:p>
    <w:p w14:paraId="530E3B33"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UCL Institute of Education (2020) </w:t>
      </w:r>
      <w:r w:rsidRPr="008706C5">
        <w:rPr>
          <w:rFonts w:asciiTheme="majorHAnsi" w:eastAsiaTheme="majorEastAsia" w:hAnsiTheme="majorHAnsi" w:cstheme="majorBidi"/>
          <w:i/>
          <w:iCs/>
          <w:sz w:val="28"/>
          <w:szCs w:val="28"/>
        </w:rPr>
        <w:t>EEF Blog: Individualised Instruction</w:t>
      </w:r>
      <w:r w:rsidRPr="008706C5">
        <w:rPr>
          <w:rFonts w:asciiTheme="majorHAnsi" w:eastAsiaTheme="majorEastAsia" w:hAnsiTheme="majorHAnsi" w:cstheme="majorBidi"/>
          <w:sz w:val="28"/>
          <w:szCs w:val="28"/>
        </w:rPr>
        <w:t xml:space="preserve">. London: UCL. Available at: </w:t>
      </w:r>
      <w:hyperlink r:id="rId22" w:tgtFrame="_blank" w:history="1">
        <w:r w:rsidRPr="008706C5">
          <w:rPr>
            <w:rStyle w:val="Hyperlink"/>
            <w:rFonts w:asciiTheme="majorHAnsi" w:eastAsiaTheme="majorEastAsia" w:hAnsiTheme="majorHAnsi" w:cstheme="majorBidi"/>
            <w:sz w:val="28"/>
            <w:szCs w:val="28"/>
          </w:rPr>
          <w:t>https://blogs.ucl.ac.uk</w:t>
        </w:r>
      </w:hyperlink>
      <w:r w:rsidRPr="008706C5">
        <w:rPr>
          <w:rFonts w:asciiTheme="majorHAnsi" w:eastAsiaTheme="majorEastAsia" w:hAnsiTheme="majorHAnsi" w:cstheme="majorBidi"/>
          <w:sz w:val="28"/>
          <w:szCs w:val="28"/>
        </w:rPr>
        <w:t xml:space="preserve"> (Accessed: 27 September 2025).</w:t>
      </w:r>
    </w:p>
    <w:p w14:paraId="6401EDA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University of Leicester (2023). </w:t>
      </w:r>
      <w:r w:rsidRPr="008706C5">
        <w:rPr>
          <w:rFonts w:asciiTheme="majorHAnsi" w:eastAsiaTheme="majorEastAsia" w:hAnsiTheme="majorHAnsi" w:cstheme="majorBidi"/>
          <w:i/>
          <w:iCs/>
          <w:sz w:val="28"/>
          <w:szCs w:val="28"/>
        </w:rPr>
        <w:t>Humanistic Approaches to Education</w:t>
      </w:r>
      <w:r w:rsidRPr="008706C5">
        <w:rPr>
          <w:rFonts w:asciiTheme="majorHAnsi" w:eastAsiaTheme="majorEastAsia" w:hAnsiTheme="majorHAnsi" w:cstheme="majorBidi"/>
          <w:sz w:val="28"/>
          <w:szCs w:val="28"/>
        </w:rPr>
        <w:t xml:space="preserve">. Leicester: University of Leicester. Available at: </w:t>
      </w:r>
      <w:hyperlink r:id="rId23" w:tgtFrame="_blank" w:history="1">
        <w:r w:rsidRPr="008706C5">
          <w:rPr>
            <w:rStyle w:val="Hyperlink"/>
            <w:rFonts w:asciiTheme="majorHAnsi" w:eastAsiaTheme="majorEastAsia" w:hAnsiTheme="majorHAnsi" w:cstheme="majorBidi"/>
            <w:sz w:val="28"/>
            <w:szCs w:val="28"/>
          </w:rPr>
          <w:t>https://www.pgcecourseinfo.le.ac.uk/theories/humanism</w:t>
        </w:r>
      </w:hyperlink>
      <w:r w:rsidRPr="008706C5">
        <w:rPr>
          <w:rFonts w:asciiTheme="majorHAnsi" w:eastAsiaTheme="majorEastAsia" w:hAnsiTheme="majorHAnsi" w:cstheme="majorBidi"/>
          <w:sz w:val="28"/>
          <w:szCs w:val="28"/>
        </w:rPr>
        <w:t xml:space="preserve"> (Accessed: 18 September 2025).</w:t>
      </w:r>
    </w:p>
    <w:p w14:paraId="3907804E"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lastRenderedPageBreak/>
        <w:t xml:space="preserve">UK Government (2006) </w:t>
      </w:r>
      <w:r w:rsidRPr="008706C5">
        <w:rPr>
          <w:rFonts w:asciiTheme="majorHAnsi" w:eastAsiaTheme="majorEastAsia" w:hAnsiTheme="majorHAnsi" w:cstheme="majorBidi"/>
          <w:i/>
          <w:iCs/>
          <w:sz w:val="28"/>
          <w:szCs w:val="28"/>
        </w:rPr>
        <w:t>Education and Inspections Act 2006</w:t>
      </w:r>
      <w:r w:rsidRPr="008706C5">
        <w:rPr>
          <w:rFonts w:asciiTheme="majorHAnsi" w:eastAsiaTheme="majorEastAsia" w:hAnsiTheme="majorHAnsi" w:cstheme="majorBidi"/>
          <w:sz w:val="28"/>
          <w:szCs w:val="28"/>
        </w:rPr>
        <w:t>. London: The Stationery Office.</w:t>
      </w:r>
    </w:p>
    <w:p w14:paraId="6FD1F93D"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(2011) </w:t>
      </w:r>
      <w:r w:rsidRPr="008706C5">
        <w:rPr>
          <w:rFonts w:asciiTheme="majorHAnsi" w:eastAsiaTheme="majorEastAsia" w:hAnsiTheme="majorHAnsi" w:cstheme="majorBidi"/>
          <w:i/>
          <w:iCs/>
          <w:sz w:val="28"/>
          <w:szCs w:val="28"/>
        </w:rPr>
        <w:t>Rights of Children and Young Persons (Wales) Measure 2011</w:t>
      </w:r>
      <w:r w:rsidRPr="008706C5">
        <w:rPr>
          <w:rFonts w:asciiTheme="majorHAnsi" w:eastAsiaTheme="majorEastAsia" w:hAnsiTheme="majorHAnsi" w:cstheme="majorBidi"/>
          <w:sz w:val="28"/>
          <w:szCs w:val="28"/>
        </w:rPr>
        <w:t>. Cardiff: Welsh Government.</w:t>
      </w:r>
    </w:p>
    <w:p w14:paraId="65538F3F"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(2012) </w:t>
      </w:r>
      <w:r w:rsidRPr="008706C5">
        <w:rPr>
          <w:rFonts w:asciiTheme="majorHAnsi" w:eastAsiaTheme="majorEastAsia" w:hAnsiTheme="majorHAnsi" w:cstheme="majorBidi"/>
          <w:i/>
          <w:iCs/>
          <w:sz w:val="28"/>
          <w:szCs w:val="28"/>
        </w:rPr>
        <w:t>Practical Approaches to Behaviour Management</w:t>
      </w:r>
      <w:r w:rsidRPr="008706C5">
        <w:rPr>
          <w:rFonts w:asciiTheme="majorHAnsi" w:eastAsiaTheme="majorEastAsia" w:hAnsiTheme="majorHAnsi" w:cstheme="majorBidi"/>
          <w:sz w:val="28"/>
          <w:szCs w:val="28"/>
        </w:rPr>
        <w:t>. Cardiff: Welsh Government.</w:t>
      </w:r>
    </w:p>
    <w:p w14:paraId="51AB47EA"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(2018) </w:t>
      </w:r>
      <w:r w:rsidRPr="008706C5">
        <w:rPr>
          <w:rFonts w:asciiTheme="majorHAnsi" w:eastAsiaTheme="majorEastAsia" w:hAnsiTheme="majorHAnsi" w:cstheme="majorBidi"/>
          <w:i/>
          <w:iCs/>
          <w:sz w:val="28"/>
          <w:szCs w:val="28"/>
        </w:rPr>
        <w:t>Additional Learning Needs and Education Tribunal (Wales) Act 2018</w:t>
      </w:r>
      <w:r w:rsidRPr="008706C5">
        <w:rPr>
          <w:rFonts w:asciiTheme="majorHAnsi" w:eastAsiaTheme="majorEastAsia" w:hAnsiTheme="majorHAnsi" w:cstheme="majorBidi"/>
          <w:sz w:val="28"/>
          <w:szCs w:val="28"/>
        </w:rPr>
        <w:t>. Cardiff: Welsh Government.</w:t>
      </w:r>
    </w:p>
    <w:p w14:paraId="32F2C8A8"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(2021) </w:t>
      </w:r>
      <w:r w:rsidRPr="008706C5">
        <w:rPr>
          <w:rFonts w:asciiTheme="majorHAnsi" w:eastAsiaTheme="majorEastAsia" w:hAnsiTheme="majorHAnsi" w:cstheme="majorBidi"/>
          <w:i/>
          <w:iCs/>
          <w:sz w:val="28"/>
          <w:szCs w:val="28"/>
        </w:rPr>
        <w:t>The Additional Learning Needs (ALN) Code for Wales 2021</w:t>
      </w:r>
      <w:r w:rsidRPr="008706C5">
        <w:rPr>
          <w:rFonts w:asciiTheme="majorHAnsi" w:eastAsiaTheme="majorEastAsia" w:hAnsiTheme="majorHAnsi" w:cstheme="majorBidi"/>
          <w:sz w:val="28"/>
          <w:szCs w:val="28"/>
        </w:rPr>
        <w:t xml:space="preserve">. Cardiff: Welsh Government. Available at: </w:t>
      </w:r>
      <w:hyperlink r:id="rId24" w:tgtFrame="_blank" w:history="1">
        <w:r w:rsidRPr="008706C5">
          <w:rPr>
            <w:rStyle w:val="Hyperlink"/>
            <w:rFonts w:asciiTheme="majorHAnsi" w:eastAsiaTheme="majorEastAsia" w:hAnsiTheme="majorHAnsi" w:cstheme="majorBidi"/>
            <w:sz w:val="28"/>
            <w:szCs w:val="28"/>
          </w:rPr>
          <w:t>https://www.gov.wales/additional-learning-needs-aln-code</w:t>
        </w:r>
      </w:hyperlink>
      <w:r w:rsidRPr="008706C5">
        <w:rPr>
          <w:rFonts w:asciiTheme="majorHAnsi" w:eastAsiaTheme="majorEastAsia" w:hAnsiTheme="majorHAnsi" w:cstheme="majorBidi"/>
          <w:sz w:val="28"/>
          <w:szCs w:val="28"/>
        </w:rPr>
        <w:t xml:space="preserve"> (Accessed: 19 September 2025).</w:t>
      </w:r>
    </w:p>
    <w:p w14:paraId="2708970C"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(2022a) </w:t>
      </w:r>
      <w:r w:rsidRPr="008706C5">
        <w:rPr>
          <w:rFonts w:asciiTheme="majorHAnsi" w:eastAsiaTheme="majorEastAsia" w:hAnsiTheme="majorHAnsi" w:cstheme="majorBidi"/>
          <w:i/>
          <w:iCs/>
          <w:sz w:val="28"/>
          <w:szCs w:val="28"/>
        </w:rPr>
        <w:t>Reducing Restrictive Practices Framework (Revised)</w:t>
      </w:r>
      <w:r w:rsidRPr="008706C5">
        <w:rPr>
          <w:rFonts w:asciiTheme="majorHAnsi" w:eastAsiaTheme="majorEastAsia" w:hAnsiTheme="majorHAnsi" w:cstheme="majorBidi"/>
          <w:sz w:val="28"/>
          <w:szCs w:val="28"/>
        </w:rPr>
        <w:t>. Cardiff: Welsh Government.</w:t>
      </w:r>
    </w:p>
    <w:p w14:paraId="0F975BD0"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xml:space="preserve">Welsh Government (2022b) </w:t>
      </w:r>
      <w:r w:rsidRPr="008706C5">
        <w:rPr>
          <w:rFonts w:asciiTheme="majorHAnsi" w:eastAsiaTheme="majorEastAsia" w:hAnsiTheme="majorHAnsi" w:cstheme="majorBidi"/>
          <w:i/>
          <w:iCs/>
          <w:sz w:val="28"/>
          <w:szCs w:val="28"/>
        </w:rPr>
        <w:t>Inspection Arrangements: Behaviour and Well-being</w:t>
      </w:r>
      <w:r w:rsidRPr="008706C5">
        <w:rPr>
          <w:rFonts w:asciiTheme="majorHAnsi" w:eastAsiaTheme="majorEastAsia" w:hAnsiTheme="majorHAnsi" w:cstheme="majorBidi"/>
          <w:sz w:val="28"/>
          <w:szCs w:val="28"/>
        </w:rPr>
        <w:t>. Cardiff: Welsh Government.</w:t>
      </w:r>
    </w:p>
    <w:p w14:paraId="3CA9F3BC" w14:textId="77777777" w:rsidR="008706C5" w:rsidRPr="008706C5" w:rsidRDefault="008706C5" w:rsidP="008706C5">
      <w:pPr>
        <w:jc w:val="both"/>
        <w:rPr>
          <w:rFonts w:asciiTheme="majorHAnsi" w:eastAsiaTheme="majorEastAsia" w:hAnsiTheme="majorHAnsi" w:cstheme="majorBidi"/>
          <w:sz w:val="28"/>
          <w:szCs w:val="28"/>
        </w:rPr>
      </w:pPr>
      <w:r w:rsidRPr="008706C5">
        <w:rPr>
          <w:rFonts w:asciiTheme="majorHAnsi" w:eastAsiaTheme="majorEastAsia" w:hAnsiTheme="majorHAnsi" w:cstheme="majorBidi"/>
          <w:sz w:val="28"/>
          <w:szCs w:val="28"/>
        </w:rPr>
        <w:t> </w:t>
      </w:r>
    </w:p>
    <w:p w14:paraId="780580F7" w14:textId="009AAA0F" w:rsidR="36FE5947" w:rsidRPr="008706C5" w:rsidRDefault="36FE5947" w:rsidP="008706C5">
      <w:pPr>
        <w:jc w:val="both"/>
        <w:rPr>
          <w:rFonts w:asciiTheme="majorHAnsi" w:hAnsiTheme="majorHAnsi"/>
          <w:sz w:val="28"/>
          <w:szCs w:val="28"/>
        </w:rPr>
      </w:pPr>
    </w:p>
    <w:sectPr w:rsidR="36FE5947" w:rsidRPr="008706C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UnHGz6kytTeNS" int2:id="ag112MEH">
      <int2:state int2:value="Rejected" int2:type="spell"/>
    </int2:textHash>
    <int2:textHash int2:hashCode="heXdAerCpTvOQw" int2:id="vpMWbxI7">
      <int2:state int2:value="Rejected" int2:type="spell"/>
    </int2:textHash>
    <int2:textHash int2:hashCode="Y7rxyEYEGk+h8X" int2:id="TTpFModu">
      <int2:state int2:value="Rejected" int2:type="spell"/>
    </int2:textHash>
    <int2:textHash int2:hashCode="RQCvsdA+n/zDA6" int2:id="f7nxYIDP">
      <int2:state int2:value="Rejected" int2:type="spell"/>
    </int2:textHash>
    <int2:textHash int2:hashCode="sgbmfuANaoBh2O" int2:id="rfNnhtYB">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EEB9F"/>
    <w:multiLevelType w:val="hybridMultilevel"/>
    <w:tmpl w:val="868078BA"/>
    <w:lvl w:ilvl="0" w:tplc="FB9C1DE8">
      <w:start w:val="1"/>
      <w:numFmt w:val="decimal"/>
      <w:lvlText w:val="%1."/>
      <w:lvlJc w:val="left"/>
      <w:pPr>
        <w:ind w:left="720" w:hanging="360"/>
      </w:pPr>
    </w:lvl>
    <w:lvl w:ilvl="1" w:tplc="94B6B4D4">
      <w:start w:val="1"/>
      <w:numFmt w:val="lowerLetter"/>
      <w:lvlText w:val="%2."/>
      <w:lvlJc w:val="left"/>
      <w:pPr>
        <w:ind w:left="1440" w:hanging="360"/>
      </w:pPr>
    </w:lvl>
    <w:lvl w:ilvl="2" w:tplc="D0CE02DC">
      <w:start w:val="1"/>
      <w:numFmt w:val="lowerRoman"/>
      <w:lvlText w:val="%3."/>
      <w:lvlJc w:val="right"/>
      <w:pPr>
        <w:ind w:left="2160" w:hanging="180"/>
      </w:pPr>
    </w:lvl>
    <w:lvl w:ilvl="3" w:tplc="00481578">
      <w:start w:val="1"/>
      <w:numFmt w:val="decimal"/>
      <w:lvlText w:val="%4."/>
      <w:lvlJc w:val="left"/>
      <w:pPr>
        <w:ind w:left="2880" w:hanging="360"/>
      </w:pPr>
    </w:lvl>
    <w:lvl w:ilvl="4" w:tplc="DFC057FA">
      <w:start w:val="1"/>
      <w:numFmt w:val="lowerLetter"/>
      <w:lvlText w:val="%5."/>
      <w:lvlJc w:val="left"/>
      <w:pPr>
        <w:ind w:left="3600" w:hanging="360"/>
      </w:pPr>
    </w:lvl>
    <w:lvl w:ilvl="5" w:tplc="7DE662EE">
      <w:start w:val="1"/>
      <w:numFmt w:val="lowerRoman"/>
      <w:lvlText w:val="%6."/>
      <w:lvlJc w:val="right"/>
      <w:pPr>
        <w:ind w:left="4320" w:hanging="180"/>
      </w:pPr>
    </w:lvl>
    <w:lvl w:ilvl="6" w:tplc="DA186FCA">
      <w:start w:val="1"/>
      <w:numFmt w:val="decimal"/>
      <w:lvlText w:val="%7."/>
      <w:lvlJc w:val="left"/>
      <w:pPr>
        <w:ind w:left="5040" w:hanging="360"/>
      </w:pPr>
    </w:lvl>
    <w:lvl w:ilvl="7" w:tplc="00086FA2">
      <w:start w:val="1"/>
      <w:numFmt w:val="lowerLetter"/>
      <w:lvlText w:val="%8."/>
      <w:lvlJc w:val="left"/>
      <w:pPr>
        <w:ind w:left="5760" w:hanging="360"/>
      </w:pPr>
    </w:lvl>
    <w:lvl w:ilvl="8" w:tplc="05C4AA10">
      <w:start w:val="1"/>
      <w:numFmt w:val="lowerRoman"/>
      <w:lvlText w:val="%9."/>
      <w:lvlJc w:val="right"/>
      <w:pPr>
        <w:ind w:left="6480" w:hanging="180"/>
      </w:pPr>
    </w:lvl>
  </w:abstractNum>
  <w:abstractNum w:abstractNumId="1" w15:restartNumberingAfterBreak="0">
    <w:nsid w:val="155CF047"/>
    <w:multiLevelType w:val="hybridMultilevel"/>
    <w:tmpl w:val="F64C667C"/>
    <w:lvl w:ilvl="0" w:tplc="2964414C">
      <w:start w:val="2"/>
      <w:numFmt w:val="decimal"/>
      <w:lvlText w:val="%1."/>
      <w:lvlJc w:val="left"/>
      <w:pPr>
        <w:ind w:left="720" w:hanging="360"/>
      </w:pPr>
    </w:lvl>
    <w:lvl w:ilvl="1" w:tplc="5B00A9CA">
      <w:start w:val="1"/>
      <w:numFmt w:val="lowerLetter"/>
      <w:lvlText w:val="%2."/>
      <w:lvlJc w:val="left"/>
      <w:pPr>
        <w:ind w:left="1440" w:hanging="360"/>
      </w:pPr>
    </w:lvl>
    <w:lvl w:ilvl="2" w:tplc="4804204E">
      <w:start w:val="1"/>
      <w:numFmt w:val="lowerRoman"/>
      <w:lvlText w:val="%3."/>
      <w:lvlJc w:val="right"/>
      <w:pPr>
        <w:ind w:left="2160" w:hanging="180"/>
      </w:pPr>
    </w:lvl>
    <w:lvl w:ilvl="3" w:tplc="C4488532">
      <w:start w:val="1"/>
      <w:numFmt w:val="decimal"/>
      <w:lvlText w:val="%4."/>
      <w:lvlJc w:val="left"/>
      <w:pPr>
        <w:ind w:left="2880" w:hanging="360"/>
      </w:pPr>
    </w:lvl>
    <w:lvl w:ilvl="4" w:tplc="3078D7BC">
      <w:start w:val="1"/>
      <w:numFmt w:val="lowerLetter"/>
      <w:lvlText w:val="%5."/>
      <w:lvlJc w:val="left"/>
      <w:pPr>
        <w:ind w:left="3600" w:hanging="360"/>
      </w:pPr>
    </w:lvl>
    <w:lvl w:ilvl="5" w:tplc="D5163414">
      <w:start w:val="1"/>
      <w:numFmt w:val="lowerRoman"/>
      <w:lvlText w:val="%6."/>
      <w:lvlJc w:val="right"/>
      <w:pPr>
        <w:ind w:left="4320" w:hanging="180"/>
      </w:pPr>
    </w:lvl>
    <w:lvl w:ilvl="6" w:tplc="3D6A8576">
      <w:start w:val="1"/>
      <w:numFmt w:val="decimal"/>
      <w:lvlText w:val="%7."/>
      <w:lvlJc w:val="left"/>
      <w:pPr>
        <w:ind w:left="5040" w:hanging="360"/>
      </w:pPr>
    </w:lvl>
    <w:lvl w:ilvl="7" w:tplc="6D2215AE">
      <w:start w:val="1"/>
      <w:numFmt w:val="lowerLetter"/>
      <w:lvlText w:val="%8."/>
      <w:lvlJc w:val="left"/>
      <w:pPr>
        <w:ind w:left="5760" w:hanging="360"/>
      </w:pPr>
    </w:lvl>
    <w:lvl w:ilvl="8" w:tplc="0C741170">
      <w:start w:val="1"/>
      <w:numFmt w:val="lowerRoman"/>
      <w:lvlText w:val="%9."/>
      <w:lvlJc w:val="right"/>
      <w:pPr>
        <w:ind w:left="6480" w:hanging="180"/>
      </w:pPr>
    </w:lvl>
  </w:abstractNum>
  <w:abstractNum w:abstractNumId="2" w15:restartNumberingAfterBreak="0">
    <w:nsid w:val="164B408D"/>
    <w:multiLevelType w:val="hybridMultilevel"/>
    <w:tmpl w:val="B2249248"/>
    <w:lvl w:ilvl="0" w:tplc="6BD8C5A2">
      <w:start w:val="1"/>
      <w:numFmt w:val="bullet"/>
      <w:lvlText w:val=""/>
      <w:lvlJc w:val="left"/>
      <w:pPr>
        <w:ind w:left="720" w:hanging="360"/>
      </w:pPr>
      <w:rPr>
        <w:rFonts w:ascii="Symbol" w:hAnsi="Symbol" w:hint="default"/>
      </w:rPr>
    </w:lvl>
    <w:lvl w:ilvl="1" w:tplc="7FD0F3A4">
      <w:start w:val="1"/>
      <w:numFmt w:val="bullet"/>
      <w:lvlText w:val="o"/>
      <w:lvlJc w:val="left"/>
      <w:pPr>
        <w:ind w:left="1440" w:hanging="360"/>
      </w:pPr>
      <w:rPr>
        <w:rFonts w:ascii="Courier New" w:hAnsi="Courier New" w:hint="default"/>
      </w:rPr>
    </w:lvl>
    <w:lvl w:ilvl="2" w:tplc="7724FFF0">
      <w:start w:val="1"/>
      <w:numFmt w:val="bullet"/>
      <w:lvlText w:val=""/>
      <w:lvlJc w:val="left"/>
      <w:pPr>
        <w:ind w:left="2160" w:hanging="360"/>
      </w:pPr>
      <w:rPr>
        <w:rFonts w:ascii="Wingdings" w:hAnsi="Wingdings" w:hint="default"/>
      </w:rPr>
    </w:lvl>
    <w:lvl w:ilvl="3" w:tplc="5FC8D380">
      <w:start w:val="1"/>
      <w:numFmt w:val="bullet"/>
      <w:lvlText w:val=""/>
      <w:lvlJc w:val="left"/>
      <w:pPr>
        <w:ind w:left="2880" w:hanging="360"/>
      </w:pPr>
      <w:rPr>
        <w:rFonts w:ascii="Symbol" w:hAnsi="Symbol" w:hint="default"/>
      </w:rPr>
    </w:lvl>
    <w:lvl w:ilvl="4" w:tplc="88221566">
      <w:start w:val="1"/>
      <w:numFmt w:val="bullet"/>
      <w:lvlText w:val="o"/>
      <w:lvlJc w:val="left"/>
      <w:pPr>
        <w:ind w:left="3600" w:hanging="360"/>
      </w:pPr>
      <w:rPr>
        <w:rFonts w:ascii="Courier New" w:hAnsi="Courier New" w:hint="default"/>
      </w:rPr>
    </w:lvl>
    <w:lvl w:ilvl="5" w:tplc="58AAF9FC">
      <w:start w:val="1"/>
      <w:numFmt w:val="bullet"/>
      <w:lvlText w:val=""/>
      <w:lvlJc w:val="left"/>
      <w:pPr>
        <w:ind w:left="4320" w:hanging="360"/>
      </w:pPr>
      <w:rPr>
        <w:rFonts w:ascii="Wingdings" w:hAnsi="Wingdings" w:hint="default"/>
      </w:rPr>
    </w:lvl>
    <w:lvl w:ilvl="6" w:tplc="BC9A1830">
      <w:start w:val="1"/>
      <w:numFmt w:val="bullet"/>
      <w:lvlText w:val=""/>
      <w:lvlJc w:val="left"/>
      <w:pPr>
        <w:ind w:left="5040" w:hanging="360"/>
      </w:pPr>
      <w:rPr>
        <w:rFonts w:ascii="Symbol" w:hAnsi="Symbol" w:hint="default"/>
      </w:rPr>
    </w:lvl>
    <w:lvl w:ilvl="7" w:tplc="5F2EC818">
      <w:start w:val="1"/>
      <w:numFmt w:val="bullet"/>
      <w:lvlText w:val="o"/>
      <w:lvlJc w:val="left"/>
      <w:pPr>
        <w:ind w:left="5760" w:hanging="360"/>
      </w:pPr>
      <w:rPr>
        <w:rFonts w:ascii="Courier New" w:hAnsi="Courier New" w:hint="default"/>
      </w:rPr>
    </w:lvl>
    <w:lvl w:ilvl="8" w:tplc="DCC27FFE">
      <w:start w:val="1"/>
      <w:numFmt w:val="bullet"/>
      <w:lvlText w:val=""/>
      <w:lvlJc w:val="left"/>
      <w:pPr>
        <w:ind w:left="6480" w:hanging="360"/>
      </w:pPr>
      <w:rPr>
        <w:rFonts w:ascii="Wingdings" w:hAnsi="Wingdings" w:hint="default"/>
      </w:rPr>
    </w:lvl>
  </w:abstractNum>
  <w:abstractNum w:abstractNumId="3" w15:restartNumberingAfterBreak="0">
    <w:nsid w:val="29A55CA8"/>
    <w:multiLevelType w:val="hybridMultilevel"/>
    <w:tmpl w:val="870C49C4"/>
    <w:lvl w:ilvl="0" w:tplc="368AC6E0">
      <w:start w:val="1"/>
      <w:numFmt w:val="bullet"/>
      <w:lvlText w:val=""/>
      <w:lvlJc w:val="left"/>
      <w:pPr>
        <w:ind w:left="720" w:hanging="360"/>
      </w:pPr>
      <w:rPr>
        <w:rFonts w:ascii="Symbol" w:hAnsi="Symbol" w:hint="default"/>
      </w:rPr>
    </w:lvl>
    <w:lvl w:ilvl="1" w:tplc="1ADE0888">
      <w:start w:val="1"/>
      <w:numFmt w:val="bullet"/>
      <w:lvlText w:val="o"/>
      <w:lvlJc w:val="left"/>
      <w:pPr>
        <w:ind w:left="1440" w:hanging="360"/>
      </w:pPr>
      <w:rPr>
        <w:rFonts w:ascii="Courier New" w:hAnsi="Courier New" w:hint="default"/>
      </w:rPr>
    </w:lvl>
    <w:lvl w:ilvl="2" w:tplc="BAA0105E">
      <w:start w:val="1"/>
      <w:numFmt w:val="bullet"/>
      <w:lvlText w:val=""/>
      <w:lvlJc w:val="left"/>
      <w:pPr>
        <w:ind w:left="2160" w:hanging="360"/>
      </w:pPr>
      <w:rPr>
        <w:rFonts w:ascii="Wingdings" w:hAnsi="Wingdings" w:hint="default"/>
      </w:rPr>
    </w:lvl>
    <w:lvl w:ilvl="3" w:tplc="55AAE0B8">
      <w:start w:val="1"/>
      <w:numFmt w:val="bullet"/>
      <w:lvlText w:val=""/>
      <w:lvlJc w:val="left"/>
      <w:pPr>
        <w:ind w:left="2880" w:hanging="360"/>
      </w:pPr>
      <w:rPr>
        <w:rFonts w:ascii="Symbol" w:hAnsi="Symbol" w:hint="default"/>
      </w:rPr>
    </w:lvl>
    <w:lvl w:ilvl="4" w:tplc="AD680F0C">
      <w:start w:val="1"/>
      <w:numFmt w:val="bullet"/>
      <w:lvlText w:val="o"/>
      <w:lvlJc w:val="left"/>
      <w:pPr>
        <w:ind w:left="3600" w:hanging="360"/>
      </w:pPr>
      <w:rPr>
        <w:rFonts w:ascii="Courier New" w:hAnsi="Courier New" w:hint="default"/>
      </w:rPr>
    </w:lvl>
    <w:lvl w:ilvl="5" w:tplc="C0340496">
      <w:start w:val="1"/>
      <w:numFmt w:val="bullet"/>
      <w:lvlText w:val=""/>
      <w:lvlJc w:val="left"/>
      <w:pPr>
        <w:ind w:left="4320" w:hanging="360"/>
      </w:pPr>
      <w:rPr>
        <w:rFonts w:ascii="Wingdings" w:hAnsi="Wingdings" w:hint="default"/>
      </w:rPr>
    </w:lvl>
    <w:lvl w:ilvl="6" w:tplc="542A2A46">
      <w:start w:val="1"/>
      <w:numFmt w:val="bullet"/>
      <w:lvlText w:val=""/>
      <w:lvlJc w:val="left"/>
      <w:pPr>
        <w:ind w:left="5040" w:hanging="360"/>
      </w:pPr>
      <w:rPr>
        <w:rFonts w:ascii="Symbol" w:hAnsi="Symbol" w:hint="default"/>
      </w:rPr>
    </w:lvl>
    <w:lvl w:ilvl="7" w:tplc="47C48892">
      <w:start w:val="1"/>
      <w:numFmt w:val="bullet"/>
      <w:lvlText w:val="o"/>
      <w:lvlJc w:val="left"/>
      <w:pPr>
        <w:ind w:left="5760" w:hanging="360"/>
      </w:pPr>
      <w:rPr>
        <w:rFonts w:ascii="Courier New" w:hAnsi="Courier New" w:hint="default"/>
      </w:rPr>
    </w:lvl>
    <w:lvl w:ilvl="8" w:tplc="D5D87C64">
      <w:start w:val="1"/>
      <w:numFmt w:val="bullet"/>
      <w:lvlText w:val=""/>
      <w:lvlJc w:val="left"/>
      <w:pPr>
        <w:ind w:left="6480" w:hanging="360"/>
      </w:pPr>
      <w:rPr>
        <w:rFonts w:ascii="Wingdings" w:hAnsi="Wingdings" w:hint="default"/>
      </w:rPr>
    </w:lvl>
  </w:abstractNum>
  <w:abstractNum w:abstractNumId="4" w15:restartNumberingAfterBreak="0">
    <w:nsid w:val="2BA1F245"/>
    <w:multiLevelType w:val="hybridMultilevel"/>
    <w:tmpl w:val="FD287DD6"/>
    <w:lvl w:ilvl="0" w:tplc="14520E3A">
      <w:start w:val="1"/>
      <w:numFmt w:val="bullet"/>
      <w:lvlText w:val=""/>
      <w:lvlJc w:val="left"/>
      <w:pPr>
        <w:ind w:left="720" w:hanging="360"/>
      </w:pPr>
      <w:rPr>
        <w:rFonts w:ascii="Symbol" w:hAnsi="Symbol" w:hint="default"/>
      </w:rPr>
    </w:lvl>
    <w:lvl w:ilvl="1" w:tplc="3DC89FCA">
      <w:start w:val="1"/>
      <w:numFmt w:val="bullet"/>
      <w:lvlText w:val="o"/>
      <w:lvlJc w:val="left"/>
      <w:pPr>
        <w:ind w:left="1440" w:hanging="360"/>
      </w:pPr>
      <w:rPr>
        <w:rFonts w:ascii="Courier New" w:hAnsi="Courier New" w:hint="default"/>
      </w:rPr>
    </w:lvl>
    <w:lvl w:ilvl="2" w:tplc="78E0ABFE">
      <w:start w:val="1"/>
      <w:numFmt w:val="bullet"/>
      <w:lvlText w:val=""/>
      <w:lvlJc w:val="left"/>
      <w:pPr>
        <w:ind w:left="2160" w:hanging="360"/>
      </w:pPr>
      <w:rPr>
        <w:rFonts w:ascii="Wingdings" w:hAnsi="Wingdings" w:hint="default"/>
      </w:rPr>
    </w:lvl>
    <w:lvl w:ilvl="3" w:tplc="C94CF278">
      <w:start w:val="1"/>
      <w:numFmt w:val="bullet"/>
      <w:lvlText w:val=""/>
      <w:lvlJc w:val="left"/>
      <w:pPr>
        <w:ind w:left="2880" w:hanging="360"/>
      </w:pPr>
      <w:rPr>
        <w:rFonts w:ascii="Symbol" w:hAnsi="Symbol" w:hint="default"/>
      </w:rPr>
    </w:lvl>
    <w:lvl w:ilvl="4" w:tplc="8EA61FF2">
      <w:start w:val="1"/>
      <w:numFmt w:val="bullet"/>
      <w:lvlText w:val="o"/>
      <w:lvlJc w:val="left"/>
      <w:pPr>
        <w:ind w:left="3600" w:hanging="360"/>
      </w:pPr>
      <w:rPr>
        <w:rFonts w:ascii="Courier New" w:hAnsi="Courier New" w:hint="default"/>
      </w:rPr>
    </w:lvl>
    <w:lvl w:ilvl="5" w:tplc="F42A7BDA">
      <w:start w:val="1"/>
      <w:numFmt w:val="bullet"/>
      <w:lvlText w:val=""/>
      <w:lvlJc w:val="left"/>
      <w:pPr>
        <w:ind w:left="4320" w:hanging="360"/>
      </w:pPr>
      <w:rPr>
        <w:rFonts w:ascii="Wingdings" w:hAnsi="Wingdings" w:hint="default"/>
      </w:rPr>
    </w:lvl>
    <w:lvl w:ilvl="6" w:tplc="DC5437DA">
      <w:start w:val="1"/>
      <w:numFmt w:val="bullet"/>
      <w:lvlText w:val=""/>
      <w:lvlJc w:val="left"/>
      <w:pPr>
        <w:ind w:left="5040" w:hanging="360"/>
      </w:pPr>
      <w:rPr>
        <w:rFonts w:ascii="Symbol" w:hAnsi="Symbol" w:hint="default"/>
      </w:rPr>
    </w:lvl>
    <w:lvl w:ilvl="7" w:tplc="31C6D5CA">
      <w:start w:val="1"/>
      <w:numFmt w:val="bullet"/>
      <w:lvlText w:val="o"/>
      <w:lvlJc w:val="left"/>
      <w:pPr>
        <w:ind w:left="5760" w:hanging="360"/>
      </w:pPr>
      <w:rPr>
        <w:rFonts w:ascii="Courier New" w:hAnsi="Courier New" w:hint="default"/>
      </w:rPr>
    </w:lvl>
    <w:lvl w:ilvl="8" w:tplc="32E0484A">
      <w:start w:val="1"/>
      <w:numFmt w:val="bullet"/>
      <w:lvlText w:val=""/>
      <w:lvlJc w:val="left"/>
      <w:pPr>
        <w:ind w:left="6480" w:hanging="360"/>
      </w:pPr>
      <w:rPr>
        <w:rFonts w:ascii="Wingdings" w:hAnsi="Wingdings" w:hint="default"/>
      </w:rPr>
    </w:lvl>
  </w:abstractNum>
  <w:abstractNum w:abstractNumId="5" w15:restartNumberingAfterBreak="0">
    <w:nsid w:val="2EBB1E38"/>
    <w:multiLevelType w:val="hybridMultilevel"/>
    <w:tmpl w:val="467EB9C6"/>
    <w:lvl w:ilvl="0" w:tplc="90F4736E">
      <w:start w:val="1"/>
      <w:numFmt w:val="bullet"/>
      <w:lvlText w:val="·"/>
      <w:lvlJc w:val="left"/>
      <w:pPr>
        <w:ind w:left="720" w:hanging="360"/>
      </w:pPr>
      <w:rPr>
        <w:rFonts w:ascii="Symbol" w:hAnsi="Symbol" w:hint="default"/>
      </w:rPr>
    </w:lvl>
    <w:lvl w:ilvl="1" w:tplc="BDB45D9C">
      <w:start w:val="1"/>
      <w:numFmt w:val="bullet"/>
      <w:lvlText w:val="o"/>
      <w:lvlJc w:val="left"/>
      <w:pPr>
        <w:ind w:left="1440" w:hanging="360"/>
      </w:pPr>
      <w:rPr>
        <w:rFonts w:ascii="Courier New" w:hAnsi="Courier New" w:hint="default"/>
      </w:rPr>
    </w:lvl>
    <w:lvl w:ilvl="2" w:tplc="AE489532">
      <w:start w:val="1"/>
      <w:numFmt w:val="bullet"/>
      <w:lvlText w:val=""/>
      <w:lvlJc w:val="left"/>
      <w:pPr>
        <w:ind w:left="2160" w:hanging="360"/>
      </w:pPr>
      <w:rPr>
        <w:rFonts w:ascii="Wingdings" w:hAnsi="Wingdings" w:hint="default"/>
      </w:rPr>
    </w:lvl>
    <w:lvl w:ilvl="3" w:tplc="0AFCC0CC">
      <w:start w:val="1"/>
      <w:numFmt w:val="bullet"/>
      <w:lvlText w:val=""/>
      <w:lvlJc w:val="left"/>
      <w:pPr>
        <w:ind w:left="2880" w:hanging="360"/>
      </w:pPr>
      <w:rPr>
        <w:rFonts w:ascii="Symbol" w:hAnsi="Symbol" w:hint="default"/>
      </w:rPr>
    </w:lvl>
    <w:lvl w:ilvl="4" w:tplc="EE7EF3D6">
      <w:start w:val="1"/>
      <w:numFmt w:val="bullet"/>
      <w:lvlText w:val="o"/>
      <w:lvlJc w:val="left"/>
      <w:pPr>
        <w:ind w:left="3600" w:hanging="360"/>
      </w:pPr>
      <w:rPr>
        <w:rFonts w:ascii="Courier New" w:hAnsi="Courier New" w:hint="default"/>
      </w:rPr>
    </w:lvl>
    <w:lvl w:ilvl="5" w:tplc="1BE2FE10">
      <w:start w:val="1"/>
      <w:numFmt w:val="bullet"/>
      <w:lvlText w:val=""/>
      <w:lvlJc w:val="left"/>
      <w:pPr>
        <w:ind w:left="4320" w:hanging="360"/>
      </w:pPr>
      <w:rPr>
        <w:rFonts w:ascii="Wingdings" w:hAnsi="Wingdings" w:hint="default"/>
      </w:rPr>
    </w:lvl>
    <w:lvl w:ilvl="6" w:tplc="5DD678A8">
      <w:start w:val="1"/>
      <w:numFmt w:val="bullet"/>
      <w:lvlText w:val=""/>
      <w:lvlJc w:val="left"/>
      <w:pPr>
        <w:ind w:left="5040" w:hanging="360"/>
      </w:pPr>
      <w:rPr>
        <w:rFonts w:ascii="Symbol" w:hAnsi="Symbol" w:hint="default"/>
      </w:rPr>
    </w:lvl>
    <w:lvl w:ilvl="7" w:tplc="2E2EF276">
      <w:start w:val="1"/>
      <w:numFmt w:val="bullet"/>
      <w:lvlText w:val="o"/>
      <w:lvlJc w:val="left"/>
      <w:pPr>
        <w:ind w:left="5760" w:hanging="360"/>
      </w:pPr>
      <w:rPr>
        <w:rFonts w:ascii="Courier New" w:hAnsi="Courier New" w:hint="default"/>
      </w:rPr>
    </w:lvl>
    <w:lvl w:ilvl="8" w:tplc="5B28AAFE">
      <w:start w:val="1"/>
      <w:numFmt w:val="bullet"/>
      <w:lvlText w:val=""/>
      <w:lvlJc w:val="left"/>
      <w:pPr>
        <w:ind w:left="6480" w:hanging="360"/>
      </w:pPr>
      <w:rPr>
        <w:rFonts w:ascii="Wingdings" w:hAnsi="Wingdings" w:hint="default"/>
      </w:rPr>
    </w:lvl>
  </w:abstractNum>
  <w:abstractNum w:abstractNumId="6" w15:restartNumberingAfterBreak="0">
    <w:nsid w:val="3F9FC402"/>
    <w:multiLevelType w:val="hybridMultilevel"/>
    <w:tmpl w:val="ECA632D6"/>
    <w:lvl w:ilvl="0" w:tplc="C9A2D2B6">
      <w:start w:val="1"/>
      <w:numFmt w:val="bullet"/>
      <w:lvlText w:val=""/>
      <w:lvlJc w:val="left"/>
      <w:pPr>
        <w:ind w:left="720" w:hanging="360"/>
      </w:pPr>
      <w:rPr>
        <w:rFonts w:ascii="Symbol" w:hAnsi="Symbol" w:hint="default"/>
      </w:rPr>
    </w:lvl>
    <w:lvl w:ilvl="1" w:tplc="28EEADE2">
      <w:start w:val="1"/>
      <w:numFmt w:val="bullet"/>
      <w:lvlText w:val="o"/>
      <w:lvlJc w:val="left"/>
      <w:pPr>
        <w:ind w:left="1440" w:hanging="360"/>
      </w:pPr>
      <w:rPr>
        <w:rFonts w:ascii="Courier New" w:hAnsi="Courier New" w:hint="default"/>
      </w:rPr>
    </w:lvl>
    <w:lvl w:ilvl="2" w:tplc="54F802AA">
      <w:start w:val="1"/>
      <w:numFmt w:val="bullet"/>
      <w:lvlText w:val=""/>
      <w:lvlJc w:val="left"/>
      <w:pPr>
        <w:ind w:left="2160" w:hanging="360"/>
      </w:pPr>
      <w:rPr>
        <w:rFonts w:ascii="Wingdings" w:hAnsi="Wingdings" w:hint="default"/>
      </w:rPr>
    </w:lvl>
    <w:lvl w:ilvl="3" w:tplc="7D9EB8CA">
      <w:start w:val="1"/>
      <w:numFmt w:val="bullet"/>
      <w:lvlText w:val=""/>
      <w:lvlJc w:val="left"/>
      <w:pPr>
        <w:ind w:left="2880" w:hanging="360"/>
      </w:pPr>
      <w:rPr>
        <w:rFonts w:ascii="Symbol" w:hAnsi="Symbol" w:hint="default"/>
      </w:rPr>
    </w:lvl>
    <w:lvl w:ilvl="4" w:tplc="9758B2FC">
      <w:start w:val="1"/>
      <w:numFmt w:val="bullet"/>
      <w:lvlText w:val="o"/>
      <w:lvlJc w:val="left"/>
      <w:pPr>
        <w:ind w:left="3600" w:hanging="360"/>
      </w:pPr>
      <w:rPr>
        <w:rFonts w:ascii="Courier New" w:hAnsi="Courier New" w:hint="default"/>
      </w:rPr>
    </w:lvl>
    <w:lvl w:ilvl="5" w:tplc="1158D8AE">
      <w:start w:val="1"/>
      <w:numFmt w:val="bullet"/>
      <w:lvlText w:val=""/>
      <w:lvlJc w:val="left"/>
      <w:pPr>
        <w:ind w:left="4320" w:hanging="360"/>
      </w:pPr>
      <w:rPr>
        <w:rFonts w:ascii="Wingdings" w:hAnsi="Wingdings" w:hint="default"/>
      </w:rPr>
    </w:lvl>
    <w:lvl w:ilvl="6" w:tplc="3236ADCA">
      <w:start w:val="1"/>
      <w:numFmt w:val="bullet"/>
      <w:lvlText w:val=""/>
      <w:lvlJc w:val="left"/>
      <w:pPr>
        <w:ind w:left="5040" w:hanging="360"/>
      </w:pPr>
      <w:rPr>
        <w:rFonts w:ascii="Symbol" w:hAnsi="Symbol" w:hint="default"/>
      </w:rPr>
    </w:lvl>
    <w:lvl w:ilvl="7" w:tplc="9A88F6B4">
      <w:start w:val="1"/>
      <w:numFmt w:val="bullet"/>
      <w:lvlText w:val="o"/>
      <w:lvlJc w:val="left"/>
      <w:pPr>
        <w:ind w:left="5760" w:hanging="360"/>
      </w:pPr>
      <w:rPr>
        <w:rFonts w:ascii="Courier New" w:hAnsi="Courier New" w:hint="default"/>
      </w:rPr>
    </w:lvl>
    <w:lvl w:ilvl="8" w:tplc="0122D3B8">
      <w:start w:val="1"/>
      <w:numFmt w:val="bullet"/>
      <w:lvlText w:val=""/>
      <w:lvlJc w:val="left"/>
      <w:pPr>
        <w:ind w:left="6480" w:hanging="360"/>
      </w:pPr>
      <w:rPr>
        <w:rFonts w:ascii="Wingdings" w:hAnsi="Wingdings" w:hint="default"/>
      </w:rPr>
    </w:lvl>
  </w:abstractNum>
  <w:abstractNum w:abstractNumId="7" w15:restartNumberingAfterBreak="0">
    <w:nsid w:val="4D1005CF"/>
    <w:multiLevelType w:val="hybridMultilevel"/>
    <w:tmpl w:val="6BC61D4C"/>
    <w:lvl w:ilvl="0" w:tplc="3DB00244">
      <w:start w:val="1"/>
      <w:numFmt w:val="bullet"/>
      <w:lvlText w:val=""/>
      <w:lvlJc w:val="left"/>
      <w:pPr>
        <w:ind w:left="720" w:hanging="360"/>
      </w:pPr>
      <w:rPr>
        <w:rFonts w:ascii="Symbol" w:hAnsi="Symbol" w:hint="default"/>
      </w:rPr>
    </w:lvl>
    <w:lvl w:ilvl="1" w:tplc="331E6CCE">
      <w:start w:val="1"/>
      <w:numFmt w:val="bullet"/>
      <w:lvlText w:val="o"/>
      <w:lvlJc w:val="left"/>
      <w:pPr>
        <w:ind w:left="1440" w:hanging="360"/>
      </w:pPr>
      <w:rPr>
        <w:rFonts w:ascii="Courier New" w:hAnsi="Courier New" w:hint="default"/>
      </w:rPr>
    </w:lvl>
    <w:lvl w:ilvl="2" w:tplc="79BEE330">
      <w:start w:val="1"/>
      <w:numFmt w:val="bullet"/>
      <w:lvlText w:val=""/>
      <w:lvlJc w:val="left"/>
      <w:pPr>
        <w:ind w:left="2160" w:hanging="360"/>
      </w:pPr>
      <w:rPr>
        <w:rFonts w:ascii="Wingdings" w:hAnsi="Wingdings" w:hint="default"/>
      </w:rPr>
    </w:lvl>
    <w:lvl w:ilvl="3" w:tplc="357A0FD0">
      <w:start w:val="1"/>
      <w:numFmt w:val="bullet"/>
      <w:lvlText w:val=""/>
      <w:lvlJc w:val="left"/>
      <w:pPr>
        <w:ind w:left="2880" w:hanging="360"/>
      </w:pPr>
      <w:rPr>
        <w:rFonts w:ascii="Symbol" w:hAnsi="Symbol" w:hint="default"/>
      </w:rPr>
    </w:lvl>
    <w:lvl w:ilvl="4" w:tplc="08BEA66E">
      <w:start w:val="1"/>
      <w:numFmt w:val="bullet"/>
      <w:lvlText w:val="o"/>
      <w:lvlJc w:val="left"/>
      <w:pPr>
        <w:ind w:left="3600" w:hanging="360"/>
      </w:pPr>
      <w:rPr>
        <w:rFonts w:ascii="Courier New" w:hAnsi="Courier New" w:hint="default"/>
      </w:rPr>
    </w:lvl>
    <w:lvl w:ilvl="5" w:tplc="329A874E">
      <w:start w:val="1"/>
      <w:numFmt w:val="bullet"/>
      <w:lvlText w:val=""/>
      <w:lvlJc w:val="left"/>
      <w:pPr>
        <w:ind w:left="4320" w:hanging="360"/>
      </w:pPr>
      <w:rPr>
        <w:rFonts w:ascii="Wingdings" w:hAnsi="Wingdings" w:hint="default"/>
      </w:rPr>
    </w:lvl>
    <w:lvl w:ilvl="6" w:tplc="584E0284">
      <w:start w:val="1"/>
      <w:numFmt w:val="bullet"/>
      <w:lvlText w:val=""/>
      <w:lvlJc w:val="left"/>
      <w:pPr>
        <w:ind w:left="5040" w:hanging="360"/>
      </w:pPr>
      <w:rPr>
        <w:rFonts w:ascii="Symbol" w:hAnsi="Symbol" w:hint="default"/>
      </w:rPr>
    </w:lvl>
    <w:lvl w:ilvl="7" w:tplc="0474459C">
      <w:start w:val="1"/>
      <w:numFmt w:val="bullet"/>
      <w:lvlText w:val="o"/>
      <w:lvlJc w:val="left"/>
      <w:pPr>
        <w:ind w:left="5760" w:hanging="360"/>
      </w:pPr>
      <w:rPr>
        <w:rFonts w:ascii="Courier New" w:hAnsi="Courier New" w:hint="default"/>
      </w:rPr>
    </w:lvl>
    <w:lvl w:ilvl="8" w:tplc="EFD098AA">
      <w:start w:val="1"/>
      <w:numFmt w:val="bullet"/>
      <w:lvlText w:val=""/>
      <w:lvlJc w:val="left"/>
      <w:pPr>
        <w:ind w:left="6480" w:hanging="360"/>
      </w:pPr>
      <w:rPr>
        <w:rFonts w:ascii="Wingdings" w:hAnsi="Wingdings" w:hint="default"/>
      </w:rPr>
    </w:lvl>
  </w:abstractNum>
  <w:abstractNum w:abstractNumId="8" w15:restartNumberingAfterBreak="0">
    <w:nsid w:val="523F225A"/>
    <w:multiLevelType w:val="hybridMultilevel"/>
    <w:tmpl w:val="F594DF2A"/>
    <w:lvl w:ilvl="0" w:tplc="D85CC3AE">
      <w:start w:val="1"/>
      <w:numFmt w:val="bullet"/>
      <w:lvlText w:val=""/>
      <w:lvlJc w:val="left"/>
      <w:pPr>
        <w:ind w:left="720" w:hanging="360"/>
      </w:pPr>
      <w:rPr>
        <w:rFonts w:ascii="Symbol" w:hAnsi="Symbol" w:hint="default"/>
      </w:rPr>
    </w:lvl>
    <w:lvl w:ilvl="1" w:tplc="934082FE">
      <w:start w:val="1"/>
      <w:numFmt w:val="bullet"/>
      <w:lvlText w:val="o"/>
      <w:lvlJc w:val="left"/>
      <w:pPr>
        <w:ind w:left="1440" w:hanging="360"/>
      </w:pPr>
      <w:rPr>
        <w:rFonts w:ascii="Courier New" w:hAnsi="Courier New" w:hint="default"/>
      </w:rPr>
    </w:lvl>
    <w:lvl w:ilvl="2" w:tplc="F37EC104">
      <w:start w:val="1"/>
      <w:numFmt w:val="bullet"/>
      <w:lvlText w:val=""/>
      <w:lvlJc w:val="left"/>
      <w:pPr>
        <w:ind w:left="2160" w:hanging="360"/>
      </w:pPr>
      <w:rPr>
        <w:rFonts w:ascii="Wingdings" w:hAnsi="Wingdings" w:hint="default"/>
      </w:rPr>
    </w:lvl>
    <w:lvl w:ilvl="3" w:tplc="4206453A">
      <w:start w:val="1"/>
      <w:numFmt w:val="bullet"/>
      <w:lvlText w:val=""/>
      <w:lvlJc w:val="left"/>
      <w:pPr>
        <w:ind w:left="2880" w:hanging="360"/>
      </w:pPr>
      <w:rPr>
        <w:rFonts w:ascii="Symbol" w:hAnsi="Symbol" w:hint="default"/>
      </w:rPr>
    </w:lvl>
    <w:lvl w:ilvl="4" w:tplc="51C685FC">
      <w:start w:val="1"/>
      <w:numFmt w:val="bullet"/>
      <w:lvlText w:val="o"/>
      <w:lvlJc w:val="left"/>
      <w:pPr>
        <w:ind w:left="3600" w:hanging="360"/>
      </w:pPr>
      <w:rPr>
        <w:rFonts w:ascii="Courier New" w:hAnsi="Courier New" w:hint="default"/>
      </w:rPr>
    </w:lvl>
    <w:lvl w:ilvl="5" w:tplc="7F4C151E">
      <w:start w:val="1"/>
      <w:numFmt w:val="bullet"/>
      <w:lvlText w:val=""/>
      <w:lvlJc w:val="left"/>
      <w:pPr>
        <w:ind w:left="4320" w:hanging="360"/>
      </w:pPr>
      <w:rPr>
        <w:rFonts w:ascii="Wingdings" w:hAnsi="Wingdings" w:hint="default"/>
      </w:rPr>
    </w:lvl>
    <w:lvl w:ilvl="6" w:tplc="873806B0">
      <w:start w:val="1"/>
      <w:numFmt w:val="bullet"/>
      <w:lvlText w:val=""/>
      <w:lvlJc w:val="left"/>
      <w:pPr>
        <w:ind w:left="5040" w:hanging="360"/>
      </w:pPr>
      <w:rPr>
        <w:rFonts w:ascii="Symbol" w:hAnsi="Symbol" w:hint="default"/>
      </w:rPr>
    </w:lvl>
    <w:lvl w:ilvl="7" w:tplc="097400BC">
      <w:start w:val="1"/>
      <w:numFmt w:val="bullet"/>
      <w:lvlText w:val="o"/>
      <w:lvlJc w:val="left"/>
      <w:pPr>
        <w:ind w:left="5760" w:hanging="360"/>
      </w:pPr>
      <w:rPr>
        <w:rFonts w:ascii="Courier New" w:hAnsi="Courier New" w:hint="default"/>
      </w:rPr>
    </w:lvl>
    <w:lvl w:ilvl="8" w:tplc="7CF0A812">
      <w:start w:val="1"/>
      <w:numFmt w:val="bullet"/>
      <w:lvlText w:val=""/>
      <w:lvlJc w:val="left"/>
      <w:pPr>
        <w:ind w:left="6480" w:hanging="360"/>
      </w:pPr>
      <w:rPr>
        <w:rFonts w:ascii="Wingdings" w:hAnsi="Wingdings" w:hint="default"/>
      </w:rPr>
    </w:lvl>
  </w:abstractNum>
  <w:abstractNum w:abstractNumId="9" w15:restartNumberingAfterBreak="0">
    <w:nsid w:val="59CA78C0"/>
    <w:multiLevelType w:val="hybridMultilevel"/>
    <w:tmpl w:val="07B03812"/>
    <w:lvl w:ilvl="0" w:tplc="75500628">
      <w:start w:val="1"/>
      <w:numFmt w:val="bullet"/>
      <w:lvlText w:val=""/>
      <w:lvlJc w:val="left"/>
      <w:pPr>
        <w:ind w:left="720" w:hanging="360"/>
      </w:pPr>
      <w:rPr>
        <w:rFonts w:ascii="Symbol" w:hAnsi="Symbol" w:hint="default"/>
      </w:rPr>
    </w:lvl>
    <w:lvl w:ilvl="1" w:tplc="6AEA012A">
      <w:start w:val="1"/>
      <w:numFmt w:val="bullet"/>
      <w:lvlText w:val="o"/>
      <w:lvlJc w:val="left"/>
      <w:pPr>
        <w:ind w:left="1440" w:hanging="360"/>
      </w:pPr>
      <w:rPr>
        <w:rFonts w:ascii="Courier New" w:hAnsi="Courier New" w:hint="default"/>
      </w:rPr>
    </w:lvl>
    <w:lvl w:ilvl="2" w:tplc="0850242E">
      <w:start w:val="1"/>
      <w:numFmt w:val="bullet"/>
      <w:lvlText w:val=""/>
      <w:lvlJc w:val="left"/>
      <w:pPr>
        <w:ind w:left="2160" w:hanging="360"/>
      </w:pPr>
      <w:rPr>
        <w:rFonts w:ascii="Wingdings" w:hAnsi="Wingdings" w:hint="default"/>
      </w:rPr>
    </w:lvl>
    <w:lvl w:ilvl="3" w:tplc="76F030A0">
      <w:start w:val="1"/>
      <w:numFmt w:val="bullet"/>
      <w:lvlText w:val=""/>
      <w:lvlJc w:val="left"/>
      <w:pPr>
        <w:ind w:left="2880" w:hanging="360"/>
      </w:pPr>
      <w:rPr>
        <w:rFonts w:ascii="Symbol" w:hAnsi="Symbol" w:hint="default"/>
      </w:rPr>
    </w:lvl>
    <w:lvl w:ilvl="4" w:tplc="BE4CE784">
      <w:start w:val="1"/>
      <w:numFmt w:val="bullet"/>
      <w:lvlText w:val="o"/>
      <w:lvlJc w:val="left"/>
      <w:pPr>
        <w:ind w:left="3600" w:hanging="360"/>
      </w:pPr>
      <w:rPr>
        <w:rFonts w:ascii="Courier New" w:hAnsi="Courier New" w:hint="default"/>
      </w:rPr>
    </w:lvl>
    <w:lvl w:ilvl="5" w:tplc="53CE85D8">
      <w:start w:val="1"/>
      <w:numFmt w:val="bullet"/>
      <w:lvlText w:val=""/>
      <w:lvlJc w:val="left"/>
      <w:pPr>
        <w:ind w:left="4320" w:hanging="360"/>
      </w:pPr>
      <w:rPr>
        <w:rFonts w:ascii="Wingdings" w:hAnsi="Wingdings" w:hint="default"/>
      </w:rPr>
    </w:lvl>
    <w:lvl w:ilvl="6" w:tplc="54D8742A">
      <w:start w:val="1"/>
      <w:numFmt w:val="bullet"/>
      <w:lvlText w:val=""/>
      <w:lvlJc w:val="left"/>
      <w:pPr>
        <w:ind w:left="5040" w:hanging="360"/>
      </w:pPr>
      <w:rPr>
        <w:rFonts w:ascii="Symbol" w:hAnsi="Symbol" w:hint="default"/>
      </w:rPr>
    </w:lvl>
    <w:lvl w:ilvl="7" w:tplc="E4BA52A2">
      <w:start w:val="1"/>
      <w:numFmt w:val="bullet"/>
      <w:lvlText w:val="o"/>
      <w:lvlJc w:val="left"/>
      <w:pPr>
        <w:ind w:left="5760" w:hanging="360"/>
      </w:pPr>
      <w:rPr>
        <w:rFonts w:ascii="Courier New" w:hAnsi="Courier New" w:hint="default"/>
      </w:rPr>
    </w:lvl>
    <w:lvl w:ilvl="8" w:tplc="99B2EB32">
      <w:start w:val="1"/>
      <w:numFmt w:val="bullet"/>
      <w:lvlText w:val=""/>
      <w:lvlJc w:val="left"/>
      <w:pPr>
        <w:ind w:left="6480" w:hanging="360"/>
      </w:pPr>
      <w:rPr>
        <w:rFonts w:ascii="Wingdings" w:hAnsi="Wingdings" w:hint="default"/>
      </w:rPr>
    </w:lvl>
  </w:abstractNum>
  <w:abstractNum w:abstractNumId="10" w15:restartNumberingAfterBreak="0">
    <w:nsid w:val="59E9E1C5"/>
    <w:multiLevelType w:val="hybridMultilevel"/>
    <w:tmpl w:val="AE52331C"/>
    <w:lvl w:ilvl="0" w:tplc="0D6AF2BC">
      <w:start w:val="1"/>
      <w:numFmt w:val="decimal"/>
      <w:lvlText w:val="%1."/>
      <w:lvlJc w:val="left"/>
      <w:pPr>
        <w:ind w:left="720" w:hanging="360"/>
      </w:pPr>
    </w:lvl>
    <w:lvl w:ilvl="1" w:tplc="B42A5CEA">
      <w:start w:val="1"/>
      <w:numFmt w:val="lowerLetter"/>
      <w:lvlText w:val="%2."/>
      <w:lvlJc w:val="left"/>
      <w:pPr>
        <w:ind w:left="1440" w:hanging="360"/>
      </w:pPr>
    </w:lvl>
    <w:lvl w:ilvl="2" w:tplc="D03294FA">
      <w:start w:val="1"/>
      <w:numFmt w:val="lowerRoman"/>
      <w:lvlText w:val="%3."/>
      <w:lvlJc w:val="right"/>
      <w:pPr>
        <w:ind w:left="2160" w:hanging="180"/>
      </w:pPr>
    </w:lvl>
    <w:lvl w:ilvl="3" w:tplc="E72E74A8">
      <w:start w:val="1"/>
      <w:numFmt w:val="decimal"/>
      <w:lvlText w:val="%4."/>
      <w:lvlJc w:val="left"/>
      <w:pPr>
        <w:ind w:left="2880" w:hanging="360"/>
      </w:pPr>
    </w:lvl>
    <w:lvl w:ilvl="4" w:tplc="DBC260BC">
      <w:start w:val="1"/>
      <w:numFmt w:val="lowerLetter"/>
      <w:lvlText w:val="%5."/>
      <w:lvlJc w:val="left"/>
      <w:pPr>
        <w:ind w:left="3600" w:hanging="360"/>
      </w:pPr>
    </w:lvl>
    <w:lvl w:ilvl="5" w:tplc="6C4C0D1C">
      <w:start w:val="1"/>
      <w:numFmt w:val="lowerRoman"/>
      <w:lvlText w:val="%6."/>
      <w:lvlJc w:val="right"/>
      <w:pPr>
        <w:ind w:left="4320" w:hanging="180"/>
      </w:pPr>
    </w:lvl>
    <w:lvl w:ilvl="6" w:tplc="3C68EBDA">
      <w:start w:val="1"/>
      <w:numFmt w:val="decimal"/>
      <w:lvlText w:val="%7."/>
      <w:lvlJc w:val="left"/>
      <w:pPr>
        <w:ind w:left="5040" w:hanging="360"/>
      </w:pPr>
    </w:lvl>
    <w:lvl w:ilvl="7" w:tplc="BA70C9C0">
      <w:start w:val="1"/>
      <w:numFmt w:val="lowerLetter"/>
      <w:lvlText w:val="%8."/>
      <w:lvlJc w:val="left"/>
      <w:pPr>
        <w:ind w:left="5760" w:hanging="360"/>
      </w:pPr>
    </w:lvl>
    <w:lvl w:ilvl="8" w:tplc="56D81B2E">
      <w:start w:val="1"/>
      <w:numFmt w:val="lowerRoman"/>
      <w:lvlText w:val="%9."/>
      <w:lvlJc w:val="right"/>
      <w:pPr>
        <w:ind w:left="6480" w:hanging="180"/>
      </w:pPr>
    </w:lvl>
  </w:abstractNum>
  <w:abstractNum w:abstractNumId="11" w15:restartNumberingAfterBreak="0">
    <w:nsid w:val="641FC692"/>
    <w:multiLevelType w:val="hybridMultilevel"/>
    <w:tmpl w:val="0E261E4C"/>
    <w:lvl w:ilvl="0" w:tplc="97C4D77C">
      <w:start w:val="1"/>
      <w:numFmt w:val="bullet"/>
      <w:lvlText w:val=""/>
      <w:lvlJc w:val="left"/>
      <w:pPr>
        <w:ind w:left="720" w:hanging="360"/>
      </w:pPr>
      <w:rPr>
        <w:rFonts w:ascii="Symbol" w:hAnsi="Symbol" w:hint="default"/>
      </w:rPr>
    </w:lvl>
    <w:lvl w:ilvl="1" w:tplc="7250FC42">
      <w:start w:val="1"/>
      <w:numFmt w:val="bullet"/>
      <w:lvlText w:val="o"/>
      <w:lvlJc w:val="left"/>
      <w:pPr>
        <w:ind w:left="1440" w:hanging="360"/>
      </w:pPr>
      <w:rPr>
        <w:rFonts w:ascii="Courier New" w:hAnsi="Courier New" w:hint="default"/>
      </w:rPr>
    </w:lvl>
    <w:lvl w:ilvl="2" w:tplc="F41C829A">
      <w:start w:val="1"/>
      <w:numFmt w:val="bullet"/>
      <w:lvlText w:val=""/>
      <w:lvlJc w:val="left"/>
      <w:pPr>
        <w:ind w:left="2160" w:hanging="360"/>
      </w:pPr>
      <w:rPr>
        <w:rFonts w:ascii="Wingdings" w:hAnsi="Wingdings" w:hint="default"/>
      </w:rPr>
    </w:lvl>
    <w:lvl w:ilvl="3" w:tplc="C420955A">
      <w:start w:val="1"/>
      <w:numFmt w:val="bullet"/>
      <w:lvlText w:val=""/>
      <w:lvlJc w:val="left"/>
      <w:pPr>
        <w:ind w:left="2880" w:hanging="360"/>
      </w:pPr>
      <w:rPr>
        <w:rFonts w:ascii="Symbol" w:hAnsi="Symbol" w:hint="default"/>
      </w:rPr>
    </w:lvl>
    <w:lvl w:ilvl="4" w:tplc="3B361AFC">
      <w:start w:val="1"/>
      <w:numFmt w:val="bullet"/>
      <w:lvlText w:val="o"/>
      <w:lvlJc w:val="left"/>
      <w:pPr>
        <w:ind w:left="3600" w:hanging="360"/>
      </w:pPr>
      <w:rPr>
        <w:rFonts w:ascii="Courier New" w:hAnsi="Courier New" w:hint="default"/>
      </w:rPr>
    </w:lvl>
    <w:lvl w:ilvl="5" w:tplc="A496ABF6">
      <w:start w:val="1"/>
      <w:numFmt w:val="bullet"/>
      <w:lvlText w:val=""/>
      <w:lvlJc w:val="left"/>
      <w:pPr>
        <w:ind w:left="4320" w:hanging="360"/>
      </w:pPr>
      <w:rPr>
        <w:rFonts w:ascii="Wingdings" w:hAnsi="Wingdings" w:hint="default"/>
      </w:rPr>
    </w:lvl>
    <w:lvl w:ilvl="6" w:tplc="911A38EE">
      <w:start w:val="1"/>
      <w:numFmt w:val="bullet"/>
      <w:lvlText w:val=""/>
      <w:lvlJc w:val="left"/>
      <w:pPr>
        <w:ind w:left="5040" w:hanging="360"/>
      </w:pPr>
      <w:rPr>
        <w:rFonts w:ascii="Symbol" w:hAnsi="Symbol" w:hint="default"/>
      </w:rPr>
    </w:lvl>
    <w:lvl w:ilvl="7" w:tplc="7A080D48">
      <w:start w:val="1"/>
      <w:numFmt w:val="bullet"/>
      <w:lvlText w:val="o"/>
      <w:lvlJc w:val="left"/>
      <w:pPr>
        <w:ind w:left="5760" w:hanging="360"/>
      </w:pPr>
      <w:rPr>
        <w:rFonts w:ascii="Courier New" w:hAnsi="Courier New" w:hint="default"/>
      </w:rPr>
    </w:lvl>
    <w:lvl w:ilvl="8" w:tplc="D9926360">
      <w:start w:val="1"/>
      <w:numFmt w:val="bullet"/>
      <w:lvlText w:val=""/>
      <w:lvlJc w:val="left"/>
      <w:pPr>
        <w:ind w:left="6480" w:hanging="360"/>
      </w:pPr>
      <w:rPr>
        <w:rFonts w:ascii="Wingdings" w:hAnsi="Wingdings" w:hint="default"/>
      </w:rPr>
    </w:lvl>
  </w:abstractNum>
  <w:abstractNum w:abstractNumId="12" w15:restartNumberingAfterBreak="0">
    <w:nsid w:val="66B21379"/>
    <w:multiLevelType w:val="hybridMultilevel"/>
    <w:tmpl w:val="1EA04708"/>
    <w:lvl w:ilvl="0" w:tplc="81B6851A">
      <w:start w:val="1"/>
      <w:numFmt w:val="bullet"/>
      <w:lvlText w:val="·"/>
      <w:lvlJc w:val="left"/>
      <w:pPr>
        <w:ind w:left="720" w:hanging="360"/>
      </w:pPr>
      <w:rPr>
        <w:rFonts w:ascii="Symbol" w:hAnsi="Symbol" w:hint="default"/>
      </w:rPr>
    </w:lvl>
    <w:lvl w:ilvl="1" w:tplc="DFB4C0EA">
      <w:start w:val="1"/>
      <w:numFmt w:val="bullet"/>
      <w:lvlText w:val="o"/>
      <w:lvlJc w:val="left"/>
      <w:pPr>
        <w:ind w:left="1440" w:hanging="360"/>
      </w:pPr>
      <w:rPr>
        <w:rFonts w:ascii="Courier New" w:hAnsi="Courier New" w:hint="default"/>
      </w:rPr>
    </w:lvl>
    <w:lvl w:ilvl="2" w:tplc="82D83CA8">
      <w:start w:val="1"/>
      <w:numFmt w:val="bullet"/>
      <w:lvlText w:val=""/>
      <w:lvlJc w:val="left"/>
      <w:pPr>
        <w:ind w:left="2160" w:hanging="360"/>
      </w:pPr>
      <w:rPr>
        <w:rFonts w:ascii="Wingdings" w:hAnsi="Wingdings" w:hint="default"/>
      </w:rPr>
    </w:lvl>
    <w:lvl w:ilvl="3" w:tplc="6E3C68AC">
      <w:start w:val="1"/>
      <w:numFmt w:val="bullet"/>
      <w:lvlText w:val=""/>
      <w:lvlJc w:val="left"/>
      <w:pPr>
        <w:ind w:left="2880" w:hanging="360"/>
      </w:pPr>
      <w:rPr>
        <w:rFonts w:ascii="Symbol" w:hAnsi="Symbol" w:hint="default"/>
      </w:rPr>
    </w:lvl>
    <w:lvl w:ilvl="4" w:tplc="17F0C116">
      <w:start w:val="1"/>
      <w:numFmt w:val="bullet"/>
      <w:lvlText w:val="o"/>
      <w:lvlJc w:val="left"/>
      <w:pPr>
        <w:ind w:left="3600" w:hanging="360"/>
      </w:pPr>
      <w:rPr>
        <w:rFonts w:ascii="Courier New" w:hAnsi="Courier New" w:hint="default"/>
      </w:rPr>
    </w:lvl>
    <w:lvl w:ilvl="5" w:tplc="FA76391E">
      <w:start w:val="1"/>
      <w:numFmt w:val="bullet"/>
      <w:lvlText w:val=""/>
      <w:lvlJc w:val="left"/>
      <w:pPr>
        <w:ind w:left="4320" w:hanging="360"/>
      </w:pPr>
      <w:rPr>
        <w:rFonts w:ascii="Wingdings" w:hAnsi="Wingdings" w:hint="default"/>
      </w:rPr>
    </w:lvl>
    <w:lvl w:ilvl="6" w:tplc="8A348EF6">
      <w:start w:val="1"/>
      <w:numFmt w:val="bullet"/>
      <w:lvlText w:val=""/>
      <w:lvlJc w:val="left"/>
      <w:pPr>
        <w:ind w:left="5040" w:hanging="360"/>
      </w:pPr>
      <w:rPr>
        <w:rFonts w:ascii="Symbol" w:hAnsi="Symbol" w:hint="default"/>
      </w:rPr>
    </w:lvl>
    <w:lvl w:ilvl="7" w:tplc="D9E6C72A">
      <w:start w:val="1"/>
      <w:numFmt w:val="bullet"/>
      <w:lvlText w:val="o"/>
      <w:lvlJc w:val="left"/>
      <w:pPr>
        <w:ind w:left="5760" w:hanging="360"/>
      </w:pPr>
      <w:rPr>
        <w:rFonts w:ascii="Courier New" w:hAnsi="Courier New" w:hint="default"/>
      </w:rPr>
    </w:lvl>
    <w:lvl w:ilvl="8" w:tplc="35FA0976">
      <w:start w:val="1"/>
      <w:numFmt w:val="bullet"/>
      <w:lvlText w:val=""/>
      <w:lvlJc w:val="left"/>
      <w:pPr>
        <w:ind w:left="6480" w:hanging="360"/>
      </w:pPr>
      <w:rPr>
        <w:rFonts w:ascii="Wingdings" w:hAnsi="Wingdings" w:hint="default"/>
      </w:rPr>
    </w:lvl>
  </w:abstractNum>
  <w:abstractNum w:abstractNumId="13" w15:restartNumberingAfterBreak="0">
    <w:nsid w:val="66B2C6B8"/>
    <w:multiLevelType w:val="hybridMultilevel"/>
    <w:tmpl w:val="60089868"/>
    <w:lvl w:ilvl="0" w:tplc="518A9A26">
      <w:start w:val="1"/>
      <w:numFmt w:val="bullet"/>
      <w:lvlText w:val=""/>
      <w:lvlJc w:val="left"/>
      <w:pPr>
        <w:ind w:left="720" w:hanging="360"/>
      </w:pPr>
      <w:rPr>
        <w:rFonts w:ascii="Symbol" w:hAnsi="Symbol" w:hint="default"/>
      </w:rPr>
    </w:lvl>
    <w:lvl w:ilvl="1" w:tplc="2CB0EB20">
      <w:start w:val="1"/>
      <w:numFmt w:val="bullet"/>
      <w:lvlText w:val="o"/>
      <w:lvlJc w:val="left"/>
      <w:pPr>
        <w:ind w:left="1440" w:hanging="360"/>
      </w:pPr>
      <w:rPr>
        <w:rFonts w:ascii="Courier New" w:hAnsi="Courier New" w:hint="default"/>
      </w:rPr>
    </w:lvl>
    <w:lvl w:ilvl="2" w:tplc="BDBC4E36">
      <w:start w:val="1"/>
      <w:numFmt w:val="bullet"/>
      <w:lvlText w:val=""/>
      <w:lvlJc w:val="left"/>
      <w:pPr>
        <w:ind w:left="2160" w:hanging="360"/>
      </w:pPr>
      <w:rPr>
        <w:rFonts w:ascii="Wingdings" w:hAnsi="Wingdings" w:hint="default"/>
      </w:rPr>
    </w:lvl>
    <w:lvl w:ilvl="3" w:tplc="FADA21D4">
      <w:start w:val="1"/>
      <w:numFmt w:val="bullet"/>
      <w:lvlText w:val=""/>
      <w:lvlJc w:val="left"/>
      <w:pPr>
        <w:ind w:left="2880" w:hanging="360"/>
      </w:pPr>
      <w:rPr>
        <w:rFonts w:ascii="Symbol" w:hAnsi="Symbol" w:hint="default"/>
      </w:rPr>
    </w:lvl>
    <w:lvl w:ilvl="4" w:tplc="096EFE1C">
      <w:start w:val="1"/>
      <w:numFmt w:val="bullet"/>
      <w:lvlText w:val="o"/>
      <w:lvlJc w:val="left"/>
      <w:pPr>
        <w:ind w:left="3600" w:hanging="360"/>
      </w:pPr>
      <w:rPr>
        <w:rFonts w:ascii="Courier New" w:hAnsi="Courier New" w:hint="default"/>
      </w:rPr>
    </w:lvl>
    <w:lvl w:ilvl="5" w:tplc="199263DC">
      <w:start w:val="1"/>
      <w:numFmt w:val="bullet"/>
      <w:lvlText w:val=""/>
      <w:lvlJc w:val="left"/>
      <w:pPr>
        <w:ind w:left="4320" w:hanging="360"/>
      </w:pPr>
      <w:rPr>
        <w:rFonts w:ascii="Wingdings" w:hAnsi="Wingdings" w:hint="default"/>
      </w:rPr>
    </w:lvl>
    <w:lvl w:ilvl="6" w:tplc="74CE8726">
      <w:start w:val="1"/>
      <w:numFmt w:val="bullet"/>
      <w:lvlText w:val=""/>
      <w:lvlJc w:val="left"/>
      <w:pPr>
        <w:ind w:left="5040" w:hanging="360"/>
      </w:pPr>
      <w:rPr>
        <w:rFonts w:ascii="Symbol" w:hAnsi="Symbol" w:hint="default"/>
      </w:rPr>
    </w:lvl>
    <w:lvl w:ilvl="7" w:tplc="2208DEE6">
      <w:start w:val="1"/>
      <w:numFmt w:val="bullet"/>
      <w:lvlText w:val="o"/>
      <w:lvlJc w:val="left"/>
      <w:pPr>
        <w:ind w:left="5760" w:hanging="360"/>
      </w:pPr>
      <w:rPr>
        <w:rFonts w:ascii="Courier New" w:hAnsi="Courier New" w:hint="default"/>
      </w:rPr>
    </w:lvl>
    <w:lvl w:ilvl="8" w:tplc="AC62C678">
      <w:start w:val="1"/>
      <w:numFmt w:val="bullet"/>
      <w:lvlText w:val=""/>
      <w:lvlJc w:val="left"/>
      <w:pPr>
        <w:ind w:left="6480" w:hanging="360"/>
      </w:pPr>
      <w:rPr>
        <w:rFonts w:ascii="Wingdings" w:hAnsi="Wingdings" w:hint="default"/>
      </w:rPr>
    </w:lvl>
  </w:abstractNum>
  <w:abstractNum w:abstractNumId="14" w15:restartNumberingAfterBreak="0">
    <w:nsid w:val="6E3C6F01"/>
    <w:multiLevelType w:val="hybridMultilevel"/>
    <w:tmpl w:val="7AC65D38"/>
    <w:lvl w:ilvl="0" w:tplc="89B2F8B2">
      <w:start w:val="1"/>
      <w:numFmt w:val="decimal"/>
      <w:lvlText w:val="%1."/>
      <w:lvlJc w:val="left"/>
      <w:pPr>
        <w:ind w:left="720" w:hanging="360"/>
      </w:pPr>
    </w:lvl>
    <w:lvl w:ilvl="1" w:tplc="7CBC9CB4">
      <w:start w:val="1"/>
      <w:numFmt w:val="lowerLetter"/>
      <w:lvlText w:val="%2."/>
      <w:lvlJc w:val="left"/>
      <w:pPr>
        <w:ind w:left="1440" w:hanging="360"/>
      </w:pPr>
    </w:lvl>
    <w:lvl w:ilvl="2" w:tplc="2B2CADFE">
      <w:start w:val="1"/>
      <w:numFmt w:val="lowerRoman"/>
      <w:lvlText w:val="%3."/>
      <w:lvlJc w:val="right"/>
      <w:pPr>
        <w:ind w:left="2160" w:hanging="180"/>
      </w:pPr>
    </w:lvl>
    <w:lvl w:ilvl="3" w:tplc="870C7D96">
      <w:start w:val="1"/>
      <w:numFmt w:val="decimal"/>
      <w:lvlText w:val="%4."/>
      <w:lvlJc w:val="left"/>
      <w:pPr>
        <w:ind w:left="2880" w:hanging="360"/>
      </w:pPr>
    </w:lvl>
    <w:lvl w:ilvl="4" w:tplc="408A5DEA">
      <w:start w:val="1"/>
      <w:numFmt w:val="lowerLetter"/>
      <w:lvlText w:val="%5."/>
      <w:lvlJc w:val="left"/>
      <w:pPr>
        <w:ind w:left="3600" w:hanging="360"/>
      </w:pPr>
    </w:lvl>
    <w:lvl w:ilvl="5" w:tplc="77F4285C">
      <w:start w:val="1"/>
      <w:numFmt w:val="lowerRoman"/>
      <w:lvlText w:val="%6."/>
      <w:lvlJc w:val="right"/>
      <w:pPr>
        <w:ind w:left="4320" w:hanging="180"/>
      </w:pPr>
    </w:lvl>
    <w:lvl w:ilvl="6" w:tplc="BC68576E">
      <w:start w:val="1"/>
      <w:numFmt w:val="decimal"/>
      <w:lvlText w:val="%7."/>
      <w:lvlJc w:val="left"/>
      <w:pPr>
        <w:ind w:left="5040" w:hanging="360"/>
      </w:pPr>
    </w:lvl>
    <w:lvl w:ilvl="7" w:tplc="76F2B222">
      <w:start w:val="1"/>
      <w:numFmt w:val="lowerLetter"/>
      <w:lvlText w:val="%8."/>
      <w:lvlJc w:val="left"/>
      <w:pPr>
        <w:ind w:left="5760" w:hanging="360"/>
      </w:pPr>
    </w:lvl>
    <w:lvl w:ilvl="8" w:tplc="3D78B714">
      <w:start w:val="1"/>
      <w:numFmt w:val="lowerRoman"/>
      <w:lvlText w:val="%9."/>
      <w:lvlJc w:val="right"/>
      <w:pPr>
        <w:ind w:left="6480" w:hanging="180"/>
      </w:pPr>
    </w:lvl>
  </w:abstractNum>
  <w:abstractNum w:abstractNumId="15" w15:restartNumberingAfterBreak="0">
    <w:nsid w:val="74FF394E"/>
    <w:multiLevelType w:val="hybridMultilevel"/>
    <w:tmpl w:val="CA965F04"/>
    <w:lvl w:ilvl="0" w:tplc="75A6E50C">
      <w:start w:val="3"/>
      <w:numFmt w:val="decimal"/>
      <w:lvlText w:val="%1."/>
      <w:lvlJc w:val="left"/>
      <w:pPr>
        <w:ind w:left="720" w:hanging="360"/>
      </w:pPr>
    </w:lvl>
    <w:lvl w:ilvl="1" w:tplc="B582DB7E">
      <w:start w:val="1"/>
      <w:numFmt w:val="lowerLetter"/>
      <w:lvlText w:val="%2."/>
      <w:lvlJc w:val="left"/>
      <w:pPr>
        <w:ind w:left="1440" w:hanging="360"/>
      </w:pPr>
    </w:lvl>
    <w:lvl w:ilvl="2" w:tplc="F9ACDB3E">
      <w:start w:val="1"/>
      <w:numFmt w:val="lowerRoman"/>
      <w:lvlText w:val="%3."/>
      <w:lvlJc w:val="right"/>
      <w:pPr>
        <w:ind w:left="2160" w:hanging="180"/>
      </w:pPr>
    </w:lvl>
    <w:lvl w:ilvl="3" w:tplc="5D5022E4">
      <w:start w:val="1"/>
      <w:numFmt w:val="decimal"/>
      <w:lvlText w:val="%4."/>
      <w:lvlJc w:val="left"/>
      <w:pPr>
        <w:ind w:left="2880" w:hanging="360"/>
      </w:pPr>
    </w:lvl>
    <w:lvl w:ilvl="4" w:tplc="03645A9C">
      <w:start w:val="1"/>
      <w:numFmt w:val="lowerLetter"/>
      <w:lvlText w:val="%5."/>
      <w:lvlJc w:val="left"/>
      <w:pPr>
        <w:ind w:left="3600" w:hanging="360"/>
      </w:pPr>
    </w:lvl>
    <w:lvl w:ilvl="5" w:tplc="A844A86A">
      <w:start w:val="1"/>
      <w:numFmt w:val="lowerRoman"/>
      <w:lvlText w:val="%6."/>
      <w:lvlJc w:val="right"/>
      <w:pPr>
        <w:ind w:left="4320" w:hanging="180"/>
      </w:pPr>
    </w:lvl>
    <w:lvl w:ilvl="6" w:tplc="68CCC01C">
      <w:start w:val="1"/>
      <w:numFmt w:val="decimal"/>
      <w:lvlText w:val="%7."/>
      <w:lvlJc w:val="left"/>
      <w:pPr>
        <w:ind w:left="5040" w:hanging="360"/>
      </w:pPr>
    </w:lvl>
    <w:lvl w:ilvl="7" w:tplc="A224A880">
      <w:start w:val="1"/>
      <w:numFmt w:val="lowerLetter"/>
      <w:lvlText w:val="%8."/>
      <w:lvlJc w:val="left"/>
      <w:pPr>
        <w:ind w:left="5760" w:hanging="360"/>
      </w:pPr>
    </w:lvl>
    <w:lvl w:ilvl="8" w:tplc="EBBE72F6">
      <w:start w:val="1"/>
      <w:numFmt w:val="lowerRoman"/>
      <w:lvlText w:val="%9."/>
      <w:lvlJc w:val="right"/>
      <w:pPr>
        <w:ind w:left="6480" w:hanging="180"/>
      </w:pPr>
    </w:lvl>
  </w:abstractNum>
  <w:num w:numId="1" w16cid:durableId="815951881">
    <w:abstractNumId w:val="14"/>
  </w:num>
  <w:num w:numId="2" w16cid:durableId="1502231264">
    <w:abstractNumId w:val="10"/>
  </w:num>
  <w:num w:numId="3" w16cid:durableId="1323967981">
    <w:abstractNumId w:val="2"/>
  </w:num>
  <w:num w:numId="4" w16cid:durableId="1700471754">
    <w:abstractNumId w:val="6"/>
  </w:num>
  <w:num w:numId="5" w16cid:durableId="1852259493">
    <w:abstractNumId w:val="3"/>
  </w:num>
  <w:num w:numId="6" w16cid:durableId="1576235918">
    <w:abstractNumId w:val="15"/>
  </w:num>
  <w:num w:numId="7" w16cid:durableId="1966346523">
    <w:abstractNumId w:val="1"/>
  </w:num>
  <w:num w:numId="8" w16cid:durableId="786200333">
    <w:abstractNumId w:val="0"/>
  </w:num>
  <w:num w:numId="9" w16cid:durableId="645552524">
    <w:abstractNumId w:val="9"/>
  </w:num>
  <w:num w:numId="10" w16cid:durableId="42679335">
    <w:abstractNumId w:val="8"/>
  </w:num>
  <w:num w:numId="11" w16cid:durableId="473838654">
    <w:abstractNumId w:val="7"/>
  </w:num>
  <w:num w:numId="12" w16cid:durableId="364058243">
    <w:abstractNumId w:val="5"/>
  </w:num>
  <w:num w:numId="13" w16cid:durableId="1311330564">
    <w:abstractNumId w:val="12"/>
  </w:num>
  <w:num w:numId="14" w16cid:durableId="773131622">
    <w:abstractNumId w:val="4"/>
  </w:num>
  <w:num w:numId="15" w16cid:durableId="1387098635">
    <w:abstractNumId w:val="11"/>
  </w:num>
  <w:num w:numId="16" w16cid:durableId="3238196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D3F99E"/>
    <w:rsid w:val="00303CA9"/>
    <w:rsid w:val="008706C5"/>
    <w:rsid w:val="00A1202D"/>
    <w:rsid w:val="00A56512"/>
    <w:rsid w:val="00B0F1A6"/>
    <w:rsid w:val="00C52012"/>
    <w:rsid w:val="00CA9307"/>
    <w:rsid w:val="00D61EFF"/>
    <w:rsid w:val="00E15163"/>
    <w:rsid w:val="01069CFD"/>
    <w:rsid w:val="0126C10E"/>
    <w:rsid w:val="012A1274"/>
    <w:rsid w:val="0135EDCE"/>
    <w:rsid w:val="014473B4"/>
    <w:rsid w:val="014EAC6B"/>
    <w:rsid w:val="018B88D4"/>
    <w:rsid w:val="01A73A50"/>
    <w:rsid w:val="021DAD31"/>
    <w:rsid w:val="021F65E0"/>
    <w:rsid w:val="0226FF76"/>
    <w:rsid w:val="024FE9BA"/>
    <w:rsid w:val="025B60C4"/>
    <w:rsid w:val="02627254"/>
    <w:rsid w:val="02951A11"/>
    <w:rsid w:val="02F694CD"/>
    <w:rsid w:val="02FD2427"/>
    <w:rsid w:val="030BBB16"/>
    <w:rsid w:val="0327A235"/>
    <w:rsid w:val="03D3F99E"/>
    <w:rsid w:val="04D5D805"/>
    <w:rsid w:val="04EF8172"/>
    <w:rsid w:val="05002B97"/>
    <w:rsid w:val="051179E4"/>
    <w:rsid w:val="051CBF64"/>
    <w:rsid w:val="05609106"/>
    <w:rsid w:val="05991A30"/>
    <w:rsid w:val="05ADEE09"/>
    <w:rsid w:val="05F40DAC"/>
    <w:rsid w:val="05FEE113"/>
    <w:rsid w:val="0604FD44"/>
    <w:rsid w:val="060CD84D"/>
    <w:rsid w:val="0627C1F0"/>
    <w:rsid w:val="065CBE1E"/>
    <w:rsid w:val="066E9C59"/>
    <w:rsid w:val="066EB693"/>
    <w:rsid w:val="06CAB167"/>
    <w:rsid w:val="070FA369"/>
    <w:rsid w:val="0756934A"/>
    <w:rsid w:val="07EF34DE"/>
    <w:rsid w:val="07F0FD6E"/>
    <w:rsid w:val="08C9C279"/>
    <w:rsid w:val="08FD3B09"/>
    <w:rsid w:val="09157319"/>
    <w:rsid w:val="091F7471"/>
    <w:rsid w:val="0A24A131"/>
    <w:rsid w:val="0A2C3ABB"/>
    <w:rsid w:val="0A6998A6"/>
    <w:rsid w:val="0A8956A5"/>
    <w:rsid w:val="0AA6FE92"/>
    <w:rsid w:val="0AB4A882"/>
    <w:rsid w:val="0AE64855"/>
    <w:rsid w:val="0AF1A9A1"/>
    <w:rsid w:val="0AFDF4F4"/>
    <w:rsid w:val="0B168429"/>
    <w:rsid w:val="0B1A20ED"/>
    <w:rsid w:val="0B40406D"/>
    <w:rsid w:val="0B56EED7"/>
    <w:rsid w:val="0B622348"/>
    <w:rsid w:val="0C1FA170"/>
    <w:rsid w:val="0C2232E7"/>
    <w:rsid w:val="0C6BFE69"/>
    <w:rsid w:val="0C8D4222"/>
    <w:rsid w:val="0CA392B9"/>
    <w:rsid w:val="0CFB2E85"/>
    <w:rsid w:val="0D6E8DC5"/>
    <w:rsid w:val="0D743C53"/>
    <w:rsid w:val="0DE3D1B1"/>
    <w:rsid w:val="0DF96D06"/>
    <w:rsid w:val="0E216891"/>
    <w:rsid w:val="0E4AE0A4"/>
    <w:rsid w:val="0E4C067B"/>
    <w:rsid w:val="0E57D51D"/>
    <w:rsid w:val="0EA78382"/>
    <w:rsid w:val="0EE7DBDB"/>
    <w:rsid w:val="0F0E86F7"/>
    <w:rsid w:val="0F10D9E2"/>
    <w:rsid w:val="0F17C4B5"/>
    <w:rsid w:val="0F2B6003"/>
    <w:rsid w:val="0F3C7019"/>
    <w:rsid w:val="0F56A1D9"/>
    <w:rsid w:val="0FBD4B26"/>
    <w:rsid w:val="0FE50D16"/>
    <w:rsid w:val="1012781F"/>
    <w:rsid w:val="1029C060"/>
    <w:rsid w:val="103FBE18"/>
    <w:rsid w:val="1051E91A"/>
    <w:rsid w:val="1081DFE9"/>
    <w:rsid w:val="108FB213"/>
    <w:rsid w:val="10B20614"/>
    <w:rsid w:val="10CA5E25"/>
    <w:rsid w:val="10D8CE62"/>
    <w:rsid w:val="10DD0CD0"/>
    <w:rsid w:val="10E1BAF1"/>
    <w:rsid w:val="10E26A58"/>
    <w:rsid w:val="110B32C7"/>
    <w:rsid w:val="111B8D49"/>
    <w:rsid w:val="112A2C30"/>
    <w:rsid w:val="11D1DA0E"/>
    <w:rsid w:val="11F3B405"/>
    <w:rsid w:val="120E774C"/>
    <w:rsid w:val="1213ADED"/>
    <w:rsid w:val="1235991E"/>
    <w:rsid w:val="1251CB3A"/>
    <w:rsid w:val="12606637"/>
    <w:rsid w:val="12BF5400"/>
    <w:rsid w:val="134F328A"/>
    <w:rsid w:val="136E8F1C"/>
    <w:rsid w:val="139939D5"/>
    <w:rsid w:val="139D07E5"/>
    <w:rsid w:val="13A4E07A"/>
    <w:rsid w:val="13BC211F"/>
    <w:rsid w:val="13F6C248"/>
    <w:rsid w:val="1401F3A8"/>
    <w:rsid w:val="140E7B3B"/>
    <w:rsid w:val="141627D1"/>
    <w:rsid w:val="142450D7"/>
    <w:rsid w:val="142EAC93"/>
    <w:rsid w:val="143B376F"/>
    <w:rsid w:val="146EF659"/>
    <w:rsid w:val="147433EC"/>
    <w:rsid w:val="14AD43E3"/>
    <w:rsid w:val="14F8D1F2"/>
    <w:rsid w:val="151AA3A5"/>
    <w:rsid w:val="15C4B863"/>
    <w:rsid w:val="15C9A610"/>
    <w:rsid w:val="15E0B4D0"/>
    <w:rsid w:val="15F241D7"/>
    <w:rsid w:val="16014D81"/>
    <w:rsid w:val="161DE33E"/>
    <w:rsid w:val="1622BAB1"/>
    <w:rsid w:val="1633CEEB"/>
    <w:rsid w:val="164334E4"/>
    <w:rsid w:val="16AA30D7"/>
    <w:rsid w:val="16CD9AF7"/>
    <w:rsid w:val="17010AD9"/>
    <w:rsid w:val="170A3D11"/>
    <w:rsid w:val="170C0302"/>
    <w:rsid w:val="17316E63"/>
    <w:rsid w:val="17376018"/>
    <w:rsid w:val="17B43C90"/>
    <w:rsid w:val="17BCEBED"/>
    <w:rsid w:val="17C31126"/>
    <w:rsid w:val="182D091B"/>
    <w:rsid w:val="183079BC"/>
    <w:rsid w:val="18CFE3FF"/>
    <w:rsid w:val="18DF3207"/>
    <w:rsid w:val="19269745"/>
    <w:rsid w:val="19320BDD"/>
    <w:rsid w:val="19332819"/>
    <w:rsid w:val="1933C2D2"/>
    <w:rsid w:val="1988E19E"/>
    <w:rsid w:val="1991C47D"/>
    <w:rsid w:val="19E6C148"/>
    <w:rsid w:val="19EBF5CE"/>
    <w:rsid w:val="1AD5D078"/>
    <w:rsid w:val="1AE8D35F"/>
    <w:rsid w:val="1AF4B45A"/>
    <w:rsid w:val="1B3D5142"/>
    <w:rsid w:val="1B5913E0"/>
    <w:rsid w:val="1B6C2AA7"/>
    <w:rsid w:val="1B9C88B5"/>
    <w:rsid w:val="1BBF7D41"/>
    <w:rsid w:val="1C2DD91B"/>
    <w:rsid w:val="1C462CCB"/>
    <w:rsid w:val="1C66BE90"/>
    <w:rsid w:val="1C774360"/>
    <w:rsid w:val="1C8ADA54"/>
    <w:rsid w:val="1CB2C2FC"/>
    <w:rsid w:val="1CE580A5"/>
    <w:rsid w:val="1CFB3BCA"/>
    <w:rsid w:val="1D11AC3C"/>
    <w:rsid w:val="1D32B909"/>
    <w:rsid w:val="1D4344E2"/>
    <w:rsid w:val="1D45D65C"/>
    <w:rsid w:val="1D778200"/>
    <w:rsid w:val="1DA6D1A6"/>
    <w:rsid w:val="1DAF8DFE"/>
    <w:rsid w:val="1DE7FC7B"/>
    <w:rsid w:val="1E1A2746"/>
    <w:rsid w:val="1E50E98A"/>
    <w:rsid w:val="1E521DFC"/>
    <w:rsid w:val="1E70986A"/>
    <w:rsid w:val="1E9041D2"/>
    <w:rsid w:val="1EC427A8"/>
    <w:rsid w:val="1ED178C1"/>
    <w:rsid w:val="1EE5EBEC"/>
    <w:rsid w:val="1EEBBBB4"/>
    <w:rsid w:val="1F1AA5F5"/>
    <w:rsid w:val="1F31A58F"/>
    <w:rsid w:val="1F495898"/>
    <w:rsid w:val="1FA52A84"/>
    <w:rsid w:val="1FB3AA86"/>
    <w:rsid w:val="1FC81269"/>
    <w:rsid w:val="1FD3FD28"/>
    <w:rsid w:val="1FDA8A38"/>
    <w:rsid w:val="1FDAFC1A"/>
    <w:rsid w:val="1FDF346D"/>
    <w:rsid w:val="1FE0A8CF"/>
    <w:rsid w:val="1FEDF7A4"/>
    <w:rsid w:val="1FF19AC4"/>
    <w:rsid w:val="200668F5"/>
    <w:rsid w:val="201E1FDE"/>
    <w:rsid w:val="2029DEBC"/>
    <w:rsid w:val="202AB6CB"/>
    <w:rsid w:val="205EB698"/>
    <w:rsid w:val="2078144E"/>
    <w:rsid w:val="20A38D56"/>
    <w:rsid w:val="20B9C831"/>
    <w:rsid w:val="20BA470B"/>
    <w:rsid w:val="20CAD3CB"/>
    <w:rsid w:val="216E56B1"/>
    <w:rsid w:val="2176349A"/>
    <w:rsid w:val="21B10643"/>
    <w:rsid w:val="21BB3AE6"/>
    <w:rsid w:val="21DEEDA4"/>
    <w:rsid w:val="2218BE0F"/>
    <w:rsid w:val="221ACF44"/>
    <w:rsid w:val="2226121F"/>
    <w:rsid w:val="2245762E"/>
    <w:rsid w:val="22992D6D"/>
    <w:rsid w:val="22B7DF2B"/>
    <w:rsid w:val="22BCAEA3"/>
    <w:rsid w:val="2330206A"/>
    <w:rsid w:val="235C28AF"/>
    <w:rsid w:val="236DCC16"/>
    <w:rsid w:val="2381454E"/>
    <w:rsid w:val="23A3440D"/>
    <w:rsid w:val="23F86B05"/>
    <w:rsid w:val="23FB1E27"/>
    <w:rsid w:val="24065472"/>
    <w:rsid w:val="2444B6A7"/>
    <w:rsid w:val="2483D8A1"/>
    <w:rsid w:val="24E39276"/>
    <w:rsid w:val="252625BC"/>
    <w:rsid w:val="25782FE1"/>
    <w:rsid w:val="258F0221"/>
    <w:rsid w:val="25BCBAB3"/>
    <w:rsid w:val="25F455C3"/>
    <w:rsid w:val="261C6C95"/>
    <w:rsid w:val="2688CDA6"/>
    <w:rsid w:val="268C4BA4"/>
    <w:rsid w:val="26A062BA"/>
    <w:rsid w:val="26F3438A"/>
    <w:rsid w:val="26FD888F"/>
    <w:rsid w:val="272991CA"/>
    <w:rsid w:val="27697B07"/>
    <w:rsid w:val="27768B95"/>
    <w:rsid w:val="277F47AC"/>
    <w:rsid w:val="27DA62BE"/>
    <w:rsid w:val="27EF9153"/>
    <w:rsid w:val="2941AA9B"/>
    <w:rsid w:val="29439D29"/>
    <w:rsid w:val="296BD740"/>
    <w:rsid w:val="29A2236C"/>
    <w:rsid w:val="29A6E98C"/>
    <w:rsid w:val="29CE30E7"/>
    <w:rsid w:val="2A288CB3"/>
    <w:rsid w:val="2A45B480"/>
    <w:rsid w:val="2A8DCA95"/>
    <w:rsid w:val="2A90DFD9"/>
    <w:rsid w:val="2AAB00BF"/>
    <w:rsid w:val="2AECCDA2"/>
    <w:rsid w:val="2B0162FB"/>
    <w:rsid w:val="2B102334"/>
    <w:rsid w:val="2B4DBED2"/>
    <w:rsid w:val="2B67AD38"/>
    <w:rsid w:val="2B7DE762"/>
    <w:rsid w:val="2B8D8873"/>
    <w:rsid w:val="2B94A6A7"/>
    <w:rsid w:val="2BA14915"/>
    <w:rsid w:val="2BA31FAB"/>
    <w:rsid w:val="2BD4B79E"/>
    <w:rsid w:val="2BDA59E3"/>
    <w:rsid w:val="2C1EC6C1"/>
    <w:rsid w:val="2C334515"/>
    <w:rsid w:val="2C4B2657"/>
    <w:rsid w:val="2C6031B6"/>
    <w:rsid w:val="2C6DB645"/>
    <w:rsid w:val="2C788C01"/>
    <w:rsid w:val="2C86E250"/>
    <w:rsid w:val="2CAC5F27"/>
    <w:rsid w:val="2CAF1354"/>
    <w:rsid w:val="2CB51522"/>
    <w:rsid w:val="2CDE43A8"/>
    <w:rsid w:val="2CFC08CC"/>
    <w:rsid w:val="2D4DD57C"/>
    <w:rsid w:val="2D636D86"/>
    <w:rsid w:val="2D65A9F6"/>
    <w:rsid w:val="2D73FD3A"/>
    <w:rsid w:val="2D9B4B8F"/>
    <w:rsid w:val="2DB85D32"/>
    <w:rsid w:val="2DCE1255"/>
    <w:rsid w:val="2DD1BE8A"/>
    <w:rsid w:val="2DDA3F0F"/>
    <w:rsid w:val="2E174231"/>
    <w:rsid w:val="2E68349A"/>
    <w:rsid w:val="2E686FB1"/>
    <w:rsid w:val="2EB8F664"/>
    <w:rsid w:val="2EEA1AC7"/>
    <w:rsid w:val="2F10DBD4"/>
    <w:rsid w:val="2F9BABBB"/>
    <w:rsid w:val="2FA5B51F"/>
    <w:rsid w:val="2FAFE10A"/>
    <w:rsid w:val="2FC15F30"/>
    <w:rsid w:val="2FEA6346"/>
    <w:rsid w:val="300F47FA"/>
    <w:rsid w:val="307422A3"/>
    <w:rsid w:val="308A819E"/>
    <w:rsid w:val="309D1F25"/>
    <w:rsid w:val="30C4966C"/>
    <w:rsid w:val="30E96F6C"/>
    <w:rsid w:val="315C401C"/>
    <w:rsid w:val="315CED4E"/>
    <w:rsid w:val="31789C53"/>
    <w:rsid w:val="31A22776"/>
    <w:rsid w:val="31A55184"/>
    <w:rsid w:val="31F5A7F0"/>
    <w:rsid w:val="3212A20B"/>
    <w:rsid w:val="3219CB33"/>
    <w:rsid w:val="32689238"/>
    <w:rsid w:val="327089D8"/>
    <w:rsid w:val="3278EC2F"/>
    <w:rsid w:val="328E3156"/>
    <w:rsid w:val="32D120A8"/>
    <w:rsid w:val="32E49210"/>
    <w:rsid w:val="334F6B90"/>
    <w:rsid w:val="3373C8DA"/>
    <w:rsid w:val="33C6D1AB"/>
    <w:rsid w:val="341C67BA"/>
    <w:rsid w:val="34482E2E"/>
    <w:rsid w:val="34656598"/>
    <w:rsid w:val="3468EB61"/>
    <w:rsid w:val="34AA8206"/>
    <w:rsid w:val="34B04F6B"/>
    <w:rsid w:val="351198C1"/>
    <w:rsid w:val="35496CE8"/>
    <w:rsid w:val="358DE5A6"/>
    <w:rsid w:val="35CD901C"/>
    <w:rsid w:val="36008B1E"/>
    <w:rsid w:val="360AA929"/>
    <w:rsid w:val="36369F82"/>
    <w:rsid w:val="36839A14"/>
    <w:rsid w:val="3699E846"/>
    <w:rsid w:val="36E5E107"/>
    <w:rsid w:val="36FE5947"/>
    <w:rsid w:val="3707A60D"/>
    <w:rsid w:val="370964CF"/>
    <w:rsid w:val="3725D038"/>
    <w:rsid w:val="373C5A9F"/>
    <w:rsid w:val="37406531"/>
    <w:rsid w:val="3760E802"/>
    <w:rsid w:val="3766A0F6"/>
    <w:rsid w:val="37776DCE"/>
    <w:rsid w:val="378667C1"/>
    <w:rsid w:val="378F18DD"/>
    <w:rsid w:val="379AF513"/>
    <w:rsid w:val="37CD2682"/>
    <w:rsid w:val="37DAFFE9"/>
    <w:rsid w:val="37E56CD0"/>
    <w:rsid w:val="37EB2DB0"/>
    <w:rsid w:val="37F66C14"/>
    <w:rsid w:val="38631A20"/>
    <w:rsid w:val="388754A1"/>
    <w:rsid w:val="388B881F"/>
    <w:rsid w:val="38C424DB"/>
    <w:rsid w:val="38F5DE09"/>
    <w:rsid w:val="390128FE"/>
    <w:rsid w:val="3904893B"/>
    <w:rsid w:val="390768DC"/>
    <w:rsid w:val="393123C0"/>
    <w:rsid w:val="39530FD9"/>
    <w:rsid w:val="3956FC94"/>
    <w:rsid w:val="395E9BD8"/>
    <w:rsid w:val="396D9086"/>
    <w:rsid w:val="39713C81"/>
    <w:rsid w:val="3977A680"/>
    <w:rsid w:val="398275EC"/>
    <w:rsid w:val="3985F2E1"/>
    <w:rsid w:val="399CAC2F"/>
    <w:rsid w:val="39F48E68"/>
    <w:rsid w:val="3A0CCA2F"/>
    <w:rsid w:val="3A0E0D57"/>
    <w:rsid w:val="3A2008F3"/>
    <w:rsid w:val="3A3DCCA2"/>
    <w:rsid w:val="3A67369F"/>
    <w:rsid w:val="3A8F780B"/>
    <w:rsid w:val="3AD0E4FC"/>
    <w:rsid w:val="3AD1F840"/>
    <w:rsid w:val="3ADFCCF9"/>
    <w:rsid w:val="3AE5CC24"/>
    <w:rsid w:val="3B9B8C34"/>
    <w:rsid w:val="3BB07BBD"/>
    <w:rsid w:val="3BBF4B15"/>
    <w:rsid w:val="3BED7C71"/>
    <w:rsid w:val="3BEE46A7"/>
    <w:rsid w:val="3C446DC9"/>
    <w:rsid w:val="3C4B7084"/>
    <w:rsid w:val="3C84510A"/>
    <w:rsid w:val="3D3CDFA6"/>
    <w:rsid w:val="3D70A0F3"/>
    <w:rsid w:val="3DABE79E"/>
    <w:rsid w:val="3DBBAB83"/>
    <w:rsid w:val="3DD81B82"/>
    <w:rsid w:val="3E0E4F80"/>
    <w:rsid w:val="3E269AAF"/>
    <w:rsid w:val="3E2AAAE4"/>
    <w:rsid w:val="3E666930"/>
    <w:rsid w:val="3E6C281E"/>
    <w:rsid w:val="3E7764BD"/>
    <w:rsid w:val="3E7EF7FB"/>
    <w:rsid w:val="3E94A4C8"/>
    <w:rsid w:val="3EC725C3"/>
    <w:rsid w:val="3F23FF21"/>
    <w:rsid w:val="3F66F408"/>
    <w:rsid w:val="3F77FF82"/>
    <w:rsid w:val="3FA1E006"/>
    <w:rsid w:val="3FB93519"/>
    <w:rsid w:val="3FE2AA29"/>
    <w:rsid w:val="3FE5B756"/>
    <w:rsid w:val="4007C760"/>
    <w:rsid w:val="4029303F"/>
    <w:rsid w:val="4074B94E"/>
    <w:rsid w:val="408F1AF0"/>
    <w:rsid w:val="40993416"/>
    <w:rsid w:val="40BA45E3"/>
    <w:rsid w:val="4127B034"/>
    <w:rsid w:val="412D755D"/>
    <w:rsid w:val="41884E95"/>
    <w:rsid w:val="41919C2B"/>
    <w:rsid w:val="41B1C332"/>
    <w:rsid w:val="423CDBBC"/>
    <w:rsid w:val="426E5D4F"/>
    <w:rsid w:val="42870840"/>
    <w:rsid w:val="429F1034"/>
    <w:rsid w:val="42A26BCE"/>
    <w:rsid w:val="430FA4FE"/>
    <w:rsid w:val="43173A19"/>
    <w:rsid w:val="4374825F"/>
    <w:rsid w:val="4398E1E9"/>
    <w:rsid w:val="441E960D"/>
    <w:rsid w:val="444ADFBA"/>
    <w:rsid w:val="44686E71"/>
    <w:rsid w:val="44709F22"/>
    <w:rsid w:val="448D042C"/>
    <w:rsid w:val="44FD0254"/>
    <w:rsid w:val="451A13AE"/>
    <w:rsid w:val="4563CDEA"/>
    <w:rsid w:val="45BD4935"/>
    <w:rsid w:val="45D673E0"/>
    <w:rsid w:val="45E63A56"/>
    <w:rsid w:val="45F5AE4B"/>
    <w:rsid w:val="46287571"/>
    <w:rsid w:val="4664B15E"/>
    <w:rsid w:val="4672BD18"/>
    <w:rsid w:val="4681A4CB"/>
    <w:rsid w:val="4684E00C"/>
    <w:rsid w:val="4694C179"/>
    <w:rsid w:val="46B3E929"/>
    <w:rsid w:val="46E24C43"/>
    <w:rsid w:val="46E2C76D"/>
    <w:rsid w:val="46E34879"/>
    <w:rsid w:val="477247E9"/>
    <w:rsid w:val="47A6A3FE"/>
    <w:rsid w:val="4800CBFA"/>
    <w:rsid w:val="4801A228"/>
    <w:rsid w:val="4811B631"/>
    <w:rsid w:val="4817776F"/>
    <w:rsid w:val="481827AE"/>
    <w:rsid w:val="4822CEEA"/>
    <w:rsid w:val="48446125"/>
    <w:rsid w:val="4875A93B"/>
    <w:rsid w:val="48A1C4CA"/>
    <w:rsid w:val="48BD6439"/>
    <w:rsid w:val="49849EFC"/>
    <w:rsid w:val="49A1C0DD"/>
    <w:rsid w:val="49C99FFE"/>
    <w:rsid w:val="4A13567A"/>
    <w:rsid w:val="4A1498B5"/>
    <w:rsid w:val="4A333BE0"/>
    <w:rsid w:val="4A767A56"/>
    <w:rsid w:val="4A7945F5"/>
    <w:rsid w:val="4AA7CEE8"/>
    <w:rsid w:val="4ABD8213"/>
    <w:rsid w:val="4ACB40BD"/>
    <w:rsid w:val="4ADE5BCD"/>
    <w:rsid w:val="4B265A88"/>
    <w:rsid w:val="4B4CFCFC"/>
    <w:rsid w:val="4B6740CA"/>
    <w:rsid w:val="4B7BA404"/>
    <w:rsid w:val="4B804D35"/>
    <w:rsid w:val="4B9F3660"/>
    <w:rsid w:val="4BAE4859"/>
    <w:rsid w:val="4BD26518"/>
    <w:rsid w:val="4BFA7536"/>
    <w:rsid w:val="4C676B9C"/>
    <w:rsid w:val="4C803B2A"/>
    <w:rsid w:val="4C9EA611"/>
    <w:rsid w:val="4CB7E6B7"/>
    <w:rsid w:val="4CDD4575"/>
    <w:rsid w:val="4D069A3C"/>
    <w:rsid w:val="4D8C1C25"/>
    <w:rsid w:val="4D8C54C3"/>
    <w:rsid w:val="4D8F9B0B"/>
    <w:rsid w:val="4D927B85"/>
    <w:rsid w:val="4D9C84BF"/>
    <w:rsid w:val="4DE0EF43"/>
    <w:rsid w:val="4DE85D94"/>
    <w:rsid w:val="4E08C4C0"/>
    <w:rsid w:val="4E18B158"/>
    <w:rsid w:val="4E38B689"/>
    <w:rsid w:val="4EA87344"/>
    <w:rsid w:val="4EB00096"/>
    <w:rsid w:val="4ECD8492"/>
    <w:rsid w:val="4EEF76F0"/>
    <w:rsid w:val="4EF3A437"/>
    <w:rsid w:val="4F353DB7"/>
    <w:rsid w:val="4F3A69BC"/>
    <w:rsid w:val="4F5D56D2"/>
    <w:rsid w:val="4F7A4D61"/>
    <w:rsid w:val="4F8F1864"/>
    <w:rsid w:val="4FB61487"/>
    <w:rsid w:val="4FD82E06"/>
    <w:rsid w:val="501C8DDC"/>
    <w:rsid w:val="5021B6C0"/>
    <w:rsid w:val="50288F8D"/>
    <w:rsid w:val="502D98A0"/>
    <w:rsid w:val="50D87319"/>
    <w:rsid w:val="50F04EB3"/>
    <w:rsid w:val="5129BCC2"/>
    <w:rsid w:val="512D68C8"/>
    <w:rsid w:val="515871D6"/>
    <w:rsid w:val="5190D611"/>
    <w:rsid w:val="51BD9142"/>
    <w:rsid w:val="52201905"/>
    <w:rsid w:val="52479311"/>
    <w:rsid w:val="524F5197"/>
    <w:rsid w:val="526E338B"/>
    <w:rsid w:val="52799E97"/>
    <w:rsid w:val="527E6B20"/>
    <w:rsid w:val="529F3866"/>
    <w:rsid w:val="52B8B5E6"/>
    <w:rsid w:val="5307C998"/>
    <w:rsid w:val="5358FF85"/>
    <w:rsid w:val="536C4AB0"/>
    <w:rsid w:val="53B1F894"/>
    <w:rsid w:val="541ED38F"/>
    <w:rsid w:val="5444F782"/>
    <w:rsid w:val="54561565"/>
    <w:rsid w:val="545B1B77"/>
    <w:rsid w:val="54C9A28B"/>
    <w:rsid w:val="54D4B912"/>
    <w:rsid w:val="54E5E14E"/>
    <w:rsid w:val="551D1BDF"/>
    <w:rsid w:val="552B74D5"/>
    <w:rsid w:val="55436717"/>
    <w:rsid w:val="55495A93"/>
    <w:rsid w:val="557B458D"/>
    <w:rsid w:val="558BF5A5"/>
    <w:rsid w:val="55C21747"/>
    <w:rsid w:val="55D82CBD"/>
    <w:rsid w:val="56895D58"/>
    <w:rsid w:val="5697AA65"/>
    <w:rsid w:val="569ACC33"/>
    <w:rsid w:val="56B96B39"/>
    <w:rsid w:val="56D21C9B"/>
    <w:rsid w:val="57106FFD"/>
    <w:rsid w:val="5717A76B"/>
    <w:rsid w:val="572C5CDE"/>
    <w:rsid w:val="575D498A"/>
    <w:rsid w:val="57690C69"/>
    <w:rsid w:val="577F1DC9"/>
    <w:rsid w:val="57D2067E"/>
    <w:rsid w:val="57D52021"/>
    <w:rsid w:val="57EECB4D"/>
    <w:rsid w:val="57FC5C1A"/>
    <w:rsid w:val="58099E7F"/>
    <w:rsid w:val="580D0C12"/>
    <w:rsid w:val="5830262E"/>
    <w:rsid w:val="5877A08F"/>
    <w:rsid w:val="589A485E"/>
    <w:rsid w:val="58C841CA"/>
    <w:rsid w:val="592AB082"/>
    <w:rsid w:val="592CCA09"/>
    <w:rsid w:val="59341FD5"/>
    <w:rsid w:val="59710F7B"/>
    <w:rsid w:val="59875E54"/>
    <w:rsid w:val="59C4D9D8"/>
    <w:rsid w:val="59D5DF2A"/>
    <w:rsid w:val="59E4614C"/>
    <w:rsid w:val="5A0BAEA3"/>
    <w:rsid w:val="5A43B13D"/>
    <w:rsid w:val="5A744F8A"/>
    <w:rsid w:val="5A876ACF"/>
    <w:rsid w:val="5A955B31"/>
    <w:rsid w:val="5AA094D5"/>
    <w:rsid w:val="5AC1E146"/>
    <w:rsid w:val="5AED1952"/>
    <w:rsid w:val="5B35E54B"/>
    <w:rsid w:val="5BE37BEB"/>
    <w:rsid w:val="5BE696CD"/>
    <w:rsid w:val="5C16A934"/>
    <w:rsid w:val="5C48DC1A"/>
    <w:rsid w:val="5C78985A"/>
    <w:rsid w:val="5C83C343"/>
    <w:rsid w:val="5CC4016A"/>
    <w:rsid w:val="5CDE3D69"/>
    <w:rsid w:val="5CF1D034"/>
    <w:rsid w:val="5D2E77CD"/>
    <w:rsid w:val="5D429002"/>
    <w:rsid w:val="5D6D332D"/>
    <w:rsid w:val="5D6D76F5"/>
    <w:rsid w:val="5E2051CC"/>
    <w:rsid w:val="5E419B51"/>
    <w:rsid w:val="5E41AFEB"/>
    <w:rsid w:val="5EA5BBBD"/>
    <w:rsid w:val="5EC3CC7F"/>
    <w:rsid w:val="5F091F51"/>
    <w:rsid w:val="5F27BC94"/>
    <w:rsid w:val="5F3F7622"/>
    <w:rsid w:val="5F8727EC"/>
    <w:rsid w:val="5FA13661"/>
    <w:rsid w:val="5FB53C33"/>
    <w:rsid w:val="5FF4A503"/>
    <w:rsid w:val="6021EC06"/>
    <w:rsid w:val="603B266A"/>
    <w:rsid w:val="604CEE97"/>
    <w:rsid w:val="606DB3D4"/>
    <w:rsid w:val="606E388E"/>
    <w:rsid w:val="609B794A"/>
    <w:rsid w:val="60A85C42"/>
    <w:rsid w:val="60F46988"/>
    <w:rsid w:val="6138F6C2"/>
    <w:rsid w:val="6167FB42"/>
    <w:rsid w:val="61B0AA93"/>
    <w:rsid w:val="61D15F8E"/>
    <w:rsid w:val="61DAB89C"/>
    <w:rsid w:val="61DC1B7A"/>
    <w:rsid w:val="61E108B5"/>
    <w:rsid w:val="61FE1866"/>
    <w:rsid w:val="6217B707"/>
    <w:rsid w:val="6259D4D4"/>
    <w:rsid w:val="628E4D72"/>
    <w:rsid w:val="629FBDDD"/>
    <w:rsid w:val="62C4AD3F"/>
    <w:rsid w:val="6325A7B0"/>
    <w:rsid w:val="63409397"/>
    <w:rsid w:val="63815EED"/>
    <w:rsid w:val="63A121FB"/>
    <w:rsid w:val="63B14671"/>
    <w:rsid w:val="6433DE24"/>
    <w:rsid w:val="64535DBD"/>
    <w:rsid w:val="645F5D62"/>
    <w:rsid w:val="6461AF3A"/>
    <w:rsid w:val="64666FC8"/>
    <w:rsid w:val="64866781"/>
    <w:rsid w:val="649AF5A6"/>
    <w:rsid w:val="649DC891"/>
    <w:rsid w:val="64B3CC77"/>
    <w:rsid w:val="64F4557D"/>
    <w:rsid w:val="6527C560"/>
    <w:rsid w:val="6534D634"/>
    <w:rsid w:val="6544E926"/>
    <w:rsid w:val="658FF1EC"/>
    <w:rsid w:val="65A97205"/>
    <w:rsid w:val="65D5BDE8"/>
    <w:rsid w:val="65DBA836"/>
    <w:rsid w:val="660388DA"/>
    <w:rsid w:val="6609A851"/>
    <w:rsid w:val="66209E15"/>
    <w:rsid w:val="6622B29F"/>
    <w:rsid w:val="667B9025"/>
    <w:rsid w:val="668EED33"/>
    <w:rsid w:val="66CAC259"/>
    <w:rsid w:val="66CB2C49"/>
    <w:rsid w:val="66EB31B5"/>
    <w:rsid w:val="6707A798"/>
    <w:rsid w:val="672212F7"/>
    <w:rsid w:val="6745A00E"/>
    <w:rsid w:val="67DDDD71"/>
    <w:rsid w:val="68048A03"/>
    <w:rsid w:val="6817E94D"/>
    <w:rsid w:val="683A43E5"/>
    <w:rsid w:val="687D5B86"/>
    <w:rsid w:val="68901DC9"/>
    <w:rsid w:val="68FCD78C"/>
    <w:rsid w:val="690AD5A0"/>
    <w:rsid w:val="690BF99E"/>
    <w:rsid w:val="6910A762"/>
    <w:rsid w:val="6945FB07"/>
    <w:rsid w:val="69514DFF"/>
    <w:rsid w:val="6969B6EB"/>
    <w:rsid w:val="69ADC42B"/>
    <w:rsid w:val="69B5D0E3"/>
    <w:rsid w:val="69C6B498"/>
    <w:rsid w:val="6A09BD49"/>
    <w:rsid w:val="6A2FA617"/>
    <w:rsid w:val="6A4175BC"/>
    <w:rsid w:val="6A8D652D"/>
    <w:rsid w:val="6A95026E"/>
    <w:rsid w:val="6AB9AD42"/>
    <w:rsid w:val="6AC786D8"/>
    <w:rsid w:val="6ACD35D0"/>
    <w:rsid w:val="6AD38C09"/>
    <w:rsid w:val="6AF898B4"/>
    <w:rsid w:val="6B55628B"/>
    <w:rsid w:val="6B85BB81"/>
    <w:rsid w:val="6BA2C0E5"/>
    <w:rsid w:val="6C02D11D"/>
    <w:rsid w:val="6C15E23E"/>
    <w:rsid w:val="6C331410"/>
    <w:rsid w:val="6C9B6232"/>
    <w:rsid w:val="6CEBD5BF"/>
    <w:rsid w:val="6D114FBE"/>
    <w:rsid w:val="6D159731"/>
    <w:rsid w:val="6D209222"/>
    <w:rsid w:val="6D5F4F8A"/>
    <w:rsid w:val="6D737770"/>
    <w:rsid w:val="6D995748"/>
    <w:rsid w:val="6DA5FEE2"/>
    <w:rsid w:val="6DACE8BD"/>
    <w:rsid w:val="6DB82592"/>
    <w:rsid w:val="6DDA7F84"/>
    <w:rsid w:val="6DDB38F4"/>
    <w:rsid w:val="6E25F21E"/>
    <w:rsid w:val="6E36CC2A"/>
    <w:rsid w:val="6E412CEB"/>
    <w:rsid w:val="6E4590E4"/>
    <w:rsid w:val="6E9CC899"/>
    <w:rsid w:val="6ECC95B9"/>
    <w:rsid w:val="6ED155A9"/>
    <w:rsid w:val="6EE75D1D"/>
    <w:rsid w:val="6F1E0189"/>
    <w:rsid w:val="6F382A79"/>
    <w:rsid w:val="6F5090B7"/>
    <w:rsid w:val="6F66FE30"/>
    <w:rsid w:val="7027B037"/>
    <w:rsid w:val="70B697AD"/>
    <w:rsid w:val="70E500DD"/>
    <w:rsid w:val="70E54D10"/>
    <w:rsid w:val="713D7A60"/>
    <w:rsid w:val="71415102"/>
    <w:rsid w:val="715D272F"/>
    <w:rsid w:val="71660A26"/>
    <w:rsid w:val="716E7352"/>
    <w:rsid w:val="71C1C551"/>
    <w:rsid w:val="71C20B04"/>
    <w:rsid w:val="71CF656B"/>
    <w:rsid w:val="721D203E"/>
    <w:rsid w:val="727653A2"/>
    <w:rsid w:val="72793AAB"/>
    <w:rsid w:val="729BE95D"/>
    <w:rsid w:val="7311F18D"/>
    <w:rsid w:val="735127E5"/>
    <w:rsid w:val="737C5EF7"/>
    <w:rsid w:val="7388418C"/>
    <w:rsid w:val="73B1B72A"/>
    <w:rsid w:val="73DC9B60"/>
    <w:rsid w:val="741B0FE2"/>
    <w:rsid w:val="74378FCC"/>
    <w:rsid w:val="74475553"/>
    <w:rsid w:val="7475507F"/>
    <w:rsid w:val="747F173A"/>
    <w:rsid w:val="748F1B02"/>
    <w:rsid w:val="74C8576D"/>
    <w:rsid w:val="74D7AC0A"/>
    <w:rsid w:val="74E2EA9A"/>
    <w:rsid w:val="74ECC98D"/>
    <w:rsid w:val="74F4FE80"/>
    <w:rsid w:val="755DF32F"/>
    <w:rsid w:val="75700F45"/>
    <w:rsid w:val="757B1276"/>
    <w:rsid w:val="75C545A5"/>
    <w:rsid w:val="760C2C36"/>
    <w:rsid w:val="760F2B55"/>
    <w:rsid w:val="7625EB17"/>
    <w:rsid w:val="7636531C"/>
    <w:rsid w:val="7636D072"/>
    <w:rsid w:val="763EAB13"/>
    <w:rsid w:val="767C3822"/>
    <w:rsid w:val="76A56908"/>
    <w:rsid w:val="76B11A2C"/>
    <w:rsid w:val="773479D4"/>
    <w:rsid w:val="773AEB40"/>
    <w:rsid w:val="773EA5DE"/>
    <w:rsid w:val="77465996"/>
    <w:rsid w:val="77568DF3"/>
    <w:rsid w:val="775E9C89"/>
    <w:rsid w:val="778EF5ED"/>
    <w:rsid w:val="77929D94"/>
    <w:rsid w:val="779C6A88"/>
    <w:rsid w:val="7880053F"/>
    <w:rsid w:val="78E110E6"/>
    <w:rsid w:val="7964F300"/>
    <w:rsid w:val="796A6025"/>
    <w:rsid w:val="796EEEC8"/>
    <w:rsid w:val="797C1B0D"/>
    <w:rsid w:val="799AD08E"/>
    <w:rsid w:val="79C04D30"/>
    <w:rsid w:val="7A43E6FE"/>
    <w:rsid w:val="7A8C493E"/>
    <w:rsid w:val="7ADB8670"/>
    <w:rsid w:val="7B65389B"/>
    <w:rsid w:val="7B817D9A"/>
    <w:rsid w:val="7B91FD0B"/>
    <w:rsid w:val="7BB83CD7"/>
    <w:rsid w:val="7BC37F15"/>
    <w:rsid w:val="7C423EEE"/>
    <w:rsid w:val="7C5BCE14"/>
    <w:rsid w:val="7C5F1197"/>
    <w:rsid w:val="7C89752B"/>
    <w:rsid w:val="7C8D533A"/>
    <w:rsid w:val="7CB838AA"/>
    <w:rsid w:val="7CCAEFCE"/>
    <w:rsid w:val="7CCDDE01"/>
    <w:rsid w:val="7CEED20C"/>
    <w:rsid w:val="7D75A960"/>
    <w:rsid w:val="7DABE186"/>
    <w:rsid w:val="7DDFA70C"/>
    <w:rsid w:val="7E030E8D"/>
    <w:rsid w:val="7E13AED8"/>
    <w:rsid w:val="7E33AB42"/>
    <w:rsid w:val="7E4CF21A"/>
    <w:rsid w:val="7E5EAF5B"/>
    <w:rsid w:val="7E621390"/>
    <w:rsid w:val="7E6A2A9C"/>
    <w:rsid w:val="7F0DF58A"/>
    <w:rsid w:val="7F37D55B"/>
    <w:rsid w:val="7F7DD39B"/>
    <w:rsid w:val="7F875EF1"/>
    <w:rsid w:val="7F969DEF"/>
    <w:rsid w:val="7FD3A022"/>
    <w:rsid w:val="7FE9A7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F99E"/>
  <w15:chartTrackingRefBased/>
  <w15:docId w15:val="{57C0CCDC-3E05-41A1-9526-6FA4119A6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1D1DA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11D1DA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EF3A437"/>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ED155A9"/>
    <w:pPr>
      <w:ind w:left="720"/>
      <w:contextualSpacing/>
    </w:pPr>
  </w:style>
  <w:style w:type="character" w:styleId="Hyperlink">
    <w:name w:val="Hyperlink"/>
    <w:basedOn w:val="DefaultParagraphFont"/>
    <w:uiPriority w:val="99"/>
    <w:unhideWhenUsed/>
    <w:rsid w:val="6ED155A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870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ult.education.gov.uk/school-absence-and-exclusions-team/revised-school-behaviour-and-exclusion-guidance/supporting_documents/Behaviour%20in%20schools%20%20advice%20for%20headteachers%20and%20school%20staff.pdf" TargetMode="External"/><Relationship Id="rId13" Type="http://schemas.openxmlformats.org/officeDocument/2006/relationships/hyperlink" Target="https://www.growthengineering.co.uk/behaviourism-in-education" TargetMode="External"/><Relationship Id="rId18" Type="http://schemas.openxmlformats.org/officeDocument/2006/relationships/hyperlink" Target="https://researchschool.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winkl.co.uk/teaching-wiki/maslows-hierarchy-of-needs" TargetMode="External"/><Relationship Id="rId7" Type="http://schemas.openxmlformats.org/officeDocument/2006/relationships/hyperlink" Target="https://assets.publishing.service.gov.uk/government/uploads/system/uploads/attachment_data/file/665520/Teachers__Standards.pdf" TargetMode="External"/><Relationship Id="rId12" Type="http://schemas.openxmlformats.org/officeDocument/2006/relationships/hyperlink" Target="https://www.geography.org.uk" TargetMode="External"/><Relationship Id="rId17" Type="http://schemas.openxmlformats.org/officeDocument/2006/relationships/hyperlink" Target="https://www.gov.uk/government/publications/school-inspection-handbook-ei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teacher-well-being-at-work-in-schools-and-further-education-providers" TargetMode="External"/><Relationship Id="rId20" Type="http://schemas.openxmlformats.org/officeDocument/2006/relationships/hyperlink" Target="https://www.twinkl.co.uk/teaching-wiki/behaviourism" TargetMode="External"/><Relationship Id="rId1" Type="http://schemas.openxmlformats.org/officeDocument/2006/relationships/numbering" Target="numbering.xml"/><Relationship Id="rId6" Type="http://schemas.openxmlformats.org/officeDocument/2006/relationships/hyperlink" Target="https://www.suttontrust.com/wp-content/uploads/2014/10/What-makes-great-teaching-FINAL-4.11.14-1.pdf" TargetMode="External"/><Relationship Id="rId11" Type="http://schemas.openxmlformats.org/officeDocument/2006/relationships/hyperlink" Target="https://dera.ioe.ac.uk/" TargetMode="External"/><Relationship Id="rId24" Type="http://schemas.openxmlformats.org/officeDocument/2006/relationships/hyperlink" Target="https://www.gov.wales/additional-learning-needs-aln-code" TargetMode="External"/><Relationship Id="rId5" Type="http://schemas.openxmlformats.org/officeDocument/2006/relationships/hyperlink" Target="https://www.cam.ac.uk/research/news/limited-resources-leave-school-leaders-with-few-options-to-manage-poor-behaviour" TargetMode="External"/><Relationship Id="rId15" Type="http://schemas.openxmlformats.org/officeDocument/2006/relationships/hyperlink" Target="https://www.gov.uk/government/publications/low-level-disruption-in-classrooms" TargetMode="External"/><Relationship Id="rId23" Type="http://schemas.openxmlformats.org/officeDocument/2006/relationships/hyperlink" Target="https://www.pgcecourseinfo.le.ac.uk/theories/humanism" TargetMode="External"/><Relationship Id="rId10" Type="http://schemas.openxmlformats.org/officeDocument/2006/relationships/hyperlink" Target="https://educationendowmentfoundation.org.uk/education-evidence/guidance-reports/send" TargetMode="External"/><Relationship Id="rId19" Type="http://schemas.openxmlformats.org/officeDocument/2006/relationships/hyperlink" Target="https://www.researchgate.net/publication/313889949_Classroom_Management_for_Effective_Teaching" TargetMode="External"/><Relationship Id="rId4" Type="http://schemas.openxmlformats.org/officeDocument/2006/relationships/webSettings" Target="webSettings.xml"/><Relationship Id="rId9" Type="http://schemas.openxmlformats.org/officeDocument/2006/relationships/hyperlink" Target="https://educationendowmentfoundation.org.uk/education-evidence/guidance-reports/behaviour" TargetMode="External"/><Relationship Id="rId14" Type="http://schemas.openxmlformats.org/officeDocument/2006/relationships/hyperlink" Target="https://www.leaderinme.org/learning-theories-understanding-the-4-major-ones-for-the-classroom" TargetMode="External"/><Relationship Id="rId22" Type="http://schemas.openxmlformats.org/officeDocument/2006/relationships/hyperlink" Target="https://blogs.ucl.ac.uk"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14</Pages>
  <Words>4885</Words>
  <Characters>27851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Nour Al-Geboory (1709546)</dc:creator>
  <cp:keywords/>
  <dc:description/>
  <cp:lastModifiedBy>Nour Al-Geboory (1709546)</cp:lastModifiedBy>
  <cp:revision>9</cp:revision>
  <dcterms:created xsi:type="dcterms:W3CDTF">2025-09-12T08:27:00Z</dcterms:created>
  <dcterms:modified xsi:type="dcterms:W3CDTF">2025-10-27T14:07:00Z</dcterms:modified>
</cp:coreProperties>
</file>