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66"/>
      </w:tblGrid>
      <w:tr w:rsidR="00F927A1" w:rsidRPr="005D3F07" w14:paraId="68CAA39D" w14:textId="77777777" w:rsidTr="003A0FA4">
        <w:trPr>
          <w:trHeight w:val="3875"/>
        </w:trPr>
        <w:tc>
          <w:tcPr>
            <w:tcW w:w="10666" w:type="dxa"/>
            <w:shd w:val="clear" w:color="auto" w:fill="auto"/>
          </w:tcPr>
          <w:p w14:paraId="02F8EE88" w14:textId="7517FB3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3A0FA4" w:rsidRPr="003A0FA4">
              <w:rPr>
                <w:rFonts w:ascii="Times New Roman" w:hAnsi="Times New Roman" w:cs="Times New Roman"/>
                <w:b/>
                <w:color w:val="auto"/>
                <w:sz w:val="40"/>
                <w:szCs w:val="40"/>
              </w:rPr>
              <w:t>Keren Samuel</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1A7A73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3A0FA4" w:rsidRPr="003A0FA4">
              <w:rPr>
                <w:rFonts w:ascii="Times New Roman" w:hAnsi="Times New Roman" w:cs="Times New Roman"/>
                <w:b/>
                <w:color w:val="auto"/>
                <w:sz w:val="40"/>
                <w:szCs w:val="40"/>
              </w:rPr>
              <w:t>Keren.Samuel@pembrokeshi</w:t>
            </w:r>
            <w:r w:rsidR="003A0FA4">
              <w:rPr>
                <w:rFonts w:ascii="Times New Roman" w:hAnsi="Times New Roman" w:cs="Times New Roman"/>
                <w:b/>
                <w:color w:val="auto"/>
                <w:sz w:val="40"/>
                <w:szCs w:val="40"/>
              </w:rPr>
              <w:t>re.go</w:t>
            </w:r>
            <w:r w:rsidR="003A0FA4" w:rsidRPr="003A0FA4">
              <w:rPr>
                <w:rFonts w:ascii="Times New Roman" w:hAnsi="Times New Roman" w:cs="Times New Roman"/>
                <w:b/>
                <w:color w:val="auto"/>
                <w:sz w:val="40"/>
                <w:szCs w:val="40"/>
              </w:rPr>
              <w:t>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3C5CA072" w:rsidR="00F927A1" w:rsidRPr="003A0FA4" w:rsidRDefault="0085230E" w:rsidP="005D3F07">
            <w:pPr>
              <w:overflowPunct/>
              <w:autoSpaceDE/>
              <w:autoSpaceDN/>
              <w:adjustRightInd/>
              <w:ind w:right="-957"/>
              <w:textAlignment w:val="auto"/>
              <w:rPr>
                <w:rFonts w:ascii="Times New Roman" w:hAnsi="Times New Roman" w:cs="Times New Roman"/>
                <w:b/>
                <w:color w:val="auto"/>
                <w:sz w:val="40"/>
                <w:szCs w:val="40"/>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3A0FA4">
              <w:rPr>
                <w:rFonts w:ascii="Times New Roman" w:hAnsi="Times New Roman" w:cs="Times New Roman"/>
                <w:b/>
                <w:color w:val="auto"/>
                <w:sz w:val="48"/>
              </w:rPr>
              <w:t xml:space="preserve"> </w:t>
            </w:r>
            <w:r w:rsidR="003A0FA4">
              <w:rPr>
                <w:rFonts w:ascii="Times New Roman" w:hAnsi="Times New Roman" w:cs="Times New Roman"/>
                <w:b/>
                <w:color w:val="auto"/>
                <w:sz w:val="40"/>
                <w:szCs w:val="40"/>
              </w:rPr>
              <w:t>2218788</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5EB70AEC" w14:textId="77777777" w:rsidR="003F14AE" w:rsidRPr="003F14AE" w:rsidRDefault="003F14AE" w:rsidP="003F14AE">
      <w:pPr>
        <w:pStyle w:val="Bibliography"/>
        <w:spacing w:line="360" w:lineRule="auto"/>
        <w:rPr>
          <w:rFonts w:cstheme="minorHAnsi"/>
          <w:noProof/>
          <w:sz w:val="28"/>
          <w:szCs w:val="28"/>
          <w:lang w:val="en-US"/>
        </w:rPr>
      </w:pPr>
      <w:r w:rsidRPr="003F14AE">
        <w:rPr>
          <w:rFonts w:cstheme="minorHAnsi"/>
          <w:noProof/>
          <w:sz w:val="28"/>
          <w:szCs w:val="28"/>
          <w:lang w:val="en-US"/>
        </w:rPr>
        <w:t xml:space="preserve">Agboola, I., 2022. </w:t>
      </w:r>
      <w:r w:rsidRPr="003F14AE">
        <w:rPr>
          <w:rFonts w:cstheme="minorHAnsi"/>
          <w:i/>
          <w:iCs/>
          <w:noProof/>
          <w:sz w:val="28"/>
          <w:szCs w:val="28"/>
          <w:lang w:val="en-US"/>
        </w:rPr>
        <w:t xml:space="preserve">Discovering Mental Models for the Enhancement of Mental Health Risk Formulation and Clinical Decision Making. </w:t>
      </w:r>
      <w:r w:rsidRPr="003F14AE">
        <w:rPr>
          <w:rFonts w:cstheme="minorHAnsi"/>
          <w:noProof/>
          <w:sz w:val="28"/>
          <w:szCs w:val="28"/>
          <w:lang w:val="en-US"/>
        </w:rPr>
        <w:t xml:space="preserve">[Online] </w:t>
      </w:r>
      <w:r w:rsidRPr="003F14AE">
        <w:rPr>
          <w:rFonts w:cstheme="minorHAnsi"/>
          <w:noProof/>
          <w:sz w:val="28"/>
          <w:szCs w:val="28"/>
          <w:lang w:val="en-US"/>
        </w:rPr>
        <w:br/>
        <w:t xml:space="preserve">Available at: </w:t>
      </w:r>
      <w:hyperlink r:id="rId12" w:history="1">
        <w:r w:rsidRPr="003F14AE">
          <w:rPr>
            <w:rStyle w:val="Hyperlink"/>
            <w:rFonts w:cstheme="minorHAnsi"/>
            <w:noProof/>
            <w:sz w:val="28"/>
            <w:szCs w:val="28"/>
            <w:lang w:val="en-US"/>
          </w:rPr>
          <w:t>https://core.ac.uk/works/145370425</w:t>
        </w:r>
      </w:hyperlink>
      <w:r w:rsidRPr="003F14AE">
        <w:rPr>
          <w:rFonts w:cstheme="minorHAnsi"/>
          <w:noProof/>
          <w:sz w:val="28"/>
          <w:szCs w:val="28"/>
          <w:u w:val="single"/>
          <w:lang w:val="en-US"/>
        </w:rPr>
        <w:t xml:space="preserve"> </w:t>
      </w:r>
      <w:r w:rsidRPr="003F14AE">
        <w:rPr>
          <w:rFonts w:cstheme="minorHAnsi"/>
          <w:noProof/>
          <w:sz w:val="28"/>
          <w:szCs w:val="28"/>
          <w:lang w:val="en-US"/>
        </w:rPr>
        <w:br/>
        <w:t>[Accessed 7 September 2023].</w:t>
      </w:r>
    </w:p>
    <w:p w14:paraId="2F2ADCB9" w14:textId="77777777" w:rsidR="003F14AE" w:rsidRPr="003F14AE" w:rsidRDefault="003F14AE" w:rsidP="003F14AE">
      <w:pPr>
        <w:pStyle w:val="NormalWeb"/>
        <w:spacing w:before="0" w:beforeAutospacing="0" w:after="0" w:afterAutospacing="0" w:line="360" w:lineRule="auto"/>
        <w:jc w:val="both"/>
        <w:rPr>
          <w:rFonts w:asciiTheme="minorHAnsi" w:hAnsiTheme="minorHAnsi" w:cstheme="minorHAnsi"/>
          <w:color w:val="000000" w:themeColor="text1"/>
          <w:sz w:val="28"/>
          <w:szCs w:val="28"/>
        </w:rPr>
      </w:pPr>
      <w:r w:rsidRPr="003F14AE">
        <w:rPr>
          <w:rFonts w:asciiTheme="minorHAnsi" w:hAnsiTheme="minorHAnsi" w:cstheme="minorHAnsi"/>
          <w:color w:val="000000" w:themeColor="text1"/>
          <w:sz w:val="28"/>
          <w:szCs w:val="28"/>
        </w:rPr>
        <w:t>American Psychiatric Association (2013). Diagnostic and Statistical Manual of Mental Disorders. </w:t>
      </w:r>
      <w:r w:rsidRPr="003F14AE">
        <w:rPr>
          <w:rFonts w:asciiTheme="minorHAnsi" w:hAnsiTheme="minorHAnsi" w:cstheme="minorHAnsi"/>
          <w:i/>
          <w:iCs/>
          <w:color w:val="000000" w:themeColor="text1"/>
          <w:sz w:val="28"/>
          <w:szCs w:val="28"/>
        </w:rPr>
        <w:t>Diagnostic and Statistical Manual of Mental Disorders</w:t>
      </w:r>
      <w:r w:rsidRPr="003F14AE">
        <w:rPr>
          <w:rFonts w:asciiTheme="minorHAnsi" w:hAnsiTheme="minorHAnsi" w:cstheme="minorHAnsi"/>
          <w:color w:val="000000" w:themeColor="text1"/>
          <w:sz w:val="28"/>
          <w:szCs w:val="28"/>
        </w:rPr>
        <w:t>, 5(5). doi:https://doi.org/10.1176/appi.books.9780890425596.</w:t>
      </w:r>
    </w:p>
    <w:p w14:paraId="1A6268A5" w14:textId="77777777" w:rsidR="003F14AE" w:rsidRPr="003F14AE" w:rsidRDefault="003F14AE" w:rsidP="003F14AE">
      <w:pPr>
        <w:pStyle w:val="Bibliography"/>
        <w:spacing w:line="360" w:lineRule="auto"/>
        <w:rPr>
          <w:sz w:val="28"/>
          <w:szCs w:val="28"/>
          <w:lang w:val="en-US"/>
        </w:rPr>
      </w:pPr>
      <w:r w:rsidRPr="003F14AE">
        <w:rPr>
          <w:sz w:val="28"/>
          <w:szCs w:val="28"/>
          <w:lang w:val="en-US"/>
        </w:rPr>
        <w:t xml:space="preserve">(ANAW), A. o. N. a. o. W., 2020. </w:t>
      </w:r>
      <w:r w:rsidRPr="003F14AE">
        <w:rPr>
          <w:i/>
          <w:iCs/>
          <w:sz w:val="28"/>
          <w:szCs w:val="28"/>
          <w:lang w:val="en-US"/>
        </w:rPr>
        <w:t xml:space="preserve">The Children (Abolition of Defense of Reasonable Punishment) (Wales) Act. </w:t>
      </w:r>
      <w:r w:rsidRPr="003F14AE">
        <w:rPr>
          <w:sz w:val="28"/>
          <w:szCs w:val="28"/>
          <w:lang w:val="en-US"/>
        </w:rPr>
        <w:t xml:space="preserve">[Online] </w:t>
      </w:r>
      <w:r w:rsidRPr="003F14AE">
        <w:rPr>
          <w:sz w:val="28"/>
          <w:szCs w:val="28"/>
          <w:lang w:val="en-US"/>
        </w:rPr>
        <w:br/>
        <w:t xml:space="preserve">Available at: </w:t>
      </w:r>
      <w:hyperlink r:id="rId13" w:history="1">
        <w:r w:rsidRPr="003F14AE">
          <w:rPr>
            <w:rStyle w:val="Hyperlink"/>
            <w:sz w:val="28"/>
            <w:szCs w:val="28"/>
            <w:lang w:val="en-US"/>
          </w:rPr>
          <w:t>https://www.legislation.gov.uk/anaw/2020/3</w:t>
        </w:r>
      </w:hyperlink>
      <w:r w:rsidRPr="003F14AE">
        <w:rPr>
          <w:sz w:val="28"/>
          <w:szCs w:val="28"/>
          <w:lang w:val="en-US"/>
        </w:rPr>
        <w:br/>
        <w:t>[Accessed 9 September 2013].</w:t>
      </w:r>
    </w:p>
    <w:p w14:paraId="4C5547B3" w14:textId="77777777" w:rsidR="003F14AE" w:rsidRPr="003F14AE" w:rsidRDefault="003F14AE" w:rsidP="003F14AE">
      <w:pPr>
        <w:pStyle w:val="NormalWeb"/>
        <w:spacing w:before="0" w:beforeAutospacing="0" w:after="0" w:afterAutospacing="0" w:line="360" w:lineRule="auto"/>
        <w:jc w:val="both"/>
        <w:rPr>
          <w:rFonts w:asciiTheme="minorHAnsi" w:hAnsiTheme="minorHAnsi" w:cstheme="minorHAnsi"/>
          <w:sz w:val="28"/>
          <w:szCs w:val="28"/>
          <w:shd w:val="clear" w:color="auto" w:fill="FFFFFF"/>
        </w:rPr>
      </w:pPr>
      <w:r w:rsidRPr="003F14AE">
        <w:rPr>
          <w:rFonts w:asciiTheme="minorHAnsi" w:hAnsiTheme="minorHAnsi" w:cstheme="minorHAnsi"/>
          <w:sz w:val="28"/>
          <w:szCs w:val="28"/>
          <w:shd w:val="clear" w:color="auto" w:fill="FFFFFF"/>
        </w:rPr>
        <w:t>Banks, S. and Gallagher, A., 2008. </w:t>
      </w:r>
      <w:r w:rsidRPr="003F14AE">
        <w:rPr>
          <w:rFonts w:asciiTheme="minorHAnsi" w:hAnsiTheme="minorHAnsi" w:cstheme="minorHAnsi"/>
          <w:i/>
          <w:iCs/>
          <w:sz w:val="28"/>
          <w:szCs w:val="28"/>
          <w:shd w:val="clear" w:color="auto" w:fill="FFFFFF"/>
        </w:rPr>
        <w:t>Ethics in professional life: Virtues for health and social care</w:t>
      </w:r>
      <w:r w:rsidRPr="003F14AE">
        <w:rPr>
          <w:rFonts w:asciiTheme="minorHAnsi" w:hAnsiTheme="minorHAnsi" w:cstheme="minorHAnsi"/>
          <w:sz w:val="28"/>
          <w:szCs w:val="28"/>
          <w:shd w:val="clear" w:color="auto" w:fill="FFFFFF"/>
        </w:rPr>
        <w:t>. Bloomsbury Publishing.</w:t>
      </w:r>
    </w:p>
    <w:p w14:paraId="7EAC7BFC" w14:textId="77777777" w:rsidR="003F14AE" w:rsidRPr="003F14AE" w:rsidRDefault="003F14AE" w:rsidP="003F14AE">
      <w:pPr>
        <w:spacing w:line="360" w:lineRule="auto"/>
        <w:jc w:val="both"/>
        <w:rPr>
          <w:rFonts w:asciiTheme="minorHAnsi" w:hAnsiTheme="minorHAnsi" w:cs="Calibri"/>
          <w:sz w:val="28"/>
          <w:szCs w:val="28"/>
        </w:rPr>
      </w:pPr>
      <w:r w:rsidRPr="002D3601">
        <w:rPr>
          <w:rFonts w:asciiTheme="minorHAnsi" w:hAnsiTheme="minorHAnsi" w:cs="Calibri"/>
          <w:sz w:val="28"/>
          <w:szCs w:val="28"/>
        </w:rPr>
        <w:t>Banks, S. and Nohr, K. (2012) Practising Social Work Ethics Around the World, Abingdon: Routledge.</w:t>
      </w:r>
    </w:p>
    <w:p w14:paraId="3A1D6A35" w14:textId="77777777" w:rsidR="003F14AE" w:rsidRPr="0048261C" w:rsidRDefault="003F14AE" w:rsidP="003F14AE">
      <w:pPr>
        <w:spacing w:line="360" w:lineRule="auto"/>
        <w:jc w:val="both"/>
        <w:rPr>
          <w:rFonts w:asciiTheme="minorHAnsi" w:hAnsiTheme="minorHAnsi" w:cs="Calibri"/>
          <w:sz w:val="28"/>
          <w:szCs w:val="28"/>
        </w:rPr>
      </w:pPr>
      <w:r w:rsidRPr="0048261C">
        <w:rPr>
          <w:rFonts w:asciiTheme="minorHAnsi" w:hAnsiTheme="minorHAnsi" w:cs="Calibri"/>
          <w:sz w:val="28"/>
          <w:szCs w:val="28"/>
        </w:rPr>
        <w:t>BASW. (2020). </w:t>
      </w:r>
      <w:r w:rsidRPr="0048261C">
        <w:rPr>
          <w:rFonts w:asciiTheme="minorHAnsi" w:hAnsiTheme="minorHAnsi" w:cs="Calibri"/>
          <w:i/>
          <w:iCs/>
          <w:sz w:val="28"/>
          <w:szCs w:val="28"/>
        </w:rPr>
        <w:t>Digital Capabilities Statement for Social Workers</w:t>
      </w:r>
      <w:r w:rsidRPr="0048261C">
        <w:rPr>
          <w:rFonts w:asciiTheme="minorHAnsi" w:hAnsiTheme="minorHAnsi" w:cs="Calibri"/>
          <w:sz w:val="28"/>
          <w:szCs w:val="28"/>
        </w:rPr>
        <w:t>. [online] Available at: https://www.basw.co.uk/digital-capabilities-statement-social-workers.</w:t>
      </w:r>
    </w:p>
    <w:p w14:paraId="1580503E" w14:textId="77777777" w:rsidR="003F14AE" w:rsidRPr="003F14AE" w:rsidRDefault="003F14AE" w:rsidP="003F14AE">
      <w:pPr>
        <w:spacing w:before="100" w:beforeAutospacing="1" w:after="100" w:afterAutospacing="1"/>
        <w:rPr>
          <w:rFonts w:asciiTheme="minorHAnsi" w:hAnsiTheme="minorHAnsi" w:cs="Calibri"/>
          <w:sz w:val="28"/>
          <w:szCs w:val="28"/>
        </w:rPr>
      </w:pPr>
      <w:r w:rsidRPr="0048261C">
        <w:rPr>
          <w:rFonts w:asciiTheme="minorHAnsi" w:hAnsiTheme="minorHAnsi" w:cs="Calibri"/>
          <w:sz w:val="28"/>
          <w:szCs w:val="28"/>
        </w:rPr>
        <w:t>‌</w:t>
      </w:r>
      <w:r w:rsidRPr="003F14AE">
        <w:rPr>
          <w:rFonts w:asciiTheme="minorHAnsi" w:hAnsiTheme="minorHAnsi" w:cstheme="minorHAnsi"/>
          <w:color w:val="auto"/>
          <w:sz w:val="28"/>
          <w:szCs w:val="28"/>
          <w:shd w:val="clear" w:color="auto" w:fill="FFFFFF"/>
        </w:rPr>
        <w:t>Boyle, D. and Harris, M., 2009. The challenge of co-production. </w:t>
      </w:r>
      <w:r w:rsidRPr="003F14AE">
        <w:rPr>
          <w:rFonts w:asciiTheme="minorHAnsi" w:hAnsiTheme="minorHAnsi" w:cstheme="minorHAnsi"/>
          <w:i/>
          <w:iCs/>
          <w:color w:val="auto"/>
          <w:sz w:val="28"/>
          <w:szCs w:val="28"/>
          <w:shd w:val="clear" w:color="auto" w:fill="FFFFFF"/>
        </w:rPr>
        <w:t>London: new economics foundation</w:t>
      </w:r>
      <w:r w:rsidRPr="003F14AE">
        <w:rPr>
          <w:rFonts w:asciiTheme="minorHAnsi" w:hAnsiTheme="minorHAnsi" w:cstheme="minorHAnsi"/>
          <w:color w:val="auto"/>
          <w:sz w:val="28"/>
          <w:szCs w:val="28"/>
          <w:shd w:val="clear" w:color="auto" w:fill="FFFFFF"/>
        </w:rPr>
        <w:t>, </w:t>
      </w:r>
      <w:r w:rsidRPr="003F14AE">
        <w:rPr>
          <w:rFonts w:asciiTheme="minorHAnsi" w:hAnsiTheme="minorHAnsi" w:cstheme="minorHAnsi"/>
          <w:i/>
          <w:iCs/>
          <w:color w:val="auto"/>
          <w:sz w:val="28"/>
          <w:szCs w:val="28"/>
          <w:shd w:val="clear" w:color="auto" w:fill="FFFFFF"/>
        </w:rPr>
        <w:t>56</w:t>
      </w:r>
      <w:r w:rsidRPr="003F14AE">
        <w:rPr>
          <w:rFonts w:asciiTheme="minorHAnsi" w:hAnsiTheme="minorHAnsi" w:cstheme="minorHAnsi"/>
          <w:color w:val="auto"/>
          <w:sz w:val="28"/>
          <w:szCs w:val="28"/>
          <w:shd w:val="clear" w:color="auto" w:fill="FFFFFF"/>
        </w:rPr>
        <w:t>, p.18.</w:t>
      </w:r>
    </w:p>
    <w:p w14:paraId="76931DF5" w14:textId="77777777" w:rsidR="003F14AE" w:rsidRPr="003F14AE" w:rsidRDefault="003F14AE" w:rsidP="003F14AE">
      <w:pPr>
        <w:pStyle w:val="NormalWeb"/>
        <w:spacing w:before="0" w:beforeAutospacing="0" w:after="0" w:afterAutospacing="0" w:line="360" w:lineRule="auto"/>
        <w:rPr>
          <w:rFonts w:asciiTheme="minorHAnsi" w:hAnsiTheme="minorHAnsi" w:cstheme="minorHAnsi"/>
          <w:color w:val="000000"/>
          <w:sz w:val="28"/>
          <w:szCs w:val="28"/>
        </w:rPr>
      </w:pPr>
      <w:r w:rsidRPr="003F14AE">
        <w:rPr>
          <w:rFonts w:asciiTheme="minorHAnsi" w:hAnsiTheme="minorHAnsi" w:cstheme="minorHAnsi"/>
          <w:color w:val="000000"/>
          <w:sz w:val="28"/>
          <w:szCs w:val="28"/>
        </w:rPr>
        <w:lastRenderedPageBreak/>
        <w:t xml:space="preserve">Bremner J. D. (2006). Traumatic stress: effects on the brain. Dialogues in clinical neuroscience, 8(4), 445–461. </w:t>
      </w:r>
      <w:hyperlink r:id="rId14" w:history="1">
        <w:r w:rsidRPr="003F14AE">
          <w:rPr>
            <w:rStyle w:val="Hyperlink"/>
            <w:rFonts w:asciiTheme="minorHAnsi" w:hAnsiTheme="minorHAnsi" w:cstheme="minorHAnsi"/>
            <w:sz w:val="28"/>
            <w:szCs w:val="28"/>
          </w:rPr>
          <w:t>https://doi.org/10.31887/DCNS.2006.8.4/jbremner</w:t>
        </w:r>
      </w:hyperlink>
    </w:p>
    <w:p w14:paraId="04F12C21" w14:textId="77777777" w:rsidR="003F14AE" w:rsidRPr="003F14AE" w:rsidRDefault="003F14AE" w:rsidP="003F14AE">
      <w:pPr>
        <w:pStyle w:val="NormalWeb"/>
        <w:spacing w:before="0" w:beforeAutospacing="0" w:after="0" w:afterAutospacing="0" w:line="360" w:lineRule="auto"/>
        <w:rPr>
          <w:rFonts w:asciiTheme="minorHAnsi" w:hAnsiTheme="minorHAnsi" w:cstheme="minorHAnsi"/>
          <w:color w:val="000000"/>
          <w:sz w:val="28"/>
          <w:szCs w:val="28"/>
        </w:rPr>
      </w:pPr>
    </w:p>
    <w:p w14:paraId="3336A5A9" w14:textId="77777777" w:rsidR="003F14AE" w:rsidRPr="003F14AE" w:rsidRDefault="003F14AE" w:rsidP="003F14AE">
      <w:pPr>
        <w:spacing w:line="360" w:lineRule="auto"/>
        <w:jc w:val="both"/>
        <w:rPr>
          <w:rFonts w:asciiTheme="minorHAnsi" w:hAnsiTheme="minorHAnsi" w:cs="Calibri"/>
          <w:sz w:val="28"/>
          <w:szCs w:val="28"/>
        </w:rPr>
      </w:pPr>
      <w:r w:rsidRPr="003F14AE">
        <w:rPr>
          <w:rFonts w:asciiTheme="minorHAnsi" w:hAnsiTheme="minorHAnsi" w:cs="Calibri"/>
          <w:sz w:val="28"/>
          <w:szCs w:val="28"/>
        </w:rPr>
        <w:t>Brock AC. The History of Introspection Revisited. In: Clegg JW, editor. Self-Observation in the Social Sciences. London: Taylor &amp; Francis; 2018:25-44. doi:10.4324/9781351296809-3</w:t>
      </w:r>
    </w:p>
    <w:p w14:paraId="527E1CA9" w14:textId="77777777" w:rsidR="003F14AE" w:rsidRPr="003F14AE" w:rsidRDefault="003F14AE" w:rsidP="003F14AE">
      <w:pPr>
        <w:spacing w:line="360" w:lineRule="auto"/>
        <w:jc w:val="both"/>
        <w:rPr>
          <w:rFonts w:asciiTheme="minorHAnsi" w:hAnsiTheme="minorHAnsi" w:cs="Calibri"/>
          <w:sz w:val="28"/>
          <w:szCs w:val="28"/>
        </w:rPr>
      </w:pPr>
    </w:p>
    <w:p w14:paraId="4B1E582F" w14:textId="77777777" w:rsidR="003F14AE" w:rsidRPr="00555C42" w:rsidRDefault="003F14AE" w:rsidP="003F14AE">
      <w:pPr>
        <w:spacing w:line="360" w:lineRule="auto"/>
        <w:jc w:val="both"/>
        <w:rPr>
          <w:rFonts w:asciiTheme="minorHAnsi" w:hAnsiTheme="minorHAnsi" w:cs="Calibri"/>
          <w:sz w:val="28"/>
          <w:szCs w:val="28"/>
        </w:rPr>
      </w:pPr>
      <w:r w:rsidRPr="00555C42">
        <w:rPr>
          <w:rFonts w:asciiTheme="minorHAnsi" w:hAnsiTheme="minorHAnsi" w:cs="Calibri"/>
          <w:sz w:val="28"/>
          <w:szCs w:val="28"/>
        </w:rPr>
        <w:t>Brown B., Crawford P., Darongkamas J. (2000). Blurred roles and permeable boundaries: The experience of multidisciplinary working in community mental health. Health &amp; Social Care in the Community, 8, 425–435.</w:t>
      </w:r>
    </w:p>
    <w:p w14:paraId="6629E647" w14:textId="77777777" w:rsidR="003F14AE" w:rsidRPr="003F14AE" w:rsidRDefault="003F14AE" w:rsidP="003F14AE">
      <w:pPr>
        <w:spacing w:before="100" w:beforeAutospacing="1" w:after="100" w:afterAutospacing="1" w:line="360" w:lineRule="auto"/>
        <w:jc w:val="both"/>
        <w:rPr>
          <w:rFonts w:asciiTheme="minorHAnsi" w:hAnsiTheme="minorHAnsi" w:cs="Calibri"/>
          <w:sz w:val="28"/>
          <w:szCs w:val="28"/>
        </w:rPr>
      </w:pPr>
      <w:r w:rsidRPr="00555C42">
        <w:rPr>
          <w:rFonts w:asciiTheme="minorHAnsi" w:hAnsiTheme="minorHAnsi" w:cs="Calibri"/>
          <w:sz w:val="28"/>
          <w:szCs w:val="28"/>
        </w:rPr>
        <w:t>‌</w:t>
      </w:r>
      <w:r w:rsidRPr="003F14AE">
        <w:rPr>
          <w:rFonts w:asciiTheme="minorHAnsi" w:hAnsiTheme="minorHAnsi" w:cs="Calibri"/>
          <w:sz w:val="28"/>
          <w:szCs w:val="28"/>
        </w:rPr>
        <w:t>Campbell, J. and Davidson, G. (2009). Coercion in the Community: A Situated Approach to the Examination of Ethical Challenges for Mental Health Social Workers, Ethics and Social Welfare, 3(3), pp. 249–263</w:t>
      </w:r>
    </w:p>
    <w:p w14:paraId="70741E83" w14:textId="77777777" w:rsidR="003F14AE" w:rsidRPr="003F14AE" w:rsidRDefault="003F14AE" w:rsidP="003F14AE">
      <w:pPr>
        <w:spacing w:before="100" w:beforeAutospacing="1" w:after="100" w:afterAutospacing="1" w:line="360" w:lineRule="auto"/>
        <w:rPr>
          <w:rFonts w:asciiTheme="minorHAnsi" w:hAnsiTheme="minorHAnsi" w:cstheme="minorHAnsi"/>
          <w:color w:val="000000" w:themeColor="text1"/>
          <w:sz w:val="28"/>
          <w:szCs w:val="28"/>
        </w:rPr>
      </w:pPr>
      <w:r w:rsidRPr="003F14AE">
        <w:rPr>
          <w:rFonts w:asciiTheme="minorHAnsi" w:hAnsiTheme="minorHAnsi" w:cstheme="minorHAnsi"/>
          <w:color w:val="000000" w:themeColor="text1"/>
          <w:sz w:val="28"/>
          <w:szCs w:val="28"/>
        </w:rPr>
        <w:t>Cash, A. (2016). </w:t>
      </w:r>
      <w:r w:rsidRPr="003F14AE">
        <w:rPr>
          <w:rFonts w:asciiTheme="minorHAnsi" w:hAnsiTheme="minorHAnsi" w:cstheme="minorHAnsi"/>
          <w:i/>
          <w:iCs/>
          <w:color w:val="000000" w:themeColor="text1"/>
          <w:sz w:val="28"/>
          <w:szCs w:val="28"/>
        </w:rPr>
        <w:t>Posttraumatic stress disorder</w:t>
      </w:r>
      <w:r w:rsidRPr="003F14AE">
        <w:rPr>
          <w:rFonts w:asciiTheme="minorHAnsi" w:hAnsiTheme="minorHAnsi" w:cstheme="minorHAnsi"/>
          <w:color w:val="000000" w:themeColor="text1"/>
          <w:sz w:val="28"/>
          <w:szCs w:val="28"/>
        </w:rPr>
        <w:t>. Wiley.</w:t>
      </w:r>
    </w:p>
    <w:p w14:paraId="31C376EF" w14:textId="77777777" w:rsidR="003F14AE" w:rsidRPr="003F14AE" w:rsidRDefault="003F14AE" w:rsidP="003F14AE">
      <w:pPr>
        <w:pStyle w:val="Bibliography"/>
        <w:spacing w:line="360" w:lineRule="auto"/>
        <w:rPr>
          <w:sz w:val="28"/>
          <w:szCs w:val="28"/>
          <w:lang w:val="en-US"/>
        </w:rPr>
      </w:pPr>
      <w:r w:rsidRPr="003F14AE">
        <w:rPr>
          <w:sz w:val="28"/>
          <w:szCs w:val="28"/>
          <w:lang w:val="en-US"/>
        </w:rPr>
        <w:t xml:space="preserve">CA, 1989. </w:t>
      </w:r>
      <w:r w:rsidRPr="003F14AE">
        <w:rPr>
          <w:i/>
          <w:iCs/>
          <w:sz w:val="28"/>
          <w:szCs w:val="28"/>
          <w:lang w:val="en-US"/>
        </w:rPr>
        <w:t xml:space="preserve">Children Act. </w:t>
      </w:r>
      <w:r w:rsidRPr="003F14AE">
        <w:rPr>
          <w:sz w:val="28"/>
          <w:szCs w:val="28"/>
          <w:lang w:val="en-US"/>
        </w:rPr>
        <w:t xml:space="preserve">[Online] </w:t>
      </w:r>
      <w:r w:rsidRPr="003F14AE">
        <w:rPr>
          <w:sz w:val="28"/>
          <w:szCs w:val="28"/>
          <w:lang w:val="en-US"/>
        </w:rPr>
        <w:br/>
        <w:t xml:space="preserve">Available at: </w:t>
      </w:r>
      <w:hyperlink r:id="rId15" w:history="1">
        <w:r w:rsidRPr="003F14AE">
          <w:rPr>
            <w:rStyle w:val="Hyperlink"/>
            <w:sz w:val="28"/>
            <w:szCs w:val="28"/>
            <w:lang w:val="en-US"/>
          </w:rPr>
          <w:t>https://www.legislation.gov.uk/ukpga/1989/41/contents</w:t>
        </w:r>
      </w:hyperlink>
    </w:p>
    <w:p w14:paraId="32B685AB" w14:textId="77777777" w:rsidR="003F14AE" w:rsidRPr="003F14AE" w:rsidRDefault="003F14AE" w:rsidP="003F14AE">
      <w:pPr>
        <w:pStyle w:val="Bibliography"/>
        <w:spacing w:line="360" w:lineRule="auto"/>
        <w:rPr>
          <w:sz w:val="28"/>
          <w:szCs w:val="28"/>
          <w:u w:val="single"/>
          <w:lang w:val="en-US"/>
        </w:rPr>
      </w:pPr>
      <w:r w:rsidRPr="003F14AE">
        <w:rPr>
          <w:sz w:val="28"/>
          <w:szCs w:val="28"/>
          <w:lang w:val="en-US"/>
        </w:rPr>
        <w:t xml:space="preserve">CA, 2004. </w:t>
      </w:r>
      <w:r w:rsidRPr="003F14AE">
        <w:rPr>
          <w:i/>
          <w:iCs/>
          <w:sz w:val="28"/>
          <w:szCs w:val="28"/>
          <w:lang w:val="en-US"/>
        </w:rPr>
        <w:t xml:space="preserve">Children Act. </w:t>
      </w:r>
      <w:r w:rsidRPr="003F14AE">
        <w:rPr>
          <w:sz w:val="28"/>
          <w:szCs w:val="28"/>
          <w:lang w:val="en-US"/>
        </w:rPr>
        <w:t xml:space="preserve">[Online] </w:t>
      </w:r>
      <w:r w:rsidRPr="003F14AE">
        <w:rPr>
          <w:sz w:val="28"/>
          <w:szCs w:val="28"/>
          <w:lang w:val="en-US"/>
        </w:rPr>
        <w:br/>
        <w:t xml:space="preserve">Available at: </w:t>
      </w:r>
      <w:hyperlink r:id="rId16" w:history="1">
        <w:r w:rsidRPr="003F14AE">
          <w:rPr>
            <w:rStyle w:val="Hyperlink"/>
            <w:sz w:val="28"/>
            <w:szCs w:val="28"/>
            <w:lang w:val="en-US"/>
          </w:rPr>
          <w:t>https://www.legislation.gov.uk/ukpga/2004/31/contents</w:t>
        </w:r>
      </w:hyperlink>
    </w:p>
    <w:p w14:paraId="1F32B89B" w14:textId="77777777" w:rsidR="003F14AE" w:rsidRPr="00CB0242" w:rsidRDefault="003F14AE" w:rsidP="003F14AE">
      <w:pPr>
        <w:spacing w:line="360" w:lineRule="auto"/>
        <w:jc w:val="both"/>
        <w:rPr>
          <w:rFonts w:asciiTheme="minorHAnsi" w:hAnsiTheme="minorHAnsi" w:cs="Calibri"/>
          <w:sz w:val="28"/>
          <w:szCs w:val="28"/>
        </w:rPr>
      </w:pPr>
      <w:r w:rsidRPr="00CB0242">
        <w:rPr>
          <w:rFonts w:asciiTheme="minorHAnsi" w:hAnsiTheme="minorHAnsi" w:cs="Calibri"/>
          <w:sz w:val="28"/>
          <w:szCs w:val="28"/>
        </w:rPr>
        <w:t xml:space="preserve">Clements, L. (2017). Assessment and Eligibility Criteria. Retrieved from </w:t>
      </w:r>
      <w:hyperlink r:id="rId17" w:history="1">
        <w:r w:rsidRPr="003F14AE">
          <w:rPr>
            <w:rStyle w:val="Hyperlink"/>
            <w:rFonts w:asciiTheme="minorHAnsi" w:hAnsiTheme="minorHAnsi" w:cs="Calibri"/>
            <w:sz w:val="28"/>
            <w:szCs w:val="28"/>
          </w:rPr>
          <w:t>http://www.lukeclements.co.uk/rhydian-social-welfare-law-in-wales/assessments-eligibility-criteria/</w:t>
        </w:r>
      </w:hyperlink>
      <w:r w:rsidRPr="003F14AE">
        <w:rPr>
          <w:rFonts w:asciiTheme="minorHAnsi" w:hAnsiTheme="minorHAnsi" w:cs="Calibri"/>
          <w:sz w:val="28"/>
          <w:szCs w:val="28"/>
        </w:rPr>
        <w:t xml:space="preserve"> </w:t>
      </w:r>
    </w:p>
    <w:p w14:paraId="77E0D0B9" w14:textId="77777777" w:rsidR="003F14AE" w:rsidRPr="003F14AE" w:rsidRDefault="003F14AE" w:rsidP="003F14AE">
      <w:pPr>
        <w:spacing w:before="100" w:beforeAutospacing="1" w:after="100" w:afterAutospacing="1" w:line="360" w:lineRule="auto"/>
        <w:rPr>
          <w:rFonts w:asciiTheme="minorHAnsi" w:hAnsiTheme="minorHAnsi" w:cs="Calibri"/>
          <w:sz w:val="28"/>
          <w:szCs w:val="28"/>
        </w:rPr>
      </w:pPr>
      <w:r w:rsidRPr="00CB0242">
        <w:rPr>
          <w:rFonts w:asciiTheme="minorHAnsi" w:hAnsiTheme="minorHAnsi" w:cs="Calibri"/>
          <w:sz w:val="28"/>
          <w:szCs w:val="28"/>
        </w:rPr>
        <w:t>‌</w:t>
      </w:r>
      <w:r w:rsidRPr="00C921B2">
        <w:rPr>
          <w:rFonts w:asciiTheme="minorHAnsi" w:hAnsiTheme="minorHAnsi" w:cs="Calibri"/>
          <w:sz w:val="28"/>
          <w:szCs w:val="28"/>
        </w:rPr>
        <w:t>Cooper C, Selwood A, Livingston G. The prevalence of elder abuse and neglect: a systematic review. Age Ageing. 2008 Mar;37(2):151-60. doi: 10.1093/ageing/afm194. PMID: 18349012.</w:t>
      </w:r>
      <w:r w:rsidRPr="003F14AE">
        <w:rPr>
          <w:rFonts w:asciiTheme="minorHAnsi" w:hAnsiTheme="minorHAnsi" w:cs="Calibri"/>
          <w:sz w:val="28"/>
          <w:szCs w:val="28"/>
        </w:rPr>
        <w:t xml:space="preserve"> </w:t>
      </w:r>
    </w:p>
    <w:p w14:paraId="06B42ED0" w14:textId="77777777" w:rsidR="003F14AE" w:rsidRPr="003F14AE" w:rsidRDefault="003F14AE" w:rsidP="003F14AE">
      <w:pPr>
        <w:pStyle w:val="Bibliography"/>
        <w:rPr>
          <w:sz w:val="28"/>
          <w:szCs w:val="28"/>
          <w:lang w:val="en-US"/>
        </w:rPr>
      </w:pPr>
      <w:r w:rsidRPr="003F14AE">
        <w:rPr>
          <w:sz w:val="28"/>
          <w:szCs w:val="28"/>
          <w:lang w:val="en-US"/>
        </w:rPr>
        <w:lastRenderedPageBreak/>
        <w:t xml:space="preserve">CQC, 2019. </w:t>
      </w:r>
      <w:r w:rsidRPr="003F14AE">
        <w:rPr>
          <w:i/>
          <w:iCs/>
          <w:sz w:val="28"/>
          <w:szCs w:val="28"/>
          <w:lang w:val="en-US"/>
        </w:rPr>
        <w:t xml:space="preserve">Brief guide: capacity and competence to consent in under 18s. </w:t>
      </w:r>
      <w:r w:rsidRPr="003F14AE">
        <w:rPr>
          <w:sz w:val="28"/>
          <w:szCs w:val="28"/>
          <w:lang w:val="en-US"/>
        </w:rPr>
        <w:t xml:space="preserve">[Online] </w:t>
      </w:r>
      <w:r w:rsidRPr="003F14AE">
        <w:rPr>
          <w:sz w:val="28"/>
          <w:szCs w:val="28"/>
          <w:lang w:val="en-US"/>
        </w:rPr>
        <w:br/>
        <w:t xml:space="preserve">Available at: </w:t>
      </w:r>
      <w:hyperlink r:id="rId18" w:history="1">
        <w:r w:rsidRPr="003F14AE">
          <w:rPr>
            <w:rStyle w:val="Hyperlink"/>
            <w:sz w:val="28"/>
            <w:szCs w:val="28"/>
            <w:lang w:val="en-US"/>
          </w:rPr>
          <w:t>https://www.cqc.org.uk/sites/default/files/Brief_guide_Capacity_and_consent_in_under_18s%20v3.pdf</w:t>
        </w:r>
      </w:hyperlink>
      <w:r w:rsidRPr="003F14AE">
        <w:rPr>
          <w:sz w:val="28"/>
          <w:szCs w:val="28"/>
          <w:lang w:val="en-US"/>
        </w:rPr>
        <w:br/>
        <w:t>[Accessed 12 September 2023].</w:t>
      </w:r>
    </w:p>
    <w:p w14:paraId="4974A0BA" w14:textId="77777777" w:rsidR="003F14AE" w:rsidRPr="003F14AE" w:rsidRDefault="003F14AE" w:rsidP="003F14AE">
      <w:pPr>
        <w:spacing w:before="100" w:beforeAutospacing="1" w:after="100" w:afterAutospacing="1" w:line="360" w:lineRule="auto"/>
        <w:rPr>
          <w:rFonts w:asciiTheme="minorHAnsi" w:hAnsiTheme="minorHAnsi" w:cstheme="minorHAnsi"/>
          <w:sz w:val="28"/>
          <w:szCs w:val="28"/>
        </w:rPr>
      </w:pPr>
      <w:r w:rsidRPr="003F14AE">
        <w:rPr>
          <w:rFonts w:asciiTheme="minorHAnsi" w:hAnsiTheme="minorHAnsi" w:cstheme="minorHAnsi"/>
          <w:sz w:val="28"/>
          <w:szCs w:val="28"/>
        </w:rPr>
        <w:t>Dana, D.A. and Dana, D. (2020). </w:t>
      </w:r>
      <w:r w:rsidRPr="003F14AE">
        <w:rPr>
          <w:rFonts w:asciiTheme="minorHAnsi" w:hAnsiTheme="minorHAnsi" w:cstheme="minorHAnsi"/>
          <w:i/>
          <w:iCs/>
          <w:sz w:val="28"/>
          <w:szCs w:val="28"/>
        </w:rPr>
        <w:t>Polyvagal Exercises for Safety and Connection: 50 Client-Centered Practices (Norton Series on Interpersonal Neurobiology)</w:t>
      </w:r>
      <w:r w:rsidRPr="003F14AE">
        <w:rPr>
          <w:rFonts w:asciiTheme="minorHAnsi" w:hAnsiTheme="minorHAnsi" w:cstheme="minorHAnsi"/>
          <w:sz w:val="28"/>
          <w:szCs w:val="28"/>
        </w:rPr>
        <w:t>. W. W. Norton &amp; Company.</w:t>
      </w:r>
    </w:p>
    <w:p w14:paraId="1A46DE22" w14:textId="77777777" w:rsidR="003F14AE" w:rsidRPr="003F14AE" w:rsidRDefault="003F14AE" w:rsidP="003F14AE">
      <w:pPr>
        <w:rPr>
          <w:rFonts w:asciiTheme="minorHAnsi" w:hAnsiTheme="minorHAnsi" w:cstheme="minorHAnsi"/>
          <w:sz w:val="28"/>
          <w:szCs w:val="28"/>
        </w:rPr>
      </w:pPr>
      <w:r w:rsidRPr="003F14AE">
        <w:rPr>
          <w:rFonts w:asciiTheme="minorHAnsi" w:hAnsiTheme="minorHAnsi" w:cstheme="minorHAnsi"/>
          <w:iCs/>
          <w:sz w:val="28"/>
          <w:szCs w:val="28"/>
        </w:rPr>
        <w:t xml:space="preserve">Data Protection Act 2018. </w:t>
      </w:r>
      <w:r w:rsidRPr="003F14AE">
        <w:rPr>
          <w:rFonts w:asciiTheme="minorHAnsi" w:hAnsiTheme="minorHAnsi" w:cstheme="minorHAnsi"/>
          <w:sz w:val="28"/>
          <w:szCs w:val="28"/>
        </w:rPr>
        <w:t>Available at</w:t>
      </w:r>
    </w:p>
    <w:p w14:paraId="2BC47AAC" w14:textId="77777777" w:rsidR="003F14AE" w:rsidRPr="003F14AE" w:rsidRDefault="003F14AE" w:rsidP="003F14AE">
      <w:pPr>
        <w:spacing w:before="100" w:beforeAutospacing="1" w:after="100" w:afterAutospacing="1" w:line="360" w:lineRule="auto"/>
        <w:rPr>
          <w:rFonts w:asciiTheme="minorHAnsi" w:hAnsiTheme="minorHAnsi" w:cstheme="minorHAnsi"/>
          <w:sz w:val="28"/>
          <w:szCs w:val="28"/>
        </w:rPr>
      </w:pPr>
      <w:hyperlink r:id="rId19" w:history="1">
        <w:r w:rsidRPr="003F14AE">
          <w:rPr>
            <w:rStyle w:val="Hyperlink"/>
            <w:rFonts w:asciiTheme="minorHAnsi" w:hAnsiTheme="minorHAnsi" w:cstheme="minorHAnsi"/>
            <w:sz w:val="28"/>
            <w:szCs w:val="28"/>
          </w:rPr>
          <w:t>https://www.legislation.gov.uk/ukpga/2018/12/contents/enacted</w:t>
        </w:r>
      </w:hyperlink>
      <w:r w:rsidRPr="003F14AE">
        <w:rPr>
          <w:rFonts w:asciiTheme="minorHAnsi" w:hAnsiTheme="minorHAnsi" w:cstheme="minorHAnsi"/>
          <w:sz w:val="28"/>
          <w:szCs w:val="28"/>
        </w:rPr>
        <w:t xml:space="preserve"> </w:t>
      </w:r>
    </w:p>
    <w:p w14:paraId="2BA2D46E" w14:textId="77777777" w:rsidR="003F14AE" w:rsidRPr="003F14AE" w:rsidRDefault="003F14AE" w:rsidP="003F14AE">
      <w:pPr>
        <w:pStyle w:val="NormalWeb"/>
        <w:spacing w:before="0" w:beforeAutospacing="0" w:after="0" w:afterAutospacing="0" w:line="360" w:lineRule="auto"/>
        <w:jc w:val="both"/>
        <w:rPr>
          <w:rFonts w:asciiTheme="minorHAnsi" w:hAnsiTheme="minorHAnsi" w:cstheme="minorHAnsi"/>
          <w:color w:val="000000"/>
          <w:sz w:val="28"/>
          <w:szCs w:val="28"/>
        </w:rPr>
      </w:pPr>
    </w:p>
    <w:p w14:paraId="20BC3F6D" w14:textId="77777777" w:rsidR="003F14AE" w:rsidRPr="003F14AE" w:rsidRDefault="003F14AE" w:rsidP="003F14AE">
      <w:pPr>
        <w:spacing w:line="360" w:lineRule="auto"/>
        <w:jc w:val="both"/>
        <w:rPr>
          <w:rFonts w:asciiTheme="minorHAnsi" w:hAnsiTheme="minorHAnsi" w:cs="Calibri"/>
          <w:sz w:val="28"/>
          <w:szCs w:val="28"/>
        </w:rPr>
      </w:pPr>
      <w:r w:rsidRPr="003F14AE">
        <w:rPr>
          <w:rFonts w:asciiTheme="minorHAnsi" w:hAnsiTheme="minorHAnsi" w:cs="Calibri"/>
          <w:sz w:val="28"/>
          <w:szCs w:val="28"/>
        </w:rPr>
        <w:t>Doyle, M. (2009). Risk formulation: What are we doing and why? International Journal of Forensic Mental Health, 8(4), 286-292.</w:t>
      </w:r>
    </w:p>
    <w:p w14:paraId="70DA0CAA" w14:textId="77777777" w:rsidR="003F14AE" w:rsidRPr="003F14AE" w:rsidRDefault="003F14AE" w:rsidP="003F14AE">
      <w:pPr>
        <w:spacing w:line="360" w:lineRule="auto"/>
        <w:jc w:val="both"/>
        <w:rPr>
          <w:rFonts w:asciiTheme="minorHAnsi" w:hAnsiTheme="minorHAnsi" w:cs="Calibri"/>
          <w:sz w:val="28"/>
          <w:szCs w:val="28"/>
        </w:rPr>
      </w:pPr>
    </w:p>
    <w:p w14:paraId="7824CE50" w14:textId="77777777" w:rsidR="003F14AE" w:rsidRPr="003F14AE" w:rsidRDefault="003F14AE" w:rsidP="003F14AE">
      <w:pPr>
        <w:spacing w:line="360" w:lineRule="auto"/>
        <w:rPr>
          <w:rFonts w:asciiTheme="minorHAnsi" w:hAnsiTheme="minorHAnsi" w:cstheme="minorHAnsi"/>
          <w:sz w:val="28"/>
          <w:szCs w:val="28"/>
        </w:rPr>
      </w:pPr>
      <w:r w:rsidRPr="003F14AE">
        <w:rPr>
          <w:rFonts w:asciiTheme="minorHAnsi" w:hAnsiTheme="minorHAnsi" w:cstheme="minorHAnsi"/>
          <w:sz w:val="28"/>
          <w:szCs w:val="28"/>
        </w:rPr>
        <w:t xml:space="preserve">Equality and Human Rights Commission. (2016) </w:t>
      </w:r>
      <w:r w:rsidRPr="003F14AE">
        <w:rPr>
          <w:rFonts w:asciiTheme="minorHAnsi" w:hAnsiTheme="minorHAnsi" w:cstheme="minorHAnsi"/>
          <w:i/>
          <w:iCs/>
          <w:sz w:val="28"/>
          <w:szCs w:val="28"/>
        </w:rPr>
        <w:t xml:space="preserve">How are your rights protected? </w:t>
      </w:r>
      <w:r w:rsidRPr="003F14AE">
        <w:rPr>
          <w:rFonts w:asciiTheme="minorHAnsi" w:hAnsiTheme="minorHAnsi" w:cstheme="minorHAnsi"/>
          <w:sz w:val="28"/>
          <w:szCs w:val="28"/>
        </w:rPr>
        <w:t>Available at</w:t>
      </w:r>
    </w:p>
    <w:p w14:paraId="370BDD4E" w14:textId="77777777" w:rsidR="003F14AE" w:rsidRPr="003F14AE" w:rsidRDefault="003F14AE" w:rsidP="003F14AE">
      <w:pPr>
        <w:spacing w:line="360" w:lineRule="auto"/>
        <w:jc w:val="both"/>
        <w:rPr>
          <w:rFonts w:asciiTheme="minorHAnsi" w:hAnsiTheme="minorHAnsi" w:cstheme="minorHAnsi"/>
          <w:sz w:val="28"/>
          <w:szCs w:val="28"/>
        </w:rPr>
      </w:pPr>
      <w:hyperlink r:id="rId20" w:history="1">
        <w:r w:rsidRPr="003F14AE">
          <w:rPr>
            <w:rStyle w:val="Hyperlink"/>
            <w:rFonts w:asciiTheme="minorHAnsi" w:hAnsiTheme="minorHAnsi" w:cstheme="minorHAnsi"/>
            <w:sz w:val="28"/>
            <w:szCs w:val="28"/>
          </w:rPr>
          <w:t>https://www.equalityhumanrights.com/en/what-are-human-rights/how-are-your-rights-protected</w:t>
        </w:r>
      </w:hyperlink>
      <w:r w:rsidRPr="003F14AE">
        <w:rPr>
          <w:rFonts w:asciiTheme="minorHAnsi" w:hAnsiTheme="minorHAnsi" w:cstheme="minorHAnsi"/>
          <w:sz w:val="28"/>
          <w:szCs w:val="28"/>
        </w:rPr>
        <w:t xml:space="preserve"> </w:t>
      </w:r>
    </w:p>
    <w:p w14:paraId="5D35D81E" w14:textId="77777777" w:rsidR="003F14AE" w:rsidRPr="003F14AE" w:rsidRDefault="003F14AE" w:rsidP="003F14AE">
      <w:pPr>
        <w:spacing w:before="100" w:beforeAutospacing="1" w:after="100" w:afterAutospacing="1" w:line="360" w:lineRule="auto"/>
        <w:rPr>
          <w:rFonts w:asciiTheme="minorHAnsi" w:hAnsiTheme="minorHAnsi" w:cs="Calibri"/>
          <w:sz w:val="28"/>
          <w:szCs w:val="28"/>
        </w:rPr>
      </w:pPr>
      <w:r w:rsidRPr="003F14AE">
        <w:rPr>
          <w:rFonts w:asciiTheme="minorHAnsi" w:hAnsiTheme="minorHAnsi" w:cs="Calibri"/>
          <w:sz w:val="28"/>
          <w:szCs w:val="28"/>
        </w:rPr>
        <w:t xml:space="preserve">‌Finkelestein V (1998) Re-thinking care in a society providing equal opportunities for all. Discussion Paper Prepared for the World Health Organization. Milton Keynes: Open University. Available at: </w:t>
      </w:r>
      <w:hyperlink r:id="rId21" w:history="1">
        <w:r w:rsidRPr="003F14AE">
          <w:rPr>
            <w:rStyle w:val="Hyperlink"/>
            <w:rFonts w:asciiTheme="minorHAnsi" w:hAnsiTheme="minorHAnsi" w:cs="Calibri"/>
            <w:sz w:val="28"/>
            <w:szCs w:val="28"/>
          </w:rPr>
          <w:t>https://disability-studies.leeds.ac.uk/library/titles/R/</w:t>
        </w:r>
      </w:hyperlink>
      <w:r w:rsidRPr="003F14AE">
        <w:rPr>
          <w:rFonts w:asciiTheme="minorHAnsi" w:hAnsiTheme="minorHAnsi" w:cs="Calibri"/>
          <w:sz w:val="28"/>
          <w:szCs w:val="28"/>
        </w:rPr>
        <w:t xml:space="preserve"> </w:t>
      </w:r>
    </w:p>
    <w:p w14:paraId="75B0EE7B" w14:textId="77777777" w:rsidR="003F14AE" w:rsidRPr="003F14AE" w:rsidRDefault="003F14AE" w:rsidP="003F14AE">
      <w:pPr>
        <w:spacing w:before="100" w:beforeAutospacing="1" w:after="100" w:afterAutospacing="1" w:line="360" w:lineRule="auto"/>
        <w:rPr>
          <w:rFonts w:asciiTheme="minorHAnsi" w:hAnsiTheme="minorHAnsi" w:cs="Calibri"/>
          <w:sz w:val="28"/>
          <w:szCs w:val="28"/>
        </w:rPr>
      </w:pPr>
      <w:r w:rsidRPr="003F14AE">
        <w:rPr>
          <w:rFonts w:asciiTheme="minorHAnsi" w:hAnsiTheme="minorHAnsi" w:cs="Calibri"/>
          <w:sz w:val="28"/>
          <w:szCs w:val="28"/>
        </w:rPr>
        <w:t>Foucault, M. (1977). Discipline and punish: The birth of the prison. Translated by A. Sheridan. New York: Vintage Books.</w:t>
      </w:r>
    </w:p>
    <w:p w14:paraId="1FB9E0FE" w14:textId="77777777" w:rsidR="003F14AE" w:rsidRPr="003F14AE" w:rsidRDefault="003F14AE" w:rsidP="003F14AE">
      <w:pPr>
        <w:spacing w:before="100" w:beforeAutospacing="1" w:after="100" w:afterAutospacing="1" w:line="360" w:lineRule="auto"/>
        <w:jc w:val="both"/>
        <w:rPr>
          <w:rFonts w:asciiTheme="minorHAnsi" w:hAnsiTheme="minorHAnsi" w:cs="Calibri"/>
          <w:sz w:val="28"/>
          <w:szCs w:val="28"/>
        </w:rPr>
      </w:pPr>
      <w:r w:rsidRPr="003F14AE">
        <w:rPr>
          <w:rFonts w:asciiTheme="minorHAnsi" w:hAnsiTheme="minorHAnsi" w:cs="Calibri"/>
          <w:sz w:val="28"/>
          <w:szCs w:val="28"/>
        </w:rPr>
        <w:t>Gibbs, G. (1998). Learning by Doing: a guide to teaching and learning methods. London: Further Education Unit.</w:t>
      </w:r>
    </w:p>
    <w:p w14:paraId="38F930F0" w14:textId="77777777" w:rsidR="003F14AE" w:rsidRPr="003F14AE" w:rsidRDefault="003F14AE" w:rsidP="003F14AE">
      <w:pPr>
        <w:pStyle w:val="Bibliography"/>
        <w:spacing w:line="360" w:lineRule="auto"/>
        <w:rPr>
          <w:sz w:val="28"/>
          <w:szCs w:val="28"/>
          <w:lang w:val="en-US"/>
        </w:rPr>
      </w:pPr>
      <w:r w:rsidRPr="003F14AE">
        <w:rPr>
          <w:sz w:val="28"/>
          <w:szCs w:val="28"/>
          <w:lang w:val="en-US"/>
        </w:rPr>
        <w:lastRenderedPageBreak/>
        <w:t xml:space="preserve">Group, A. W. C. P. P. R., 2008. </w:t>
      </w:r>
      <w:r w:rsidRPr="003F14AE">
        <w:rPr>
          <w:i/>
          <w:iCs/>
          <w:sz w:val="28"/>
          <w:szCs w:val="28"/>
          <w:lang w:val="en-US"/>
        </w:rPr>
        <w:t xml:space="preserve">All Wales Child Protection Procedures. </w:t>
      </w:r>
      <w:r w:rsidRPr="003F14AE">
        <w:rPr>
          <w:sz w:val="28"/>
          <w:szCs w:val="28"/>
          <w:lang w:val="en-US"/>
        </w:rPr>
        <w:t>Cardiff, All Wales Child Protection Procedures Review Group.</w:t>
      </w:r>
    </w:p>
    <w:p w14:paraId="4AD737A9" w14:textId="77777777" w:rsidR="003F14AE" w:rsidRPr="003F14AE" w:rsidRDefault="003F14AE" w:rsidP="003F14AE">
      <w:pPr>
        <w:spacing w:line="360" w:lineRule="auto"/>
        <w:rPr>
          <w:rFonts w:asciiTheme="minorHAnsi" w:hAnsiTheme="minorHAnsi" w:cstheme="minorHAnsi"/>
          <w:sz w:val="28"/>
          <w:szCs w:val="28"/>
        </w:rPr>
      </w:pPr>
      <w:r w:rsidRPr="003F14AE">
        <w:rPr>
          <w:rFonts w:asciiTheme="minorHAnsi" w:hAnsiTheme="minorHAnsi" w:cstheme="minorHAnsi"/>
          <w:i/>
          <w:iCs/>
          <w:sz w:val="28"/>
          <w:szCs w:val="28"/>
        </w:rPr>
        <w:t xml:space="preserve">Human Rights Act 1998. </w:t>
      </w:r>
      <w:r w:rsidRPr="003F14AE">
        <w:rPr>
          <w:rFonts w:asciiTheme="minorHAnsi" w:hAnsiTheme="minorHAnsi" w:cstheme="minorHAnsi"/>
          <w:sz w:val="28"/>
          <w:szCs w:val="28"/>
        </w:rPr>
        <w:t xml:space="preserve">Available at </w:t>
      </w:r>
      <w:hyperlink r:id="rId22" w:history="1">
        <w:r w:rsidRPr="003F14AE">
          <w:rPr>
            <w:rStyle w:val="Hyperlink"/>
            <w:rFonts w:asciiTheme="minorHAnsi" w:hAnsiTheme="minorHAnsi" w:cstheme="minorHAnsi"/>
            <w:sz w:val="28"/>
            <w:szCs w:val="28"/>
          </w:rPr>
          <w:t>https://www.legislation.gov.uk/ukpga/1998/42/contents</w:t>
        </w:r>
      </w:hyperlink>
      <w:r w:rsidRPr="003F14AE">
        <w:rPr>
          <w:rFonts w:asciiTheme="minorHAnsi" w:hAnsiTheme="minorHAnsi" w:cstheme="minorHAnsi"/>
          <w:sz w:val="28"/>
          <w:szCs w:val="28"/>
        </w:rPr>
        <w:t xml:space="preserve"> </w:t>
      </w:r>
    </w:p>
    <w:p w14:paraId="3D7F2B62" w14:textId="77777777" w:rsidR="003F14AE" w:rsidRPr="003F14AE" w:rsidRDefault="003F14AE" w:rsidP="003F14AE">
      <w:pPr>
        <w:spacing w:line="360" w:lineRule="auto"/>
        <w:jc w:val="both"/>
        <w:rPr>
          <w:rFonts w:asciiTheme="minorHAnsi" w:hAnsiTheme="minorHAnsi" w:cstheme="minorHAnsi"/>
          <w:sz w:val="28"/>
          <w:szCs w:val="28"/>
        </w:rPr>
      </w:pPr>
      <w:r w:rsidRPr="003F14AE">
        <w:rPr>
          <w:rFonts w:asciiTheme="minorHAnsi" w:hAnsiTheme="minorHAnsi" w:cstheme="minorHAnsi"/>
          <w:sz w:val="28"/>
          <w:szCs w:val="28"/>
        </w:rPr>
        <w:t xml:space="preserve">International Federation of Social Workers. (2012) </w:t>
      </w:r>
      <w:r w:rsidRPr="003F14AE">
        <w:rPr>
          <w:rFonts w:asciiTheme="minorHAnsi" w:hAnsiTheme="minorHAnsi" w:cstheme="minorHAnsi"/>
          <w:i/>
          <w:iCs/>
          <w:sz w:val="28"/>
          <w:szCs w:val="28"/>
        </w:rPr>
        <w:t xml:space="preserve">Statement of Ethical Principles. </w:t>
      </w:r>
      <w:r w:rsidRPr="003F14AE">
        <w:rPr>
          <w:rFonts w:asciiTheme="minorHAnsi" w:hAnsiTheme="minorHAnsi" w:cstheme="minorHAnsi"/>
          <w:sz w:val="28"/>
          <w:szCs w:val="28"/>
        </w:rPr>
        <w:t>Available at</w:t>
      </w:r>
    </w:p>
    <w:p w14:paraId="52B01209" w14:textId="77777777" w:rsidR="003F14AE" w:rsidRPr="003F14AE" w:rsidRDefault="003F14AE" w:rsidP="003F14AE">
      <w:pPr>
        <w:spacing w:line="360" w:lineRule="auto"/>
        <w:jc w:val="both"/>
        <w:rPr>
          <w:rFonts w:asciiTheme="minorHAnsi" w:hAnsiTheme="minorHAnsi" w:cstheme="minorHAnsi"/>
          <w:sz w:val="28"/>
          <w:szCs w:val="28"/>
        </w:rPr>
      </w:pPr>
      <w:hyperlink r:id="rId23" w:history="1">
        <w:r w:rsidRPr="003F14AE">
          <w:rPr>
            <w:rStyle w:val="Hyperlink"/>
            <w:rFonts w:asciiTheme="minorHAnsi" w:hAnsiTheme="minorHAnsi" w:cstheme="minorHAnsi"/>
            <w:sz w:val="28"/>
            <w:szCs w:val="28"/>
          </w:rPr>
          <w:t>http://ifsw.org/policies/statement-of-ethical-principles/</w:t>
        </w:r>
      </w:hyperlink>
    </w:p>
    <w:p w14:paraId="47B0CF64" w14:textId="77777777" w:rsidR="003F14AE" w:rsidRPr="003F14AE" w:rsidRDefault="003F14AE" w:rsidP="003F14AE">
      <w:pPr>
        <w:spacing w:before="100" w:beforeAutospacing="1" w:after="100" w:afterAutospacing="1" w:line="360" w:lineRule="auto"/>
        <w:rPr>
          <w:rFonts w:asciiTheme="minorHAnsi" w:hAnsiTheme="minorHAnsi" w:cs="Calibri"/>
          <w:sz w:val="28"/>
          <w:szCs w:val="28"/>
        </w:rPr>
      </w:pPr>
      <w:r w:rsidRPr="003F14AE">
        <w:rPr>
          <w:rFonts w:asciiTheme="minorHAnsi" w:hAnsiTheme="minorHAnsi" w:cs="Calibri"/>
          <w:sz w:val="28"/>
          <w:szCs w:val="28"/>
        </w:rPr>
        <w:t>Jasper, M. (2013). </w:t>
      </w:r>
      <w:r w:rsidRPr="003F14AE">
        <w:rPr>
          <w:rFonts w:asciiTheme="minorHAnsi" w:hAnsiTheme="minorHAnsi" w:cs="Calibri"/>
          <w:i/>
          <w:iCs/>
          <w:sz w:val="28"/>
          <w:szCs w:val="28"/>
        </w:rPr>
        <w:t>Beginning reflective practice</w:t>
      </w:r>
      <w:r w:rsidRPr="003F14AE">
        <w:rPr>
          <w:rFonts w:asciiTheme="minorHAnsi" w:hAnsiTheme="minorHAnsi" w:cs="Calibri"/>
          <w:sz w:val="28"/>
          <w:szCs w:val="28"/>
        </w:rPr>
        <w:t>. Cheltenham: Nelson Thornes.</w:t>
      </w:r>
    </w:p>
    <w:p w14:paraId="65110D49" w14:textId="77777777" w:rsidR="003F14AE" w:rsidRPr="003F14AE" w:rsidRDefault="003F14AE" w:rsidP="003F14AE">
      <w:pPr>
        <w:spacing w:before="100" w:beforeAutospacing="1" w:after="100" w:afterAutospacing="1" w:line="360" w:lineRule="auto"/>
        <w:rPr>
          <w:rFonts w:asciiTheme="minorHAnsi" w:hAnsiTheme="minorHAnsi" w:cs="Calibri"/>
          <w:sz w:val="28"/>
          <w:szCs w:val="28"/>
        </w:rPr>
      </w:pPr>
      <w:r w:rsidRPr="003F14AE">
        <w:rPr>
          <w:rFonts w:asciiTheme="minorHAnsi" w:hAnsiTheme="minorHAnsi" w:cs="Calibri"/>
          <w:sz w:val="28"/>
          <w:szCs w:val="28"/>
        </w:rPr>
        <w:t>‌</w:t>
      </w:r>
      <w:r w:rsidRPr="003F14AE">
        <w:rPr>
          <w:rFonts w:asciiTheme="minorHAnsi" w:hAnsiTheme="minorHAnsi" w:cstheme="minorHAnsi"/>
          <w:color w:val="000000" w:themeColor="text1"/>
          <w:sz w:val="28"/>
          <w:szCs w:val="28"/>
        </w:rPr>
        <w:t>John Preston Wilson, Terence Martin Keane and Press, G. (2006). </w:t>
      </w:r>
      <w:r w:rsidRPr="003F14AE">
        <w:rPr>
          <w:rFonts w:asciiTheme="minorHAnsi" w:hAnsiTheme="minorHAnsi" w:cstheme="minorHAnsi"/>
          <w:i/>
          <w:iCs/>
          <w:color w:val="000000" w:themeColor="text1"/>
          <w:sz w:val="28"/>
          <w:szCs w:val="28"/>
        </w:rPr>
        <w:t>Assessing psychological trauma and PTSD</w:t>
      </w:r>
      <w:r w:rsidRPr="003F14AE">
        <w:rPr>
          <w:rFonts w:asciiTheme="minorHAnsi" w:hAnsiTheme="minorHAnsi" w:cstheme="minorHAnsi"/>
          <w:color w:val="000000" w:themeColor="text1"/>
          <w:sz w:val="28"/>
          <w:szCs w:val="28"/>
        </w:rPr>
        <w:t>. New York ; London: The Guilford Press, [Post ], Cop.</w:t>
      </w:r>
    </w:p>
    <w:p w14:paraId="5A37A12E" w14:textId="77777777" w:rsidR="003F14AE" w:rsidRPr="003F14AE" w:rsidRDefault="003F14AE" w:rsidP="003F14AE">
      <w:pPr>
        <w:pStyle w:val="NormalWeb"/>
        <w:spacing w:before="0" w:beforeAutospacing="0" w:after="0" w:afterAutospacing="0" w:line="360" w:lineRule="auto"/>
        <w:jc w:val="both"/>
        <w:rPr>
          <w:rFonts w:asciiTheme="minorHAnsi" w:hAnsiTheme="minorHAnsi" w:cs="Calibri"/>
          <w:color w:val="000000"/>
          <w:sz w:val="28"/>
          <w:szCs w:val="28"/>
        </w:rPr>
      </w:pPr>
      <w:r w:rsidRPr="003F14AE">
        <w:rPr>
          <w:rFonts w:asciiTheme="minorHAnsi" w:hAnsiTheme="minorHAnsi" w:cs="Calibri"/>
          <w:color w:val="000000"/>
          <w:sz w:val="28"/>
          <w:szCs w:val="28"/>
        </w:rPr>
        <w:t>Keane, Terence M. and Jessica Wolfe. “Comorbidity In Post‐Traumatic Stress Disorder An Analysis of Community and Clinical Studies1.” Journal of Applied Social Psychology 20 (1990): 1776-1788.</w:t>
      </w:r>
    </w:p>
    <w:p w14:paraId="232F3EA0" w14:textId="77777777" w:rsidR="003F14AE" w:rsidRPr="003F14AE" w:rsidRDefault="003F14AE" w:rsidP="003F14AE">
      <w:pPr>
        <w:pStyle w:val="NormalWeb"/>
        <w:spacing w:line="360" w:lineRule="auto"/>
        <w:jc w:val="both"/>
        <w:rPr>
          <w:rFonts w:asciiTheme="minorHAnsi" w:hAnsiTheme="minorHAnsi" w:cs="Calibri"/>
          <w:color w:val="000000"/>
          <w:sz w:val="28"/>
          <w:szCs w:val="28"/>
        </w:rPr>
      </w:pPr>
      <w:r w:rsidRPr="003F14AE">
        <w:rPr>
          <w:rFonts w:asciiTheme="minorHAnsi" w:hAnsiTheme="minorHAnsi" w:cs="Calibri"/>
          <w:color w:val="000000"/>
          <w:sz w:val="28"/>
          <w:szCs w:val="28"/>
        </w:rPr>
        <w:t>‌Kennerley, H. (1996). Cognitive therapy of dissociative symptoms associated with trauma. British Journal of Clinical Psychology, 35(3), 325-340.</w:t>
      </w:r>
    </w:p>
    <w:p w14:paraId="66823C97" w14:textId="77777777" w:rsidR="003F14AE" w:rsidRPr="003F14AE" w:rsidRDefault="003F14AE" w:rsidP="003F14AE">
      <w:pPr>
        <w:spacing w:line="360" w:lineRule="auto"/>
        <w:jc w:val="both"/>
        <w:rPr>
          <w:rFonts w:asciiTheme="minorHAnsi" w:hAnsiTheme="minorHAnsi" w:cs="Calibri"/>
          <w:sz w:val="28"/>
          <w:szCs w:val="28"/>
        </w:rPr>
      </w:pPr>
      <w:r w:rsidRPr="003F14AE">
        <w:rPr>
          <w:rFonts w:asciiTheme="minorHAnsi" w:hAnsiTheme="minorHAnsi" w:cs="Calibri"/>
          <w:sz w:val="28"/>
          <w:szCs w:val="28"/>
        </w:rPr>
        <w:t>Lilienfeld SO, Basterfield C. Reflective practice in clinical psychology: Reflections from basic psychological science. Clin Psychol Sci Pract. 2020;27(4):e12352. doi:10.1111/cpsp.12352</w:t>
      </w:r>
    </w:p>
    <w:p w14:paraId="2D5B5D19" w14:textId="77777777" w:rsidR="003F14AE" w:rsidRPr="003F14AE" w:rsidRDefault="003F14AE" w:rsidP="003F14AE">
      <w:pPr>
        <w:spacing w:before="100" w:beforeAutospacing="1" w:after="100" w:afterAutospacing="1" w:line="360" w:lineRule="auto"/>
        <w:rPr>
          <w:rFonts w:asciiTheme="minorHAnsi" w:hAnsiTheme="minorHAnsi" w:cs="Calibri"/>
          <w:sz w:val="28"/>
          <w:szCs w:val="28"/>
        </w:rPr>
      </w:pPr>
      <w:r w:rsidRPr="003F14AE">
        <w:rPr>
          <w:rFonts w:asciiTheme="minorHAnsi" w:hAnsiTheme="minorHAnsi" w:cs="Calibri"/>
          <w:sz w:val="28"/>
          <w:szCs w:val="28"/>
        </w:rPr>
        <w:t>‌</w:t>
      </w:r>
      <w:r w:rsidRPr="003F14AE">
        <w:rPr>
          <w:rFonts w:asciiTheme="minorHAnsi" w:hAnsiTheme="minorHAnsi" w:cstheme="minorHAnsi"/>
          <w:color w:val="000000" w:themeColor="text1"/>
          <w:sz w:val="28"/>
          <w:szCs w:val="28"/>
        </w:rPr>
        <w:t>Lukaschek, K., Kruse, J., Emeny, R.T., Lacruz, M.E., von Eisenhart Rothe, A. and Ladwig, K.-H. (2012). Lifetime traumatic experiences and their impact on PTSD: a general population study. </w:t>
      </w:r>
      <w:r w:rsidRPr="003F14AE">
        <w:rPr>
          <w:rFonts w:asciiTheme="minorHAnsi" w:hAnsiTheme="minorHAnsi" w:cstheme="minorHAnsi"/>
          <w:i/>
          <w:iCs/>
          <w:color w:val="000000" w:themeColor="text1"/>
          <w:sz w:val="28"/>
          <w:szCs w:val="28"/>
        </w:rPr>
        <w:t>Social Psychiatry and Psychiatric Epidemiology</w:t>
      </w:r>
      <w:r w:rsidRPr="003F14AE">
        <w:rPr>
          <w:rFonts w:asciiTheme="minorHAnsi" w:hAnsiTheme="minorHAnsi" w:cstheme="minorHAnsi"/>
          <w:color w:val="000000" w:themeColor="text1"/>
          <w:sz w:val="28"/>
          <w:szCs w:val="28"/>
        </w:rPr>
        <w:t xml:space="preserve">, 48(4), pp.525–532. doi: </w:t>
      </w:r>
      <w:hyperlink r:id="rId24" w:history="1">
        <w:r w:rsidRPr="003F14AE">
          <w:rPr>
            <w:rStyle w:val="Hyperlink"/>
            <w:rFonts w:asciiTheme="minorHAnsi" w:hAnsiTheme="minorHAnsi" w:cstheme="minorHAnsi"/>
            <w:sz w:val="28"/>
            <w:szCs w:val="28"/>
          </w:rPr>
          <w:t>https://doi.org/10.1007/s00127-012-0585-7</w:t>
        </w:r>
      </w:hyperlink>
      <w:r w:rsidRPr="003F14AE">
        <w:rPr>
          <w:rFonts w:asciiTheme="minorHAnsi" w:hAnsiTheme="minorHAnsi" w:cstheme="minorHAnsi"/>
          <w:color w:val="000000" w:themeColor="text1"/>
          <w:sz w:val="28"/>
          <w:szCs w:val="28"/>
        </w:rPr>
        <w:t xml:space="preserve">  </w:t>
      </w:r>
    </w:p>
    <w:p w14:paraId="250F65AB" w14:textId="77777777" w:rsidR="003F14AE" w:rsidRPr="003F14AE" w:rsidRDefault="003F14AE" w:rsidP="003F14AE">
      <w:pPr>
        <w:pStyle w:val="NormalWeb"/>
        <w:spacing w:before="0" w:beforeAutospacing="0" w:after="0" w:afterAutospacing="0" w:line="360" w:lineRule="auto"/>
        <w:jc w:val="both"/>
        <w:rPr>
          <w:rFonts w:asciiTheme="minorHAnsi" w:hAnsiTheme="minorHAnsi" w:cstheme="minorHAnsi"/>
          <w:color w:val="000000" w:themeColor="text1"/>
          <w:sz w:val="28"/>
          <w:szCs w:val="28"/>
        </w:rPr>
      </w:pPr>
      <w:r w:rsidRPr="003F14AE">
        <w:rPr>
          <w:rFonts w:asciiTheme="minorHAnsi" w:hAnsiTheme="minorHAnsi" w:cstheme="minorHAnsi"/>
          <w:color w:val="000000" w:themeColor="text1"/>
          <w:sz w:val="28"/>
          <w:szCs w:val="28"/>
        </w:rPr>
        <w:lastRenderedPageBreak/>
        <w:t>Maisel NC, Gable SL: The paradox of received social support: the importance of responsiveness. Psychol Sci 2009; 20:928–932 Crossref, Google Scholar</w:t>
      </w:r>
    </w:p>
    <w:p w14:paraId="5ABC25F0" w14:textId="77777777" w:rsidR="003F14AE" w:rsidRPr="003F14AE" w:rsidRDefault="003F14AE" w:rsidP="003F14AE">
      <w:pPr>
        <w:pStyle w:val="NormalWeb"/>
        <w:spacing w:before="0" w:beforeAutospacing="0" w:after="0" w:afterAutospacing="0" w:line="360" w:lineRule="auto"/>
        <w:jc w:val="both"/>
        <w:rPr>
          <w:rFonts w:asciiTheme="minorHAnsi" w:hAnsiTheme="minorHAnsi" w:cstheme="minorHAnsi"/>
          <w:color w:val="000000"/>
          <w:sz w:val="28"/>
          <w:szCs w:val="28"/>
        </w:rPr>
      </w:pPr>
      <w:r w:rsidRPr="003F14AE">
        <w:rPr>
          <w:rFonts w:asciiTheme="minorHAnsi" w:hAnsiTheme="minorHAnsi" w:cstheme="minorHAnsi"/>
          <w:color w:val="000000"/>
          <w:sz w:val="28"/>
          <w:szCs w:val="28"/>
        </w:rPr>
        <w:t>Maercker, A. and Horn, A.B. (2012). A Socio-interpersonal Perspective on PTSD: The Case for Environments and Interpersonal Processes. </w:t>
      </w:r>
      <w:r w:rsidRPr="003F14AE">
        <w:rPr>
          <w:rFonts w:asciiTheme="minorHAnsi" w:hAnsiTheme="minorHAnsi" w:cstheme="minorHAnsi"/>
          <w:i/>
          <w:iCs/>
          <w:color w:val="000000"/>
          <w:sz w:val="28"/>
          <w:szCs w:val="28"/>
        </w:rPr>
        <w:t>Clinical Psychology &amp; Psychotherapy</w:t>
      </w:r>
      <w:r w:rsidRPr="003F14AE">
        <w:rPr>
          <w:rFonts w:asciiTheme="minorHAnsi" w:hAnsiTheme="minorHAnsi" w:cstheme="minorHAnsi"/>
          <w:color w:val="000000"/>
          <w:sz w:val="28"/>
          <w:szCs w:val="28"/>
        </w:rPr>
        <w:t xml:space="preserve">, 20(6), pp.465–481. doi: </w:t>
      </w:r>
      <w:hyperlink r:id="rId25" w:history="1">
        <w:r w:rsidRPr="003F14AE">
          <w:rPr>
            <w:rStyle w:val="Hyperlink"/>
            <w:rFonts w:asciiTheme="minorHAnsi" w:hAnsiTheme="minorHAnsi" w:cstheme="minorHAnsi"/>
            <w:sz w:val="28"/>
            <w:szCs w:val="28"/>
          </w:rPr>
          <w:t>https://doi.org/10.1002/cpp.1805</w:t>
        </w:r>
      </w:hyperlink>
    </w:p>
    <w:p w14:paraId="7F0859B3" w14:textId="77777777" w:rsidR="003F14AE" w:rsidRPr="003F14AE" w:rsidRDefault="003F14AE" w:rsidP="003F14AE">
      <w:pPr>
        <w:spacing w:line="360" w:lineRule="auto"/>
        <w:jc w:val="both"/>
        <w:rPr>
          <w:rFonts w:asciiTheme="minorHAnsi" w:hAnsiTheme="minorHAnsi" w:cs="Calibri"/>
          <w:sz w:val="28"/>
          <w:szCs w:val="28"/>
        </w:rPr>
      </w:pPr>
      <w:r w:rsidRPr="003F14AE">
        <w:rPr>
          <w:rFonts w:asciiTheme="minorHAnsi" w:hAnsiTheme="minorHAnsi" w:cs="Calibri"/>
          <w:sz w:val="28"/>
          <w:szCs w:val="28"/>
        </w:rPr>
        <w:t>McMurran, M. (2011). Forensic case formulation. International Journal of Forensic Mental Health, 10 (2), 118-126.</w:t>
      </w:r>
    </w:p>
    <w:p w14:paraId="7E662F58" w14:textId="77777777" w:rsidR="003F14AE" w:rsidRPr="003F14AE" w:rsidRDefault="003F14AE" w:rsidP="003F14AE">
      <w:pPr>
        <w:spacing w:line="360" w:lineRule="auto"/>
        <w:rPr>
          <w:rFonts w:asciiTheme="minorHAnsi" w:hAnsiTheme="minorHAnsi" w:cstheme="minorHAnsi"/>
          <w:sz w:val="28"/>
          <w:szCs w:val="28"/>
        </w:rPr>
      </w:pPr>
      <w:r w:rsidRPr="003F14AE">
        <w:rPr>
          <w:rFonts w:asciiTheme="minorHAnsi" w:hAnsiTheme="minorHAnsi" w:cstheme="minorHAnsi"/>
          <w:i/>
          <w:iCs/>
          <w:sz w:val="28"/>
          <w:szCs w:val="28"/>
        </w:rPr>
        <w:t xml:space="preserve">Mental Capacity Act 2005. </w:t>
      </w:r>
      <w:r w:rsidRPr="003F14AE">
        <w:rPr>
          <w:rFonts w:asciiTheme="minorHAnsi" w:hAnsiTheme="minorHAnsi" w:cstheme="minorHAnsi"/>
          <w:sz w:val="28"/>
          <w:szCs w:val="28"/>
        </w:rPr>
        <w:t xml:space="preserve">Available at </w:t>
      </w:r>
      <w:hyperlink r:id="rId26" w:history="1">
        <w:r w:rsidRPr="003F14AE">
          <w:rPr>
            <w:rStyle w:val="Hyperlink"/>
            <w:rFonts w:asciiTheme="minorHAnsi" w:hAnsiTheme="minorHAnsi" w:cstheme="minorHAnsi"/>
            <w:sz w:val="28"/>
            <w:szCs w:val="28"/>
          </w:rPr>
          <w:t>https://www.legislation.gov.uk/ukpga/2005/9/contents</w:t>
        </w:r>
      </w:hyperlink>
      <w:r w:rsidRPr="003F14AE">
        <w:rPr>
          <w:rFonts w:asciiTheme="minorHAnsi" w:hAnsiTheme="minorHAnsi" w:cstheme="minorHAnsi"/>
          <w:sz w:val="28"/>
          <w:szCs w:val="28"/>
        </w:rPr>
        <w:t xml:space="preserve"> </w:t>
      </w:r>
    </w:p>
    <w:p w14:paraId="313344F8" w14:textId="77777777" w:rsidR="003F14AE" w:rsidRPr="003F14AE" w:rsidRDefault="003F14AE" w:rsidP="003F14AE">
      <w:pPr>
        <w:spacing w:line="360" w:lineRule="auto"/>
        <w:rPr>
          <w:rFonts w:asciiTheme="minorHAnsi" w:hAnsiTheme="minorHAnsi" w:cstheme="minorHAnsi"/>
          <w:sz w:val="28"/>
          <w:szCs w:val="28"/>
        </w:rPr>
      </w:pPr>
      <w:r w:rsidRPr="003F14AE">
        <w:rPr>
          <w:rFonts w:asciiTheme="minorHAnsi" w:hAnsiTheme="minorHAnsi" w:cstheme="minorHAnsi"/>
          <w:i/>
          <w:iCs/>
          <w:sz w:val="28"/>
          <w:szCs w:val="28"/>
        </w:rPr>
        <w:t xml:space="preserve">Mental Health Act 1983. </w:t>
      </w:r>
      <w:r w:rsidRPr="003F14AE">
        <w:rPr>
          <w:rFonts w:asciiTheme="minorHAnsi" w:hAnsiTheme="minorHAnsi" w:cstheme="minorHAnsi"/>
          <w:sz w:val="28"/>
          <w:szCs w:val="28"/>
        </w:rPr>
        <w:t xml:space="preserve">Available at </w:t>
      </w:r>
      <w:hyperlink r:id="rId27" w:history="1">
        <w:r w:rsidRPr="003F14AE">
          <w:rPr>
            <w:rStyle w:val="Hyperlink"/>
            <w:rFonts w:asciiTheme="minorHAnsi" w:hAnsiTheme="minorHAnsi" w:cstheme="minorHAnsi"/>
            <w:sz w:val="28"/>
            <w:szCs w:val="28"/>
          </w:rPr>
          <w:t>https://www.legislation.gov.uk/ukpga/1983/20/contents</w:t>
        </w:r>
      </w:hyperlink>
    </w:p>
    <w:p w14:paraId="16E9BDA1" w14:textId="77777777" w:rsidR="003F14AE" w:rsidRPr="003F14AE" w:rsidRDefault="003F14AE" w:rsidP="003F14AE">
      <w:pPr>
        <w:spacing w:line="360" w:lineRule="auto"/>
        <w:rPr>
          <w:rFonts w:asciiTheme="minorHAnsi" w:hAnsiTheme="minorHAnsi" w:cstheme="minorHAnsi"/>
          <w:sz w:val="28"/>
          <w:szCs w:val="28"/>
        </w:rPr>
      </w:pPr>
    </w:p>
    <w:p w14:paraId="201C93AB" w14:textId="77777777" w:rsidR="003F14AE" w:rsidRPr="003F14AE" w:rsidRDefault="003F14AE" w:rsidP="003F14AE">
      <w:pPr>
        <w:spacing w:line="360" w:lineRule="auto"/>
        <w:rPr>
          <w:rFonts w:asciiTheme="minorHAnsi" w:hAnsiTheme="minorHAnsi" w:cstheme="minorHAnsi"/>
          <w:sz w:val="28"/>
          <w:szCs w:val="28"/>
        </w:rPr>
      </w:pPr>
      <w:r w:rsidRPr="003F14AE">
        <w:rPr>
          <w:rFonts w:asciiTheme="minorHAnsi" w:hAnsiTheme="minorHAnsi" w:cstheme="minorHAnsi"/>
          <w:i/>
          <w:iCs/>
          <w:sz w:val="28"/>
          <w:szCs w:val="28"/>
        </w:rPr>
        <w:t xml:space="preserve">Mental Health (Wales) Measure 2010 </w:t>
      </w:r>
      <w:r w:rsidRPr="003F14AE">
        <w:rPr>
          <w:rFonts w:asciiTheme="minorHAnsi" w:hAnsiTheme="minorHAnsi" w:cstheme="minorHAnsi"/>
          <w:sz w:val="28"/>
          <w:szCs w:val="28"/>
        </w:rPr>
        <w:t>(nawm 7). Available at:</w:t>
      </w:r>
    </w:p>
    <w:p w14:paraId="0359DA38" w14:textId="77777777" w:rsidR="003F14AE" w:rsidRPr="003F14AE" w:rsidRDefault="003F14AE" w:rsidP="003F14AE">
      <w:pPr>
        <w:spacing w:line="360" w:lineRule="auto"/>
        <w:rPr>
          <w:rFonts w:asciiTheme="minorHAnsi" w:hAnsiTheme="minorHAnsi" w:cstheme="minorHAnsi"/>
          <w:sz w:val="28"/>
          <w:szCs w:val="28"/>
        </w:rPr>
      </w:pPr>
      <w:hyperlink r:id="rId28" w:history="1">
        <w:r w:rsidRPr="003F14AE">
          <w:rPr>
            <w:rStyle w:val="Hyperlink"/>
            <w:rFonts w:asciiTheme="minorHAnsi" w:hAnsiTheme="minorHAnsi" w:cstheme="minorHAnsi"/>
            <w:sz w:val="28"/>
            <w:szCs w:val="28"/>
          </w:rPr>
          <w:t>https://www.legislation.gov.uk/mwa/2010/7/contents</w:t>
        </w:r>
      </w:hyperlink>
    </w:p>
    <w:p w14:paraId="29155AAE" w14:textId="77777777" w:rsidR="003F14AE" w:rsidRPr="003F14AE" w:rsidRDefault="003F14AE" w:rsidP="003F14AE">
      <w:pPr>
        <w:spacing w:before="100" w:beforeAutospacing="1" w:after="100" w:afterAutospacing="1" w:line="360" w:lineRule="auto"/>
        <w:jc w:val="both"/>
        <w:rPr>
          <w:rFonts w:asciiTheme="minorHAnsi" w:hAnsiTheme="minorHAnsi" w:cs="Calibri"/>
          <w:sz w:val="28"/>
          <w:szCs w:val="28"/>
        </w:rPr>
      </w:pPr>
      <w:r w:rsidRPr="003F14AE">
        <w:rPr>
          <w:rFonts w:asciiTheme="minorHAnsi" w:hAnsiTheme="minorHAnsi" w:cstheme="minorHAnsi"/>
          <w:sz w:val="28"/>
          <w:szCs w:val="28"/>
        </w:rPr>
        <w:t>Miller, W.R. and Rollnick, S. (1992). </w:t>
      </w:r>
      <w:r w:rsidRPr="003F14AE">
        <w:rPr>
          <w:rFonts w:asciiTheme="minorHAnsi" w:hAnsiTheme="minorHAnsi" w:cstheme="minorHAnsi"/>
          <w:i/>
          <w:iCs/>
          <w:sz w:val="28"/>
          <w:szCs w:val="28"/>
        </w:rPr>
        <w:t>Motivational interviewing : preparing people to change</w:t>
      </w:r>
      <w:r w:rsidRPr="003F14AE">
        <w:rPr>
          <w:rFonts w:asciiTheme="minorHAnsi" w:hAnsiTheme="minorHAnsi" w:cstheme="minorHAnsi"/>
          <w:sz w:val="28"/>
          <w:szCs w:val="28"/>
        </w:rPr>
        <w:t>. New York, Ny: The Guilford Press.</w:t>
      </w:r>
    </w:p>
    <w:p w14:paraId="334491DD" w14:textId="77777777" w:rsidR="003F14AE" w:rsidRPr="003F14AE" w:rsidRDefault="003F14AE" w:rsidP="003F14AE">
      <w:pPr>
        <w:spacing w:line="360" w:lineRule="auto"/>
        <w:jc w:val="both"/>
        <w:rPr>
          <w:rFonts w:asciiTheme="minorHAnsi" w:hAnsiTheme="minorHAnsi" w:cs="Calibri"/>
          <w:sz w:val="28"/>
          <w:szCs w:val="28"/>
        </w:rPr>
      </w:pPr>
      <w:r w:rsidRPr="003F14AE">
        <w:rPr>
          <w:rFonts w:asciiTheme="minorHAnsi" w:hAnsiTheme="minorHAnsi" w:cs="Calibri"/>
          <w:sz w:val="28"/>
          <w:szCs w:val="28"/>
        </w:rPr>
        <w:t>Mor Barak, M.E. et al. (2009) ‘The impact of supervision on worker outcomes: a metaanalysis’, Social Service Review, vol 83, no 1, pp 3−32.</w:t>
      </w:r>
    </w:p>
    <w:p w14:paraId="689C9E27" w14:textId="77777777" w:rsidR="003F14AE" w:rsidRPr="003F14AE" w:rsidRDefault="003F14AE" w:rsidP="003F14AE">
      <w:pPr>
        <w:spacing w:before="100" w:beforeAutospacing="1" w:after="100" w:afterAutospacing="1" w:line="360" w:lineRule="auto"/>
        <w:jc w:val="both"/>
        <w:rPr>
          <w:rFonts w:asciiTheme="minorHAnsi" w:hAnsiTheme="minorHAnsi" w:cs="Calibri"/>
          <w:color w:val="000000" w:themeColor="text1"/>
          <w:sz w:val="28"/>
          <w:szCs w:val="28"/>
        </w:rPr>
      </w:pPr>
      <w:r w:rsidRPr="003F14AE">
        <w:rPr>
          <w:rFonts w:asciiTheme="minorHAnsi" w:hAnsiTheme="minorHAnsi" w:cs="Calibri"/>
          <w:sz w:val="28"/>
          <w:szCs w:val="28"/>
        </w:rPr>
        <w:t>‌</w:t>
      </w:r>
      <w:r w:rsidRPr="003F14AE">
        <w:rPr>
          <w:rFonts w:asciiTheme="minorHAnsi" w:hAnsiTheme="minorHAnsi" w:cs="Calibri"/>
          <w:color w:val="000000" w:themeColor="text1"/>
          <w:sz w:val="28"/>
          <w:szCs w:val="28"/>
        </w:rPr>
        <w:t>Nezu, A.M., Maguth, C. and Lombardo, E.R. (2004). </w:t>
      </w:r>
      <w:r w:rsidRPr="003F14AE">
        <w:rPr>
          <w:rFonts w:asciiTheme="minorHAnsi" w:hAnsiTheme="minorHAnsi" w:cs="Calibri"/>
          <w:i/>
          <w:iCs/>
          <w:color w:val="000000" w:themeColor="text1"/>
          <w:sz w:val="28"/>
          <w:szCs w:val="28"/>
        </w:rPr>
        <w:t>Cognitive-Behavioral Case Formulation and Treatment Design</w:t>
      </w:r>
      <w:r w:rsidRPr="003F14AE">
        <w:rPr>
          <w:rFonts w:asciiTheme="minorHAnsi" w:hAnsiTheme="minorHAnsi" w:cs="Calibri"/>
          <w:color w:val="000000" w:themeColor="text1"/>
          <w:sz w:val="28"/>
          <w:szCs w:val="28"/>
        </w:rPr>
        <w:t>. Springer Publishing Company.</w:t>
      </w:r>
    </w:p>
    <w:p w14:paraId="5B6C3A53" w14:textId="77777777" w:rsidR="003F14AE" w:rsidRPr="003F14AE" w:rsidRDefault="003F14AE" w:rsidP="003F14AE">
      <w:pPr>
        <w:pStyle w:val="Bibliography"/>
        <w:spacing w:line="360" w:lineRule="auto"/>
        <w:rPr>
          <w:sz w:val="28"/>
          <w:szCs w:val="28"/>
          <w:lang w:val="en-US"/>
          <w14:ligatures w14:val="standardContextual"/>
        </w:rPr>
      </w:pPr>
      <w:r w:rsidRPr="003F14AE">
        <w:rPr>
          <w:sz w:val="28"/>
          <w:szCs w:val="28"/>
          <w:lang w:val="en-US"/>
        </w:rPr>
        <w:t xml:space="preserve">NSPCC, 2019. </w:t>
      </w:r>
      <w:r w:rsidRPr="003F14AE">
        <w:rPr>
          <w:i/>
          <w:iCs/>
          <w:sz w:val="28"/>
          <w:szCs w:val="28"/>
          <w:lang w:val="en-US"/>
        </w:rPr>
        <w:t xml:space="preserve">Podcast: safeguarding adults and children. </w:t>
      </w:r>
      <w:r w:rsidRPr="003F14AE">
        <w:rPr>
          <w:sz w:val="28"/>
          <w:szCs w:val="28"/>
          <w:lang w:val="en-US"/>
        </w:rPr>
        <w:t xml:space="preserve">[Online] </w:t>
      </w:r>
      <w:r w:rsidRPr="003F14AE">
        <w:rPr>
          <w:sz w:val="28"/>
          <w:szCs w:val="28"/>
          <w:lang w:val="en-US"/>
        </w:rPr>
        <w:br/>
        <w:t xml:space="preserve">Available at: </w:t>
      </w:r>
      <w:hyperlink r:id="rId29" w:history="1">
        <w:r w:rsidRPr="003F14AE">
          <w:rPr>
            <w:rStyle w:val="Hyperlink"/>
            <w:sz w:val="28"/>
            <w:szCs w:val="28"/>
            <w:lang w:val="en-US"/>
          </w:rPr>
          <w:t>https://learning.nspcc.org.uk/news/2019/august/podcast-safeguarding-adults-and-children</w:t>
        </w:r>
      </w:hyperlink>
      <w:r w:rsidRPr="003F14AE">
        <w:rPr>
          <w:sz w:val="28"/>
          <w:szCs w:val="28"/>
          <w:lang w:val="en-US"/>
        </w:rPr>
        <w:br/>
        <w:t>[Accessed 10 September 2023].</w:t>
      </w:r>
    </w:p>
    <w:p w14:paraId="62065B2A" w14:textId="77777777" w:rsidR="003F14AE" w:rsidRPr="003F14AE" w:rsidRDefault="003F14AE" w:rsidP="003F14AE">
      <w:pPr>
        <w:pStyle w:val="Bibliography"/>
        <w:spacing w:line="360" w:lineRule="auto"/>
        <w:rPr>
          <w:sz w:val="28"/>
          <w:szCs w:val="28"/>
          <w:lang w:val="en-US"/>
        </w:rPr>
      </w:pPr>
      <w:r w:rsidRPr="003F14AE">
        <w:rPr>
          <w:sz w:val="28"/>
          <w:szCs w:val="28"/>
          <w:lang w:val="en-US"/>
        </w:rPr>
        <w:lastRenderedPageBreak/>
        <w:t xml:space="preserve">NSPCC, 2022. </w:t>
      </w:r>
      <w:r w:rsidRPr="003F14AE">
        <w:rPr>
          <w:i/>
          <w:iCs/>
          <w:sz w:val="28"/>
          <w:szCs w:val="28"/>
          <w:lang w:val="en-US"/>
        </w:rPr>
        <w:t xml:space="preserve">Gillick competency and Fraser guidelines. </w:t>
      </w:r>
      <w:r w:rsidRPr="003F14AE">
        <w:rPr>
          <w:sz w:val="28"/>
          <w:szCs w:val="28"/>
          <w:lang w:val="en-US"/>
        </w:rPr>
        <w:t xml:space="preserve">[Online] </w:t>
      </w:r>
      <w:r w:rsidRPr="003F14AE">
        <w:rPr>
          <w:sz w:val="28"/>
          <w:szCs w:val="28"/>
          <w:lang w:val="en-US"/>
        </w:rPr>
        <w:br/>
        <w:t xml:space="preserve">Available at: </w:t>
      </w:r>
      <w:hyperlink r:id="rId30" w:history="1">
        <w:r w:rsidRPr="003F14AE">
          <w:rPr>
            <w:rStyle w:val="Hyperlink"/>
            <w:sz w:val="28"/>
            <w:szCs w:val="28"/>
            <w:lang w:val="en-US"/>
          </w:rPr>
          <w:t>https://learning.nspcc.org.uk/child-protection-system/gillick-competence-fraser-guidelines</w:t>
        </w:r>
      </w:hyperlink>
      <w:r w:rsidRPr="003F14AE">
        <w:rPr>
          <w:sz w:val="28"/>
          <w:szCs w:val="28"/>
          <w:lang w:val="en-US"/>
        </w:rPr>
        <w:br/>
        <w:t>[Accessed 17 September 2023].</w:t>
      </w:r>
    </w:p>
    <w:p w14:paraId="28E4525F" w14:textId="77777777" w:rsidR="003F14AE" w:rsidRPr="003F14AE" w:rsidRDefault="003F14AE" w:rsidP="003F14AE">
      <w:pPr>
        <w:pStyle w:val="NormalWeb"/>
        <w:spacing w:line="360" w:lineRule="auto"/>
        <w:jc w:val="both"/>
        <w:rPr>
          <w:rFonts w:asciiTheme="minorHAnsi" w:hAnsiTheme="minorHAnsi" w:cstheme="minorHAnsi"/>
          <w:color w:val="000000" w:themeColor="text1"/>
          <w:sz w:val="28"/>
          <w:szCs w:val="28"/>
        </w:rPr>
      </w:pPr>
      <w:r w:rsidRPr="003F14AE">
        <w:rPr>
          <w:rFonts w:asciiTheme="minorHAnsi" w:hAnsiTheme="minorHAnsi" w:cstheme="minorHAnsi"/>
          <w:color w:val="000000" w:themeColor="text1"/>
          <w:sz w:val="28"/>
          <w:szCs w:val="28"/>
        </w:rPr>
        <w:t>Porges, S.W. (1994). </w:t>
      </w:r>
      <w:r w:rsidRPr="003F14AE">
        <w:rPr>
          <w:rFonts w:asciiTheme="minorHAnsi" w:hAnsiTheme="minorHAnsi" w:cstheme="minorHAnsi"/>
          <w:i/>
          <w:iCs/>
          <w:color w:val="000000" w:themeColor="text1"/>
          <w:sz w:val="28"/>
          <w:szCs w:val="28"/>
        </w:rPr>
        <w:t>The polyvagal theory: Neurophysiological foundations of emotions, attachment, communication, and self-regulation</w:t>
      </w:r>
      <w:r w:rsidRPr="003F14AE">
        <w:rPr>
          <w:rFonts w:asciiTheme="minorHAnsi" w:hAnsiTheme="minorHAnsi" w:cstheme="minorHAnsi"/>
          <w:color w:val="000000" w:themeColor="text1"/>
          <w:sz w:val="28"/>
          <w:szCs w:val="28"/>
        </w:rPr>
        <w:t>. New York Etc.: Norton.</w:t>
      </w:r>
    </w:p>
    <w:p w14:paraId="5A38C081" w14:textId="77777777" w:rsidR="003F14AE" w:rsidRPr="00467668" w:rsidRDefault="003F14AE" w:rsidP="003F14AE">
      <w:pPr>
        <w:spacing w:line="360" w:lineRule="auto"/>
        <w:jc w:val="both"/>
        <w:rPr>
          <w:rFonts w:asciiTheme="minorHAnsi" w:hAnsiTheme="minorHAnsi" w:cs="Calibri"/>
          <w:sz w:val="28"/>
          <w:szCs w:val="28"/>
        </w:rPr>
      </w:pPr>
      <w:r w:rsidRPr="00467668">
        <w:rPr>
          <w:rFonts w:asciiTheme="minorHAnsi" w:hAnsiTheme="minorHAnsi" w:cs="Calibri"/>
          <w:sz w:val="28"/>
          <w:szCs w:val="28"/>
        </w:rPr>
        <w:t>Sanders, A.F. and Sanders, A. (2013). </w:t>
      </w:r>
      <w:r w:rsidRPr="00467668">
        <w:rPr>
          <w:rFonts w:asciiTheme="minorHAnsi" w:hAnsiTheme="minorHAnsi" w:cs="Calibri"/>
          <w:i/>
          <w:iCs/>
          <w:sz w:val="28"/>
          <w:szCs w:val="28"/>
        </w:rPr>
        <w:t>Elements of Human Performance</w:t>
      </w:r>
      <w:r w:rsidRPr="00467668">
        <w:rPr>
          <w:rFonts w:asciiTheme="minorHAnsi" w:hAnsiTheme="minorHAnsi" w:cs="Calibri"/>
          <w:sz w:val="28"/>
          <w:szCs w:val="28"/>
        </w:rPr>
        <w:t>. Psychology Press. doi:https://doi.org/10.4324/9780203774250.</w:t>
      </w:r>
    </w:p>
    <w:p w14:paraId="4E3E0555" w14:textId="77777777" w:rsidR="003F14AE" w:rsidRPr="003F14AE" w:rsidRDefault="003F14AE" w:rsidP="003F14AE">
      <w:pPr>
        <w:spacing w:before="100" w:beforeAutospacing="1" w:after="100" w:afterAutospacing="1" w:line="360" w:lineRule="auto"/>
        <w:jc w:val="both"/>
        <w:rPr>
          <w:rFonts w:asciiTheme="minorHAnsi" w:hAnsiTheme="minorHAnsi" w:cs="Calibri"/>
          <w:sz w:val="28"/>
          <w:szCs w:val="28"/>
        </w:rPr>
      </w:pPr>
      <w:r w:rsidRPr="00467668">
        <w:rPr>
          <w:rFonts w:asciiTheme="minorHAnsi" w:hAnsiTheme="minorHAnsi" w:cs="Calibri"/>
          <w:sz w:val="28"/>
          <w:szCs w:val="28"/>
        </w:rPr>
        <w:t>‌</w:t>
      </w:r>
      <w:r w:rsidRPr="003F14AE">
        <w:rPr>
          <w:rFonts w:asciiTheme="minorHAnsi" w:hAnsiTheme="minorHAnsi"/>
          <w:sz w:val="28"/>
          <w:szCs w:val="28"/>
          <w:lang w:val="en-US"/>
        </w:rPr>
        <w:t xml:space="preserve">S. Dixon, B. K. J. D. C. P., 2022. Supporting the 'multi' in multi-agency working: learning with and from each other could enable multi-agency safeguarding. </w:t>
      </w:r>
      <w:r w:rsidRPr="003F14AE">
        <w:rPr>
          <w:rFonts w:asciiTheme="minorHAnsi" w:hAnsiTheme="minorHAnsi"/>
          <w:i/>
          <w:iCs/>
          <w:sz w:val="28"/>
          <w:szCs w:val="28"/>
          <w:lang w:val="en-US"/>
        </w:rPr>
        <w:t xml:space="preserve">British Journal of General Practice , </w:t>
      </w:r>
      <w:r w:rsidRPr="003F14AE">
        <w:rPr>
          <w:rFonts w:asciiTheme="minorHAnsi" w:hAnsiTheme="minorHAnsi"/>
          <w:sz w:val="28"/>
          <w:szCs w:val="28"/>
          <w:lang w:val="en-US"/>
        </w:rPr>
        <w:t>72(722), pp. 438-439.</w:t>
      </w:r>
    </w:p>
    <w:p w14:paraId="3C5F5A02" w14:textId="77777777" w:rsidR="003F14AE" w:rsidRPr="003F14AE" w:rsidRDefault="003F14AE" w:rsidP="003F14AE">
      <w:pPr>
        <w:spacing w:line="360" w:lineRule="auto"/>
        <w:jc w:val="both"/>
        <w:rPr>
          <w:rFonts w:asciiTheme="minorHAnsi" w:hAnsiTheme="minorHAnsi" w:cs="Calibri"/>
          <w:sz w:val="28"/>
          <w:szCs w:val="28"/>
        </w:rPr>
      </w:pPr>
      <w:r w:rsidRPr="003F14AE">
        <w:rPr>
          <w:rFonts w:asciiTheme="minorHAnsi" w:hAnsiTheme="minorHAnsi" w:cs="Calibri"/>
          <w:sz w:val="28"/>
          <w:szCs w:val="28"/>
        </w:rPr>
        <w:t xml:space="preserve">Shakespeare, T. and Watson, N. (2001), "The social model of disability: An outdated ideology?", Barnartt, S.N. and Altman, B.M. (Ed.) Exploring Theories and Expanding Methodologies: Where we are and where we need to go (Research in Social Science and Disability, Vol. 2), Emerald Group Publishing Limited, Bingley, pp. 9-28. </w:t>
      </w:r>
      <w:hyperlink r:id="rId31" w:history="1">
        <w:r w:rsidRPr="003F14AE">
          <w:rPr>
            <w:rStyle w:val="Hyperlink"/>
            <w:rFonts w:asciiTheme="minorHAnsi" w:hAnsiTheme="minorHAnsi" w:cs="Calibri"/>
            <w:sz w:val="28"/>
            <w:szCs w:val="28"/>
          </w:rPr>
          <w:t>https://doi.org/10.1016/S1479-3547(01)80018-X</w:t>
        </w:r>
      </w:hyperlink>
      <w:r w:rsidRPr="003F14AE">
        <w:rPr>
          <w:rFonts w:asciiTheme="minorHAnsi" w:hAnsiTheme="minorHAnsi" w:cs="Calibri"/>
          <w:sz w:val="28"/>
          <w:szCs w:val="28"/>
        </w:rPr>
        <w:t xml:space="preserve"> </w:t>
      </w:r>
    </w:p>
    <w:p w14:paraId="310CC72F" w14:textId="77777777" w:rsidR="003F14AE" w:rsidRPr="003F14AE" w:rsidRDefault="003F14AE" w:rsidP="003F14AE">
      <w:pPr>
        <w:spacing w:before="100" w:beforeAutospacing="1" w:after="100" w:afterAutospacing="1" w:line="360" w:lineRule="auto"/>
        <w:jc w:val="both"/>
        <w:rPr>
          <w:rFonts w:asciiTheme="minorHAnsi" w:hAnsiTheme="minorHAnsi" w:cstheme="minorHAnsi"/>
          <w:color w:val="000000" w:themeColor="text1"/>
          <w:sz w:val="28"/>
          <w:szCs w:val="28"/>
        </w:rPr>
      </w:pPr>
      <w:r w:rsidRPr="003F14AE">
        <w:rPr>
          <w:rFonts w:asciiTheme="minorHAnsi" w:hAnsiTheme="minorHAnsi" w:cs="Calibri"/>
          <w:sz w:val="28"/>
          <w:szCs w:val="28"/>
        </w:rPr>
        <w:t>‌</w:t>
      </w:r>
      <w:r w:rsidRPr="003F14AE">
        <w:rPr>
          <w:rFonts w:asciiTheme="minorHAnsi" w:hAnsiTheme="minorHAnsi" w:cstheme="minorHAnsi"/>
          <w:color w:val="000000" w:themeColor="text1"/>
          <w:sz w:val="28"/>
          <w:szCs w:val="28"/>
        </w:rPr>
        <w:t>Schnurr, P.P. (2003). </w:t>
      </w:r>
      <w:r w:rsidRPr="003F14AE">
        <w:rPr>
          <w:rFonts w:asciiTheme="minorHAnsi" w:hAnsiTheme="minorHAnsi" w:cstheme="minorHAnsi"/>
          <w:i/>
          <w:iCs/>
          <w:color w:val="000000" w:themeColor="text1"/>
          <w:sz w:val="28"/>
          <w:szCs w:val="28"/>
        </w:rPr>
        <w:t>Trauma and health: Physical health consequences of exposure to extreme stress</w:t>
      </w:r>
      <w:r w:rsidRPr="003F14AE">
        <w:rPr>
          <w:rFonts w:asciiTheme="minorHAnsi" w:hAnsiTheme="minorHAnsi" w:cstheme="minorHAnsi"/>
          <w:color w:val="000000" w:themeColor="text1"/>
          <w:sz w:val="28"/>
          <w:szCs w:val="28"/>
        </w:rPr>
        <w:t>. American Psychological Association.</w:t>
      </w:r>
    </w:p>
    <w:p w14:paraId="5242225A" w14:textId="77777777" w:rsidR="003F14AE" w:rsidRPr="003F14AE" w:rsidRDefault="003F14AE" w:rsidP="003F14AE">
      <w:pPr>
        <w:pStyle w:val="Bibliography"/>
        <w:spacing w:line="360" w:lineRule="auto"/>
        <w:jc w:val="both"/>
        <w:rPr>
          <w:sz w:val="28"/>
          <w:szCs w:val="28"/>
          <w:lang w:val="en-US"/>
          <w14:ligatures w14:val="standardContextual"/>
        </w:rPr>
      </w:pPr>
      <w:r w:rsidRPr="003F14AE">
        <w:rPr>
          <w:sz w:val="28"/>
          <w:szCs w:val="28"/>
          <w:lang w:val="en-US"/>
        </w:rPr>
        <w:t xml:space="preserve">(SCW), S. C. W., 2019. </w:t>
      </w:r>
      <w:r w:rsidRPr="003F14AE">
        <w:rPr>
          <w:i/>
          <w:iCs/>
          <w:sz w:val="28"/>
          <w:szCs w:val="28"/>
          <w:lang w:val="en-US"/>
        </w:rPr>
        <w:t xml:space="preserve">Wales Safeguarding Procedures. </w:t>
      </w:r>
      <w:r w:rsidRPr="003F14AE">
        <w:rPr>
          <w:sz w:val="28"/>
          <w:szCs w:val="28"/>
          <w:lang w:val="en-US"/>
        </w:rPr>
        <w:t xml:space="preserve">[Online] </w:t>
      </w:r>
      <w:r w:rsidRPr="003F14AE">
        <w:rPr>
          <w:sz w:val="28"/>
          <w:szCs w:val="28"/>
          <w:lang w:val="en-US"/>
        </w:rPr>
        <w:br/>
        <w:t xml:space="preserve">Available at: </w:t>
      </w:r>
      <w:hyperlink r:id="rId32" w:history="1">
        <w:r w:rsidRPr="003F14AE">
          <w:rPr>
            <w:rStyle w:val="Hyperlink"/>
            <w:sz w:val="28"/>
            <w:szCs w:val="28"/>
            <w:lang w:val="en-US"/>
          </w:rPr>
          <w:t>https://safeguarding.wales/en/</w:t>
        </w:r>
      </w:hyperlink>
    </w:p>
    <w:p w14:paraId="4E2CAD16" w14:textId="77777777" w:rsidR="003F14AE" w:rsidRPr="003F14AE" w:rsidRDefault="003F14AE" w:rsidP="003F14AE">
      <w:pPr>
        <w:spacing w:line="360" w:lineRule="auto"/>
        <w:jc w:val="both"/>
        <w:rPr>
          <w:rFonts w:asciiTheme="minorHAnsi" w:hAnsiTheme="minorHAnsi" w:cs="Calibri"/>
          <w:sz w:val="28"/>
          <w:szCs w:val="28"/>
        </w:rPr>
      </w:pPr>
      <w:r w:rsidRPr="003F14AE">
        <w:rPr>
          <w:rFonts w:asciiTheme="minorHAnsi" w:hAnsiTheme="minorHAnsi" w:cs="Calibri"/>
          <w:sz w:val="28"/>
          <w:szCs w:val="28"/>
        </w:rPr>
        <w:t>Shardlow, S. and Doel, M. (1996) Practice Learning and Teaching. Basingstoke: Macmillan.</w:t>
      </w:r>
    </w:p>
    <w:p w14:paraId="22F90F64" w14:textId="77777777" w:rsidR="003F14AE" w:rsidRPr="00FA2EEE" w:rsidRDefault="003F14AE" w:rsidP="003F14AE">
      <w:pPr>
        <w:spacing w:line="360" w:lineRule="auto"/>
        <w:jc w:val="both"/>
        <w:rPr>
          <w:rFonts w:asciiTheme="minorHAnsi" w:hAnsiTheme="minorHAnsi" w:cs="Calibri"/>
          <w:sz w:val="28"/>
          <w:szCs w:val="28"/>
        </w:rPr>
      </w:pPr>
      <w:r w:rsidRPr="00FA2EEE">
        <w:rPr>
          <w:rFonts w:asciiTheme="minorHAnsi" w:hAnsiTheme="minorHAnsi" w:cs="Calibri"/>
          <w:sz w:val="28"/>
          <w:szCs w:val="28"/>
        </w:rPr>
        <w:t>Shennan, G. (2014) Solution-Focused Practice: Effective Communication to Facilitate Change. Basingstoke, Hampshire: Palgrave Macmillan</w:t>
      </w:r>
    </w:p>
    <w:p w14:paraId="47D04678" w14:textId="77777777" w:rsidR="003F14AE" w:rsidRPr="003F14AE" w:rsidRDefault="003F14AE" w:rsidP="003F14AE">
      <w:pPr>
        <w:spacing w:before="100" w:beforeAutospacing="1" w:after="100" w:afterAutospacing="1" w:line="360" w:lineRule="auto"/>
        <w:rPr>
          <w:rFonts w:asciiTheme="minorHAnsi" w:hAnsiTheme="minorHAnsi" w:cs="Calibri"/>
          <w:sz w:val="28"/>
          <w:szCs w:val="28"/>
        </w:rPr>
      </w:pPr>
      <w:r w:rsidRPr="00FA2EEE">
        <w:rPr>
          <w:rFonts w:asciiTheme="minorHAnsi" w:hAnsiTheme="minorHAnsi" w:cs="Calibri"/>
          <w:sz w:val="28"/>
          <w:szCs w:val="28"/>
        </w:rPr>
        <w:lastRenderedPageBreak/>
        <w:t>‌</w:t>
      </w:r>
      <w:r w:rsidRPr="003F14AE">
        <w:rPr>
          <w:rFonts w:asciiTheme="minorHAnsi" w:hAnsiTheme="minorHAnsi" w:cs="Calibri"/>
          <w:sz w:val="28"/>
          <w:szCs w:val="28"/>
        </w:rPr>
        <w:t xml:space="preserve">Snowden, Robert , Holt, Jordan, Simkiss, Nicola, Smith, Aimee, Webb, Dan and Gray, Nicola S 2019. WARRN – a formulation-based risk assessment process: Its implementation and impact across a whole country. Journal of Mental Health </w:t>
      </w:r>
    </w:p>
    <w:p w14:paraId="1C2C4CF4" w14:textId="77777777" w:rsidR="003F14AE" w:rsidRPr="00A02E5D" w:rsidRDefault="003F14AE" w:rsidP="003F14AE">
      <w:pPr>
        <w:spacing w:line="360" w:lineRule="auto"/>
        <w:jc w:val="both"/>
        <w:rPr>
          <w:rFonts w:asciiTheme="minorHAnsi" w:hAnsiTheme="minorHAnsi" w:cs="Calibri"/>
          <w:sz w:val="28"/>
          <w:szCs w:val="28"/>
        </w:rPr>
      </w:pPr>
      <w:r w:rsidRPr="00A02E5D">
        <w:rPr>
          <w:rFonts w:asciiTheme="minorHAnsi" w:hAnsiTheme="minorHAnsi" w:cs="Calibri"/>
          <w:sz w:val="28"/>
          <w:szCs w:val="28"/>
        </w:rPr>
        <w:t>Social Care Insti</w:t>
      </w:r>
      <w:r w:rsidRPr="003F14AE">
        <w:rPr>
          <w:rFonts w:asciiTheme="minorHAnsi" w:hAnsiTheme="minorHAnsi" w:cs="Calibri"/>
          <w:sz w:val="28"/>
          <w:szCs w:val="28"/>
        </w:rPr>
        <w:t>tute for Excellence (SCIE). (2020</w:t>
      </w:r>
      <w:r w:rsidRPr="00A02E5D">
        <w:rPr>
          <w:rFonts w:asciiTheme="minorHAnsi" w:hAnsiTheme="minorHAnsi" w:cs="Calibri"/>
          <w:sz w:val="28"/>
          <w:szCs w:val="28"/>
        </w:rPr>
        <w:t>). </w:t>
      </w:r>
      <w:r w:rsidRPr="00A02E5D">
        <w:rPr>
          <w:rFonts w:asciiTheme="minorHAnsi" w:hAnsiTheme="minorHAnsi" w:cs="Calibri"/>
          <w:i/>
          <w:iCs/>
          <w:sz w:val="28"/>
          <w:szCs w:val="28"/>
        </w:rPr>
        <w:t>Summary: Digital Capabilities Statement for Social Workers</w:t>
      </w:r>
      <w:r w:rsidRPr="00A02E5D">
        <w:rPr>
          <w:rFonts w:asciiTheme="minorHAnsi" w:hAnsiTheme="minorHAnsi" w:cs="Calibri"/>
          <w:sz w:val="28"/>
          <w:szCs w:val="28"/>
        </w:rPr>
        <w:t>. [online] Available at: https://www.scie.org.uk/social-work/digital-capabilities/capabilities-statement.</w:t>
      </w:r>
    </w:p>
    <w:p w14:paraId="6A90DA92" w14:textId="77777777" w:rsidR="003F14AE" w:rsidRPr="003F14AE" w:rsidRDefault="003F14AE" w:rsidP="003F14AE">
      <w:pPr>
        <w:spacing w:before="100" w:beforeAutospacing="1" w:after="100" w:afterAutospacing="1" w:line="360" w:lineRule="auto"/>
        <w:rPr>
          <w:rFonts w:asciiTheme="minorHAnsi" w:hAnsiTheme="minorHAnsi" w:cs="Calibri"/>
          <w:sz w:val="28"/>
          <w:szCs w:val="28"/>
        </w:rPr>
      </w:pPr>
      <w:r w:rsidRPr="00A02E5D">
        <w:rPr>
          <w:rFonts w:asciiTheme="minorHAnsi" w:hAnsiTheme="minorHAnsi" w:cs="Calibri"/>
          <w:sz w:val="28"/>
          <w:szCs w:val="28"/>
        </w:rPr>
        <w:t>‌</w:t>
      </w:r>
      <w:r w:rsidRPr="003F14AE">
        <w:rPr>
          <w:rFonts w:asciiTheme="minorHAnsi" w:hAnsiTheme="minorHAnsi"/>
          <w:sz w:val="28"/>
          <w:szCs w:val="28"/>
          <w:lang w:val="en-US"/>
        </w:rPr>
        <w:t xml:space="preserve">SSWBA, 2014. </w:t>
      </w:r>
      <w:r w:rsidRPr="003F14AE">
        <w:rPr>
          <w:rFonts w:asciiTheme="minorHAnsi" w:hAnsiTheme="minorHAnsi"/>
          <w:i/>
          <w:iCs/>
          <w:sz w:val="28"/>
          <w:szCs w:val="28"/>
          <w:lang w:val="en-US"/>
        </w:rPr>
        <w:t xml:space="preserve">Social Services and Wellbeing (Wales) Act. </w:t>
      </w:r>
      <w:r w:rsidRPr="003F14AE">
        <w:rPr>
          <w:rFonts w:asciiTheme="minorHAnsi" w:hAnsiTheme="minorHAnsi"/>
          <w:sz w:val="28"/>
          <w:szCs w:val="28"/>
          <w:lang w:val="en-US"/>
        </w:rPr>
        <w:t xml:space="preserve">[Online] </w:t>
      </w:r>
      <w:r w:rsidRPr="003F14AE">
        <w:rPr>
          <w:rFonts w:asciiTheme="minorHAnsi" w:hAnsiTheme="minorHAnsi"/>
          <w:sz w:val="28"/>
          <w:szCs w:val="28"/>
          <w:lang w:val="en-US"/>
        </w:rPr>
        <w:br/>
        <w:t xml:space="preserve">Available at: </w:t>
      </w:r>
      <w:hyperlink r:id="rId33" w:history="1">
        <w:r w:rsidRPr="003F14AE">
          <w:rPr>
            <w:rStyle w:val="Hyperlink"/>
            <w:rFonts w:asciiTheme="minorHAnsi" w:hAnsiTheme="minorHAnsi"/>
            <w:sz w:val="28"/>
            <w:szCs w:val="28"/>
            <w:lang w:val="en-US"/>
          </w:rPr>
          <w:t>https://www.legislation.gov.uk/anaw/2014/4/contents/enacted</w:t>
        </w:r>
      </w:hyperlink>
    </w:p>
    <w:p w14:paraId="521DFA24" w14:textId="77777777" w:rsidR="003F14AE" w:rsidRPr="003F14AE" w:rsidRDefault="003F14AE" w:rsidP="003F14AE">
      <w:pPr>
        <w:spacing w:line="360" w:lineRule="auto"/>
        <w:jc w:val="both"/>
        <w:rPr>
          <w:rFonts w:asciiTheme="minorHAnsi" w:eastAsiaTheme="minorHAnsi" w:hAnsiTheme="minorHAnsi" w:cstheme="minorHAnsi"/>
          <w:color w:val="auto"/>
          <w:sz w:val="28"/>
          <w:szCs w:val="28"/>
          <w:lang w:eastAsia="en-US"/>
        </w:rPr>
      </w:pPr>
      <w:r w:rsidRPr="003F14AE">
        <w:rPr>
          <w:rFonts w:asciiTheme="minorHAnsi" w:hAnsiTheme="minorHAnsi" w:cstheme="minorHAnsi"/>
          <w:sz w:val="28"/>
          <w:szCs w:val="28"/>
        </w:rPr>
        <w:t xml:space="preserve">Thompson, N. (2018) </w:t>
      </w:r>
      <w:r w:rsidRPr="003F14AE">
        <w:rPr>
          <w:rFonts w:asciiTheme="minorHAnsi" w:hAnsiTheme="minorHAnsi" w:cstheme="minorHAnsi"/>
          <w:i/>
          <w:iCs/>
          <w:sz w:val="28"/>
          <w:szCs w:val="28"/>
        </w:rPr>
        <w:t>Effective communication a guide for the people professions</w:t>
      </w:r>
      <w:r w:rsidRPr="003F14AE">
        <w:rPr>
          <w:rFonts w:asciiTheme="minorHAnsi" w:hAnsiTheme="minorHAnsi" w:cstheme="minorHAnsi"/>
          <w:sz w:val="28"/>
          <w:szCs w:val="28"/>
        </w:rPr>
        <w:t>. Third edition. London: Palgrave.</w:t>
      </w:r>
    </w:p>
    <w:p w14:paraId="63120E85" w14:textId="77777777" w:rsidR="003F14AE" w:rsidRPr="003F14AE" w:rsidRDefault="003F14AE" w:rsidP="003F14AE">
      <w:pPr>
        <w:spacing w:before="100" w:beforeAutospacing="1" w:after="100" w:afterAutospacing="1" w:line="360" w:lineRule="auto"/>
        <w:jc w:val="both"/>
        <w:rPr>
          <w:rFonts w:asciiTheme="minorHAnsi" w:hAnsiTheme="minorHAnsi" w:cs="Calibri"/>
          <w:sz w:val="28"/>
          <w:szCs w:val="28"/>
        </w:rPr>
      </w:pPr>
      <w:r w:rsidRPr="003F14AE">
        <w:rPr>
          <w:rFonts w:asciiTheme="minorHAnsi" w:hAnsiTheme="minorHAnsi" w:cs="Calibri"/>
          <w:sz w:val="28"/>
          <w:szCs w:val="28"/>
        </w:rPr>
        <w:t>Training, Education and Practice 14 (6) , pp. 399-410. 10.1108/JMHTEP-03-2019-0016</w:t>
      </w:r>
    </w:p>
    <w:p w14:paraId="46C3DD2E" w14:textId="77777777" w:rsidR="003F14AE" w:rsidRPr="003F14AE" w:rsidRDefault="003F14AE" w:rsidP="003F14AE">
      <w:pPr>
        <w:spacing w:before="100" w:beforeAutospacing="1" w:after="100" w:afterAutospacing="1" w:line="360" w:lineRule="auto"/>
        <w:rPr>
          <w:rFonts w:asciiTheme="minorHAnsi" w:hAnsiTheme="minorHAnsi" w:cs="Calibri"/>
          <w:sz w:val="28"/>
          <w:szCs w:val="28"/>
        </w:rPr>
      </w:pPr>
      <w:r w:rsidRPr="003F14AE">
        <w:rPr>
          <w:rFonts w:asciiTheme="minorHAnsi" w:hAnsiTheme="minorHAnsi" w:cs="Calibri"/>
          <w:sz w:val="28"/>
          <w:szCs w:val="28"/>
        </w:rPr>
        <w:t xml:space="preserve">Truell, R. (2020). News from our societies – IFSW: COVID-19: The struggle, success and expansion of social work – Reflections on the profession’s global response, 5 months on. International Social Work, 63(4), 545-548. </w:t>
      </w:r>
      <w:hyperlink r:id="rId34" w:history="1">
        <w:r w:rsidRPr="003F14AE">
          <w:rPr>
            <w:rStyle w:val="Hyperlink"/>
            <w:rFonts w:asciiTheme="minorHAnsi" w:hAnsiTheme="minorHAnsi" w:cs="Calibri"/>
            <w:sz w:val="28"/>
            <w:szCs w:val="28"/>
          </w:rPr>
          <w:t>https://doi.org/10.1177/0020872820936448</w:t>
        </w:r>
      </w:hyperlink>
      <w:r w:rsidRPr="003F14AE">
        <w:rPr>
          <w:rFonts w:asciiTheme="minorHAnsi" w:hAnsiTheme="minorHAnsi" w:cs="Calibri"/>
          <w:sz w:val="28"/>
          <w:szCs w:val="28"/>
        </w:rPr>
        <w:t xml:space="preserve"> </w:t>
      </w:r>
    </w:p>
    <w:p w14:paraId="630917E2" w14:textId="77777777" w:rsidR="003F14AE" w:rsidRPr="003F14AE" w:rsidRDefault="003F14AE" w:rsidP="003F14AE">
      <w:pPr>
        <w:pStyle w:val="Bibliography"/>
        <w:spacing w:line="360" w:lineRule="auto"/>
        <w:jc w:val="both"/>
        <w:rPr>
          <w:sz w:val="28"/>
          <w:szCs w:val="28"/>
          <w:lang w:val="en-US"/>
        </w:rPr>
      </w:pPr>
      <w:r w:rsidRPr="003F14AE">
        <w:rPr>
          <w:sz w:val="28"/>
          <w:szCs w:val="28"/>
          <w:lang w:val="en-US"/>
        </w:rPr>
        <w:t xml:space="preserve">UNCRC, 1989. </w:t>
      </w:r>
      <w:r w:rsidRPr="003F14AE">
        <w:rPr>
          <w:i/>
          <w:iCs/>
          <w:sz w:val="28"/>
          <w:szCs w:val="28"/>
          <w:lang w:val="en-US"/>
        </w:rPr>
        <w:t xml:space="preserve">United Nations Covention on the Rights of the Child. </w:t>
      </w:r>
      <w:r w:rsidRPr="003F14AE">
        <w:rPr>
          <w:sz w:val="28"/>
          <w:szCs w:val="28"/>
          <w:lang w:val="en-US"/>
        </w:rPr>
        <w:t xml:space="preserve">[Online] </w:t>
      </w:r>
      <w:r w:rsidRPr="003F14AE">
        <w:rPr>
          <w:sz w:val="28"/>
          <w:szCs w:val="28"/>
          <w:lang w:val="en-US"/>
        </w:rPr>
        <w:br/>
        <w:t xml:space="preserve">Available at: </w:t>
      </w:r>
      <w:hyperlink r:id="rId35" w:history="1">
        <w:r w:rsidRPr="003F14AE">
          <w:rPr>
            <w:rStyle w:val="Hyperlink"/>
            <w:sz w:val="28"/>
            <w:szCs w:val="28"/>
            <w:lang w:val="en-US"/>
          </w:rPr>
          <w:t>https://www.unicef.org.uk/what-we-do/un-convention-child-rights/</w:t>
        </w:r>
      </w:hyperlink>
      <w:r w:rsidRPr="003F14AE">
        <w:rPr>
          <w:sz w:val="28"/>
          <w:szCs w:val="28"/>
          <w:lang w:val="en-US"/>
        </w:rPr>
        <w:br/>
        <w:t>[Accessed 27 August 2023].</w:t>
      </w:r>
    </w:p>
    <w:p w14:paraId="6EE621B3" w14:textId="77777777" w:rsidR="003F14AE" w:rsidRPr="003F14AE" w:rsidRDefault="003F14AE" w:rsidP="003F14AE">
      <w:pPr>
        <w:spacing w:before="100" w:beforeAutospacing="1" w:after="100" w:afterAutospacing="1" w:line="360" w:lineRule="auto"/>
        <w:jc w:val="both"/>
        <w:rPr>
          <w:rFonts w:asciiTheme="minorHAnsi" w:hAnsiTheme="minorHAnsi" w:cs="Calibri"/>
          <w:sz w:val="28"/>
          <w:szCs w:val="28"/>
        </w:rPr>
      </w:pPr>
      <w:r w:rsidRPr="003F14AE">
        <w:rPr>
          <w:rFonts w:asciiTheme="minorHAnsi" w:hAnsiTheme="minorHAnsi" w:cstheme="minorHAnsi"/>
          <w:color w:val="000000" w:themeColor="text1"/>
          <w:sz w:val="28"/>
          <w:szCs w:val="28"/>
        </w:rPr>
        <w:t>White, M. and Epston, D. (1990). </w:t>
      </w:r>
      <w:r w:rsidRPr="003F14AE">
        <w:rPr>
          <w:rFonts w:asciiTheme="minorHAnsi" w:hAnsiTheme="minorHAnsi" w:cstheme="minorHAnsi"/>
          <w:i/>
          <w:iCs/>
          <w:color w:val="000000" w:themeColor="text1"/>
          <w:sz w:val="28"/>
          <w:szCs w:val="28"/>
        </w:rPr>
        <w:t>Narrative means to therapeutic ends</w:t>
      </w:r>
      <w:r w:rsidRPr="003F14AE">
        <w:rPr>
          <w:rFonts w:asciiTheme="minorHAnsi" w:hAnsiTheme="minorHAnsi" w:cstheme="minorHAnsi"/>
          <w:color w:val="000000" w:themeColor="text1"/>
          <w:sz w:val="28"/>
          <w:szCs w:val="28"/>
        </w:rPr>
        <w:t>. New York ; London: W.W. Norton &amp; Company.</w:t>
      </w:r>
    </w:p>
    <w:p w14:paraId="0DA7BFC0" w14:textId="77777777" w:rsidR="003F14AE" w:rsidRPr="003F14AE" w:rsidRDefault="003F14AE" w:rsidP="003F14AE">
      <w:pPr>
        <w:pStyle w:val="NormalWeb"/>
        <w:spacing w:line="360" w:lineRule="auto"/>
        <w:jc w:val="both"/>
        <w:rPr>
          <w:rFonts w:asciiTheme="minorHAnsi" w:hAnsiTheme="minorHAnsi" w:cstheme="minorHAnsi"/>
          <w:color w:val="000000" w:themeColor="text1"/>
          <w:sz w:val="28"/>
          <w:szCs w:val="28"/>
          <w:shd w:val="clear" w:color="auto" w:fill="FFFFFF"/>
        </w:rPr>
      </w:pPr>
      <w:r w:rsidRPr="003F14AE">
        <w:rPr>
          <w:rFonts w:asciiTheme="minorHAnsi" w:hAnsiTheme="minorHAnsi" w:cs="Calibri"/>
          <w:color w:val="000000" w:themeColor="text1"/>
          <w:sz w:val="28"/>
          <w:szCs w:val="28"/>
        </w:rPr>
        <w:t>‌</w:t>
      </w:r>
      <w:r w:rsidRPr="003F14AE">
        <w:rPr>
          <w:rFonts w:asciiTheme="minorHAnsi" w:hAnsiTheme="minorHAnsi" w:cstheme="minorHAnsi"/>
          <w:color w:val="000000" w:themeColor="text1"/>
          <w:sz w:val="28"/>
          <w:szCs w:val="28"/>
          <w:shd w:val="clear" w:color="auto" w:fill="FFFFFF"/>
        </w:rPr>
        <w:t>Wilson, J.P. and Keane, T.M. eds., 2004. </w:t>
      </w:r>
      <w:r w:rsidRPr="003F14AE">
        <w:rPr>
          <w:rFonts w:asciiTheme="minorHAnsi" w:hAnsiTheme="minorHAnsi" w:cstheme="minorHAnsi"/>
          <w:i/>
          <w:iCs/>
          <w:color w:val="000000" w:themeColor="text1"/>
          <w:sz w:val="28"/>
          <w:szCs w:val="28"/>
          <w:shd w:val="clear" w:color="auto" w:fill="FFFFFF"/>
        </w:rPr>
        <w:t>Assessing psychological trauma and PTSD</w:t>
      </w:r>
      <w:r w:rsidRPr="003F14AE">
        <w:rPr>
          <w:rFonts w:asciiTheme="minorHAnsi" w:hAnsiTheme="minorHAnsi" w:cstheme="minorHAnsi"/>
          <w:color w:val="000000" w:themeColor="text1"/>
          <w:sz w:val="28"/>
          <w:szCs w:val="28"/>
          <w:shd w:val="clear" w:color="auto" w:fill="FFFFFF"/>
        </w:rPr>
        <w:t>. Guilford press.</w:t>
      </w:r>
    </w:p>
    <w:p w14:paraId="7773D5A1" w14:textId="77777777" w:rsidR="003F14AE" w:rsidRPr="003F14AE" w:rsidRDefault="003F14AE" w:rsidP="003F14AE">
      <w:pPr>
        <w:spacing w:line="360" w:lineRule="auto"/>
        <w:jc w:val="both"/>
        <w:rPr>
          <w:rFonts w:asciiTheme="minorHAnsi" w:hAnsiTheme="minorHAnsi" w:cs="Calibri"/>
          <w:sz w:val="28"/>
          <w:szCs w:val="28"/>
        </w:rPr>
      </w:pPr>
      <w:r w:rsidRPr="003F14AE">
        <w:rPr>
          <w:rFonts w:asciiTheme="minorHAnsi" w:hAnsiTheme="minorHAnsi" w:cs="Calibri"/>
          <w:sz w:val="28"/>
          <w:szCs w:val="28"/>
        </w:rPr>
        <w:lastRenderedPageBreak/>
        <w:t xml:space="preserve">Workman, A. and Pickard, J. (2008), "Professional Identity in Multi‐Disciplinary Teams: The Staff Speak", Journal of Integrated Care, Vol. 16 No. 3, pp. 29-37. </w:t>
      </w:r>
      <w:hyperlink r:id="rId36" w:history="1">
        <w:r w:rsidRPr="003F14AE">
          <w:rPr>
            <w:rStyle w:val="Hyperlink"/>
            <w:rFonts w:asciiTheme="minorHAnsi" w:hAnsiTheme="minorHAnsi" w:cs="Calibri"/>
            <w:sz w:val="28"/>
            <w:szCs w:val="28"/>
          </w:rPr>
          <w:t>https://doi.org/10.1108/14769018200800023</w:t>
        </w:r>
      </w:hyperlink>
      <w:r w:rsidRPr="003F14AE">
        <w:rPr>
          <w:rFonts w:asciiTheme="minorHAnsi" w:hAnsiTheme="minorHAnsi" w:cs="Calibri"/>
          <w:sz w:val="28"/>
          <w:szCs w:val="28"/>
        </w:rPr>
        <w:t xml:space="preserve"> </w:t>
      </w:r>
    </w:p>
    <w:p w14:paraId="337E3A73" w14:textId="2F90648C" w:rsidR="00EB695F" w:rsidRPr="003F14AE" w:rsidRDefault="003F14AE" w:rsidP="003F14AE">
      <w:pPr>
        <w:spacing w:before="100" w:beforeAutospacing="1" w:after="100" w:afterAutospacing="1" w:line="360" w:lineRule="auto"/>
        <w:rPr>
          <w:rFonts w:ascii="Calibri" w:hAnsi="Calibri" w:cs="Calibri"/>
          <w:sz w:val="27"/>
          <w:szCs w:val="27"/>
        </w:rPr>
      </w:pPr>
      <w:r w:rsidRPr="00664452">
        <w:rPr>
          <w:rFonts w:ascii="Calibri" w:hAnsi="Calibri" w:cs="Calibri"/>
          <w:sz w:val="27"/>
          <w:szCs w:val="27"/>
        </w:rPr>
        <w:t>‌</w:t>
      </w:r>
    </w:p>
    <w:p w14:paraId="0C952B5E" w14:textId="77777777" w:rsidR="00EB695F" w:rsidRDefault="00EB695F" w:rsidP="00FF7EBB">
      <w:pPr>
        <w:jc w:val="both"/>
        <w:rPr>
          <w:sz w:val="24"/>
          <w:szCs w:val="24"/>
        </w:rPr>
      </w:pPr>
    </w:p>
    <w:p w14:paraId="7047BA81" w14:textId="44EDCBB8" w:rsidR="002A1A44" w:rsidRPr="00EE5BC3" w:rsidRDefault="002A1A44" w:rsidP="00916A71">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612105FE" w:rsidR="00E559CE" w:rsidRPr="00B17FA0" w:rsidRDefault="00E559CE" w:rsidP="00B94443">
            <w:pPr>
              <w:jc w:val="both"/>
              <w:rPr>
                <w:sz w:val="24"/>
                <w:szCs w:val="24"/>
              </w:rPr>
            </w:pPr>
            <w:r w:rsidRPr="00B17FA0">
              <w:rPr>
                <w:sz w:val="24"/>
                <w:szCs w:val="24"/>
              </w:rPr>
              <w:t>1</w:t>
            </w:r>
            <w:r w:rsidR="00AC6563">
              <w:rPr>
                <w:sz w:val="24"/>
                <w:szCs w:val="24"/>
              </w:rPr>
              <w:t xml:space="preserve"> 08/11/2022</w:t>
            </w:r>
          </w:p>
        </w:tc>
        <w:tc>
          <w:tcPr>
            <w:tcW w:w="5094" w:type="dxa"/>
          </w:tcPr>
          <w:p w14:paraId="4504991A" w14:textId="63D7490D" w:rsidR="00E559CE" w:rsidRPr="00B17FA0" w:rsidRDefault="00AC6563" w:rsidP="00B94443">
            <w:pPr>
              <w:jc w:val="both"/>
              <w:rPr>
                <w:sz w:val="24"/>
                <w:szCs w:val="24"/>
              </w:rPr>
            </w:pPr>
            <w:r>
              <w:rPr>
                <w:sz w:val="24"/>
                <w:szCs w:val="24"/>
              </w:rPr>
              <w:t>08/11/2022</w:t>
            </w:r>
          </w:p>
        </w:tc>
      </w:tr>
      <w:tr w:rsidR="00E559CE" w:rsidRPr="00B17FA0" w14:paraId="05C1FAE9" w14:textId="77777777" w:rsidTr="00B94443">
        <w:tc>
          <w:tcPr>
            <w:tcW w:w="5094" w:type="dxa"/>
          </w:tcPr>
          <w:p w14:paraId="2BDB6661" w14:textId="28E7AD76" w:rsidR="00E559CE" w:rsidRPr="00B17FA0" w:rsidRDefault="00E559CE" w:rsidP="00B94443">
            <w:pPr>
              <w:jc w:val="both"/>
              <w:rPr>
                <w:sz w:val="24"/>
                <w:szCs w:val="24"/>
              </w:rPr>
            </w:pPr>
            <w:r w:rsidRPr="00B17FA0">
              <w:rPr>
                <w:sz w:val="24"/>
                <w:szCs w:val="24"/>
              </w:rPr>
              <w:t>2</w:t>
            </w:r>
            <w:r w:rsidR="00AC6563">
              <w:rPr>
                <w:sz w:val="24"/>
                <w:szCs w:val="24"/>
              </w:rPr>
              <w:t xml:space="preserve"> 17/01/2022 (did not attend)</w:t>
            </w:r>
          </w:p>
        </w:tc>
        <w:tc>
          <w:tcPr>
            <w:tcW w:w="5094" w:type="dxa"/>
          </w:tcPr>
          <w:p w14:paraId="1AF3604C" w14:textId="155246EC" w:rsidR="00E559CE" w:rsidRPr="00B17FA0" w:rsidRDefault="00AC6563" w:rsidP="00B94443">
            <w:pPr>
              <w:jc w:val="both"/>
              <w:rPr>
                <w:sz w:val="24"/>
                <w:szCs w:val="24"/>
              </w:rPr>
            </w:pPr>
            <w:r>
              <w:rPr>
                <w:sz w:val="24"/>
                <w:szCs w:val="24"/>
              </w:rPr>
              <w:t>06/03/2023 – online with Anne-Louise Easton</w:t>
            </w:r>
          </w:p>
        </w:tc>
      </w:tr>
      <w:tr w:rsidR="00E559CE" w:rsidRPr="00B17FA0" w14:paraId="5356395F" w14:textId="77777777" w:rsidTr="00B94443">
        <w:tc>
          <w:tcPr>
            <w:tcW w:w="5094" w:type="dxa"/>
          </w:tcPr>
          <w:p w14:paraId="7DC37211" w14:textId="3B06B950" w:rsidR="00E559CE" w:rsidRPr="00B17FA0" w:rsidRDefault="00E559CE" w:rsidP="00B94443">
            <w:pPr>
              <w:jc w:val="both"/>
              <w:rPr>
                <w:sz w:val="24"/>
                <w:szCs w:val="24"/>
              </w:rPr>
            </w:pPr>
            <w:r w:rsidRPr="00B17FA0">
              <w:rPr>
                <w:sz w:val="24"/>
                <w:szCs w:val="24"/>
              </w:rPr>
              <w:t>3</w:t>
            </w:r>
            <w:r w:rsidR="00AC6563">
              <w:rPr>
                <w:sz w:val="24"/>
                <w:szCs w:val="24"/>
              </w:rPr>
              <w:t xml:space="preserve"> 14/03/2023</w:t>
            </w:r>
          </w:p>
        </w:tc>
        <w:tc>
          <w:tcPr>
            <w:tcW w:w="5094" w:type="dxa"/>
          </w:tcPr>
          <w:p w14:paraId="4DFBE392" w14:textId="65F957ED" w:rsidR="00E559CE" w:rsidRPr="00B17FA0" w:rsidRDefault="00AC6563" w:rsidP="00B94443">
            <w:pPr>
              <w:jc w:val="both"/>
              <w:rPr>
                <w:sz w:val="24"/>
                <w:szCs w:val="24"/>
              </w:rPr>
            </w:pPr>
            <w:r>
              <w:rPr>
                <w:sz w:val="24"/>
                <w:szCs w:val="24"/>
              </w:rPr>
              <w:t>14/03/2023</w:t>
            </w:r>
          </w:p>
        </w:tc>
      </w:tr>
      <w:tr w:rsidR="00E559CE" w:rsidRPr="008B28E7" w14:paraId="40165146" w14:textId="77777777" w:rsidTr="00B94443">
        <w:tc>
          <w:tcPr>
            <w:tcW w:w="5094" w:type="dxa"/>
          </w:tcPr>
          <w:p w14:paraId="2DE3C97B" w14:textId="3CC617BB" w:rsidR="00E559CE" w:rsidRPr="00B17FA0" w:rsidRDefault="00E559CE" w:rsidP="00B94443">
            <w:pPr>
              <w:jc w:val="both"/>
              <w:rPr>
                <w:sz w:val="24"/>
                <w:szCs w:val="24"/>
              </w:rPr>
            </w:pPr>
            <w:r w:rsidRPr="00B17FA0">
              <w:rPr>
                <w:sz w:val="24"/>
                <w:szCs w:val="24"/>
              </w:rPr>
              <w:t>4</w:t>
            </w:r>
            <w:r w:rsidR="00AC6563">
              <w:rPr>
                <w:sz w:val="24"/>
                <w:szCs w:val="24"/>
              </w:rPr>
              <w:t xml:space="preserve"> 06/06/2023</w:t>
            </w:r>
          </w:p>
        </w:tc>
        <w:tc>
          <w:tcPr>
            <w:tcW w:w="5094" w:type="dxa"/>
          </w:tcPr>
          <w:p w14:paraId="16B5309A" w14:textId="4884D3EA" w:rsidR="00E559CE" w:rsidRPr="00B17FA0" w:rsidRDefault="00AC6563" w:rsidP="00B94443">
            <w:pPr>
              <w:jc w:val="both"/>
              <w:rPr>
                <w:sz w:val="24"/>
                <w:szCs w:val="24"/>
              </w:rPr>
            </w:pPr>
            <w:r>
              <w:rPr>
                <w:sz w:val="24"/>
                <w:szCs w:val="24"/>
              </w:rPr>
              <w:t>06/06/2023</w:t>
            </w:r>
          </w:p>
        </w:tc>
      </w:tr>
    </w:tbl>
    <w:p w14:paraId="3338AF4A" w14:textId="77777777" w:rsidR="00E559CE" w:rsidRPr="008B28E7" w:rsidRDefault="00E559CE" w:rsidP="00E559CE">
      <w:pPr>
        <w:jc w:val="both"/>
        <w:rPr>
          <w:sz w:val="24"/>
          <w:szCs w:val="24"/>
        </w:rPr>
      </w:pPr>
    </w:p>
    <w:p w14:paraId="31E64554" w14:textId="711C3B2C" w:rsidR="00AC6563" w:rsidRDefault="00E559CE" w:rsidP="00AC6563">
      <w:pPr>
        <w:rPr>
          <w:color w:val="1F497D"/>
        </w:rPr>
      </w:pPr>
      <w:r>
        <w:rPr>
          <w:sz w:val="24"/>
          <w:szCs w:val="24"/>
        </w:rPr>
        <w:t>Notes</w:t>
      </w:r>
      <w:r w:rsidRPr="008B28E7">
        <w:rPr>
          <w:sz w:val="24"/>
          <w:szCs w:val="24"/>
        </w:rPr>
        <w:t xml:space="preserve"> </w:t>
      </w:r>
    </w:p>
    <w:p w14:paraId="20A980F4" w14:textId="77777777" w:rsidR="000E38C3" w:rsidRDefault="000E38C3" w:rsidP="00E559CE">
      <w:pPr>
        <w:jc w:val="both"/>
        <w:rPr>
          <w:sz w:val="24"/>
          <w:szCs w:val="24"/>
        </w:rPr>
      </w:pP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3C3E7DE2" w14:textId="03F346EF" w:rsidR="00A43C3B" w:rsidRDefault="005F5FD5" w:rsidP="00BA7E3D">
            <w:pPr>
              <w:jc w:val="both"/>
              <w:rPr>
                <w:color w:val="auto"/>
                <w:sz w:val="24"/>
                <w:szCs w:val="24"/>
              </w:rPr>
            </w:pPr>
            <w:r>
              <w:rPr>
                <w:color w:val="auto"/>
                <w:sz w:val="24"/>
                <w:szCs w:val="24"/>
              </w:rPr>
              <w:t>The three identified learning</w:t>
            </w:r>
            <w:r w:rsidR="00A43C3B">
              <w:rPr>
                <w:color w:val="auto"/>
                <w:sz w:val="24"/>
                <w:szCs w:val="24"/>
              </w:rPr>
              <w:t xml:space="preserve"> outcomes have been competently demonstrated with</w:t>
            </w:r>
            <w:r>
              <w:rPr>
                <w:color w:val="auto"/>
                <w:sz w:val="24"/>
                <w:szCs w:val="24"/>
              </w:rPr>
              <w:t>in the learner’s</w:t>
            </w:r>
            <w:r w:rsidR="00A43C3B">
              <w:rPr>
                <w:color w:val="auto"/>
                <w:sz w:val="24"/>
                <w:szCs w:val="24"/>
              </w:rPr>
              <w:t xml:space="preserve"> first years of practice:</w:t>
            </w:r>
          </w:p>
          <w:p w14:paraId="2B49BDA4" w14:textId="2C290E6A" w:rsidR="00A43C3B" w:rsidRDefault="00A43C3B" w:rsidP="00BA7E3D">
            <w:pPr>
              <w:jc w:val="both"/>
              <w:rPr>
                <w:color w:val="auto"/>
                <w:sz w:val="24"/>
                <w:szCs w:val="24"/>
              </w:rPr>
            </w:pPr>
          </w:p>
          <w:p w14:paraId="575BDF1E" w14:textId="254B933C" w:rsidR="00FC0334" w:rsidRPr="00715902" w:rsidRDefault="00715902" w:rsidP="005D4F72">
            <w:pPr>
              <w:jc w:val="both"/>
              <w:rPr>
                <w:rFonts w:ascii="ArialMT" w:hAnsi="ArialMT" w:cs="ArialMT"/>
                <w:color w:val="auto"/>
                <w:sz w:val="24"/>
                <w:szCs w:val="24"/>
                <w:u w:val="single"/>
              </w:rPr>
            </w:pPr>
            <w:r w:rsidRPr="00715902">
              <w:rPr>
                <w:rFonts w:ascii="ArialMT" w:hAnsi="ArialMT" w:cs="ArialMT"/>
                <w:color w:val="auto"/>
                <w:sz w:val="24"/>
                <w:szCs w:val="24"/>
                <w:u w:val="single"/>
              </w:rPr>
              <w:t>Apply analysis and assessment</w:t>
            </w:r>
          </w:p>
          <w:p w14:paraId="5F5C2742" w14:textId="77777777" w:rsidR="00715902" w:rsidRPr="00A43C3B" w:rsidRDefault="00715902" w:rsidP="005D4F72">
            <w:pPr>
              <w:jc w:val="both"/>
              <w:rPr>
                <w:color w:val="auto"/>
                <w:sz w:val="24"/>
                <w:szCs w:val="24"/>
                <w:u w:val="single"/>
              </w:rPr>
            </w:pPr>
          </w:p>
          <w:p w14:paraId="31D6EF2F" w14:textId="3B462F57" w:rsidR="00A43C3B" w:rsidRDefault="00A43C3B" w:rsidP="005D4F72">
            <w:pPr>
              <w:jc w:val="both"/>
              <w:rPr>
                <w:color w:val="auto"/>
                <w:sz w:val="24"/>
                <w:szCs w:val="24"/>
              </w:rPr>
            </w:pPr>
            <w:r>
              <w:rPr>
                <w:color w:val="auto"/>
                <w:sz w:val="24"/>
                <w:szCs w:val="24"/>
              </w:rPr>
              <w:t>An integral part of working within a CMHT in Wales is undertaking the mandatory WARRN training. As the learner identifies in Task 1a and Task 1b, it developed her skills in analytical formulation and professional judgement in what is often an unpredictable and complex arena.</w:t>
            </w:r>
          </w:p>
          <w:p w14:paraId="0E92FF4A" w14:textId="63E16FD8" w:rsidR="00A43C3B" w:rsidRDefault="00A43C3B" w:rsidP="005D4F72">
            <w:pPr>
              <w:jc w:val="both"/>
              <w:rPr>
                <w:color w:val="auto"/>
                <w:sz w:val="24"/>
                <w:szCs w:val="24"/>
              </w:rPr>
            </w:pPr>
          </w:p>
          <w:p w14:paraId="5A8CAD19" w14:textId="1C94E644" w:rsidR="00A43C3B" w:rsidRDefault="00A43C3B" w:rsidP="005D4F72">
            <w:pPr>
              <w:jc w:val="both"/>
              <w:rPr>
                <w:color w:val="auto"/>
                <w:sz w:val="24"/>
                <w:szCs w:val="24"/>
              </w:rPr>
            </w:pPr>
            <w:r>
              <w:rPr>
                <w:color w:val="auto"/>
                <w:sz w:val="24"/>
                <w:szCs w:val="24"/>
              </w:rPr>
              <w:t xml:space="preserve">The WARRN training is an intensive 2-day multi-disciplinary course that anticipates the practitioner to transfer assessment and formulation skills into the many varied scenarios, </w:t>
            </w:r>
            <w:r>
              <w:rPr>
                <w:color w:val="auto"/>
                <w:sz w:val="24"/>
                <w:szCs w:val="24"/>
              </w:rPr>
              <w:lastRenderedPageBreak/>
              <w:t>sometimes in a planned</w:t>
            </w:r>
            <w:r w:rsidR="000C3231">
              <w:rPr>
                <w:color w:val="auto"/>
                <w:sz w:val="24"/>
                <w:szCs w:val="24"/>
              </w:rPr>
              <w:t xml:space="preserve"> manner and at other times in unforeseen and </w:t>
            </w:r>
            <w:r>
              <w:rPr>
                <w:color w:val="auto"/>
                <w:sz w:val="24"/>
                <w:szCs w:val="24"/>
              </w:rPr>
              <w:t>unpredictable crisis situation</w:t>
            </w:r>
            <w:r w:rsidR="000C3231">
              <w:rPr>
                <w:color w:val="auto"/>
                <w:sz w:val="24"/>
                <w:szCs w:val="24"/>
              </w:rPr>
              <w:t>s</w:t>
            </w:r>
            <w:r>
              <w:rPr>
                <w:color w:val="auto"/>
                <w:sz w:val="24"/>
                <w:szCs w:val="24"/>
              </w:rPr>
              <w:t>.</w:t>
            </w:r>
          </w:p>
          <w:p w14:paraId="654CD2A0" w14:textId="35651FA1" w:rsidR="00FD25A6" w:rsidRDefault="00FD25A6" w:rsidP="005D4F72">
            <w:pPr>
              <w:jc w:val="both"/>
              <w:rPr>
                <w:color w:val="auto"/>
                <w:sz w:val="24"/>
                <w:szCs w:val="24"/>
              </w:rPr>
            </w:pPr>
          </w:p>
          <w:p w14:paraId="037B346A" w14:textId="3170167A" w:rsidR="00FD25A6" w:rsidRDefault="00FD25A6" w:rsidP="005D4F72">
            <w:pPr>
              <w:jc w:val="both"/>
              <w:rPr>
                <w:color w:val="auto"/>
                <w:sz w:val="24"/>
                <w:szCs w:val="24"/>
              </w:rPr>
            </w:pPr>
            <w:r>
              <w:rPr>
                <w:color w:val="auto"/>
                <w:sz w:val="24"/>
                <w:szCs w:val="24"/>
              </w:rPr>
              <w:t xml:space="preserve">Practitioners are not permitted to complete WARRN paperwork without having successfully completing the training. Prior to </w:t>
            </w:r>
            <w:r w:rsidR="000C3231">
              <w:rPr>
                <w:color w:val="auto"/>
                <w:sz w:val="24"/>
                <w:szCs w:val="24"/>
              </w:rPr>
              <w:t>completing</w:t>
            </w:r>
            <w:r>
              <w:rPr>
                <w:color w:val="auto"/>
                <w:sz w:val="24"/>
                <w:szCs w:val="24"/>
              </w:rPr>
              <w:t xml:space="preserve"> the training, the learner was required to complete WARRN pro formas with discussion with fully trained practitioners, who would then countersign the documents. This assisted the learner in reflecting on her analyses and formulations rather than seeing it as a mere paperwork exercise.</w:t>
            </w:r>
          </w:p>
          <w:p w14:paraId="60C1BB4C" w14:textId="2A3DB07E" w:rsidR="00FD25A6" w:rsidRDefault="00FD25A6" w:rsidP="005D4F72">
            <w:pPr>
              <w:jc w:val="both"/>
              <w:rPr>
                <w:color w:val="auto"/>
                <w:sz w:val="24"/>
                <w:szCs w:val="24"/>
              </w:rPr>
            </w:pPr>
          </w:p>
          <w:p w14:paraId="1BA89B95" w14:textId="3A4FB905" w:rsidR="00FD25A6" w:rsidRDefault="00FD25A6" w:rsidP="005D4F72">
            <w:pPr>
              <w:jc w:val="both"/>
              <w:rPr>
                <w:color w:val="auto"/>
                <w:sz w:val="24"/>
                <w:szCs w:val="24"/>
              </w:rPr>
            </w:pPr>
            <w:r>
              <w:rPr>
                <w:color w:val="auto"/>
                <w:sz w:val="24"/>
                <w:szCs w:val="24"/>
              </w:rPr>
              <w:t>The WARRN assessment skills are transferrable to other assessment scenarios, such as a strengths based approach because it prompts the assessor to consider strengths and protective factors within the context of an individual’s social, cultural and environmental experiences.</w:t>
            </w:r>
            <w:r w:rsidR="000C3231">
              <w:rPr>
                <w:color w:val="auto"/>
                <w:sz w:val="24"/>
                <w:szCs w:val="24"/>
              </w:rPr>
              <w:t xml:space="preserve"> The risk formulation has fed into the learner’s ability to collaborate with individuals in developing management plans and progressive recovery-focused care planning.</w:t>
            </w:r>
          </w:p>
          <w:p w14:paraId="6538E0CE" w14:textId="6116B365" w:rsidR="00FD25A6" w:rsidRDefault="00FD25A6" w:rsidP="005D4F72">
            <w:pPr>
              <w:jc w:val="both"/>
              <w:rPr>
                <w:color w:val="auto"/>
                <w:sz w:val="24"/>
                <w:szCs w:val="24"/>
              </w:rPr>
            </w:pPr>
          </w:p>
          <w:p w14:paraId="3EED0C73" w14:textId="03C7B63E" w:rsidR="00FD25A6" w:rsidRDefault="00FD25A6" w:rsidP="005D4F72">
            <w:pPr>
              <w:jc w:val="both"/>
              <w:rPr>
                <w:color w:val="auto"/>
                <w:sz w:val="24"/>
                <w:szCs w:val="24"/>
              </w:rPr>
            </w:pPr>
            <w:r>
              <w:rPr>
                <w:color w:val="auto"/>
                <w:sz w:val="24"/>
                <w:szCs w:val="24"/>
              </w:rPr>
              <w:t>The learner has demonstrated an ability make sound judgements in crisis situations, and this has been evidenced through supervision and ad hoc discussions in the office. S</w:t>
            </w:r>
            <w:r w:rsidR="000C3231">
              <w:rPr>
                <w:color w:val="auto"/>
                <w:sz w:val="24"/>
                <w:szCs w:val="24"/>
              </w:rPr>
              <w:t>he has demonstrated a steady trajectory in developing</w:t>
            </w:r>
            <w:r>
              <w:rPr>
                <w:color w:val="auto"/>
                <w:sz w:val="24"/>
                <w:szCs w:val="24"/>
              </w:rPr>
              <w:t xml:space="preserve"> confidence in risk formulation, </w:t>
            </w:r>
            <w:r w:rsidR="000C3231">
              <w:rPr>
                <w:color w:val="auto"/>
                <w:sz w:val="24"/>
                <w:szCs w:val="24"/>
              </w:rPr>
              <w:t>with less need to ‘run things past’ colleagues to check decisions are sound as time progressed.</w:t>
            </w:r>
          </w:p>
          <w:p w14:paraId="1FA718C8" w14:textId="33362128" w:rsidR="005F5FD5" w:rsidRDefault="005F5FD5" w:rsidP="005D4F72">
            <w:pPr>
              <w:jc w:val="both"/>
              <w:rPr>
                <w:color w:val="auto"/>
                <w:sz w:val="24"/>
                <w:szCs w:val="24"/>
              </w:rPr>
            </w:pPr>
          </w:p>
          <w:p w14:paraId="3EA2C1AA" w14:textId="5D2A876F" w:rsidR="005F5FD5" w:rsidRDefault="005F5FD5" w:rsidP="005D4F72">
            <w:pPr>
              <w:jc w:val="both"/>
              <w:rPr>
                <w:color w:val="auto"/>
                <w:sz w:val="24"/>
                <w:szCs w:val="24"/>
              </w:rPr>
            </w:pPr>
            <w:r>
              <w:rPr>
                <w:color w:val="auto"/>
                <w:sz w:val="24"/>
                <w:szCs w:val="24"/>
              </w:rPr>
              <w:t>Future development will entail maintaining the WARRN refresher training every two years and ensuring that the learner continues to develop confidence in utilising risk assessment and formulation skills in varied scenarios. This is an essential part of an AMHP’s role, and the learner has keenly voiced a wish to undertake this training in the coming two years.</w:t>
            </w:r>
          </w:p>
          <w:p w14:paraId="153ADE17" w14:textId="13A47CB1" w:rsidR="00FD25A6" w:rsidRDefault="00FD25A6" w:rsidP="005D4F72">
            <w:pPr>
              <w:jc w:val="both"/>
              <w:rPr>
                <w:color w:val="auto"/>
                <w:sz w:val="24"/>
                <w:szCs w:val="24"/>
              </w:rPr>
            </w:pPr>
          </w:p>
          <w:p w14:paraId="0B8EA8F4" w14:textId="3EEDB778" w:rsidR="00A43C3B" w:rsidRPr="00715902" w:rsidRDefault="00715902" w:rsidP="005D4F72">
            <w:pPr>
              <w:jc w:val="both"/>
              <w:rPr>
                <w:color w:val="auto"/>
                <w:sz w:val="24"/>
                <w:szCs w:val="24"/>
                <w:u w:val="single"/>
              </w:rPr>
            </w:pPr>
            <w:r w:rsidRPr="00715902">
              <w:rPr>
                <w:rFonts w:ascii="ArialMT" w:hAnsi="ArialMT" w:cs="ArialMT"/>
                <w:color w:val="auto"/>
                <w:sz w:val="24"/>
                <w:szCs w:val="24"/>
                <w:u w:val="single"/>
              </w:rPr>
              <w:t>Working collaboratively with people, their carers and professionals</w:t>
            </w:r>
          </w:p>
          <w:p w14:paraId="42541855" w14:textId="77777777" w:rsidR="00A43C3B" w:rsidRPr="00715902" w:rsidRDefault="00A43C3B" w:rsidP="005D4F72">
            <w:pPr>
              <w:jc w:val="both"/>
              <w:rPr>
                <w:color w:val="auto"/>
                <w:sz w:val="24"/>
                <w:szCs w:val="24"/>
                <w:u w:val="single"/>
              </w:rPr>
            </w:pPr>
          </w:p>
          <w:p w14:paraId="1449E5BA" w14:textId="611EE8F2" w:rsidR="000C3231" w:rsidRDefault="000C3231" w:rsidP="005D4F72">
            <w:pPr>
              <w:jc w:val="both"/>
              <w:rPr>
                <w:color w:val="auto"/>
                <w:sz w:val="24"/>
                <w:szCs w:val="24"/>
              </w:rPr>
            </w:pPr>
            <w:r>
              <w:rPr>
                <w:color w:val="auto"/>
                <w:sz w:val="24"/>
                <w:szCs w:val="24"/>
              </w:rPr>
              <w:t>The MDT is sometimes a tough arena for the social worker to sit within. The learner is based in a CMHT where social care staff are outnumbered by a factor of about 5 to 1. The learner has managed to get her voice heard within a medical-dominated team. She has shadowed health colleagues and been able to observe first hand that the myth of medicalising or ‘psychiatrising’ people’s live experiences is not borne out when individuals are at the centre of the intervention.</w:t>
            </w:r>
            <w:r w:rsidR="005F5FD5">
              <w:rPr>
                <w:color w:val="auto"/>
                <w:sz w:val="24"/>
                <w:szCs w:val="24"/>
              </w:rPr>
              <w:t xml:space="preserve"> The learner’s reflection about this topic is clearly demonstrated in Task 1a.</w:t>
            </w:r>
          </w:p>
          <w:p w14:paraId="52BA08D5" w14:textId="28E6F4B3" w:rsidR="000C3231" w:rsidRDefault="000C3231" w:rsidP="005D4F72">
            <w:pPr>
              <w:jc w:val="both"/>
              <w:rPr>
                <w:color w:val="auto"/>
                <w:sz w:val="24"/>
                <w:szCs w:val="24"/>
              </w:rPr>
            </w:pPr>
          </w:p>
          <w:p w14:paraId="3F463CDC" w14:textId="1436A131" w:rsidR="000C3231" w:rsidRDefault="000C3231" w:rsidP="005D4F72">
            <w:pPr>
              <w:jc w:val="both"/>
              <w:rPr>
                <w:color w:val="auto"/>
                <w:sz w:val="24"/>
                <w:szCs w:val="24"/>
              </w:rPr>
            </w:pPr>
            <w:r>
              <w:rPr>
                <w:color w:val="auto"/>
                <w:sz w:val="24"/>
                <w:szCs w:val="24"/>
              </w:rPr>
              <w:t xml:space="preserve">The learner has worked closely with health colleagues of various disciplines to uphold the social work values. </w:t>
            </w:r>
            <w:r w:rsidR="00FC5DAF">
              <w:rPr>
                <w:color w:val="auto"/>
                <w:sz w:val="24"/>
                <w:szCs w:val="24"/>
              </w:rPr>
              <w:t>She has been able to demonstrate adherence to the Social Care Wales Code of Professional Practice throughout her collaboration with other team members, which lines up reasonably closely with the nurse’s code of practice. This aided collaboration with colleagues who have similar expectations of professional practice.</w:t>
            </w:r>
          </w:p>
          <w:p w14:paraId="0ED2A0DB" w14:textId="511EB1E7" w:rsidR="00FC5DAF" w:rsidRDefault="00FC5DAF" w:rsidP="005D4F72">
            <w:pPr>
              <w:jc w:val="both"/>
              <w:rPr>
                <w:color w:val="auto"/>
                <w:sz w:val="24"/>
                <w:szCs w:val="24"/>
              </w:rPr>
            </w:pPr>
          </w:p>
          <w:p w14:paraId="219BCBE1" w14:textId="1F562C5F" w:rsidR="00FC5DAF" w:rsidRDefault="00FC5DAF" w:rsidP="005D4F72">
            <w:pPr>
              <w:jc w:val="both"/>
              <w:rPr>
                <w:color w:val="auto"/>
                <w:sz w:val="24"/>
                <w:szCs w:val="24"/>
              </w:rPr>
            </w:pPr>
            <w:r>
              <w:rPr>
                <w:color w:val="auto"/>
                <w:sz w:val="24"/>
                <w:szCs w:val="24"/>
              </w:rPr>
              <w:t>The learner was able to utilise her social work knowledge base to enhance MDT care planning, such as utilising evidence and theory to inform MDT decision making and shared risk management – especially in crisis situations where she required the Crisis Intervention Team involvement to reduce the need for psychiatric in-patient care.</w:t>
            </w:r>
          </w:p>
          <w:p w14:paraId="47F0F700" w14:textId="1DD4C1C3" w:rsidR="00FC5DAF" w:rsidRDefault="00FC5DAF" w:rsidP="005D4F72">
            <w:pPr>
              <w:jc w:val="both"/>
              <w:rPr>
                <w:color w:val="auto"/>
                <w:sz w:val="24"/>
                <w:szCs w:val="24"/>
              </w:rPr>
            </w:pPr>
          </w:p>
          <w:p w14:paraId="061A15E8" w14:textId="4FFBB0A1" w:rsidR="00FC5DAF" w:rsidRDefault="00FC5DAF" w:rsidP="005D4F72">
            <w:pPr>
              <w:jc w:val="both"/>
              <w:rPr>
                <w:color w:val="auto"/>
                <w:sz w:val="24"/>
                <w:szCs w:val="24"/>
              </w:rPr>
            </w:pPr>
            <w:r>
              <w:rPr>
                <w:color w:val="auto"/>
                <w:sz w:val="24"/>
                <w:szCs w:val="24"/>
              </w:rPr>
              <w:lastRenderedPageBreak/>
              <w:t>The learner has developed her confidence within the MDT and has been able to undertake care coordination responsibilities for increasingly complex and risk-laden cases. As her confidence in this area grew, the le</w:t>
            </w:r>
            <w:r w:rsidR="006D6322">
              <w:rPr>
                <w:color w:val="auto"/>
                <w:sz w:val="24"/>
                <w:szCs w:val="24"/>
              </w:rPr>
              <w:t>arner actively requested to receive</w:t>
            </w:r>
            <w:r>
              <w:rPr>
                <w:color w:val="auto"/>
                <w:sz w:val="24"/>
                <w:szCs w:val="24"/>
              </w:rPr>
              <w:t xml:space="preserve"> </w:t>
            </w:r>
            <w:r w:rsidR="006D6322">
              <w:rPr>
                <w:color w:val="auto"/>
                <w:sz w:val="24"/>
                <w:szCs w:val="24"/>
              </w:rPr>
              <w:t xml:space="preserve">case </w:t>
            </w:r>
            <w:r>
              <w:rPr>
                <w:color w:val="auto"/>
                <w:sz w:val="24"/>
                <w:szCs w:val="24"/>
              </w:rPr>
              <w:t>allocat</w:t>
            </w:r>
            <w:r w:rsidR="006D6322">
              <w:rPr>
                <w:color w:val="auto"/>
                <w:sz w:val="24"/>
                <w:szCs w:val="24"/>
              </w:rPr>
              <w:t>ions of increasing complexity in risk</w:t>
            </w:r>
            <w:r>
              <w:rPr>
                <w:color w:val="auto"/>
                <w:sz w:val="24"/>
                <w:szCs w:val="24"/>
              </w:rPr>
              <w:t xml:space="preserve"> and co-occurring diagnoses.  </w:t>
            </w:r>
            <w:r w:rsidR="006D6322">
              <w:rPr>
                <w:color w:val="auto"/>
                <w:sz w:val="24"/>
                <w:szCs w:val="24"/>
              </w:rPr>
              <w:t>In taking on these cases, the learner has been thrust further into the wider MDT, and has found it necessary to collaborate with other disciplines outside of the CMHT, such as general medicine, drug and alcohol services, housing and critical hospital care.</w:t>
            </w:r>
          </w:p>
          <w:p w14:paraId="05B3FDD0" w14:textId="6F77DC85" w:rsidR="00BA7E3D" w:rsidRDefault="00BA7E3D" w:rsidP="005D4F72">
            <w:pPr>
              <w:jc w:val="both"/>
              <w:rPr>
                <w:color w:val="auto"/>
                <w:sz w:val="24"/>
                <w:szCs w:val="24"/>
              </w:rPr>
            </w:pPr>
          </w:p>
          <w:p w14:paraId="6453C5FD" w14:textId="25428312" w:rsidR="00BA7E3D" w:rsidRDefault="00BA7E3D" w:rsidP="005D4F72">
            <w:pPr>
              <w:jc w:val="both"/>
              <w:rPr>
                <w:color w:val="auto"/>
                <w:sz w:val="24"/>
                <w:szCs w:val="24"/>
              </w:rPr>
            </w:pPr>
            <w:r>
              <w:rPr>
                <w:color w:val="auto"/>
                <w:sz w:val="24"/>
                <w:szCs w:val="24"/>
              </w:rPr>
              <w:t>The learner continues to embrace Welsh culture and is able to converse in basic Welsh to ensure she provides the Active Offer of Welsh when meeting individuals. She is able to appreciate the nuances of local customs and norms, and embrace what is important to individuals. This is as a direct result of her closely working with, and carefully observing colleagues and individuals to ensure she has time to reflect and understand what matters to those around her. As her career rolls on, the learner will need to continue with this enthusiasm to understand people around her, as society evolves with new technologies, policies, governments and generational shifts.</w:t>
            </w:r>
          </w:p>
          <w:p w14:paraId="4E88A146" w14:textId="77777777" w:rsidR="000C3231" w:rsidRDefault="000C3231" w:rsidP="005D4F72">
            <w:pPr>
              <w:jc w:val="both"/>
              <w:rPr>
                <w:color w:val="auto"/>
                <w:sz w:val="24"/>
                <w:szCs w:val="24"/>
              </w:rPr>
            </w:pPr>
          </w:p>
          <w:p w14:paraId="1E7F6746" w14:textId="0E1E027C" w:rsidR="00A43C3B" w:rsidRPr="00715902" w:rsidRDefault="00715902" w:rsidP="005D4F72">
            <w:pPr>
              <w:jc w:val="both"/>
              <w:rPr>
                <w:color w:val="auto"/>
                <w:sz w:val="24"/>
                <w:szCs w:val="24"/>
                <w:u w:val="single"/>
              </w:rPr>
            </w:pPr>
            <w:r w:rsidRPr="00715902">
              <w:rPr>
                <w:rFonts w:ascii="ArialMT" w:hAnsi="ArialMT" w:cs="ArialMT"/>
                <w:color w:val="auto"/>
                <w:sz w:val="24"/>
                <w:szCs w:val="24"/>
                <w:u w:val="single"/>
              </w:rPr>
              <w:t>Intervention and application of professional judgement in increasingly complex situations</w:t>
            </w:r>
          </w:p>
          <w:p w14:paraId="2714AC7D" w14:textId="77777777" w:rsidR="00715902" w:rsidRPr="00715902" w:rsidRDefault="00715902" w:rsidP="005D4F72">
            <w:pPr>
              <w:jc w:val="both"/>
              <w:rPr>
                <w:color w:val="auto"/>
                <w:sz w:val="24"/>
                <w:szCs w:val="24"/>
                <w:u w:val="single"/>
              </w:rPr>
            </w:pPr>
          </w:p>
          <w:p w14:paraId="4470A9D2" w14:textId="6185AE01" w:rsidR="00CF4FFC" w:rsidRDefault="00B26E33" w:rsidP="005D4F72">
            <w:pPr>
              <w:jc w:val="both"/>
              <w:rPr>
                <w:color w:val="auto"/>
                <w:sz w:val="24"/>
                <w:szCs w:val="24"/>
              </w:rPr>
            </w:pPr>
            <w:r>
              <w:rPr>
                <w:color w:val="auto"/>
                <w:sz w:val="24"/>
                <w:szCs w:val="24"/>
              </w:rPr>
              <w:t xml:space="preserve">Social workers make professional judgements every day, whether that is considering models of interventions, or in complex decisions about risk. </w:t>
            </w:r>
            <w:r w:rsidR="006D6322">
              <w:rPr>
                <w:color w:val="auto"/>
                <w:sz w:val="24"/>
                <w:szCs w:val="24"/>
              </w:rPr>
              <w:t>T</w:t>
            </w:r>
            <w:r w:rsidR="00CF4FFC">
              <w:rPr>
                <w:color w:val="auto"/>
                <w:sz w:val="24"/>
                <w:szCs w:val="24"/>
              </w:rPr>
              <w:t>he learner</w:t>
            </w:r>
            <w:r w:rsidR="006D6322">
              <w:rPr>
                <w:color w:val="auto"/>
                <w:sz w:val="24"/>
                <w:szCs w:val="24"/>
              </w:rPr>
              <w:t xml:space="preserve"> opted to attend MI training. T</w:t>
            </w:r>
            <w:r w:rsidR="00CF4FFC">
              <w:rPr>
                <w:color w:val="auto"/>
                <w:sz w:val="24"/>
                <w:szCs w:val="24"/>
              </w:rPr>
              <w:t>he MI</w:t>
            </w:r>
            <w:r w:rsidR="006D6322">
              <w:rPr>
                <w:color w:val="auto"/>
                <w:sz w:val="24"/>
                <w:szCs w:val="24"/>
              </w:rPr>
              <w:t xml:space="preserve"> approach is central to engaging individuals in their recovery. Traditionally, individuals accessing mental health services have experienced a diagnosis-based interaction with services and the learner found that this often leads to individuals accepting their lot and losing motivation to try to change things – ‘it is the illness and therefore out of my control’. </w:t>
            </w:r>
            <w:r w:rsidR="00CF4FFC">
              <w:rPr>
                <w:color w:val="auto"/>
                <w:sz w:val="24"/>
                <w:szCs w:val="24"/>
              </w:rPr>
              <w:t xml:space="preserve">In utilising MI techniques, the learner has worked in partnership with individuals to bring about tangible positive change in their lives. This has in turn enabled individuals to take ownership of their care plans and increase their sense of agency and self-efficacy. </w:t>
            </w:r>
            <w:r w:rsidR="003C58DE">
              <w:rPr>
                <w:color w:val="auto"/>
                <w:sz w:val="24"/>
                <w:szCs w:val="24"/>
              </w:rPr>
              <w:t>The impact of the MI technique is demonstrated in the learner’s observed practice, where individual 1 was encouraged to re-focus on what mattered to her and feed into goal setting longer-term.</w:t>
            </w:r>
            <w:r>
              <w:rPr>
                <w:color w:val="auto"/>
                <w:sz w:val="24"/>
                <w:szCs w:val="24"/>
              </w:rPr>
              <w:t xml:space="preserve"> The learner has demonstrated an ability to make professional judgements about models to utilise to when endeavouring to optimise engagement with individuals.</w:t>
            </w:r>
          </w:p>
          <w:p w14:paraId="06FB8F72" w14:textId="4C07397C" w:rsidR="00EC2167" w:rsidRDefault="00EC2167" w:rsidP="005D4F72">
            <w:pPr>
              <w:jc w:val="both"/>
              <w:rPr>
                <w:color w:val="auto"/>
                <w:sz w:val="24"/>
                <w:szCs w:val="24"/>
              </w:rPr>
            </w:pPr>
          </w:p>
          <w:p w14:paraId="7A8B71FD" w14:textId="2DA130E3" w:rsidR="00FC0334" w:rsidRDefault="00EC2167" w:rsidP="005D4F72">
            <w:pPr>
              <w:jc w:val="both"/>
              <w:rPr>
                <w:color w:val="auto"/>
                <w:sz w:val="24"/>
                <w:szCs w:val="24"/>
              </w:rPr>
            </w:pPr>
            <w:r>
              <w:rPr>
                <w:color w:val="auto"/>
                <w:sz w:val="24"/>
                <w:szCs w:val="24"/>
              </w:rPr>
              <w:t>The learner has engaged health colleagues in exercises they thought were the preserve of the social worker, such as assessing an individual’s capacity to manage finances. Her use of motivational interviewing, alongside her knowledge of the Mental Capacity Act Code of Practice, has assisted colleagues to explore their anxieties about new tasks, and ensured that, with her support, the whole MDT has been encouraged to observe the Code of Practice and increase confidence and skills to address all aspects of care planning. The learner has used her own learning to enrich the scope of the whole team, which she identified within Task 1b.</w:t>
            </w:r>
          </w:p>
          <w:p w14:paraId="1BDD4278" w14:textId="66DD8ADF" w:rsidR="00EC2167" w:rsidRDefault="00EC2167" w:rsidP="005D4F72">
            <w:pPr>
              <w:jc w:val="both"/>
              <w:rPr>
                <w:color w:val="auto"/>
                <w:sz w:val="24"/>
                <w:szCs w:val="24"/>
              </w:rPr>
            </w:pPr>
          </w:p>
          <w:p w14:paraId="5C25827F" w14:textId="61B3795C" w:rsidR="00EC2167" w:rsidRDefault="00EC2167" w:rsidP="005D4F72">
            <w:pPr>
              <w:jc w:val="both"/>
              <w:rPr>
                <w:color w:val="auto"/>
                <w:sz w:val="24"/>
                <w:szCs w:val="24"/>
              </w:rPr>
            </w:pPr>
            <w:r>
              <w:rPr>
                <w:color w:val="auto"/>
                <w:sz w:val="24"/>
                <w:szCs w:val="24"/>
              </w:rPr>
              <w:t>The learner continues to seek out relevant training, including safeguarding, gender issues, data protection and personal safety</w:t>
            </w:r>
            <w:r w:rsidR="00B26E33">
              <w:rPr>
                <w:color w:val="auto"/>
                <w:sz w:val="24"/>
                <w:szCs w:val="24"/>
              </w:rPr>
              <w:t>, all to further enhance sound professional judgement</w:t>
            </w:r>
            <w:r>
              <w:rPr>
                <w:color w:val="auto"/>
                <w:sz w:val="24"/>
                <w:szCs w:val="24"/>
              </w:rPr>
              <w:t xml:space="preserve">. She is an integral part of the social care cohort within the CMHT and actively involves herself in team discussions to share learning experiences, whether they be following training courses, </w:t>
            </w:r>
            <w:r>
              <w:rPr>
                <w:color w:val="auto"/>
                <w:sz w:val="24"/>
                <w:szCs w:val="24"/>
              </w:rPr>
              <w:lastRenderedPageBreak/>
              <w:t xml:space="preserve">experiencing new working scenarios or reading about interesting </w:t>
            </w:r>
            <w:r w:rsidR="00BA7E3D">
              <w:rPr>
                <w:color w:val="auto"/>
                <w:sz w:val="24"/>
                <w:szCs w:val="24"/>
              </w:rPr>
              <w:t>topics in the news or ‘industry’ publications.</w:t>
            </w:r>
          </w:p>
          <w:p w14:paraId="3D43A4B3" w14:textId="1D594745" w:rsidR="00B26E33" w:rsidRDefault="00B26E33" w:rsidP="005D4F72">
            <w:pPr>
              <w:jc w:val="both"/>
              <w:rPr>
                <w:color w:val="auto"/>
                <w:sz w:val="24"/>
                <w:szCs w:val="24"/>
              </w:rPr>
            </w:pPr>
          </w:p>
          <w:p w14:paraId="050FF0E5" w14:textId="7006D573" w:rsidR="00B26E33" w:rsidRDefault="00B26E33" w:rsidP="005D4F72">
            <w:pPr>
              <w:jc w:val="both"/>
              <w:rPr>
                <w:color w:val="auto"/>
                <w:sz w:val="24"/>
                <w:szCs w:val="24"/>
              </w:rPr>
            </w:pPr>
            <w:r>
              <w:rPr>
                <w:color w:val="auto"/>
                <w:sz w:val="24"/>
                <w:szCs w:val="24"/>
              </w:rPr>
              <w:t>As the learner’s experience progresses, her ability to safely manage complex situations and make professional judgements to enhance risk management and effective care planning will develop further. This is essential when care coordinating volatile and sometimes quite unwell individuals within the arena of secondary mental health services. As her confidence develops, she will be responsible for care coordinating individuals who engage in behaviours that pose significant risk to themselves and others, such as those requiring input from forensic mental health services.</w:t>
            </w:r>
          </w:p>
          <w:p w14:paraId="52A0ECEC" w14:textId="77777777" w:rsidR="00FC0334" w:rsidRDefault="00FC0334" w:rsidP="005D4F72">
            <w:pPr>
              <w:jc w:val="both"/>
              <w:rPr>
                <w:color w:val="auto"/>
                <w:sz w:val="24"/>
                <w:szCs w:val="24"/>
              </w:rPr>
            </w:pPr>
          </w:p>
          <w:p w14:paraId="02ADF6E0" w14:textId="4818B99C" w:rsidR="00FC0334" w:rsidRPr="00BA7E3D" w:rsidRDefault="00BA7E3D" w:rsidP="005D4F72">
            <w:pPr>
              <w:jc w:val="both"/>
              <w:rPr>
                <w:color w:val="auto"/>
                <w:sz w:val="24"/>
                <w:szCs w:val="24"/>
                <w:u w:val="single"/>
              </w:rPr>
            </w:pPr>
            <w:r w:rsidRPr="00BA7E3D">
              <w:rPr>
                <w:color w:val="auto"/>
                <w:sz w:val="24"/>
                <w:szCs w:val="24"/>
                <w:u w:val="single"/>
              </w:rPr>
              <w:t>Mentor’s conclusion:</w:t>
            </w:r>
          </w:p>
          <w:p w14:paraId="4E12B6FA" w14:textId="77777777" w:rsidR="00BA7E3D" w:rsidRDefault="00BA7E3D" w:rsidP="00BA7E3D">
            <w:pPr>
              <w:jc w:val="both"/>
              <w:rPr>
                <w:color w:val="auto"/>
                <w:sz w:val="24"/>
                <w:szCs w:val="24"/>
              </w:rPr>
            </w:pPr>
            <w:r>
              <w:rPr>
                <w:color w:val="auto"/>
                <w:sz w:val="24"/>
                <w:szCs w:val="24"/>
              </w:rPr>
              <w:t>The learner has developed professionally and personally during her first years of practice. Coming newly qualified from India to Wales to commence her career amid a global pandemic, with constantly changing local policies around safe working and infection control, and delivering high quality interventions within a changing team dynamic, the learner demonstrated resilience and drive within her practice. She adopted a routine of self-assured inquisitiveness and set herself the task of becoming part of the tight knit multi-disciplinary team.</w:t>
            </w:r>
          </w:p>
          <w:p w14:paraId="3F026D50" w14:textId="77777777" w:rsidR="00BA7E3D" w:rsidRDefault="00BA7E3D" w:rsidP="00BA7E3D">
            <w:pPr>
              <w:jc w:val="both"/>
              <w:rPr>
                <w:color w:val="auto"/>
                <w:sz w:val="24"/>
                <w:szCs w:val="24"/>
              </w:rPr>
            </w:pPr>
          </w:p>
          <w:p w14:paraId="5B285D65" w14:textId="0D11118B" w:rsidR="00BA7E3D" w:rsidRDefault="00BA7E3D" w:rsidP="00BA7E3D">
            <w:pPr>
              <w:jc w:val="both"/>
              <w:rPr>
                <w:color w:val="auto"/>
                <w:sz w:val="24"/>
                <w:szCs w:val="24"/>
              </w:rPr>
            </w:pPr>
            <w:r>
              <w:rPr>
                <w:color w:val="auto"/>
                <w:sz w:val="24"/>
                <w:szCs w:val="24"/>
              </w:rPr>
              <w:t>The learner has demonstrated vigorous curiosity and genuine interest in the people of our community, which has been borne out of her situation of working within a new part of the world with contrasting legal frameworks, professional practices and cultural norms to those she encountered in India. I do not under-estimate the mammoth changes the learner has experienced since moving to the UK, and her emotional resilience and stoicism has underscored her high quality practice every day she has been a member of our team.</w:t>
            </w:r>
          </w:p>
          <w:p w14:paraId="62DAC681" w14:textId="0B55BF12" w:rsidR="00BA7E3D" w:rsidRDefault="00BA7E3D" w:rsidP="00BA7E3D">
            <w:pPr>
              <w:jc w:val="both"/>
              <w:rPr>
                <w:color w:val="auto"/>
                <w:sz w:val="24"/>
                <w:szCs w:val="24"/>
              </w:rPr>
            </w:pPr>
          </w:p>
          <w:p w14:paraId="738FD586" w14:textId="3ACD88C1" w:rsidR="00BA7E3D" w:rsidRDefault="00BA7E3D" w:rsidP="00BA7E3D">
            <w:pPr>
              <w:jc w:val="both"/>
              <w:rPr>
                <w:color w:val="auto"/>
                <w:sz w:val="24"/>
                <w:szCs w:val="24"/>
              </w:rPr>
            </w:pPr>
            <w:r>
              <w:rPr>
                <w:color w:val="auto"/>
                <w:sz w:val="24"/>
                <w:szCs w:val="24"/>
              </w:rPr>
              <w:t>The lear</w:t>
            </w:r>
            <w:r w:rsidR="00260A8F">
              <w:rPr>
                <w:color w:val="auto"/>
                <w:sz w:val="24"/>
                <w:szCs w:val="24"/>
              </w:rPr>
              <w:t>ner has developed her confidence in practice by embracing her core social work values, knowledge and skills to assert professional identity within the CMHT. As she involves herself in more complex work, such as assessments and decision making within the frameworks of the Mental Health Act and the Mental Capacity Act, she will further progress her transferrable skills when promoting social justice and social capital for the individuals we aim to help.</w:t>
            </w:r>
          </w:p>
          <w:p w14:paraId="7A042CFA" w14:textId="0D53466F" w:rsidR="00E83F00" w:rsidRDefault="00E83F00" w:rsidP="00BA7E3D">
            <w:pPr>
              <w:jc w:val="both"/>
              <w:rPr>
                <w:color w:val="auto"/>
                <w:sz w:val="24"/>
                <w:szCs w:val="24"/>
              </w:rPr>
            </w:pPr>
          </w:p>
          <w:p w14:paraId="4EC1BA82" w14:textId="0493C3EA" w:rsidR="00E83F00" w:rsidRDefault="00E83F00" w:rsidP="00BA7E3D">
            <w:pPr>
              <w:jc w:val="both"/>
              <w:rPr>
                <w:color w:val="auto"/>
                <w:sz w:val="24"/>
                <w:szCs w:val="24"/>
              </w:rPr>
            </w:pPr>
            <w:r>
              <w:rPr>
                <w:color w:val="auto"/>
                <w:sz w:val="24"/>
                <w:szCs w:val="24"/>
              </w:rPr>
              <w:t xml:space="preserve">I can confirm that the learner has engaged openly and </w:t>
            </w:r>
            <w:r w:rsidR="00DC4E49">
              <w:rPr>
                <w:color w:val="auto"/>
                <w:sz w:val="24"/>
                <w:szCs w:val="24"/>
              </w:rPr>
              <w:t>actively in monthly supervision sessions and is able to demonstrate professional competence through those sessions, and within my regular audits of case files and feedback from colleagues. The learner is a valued, hard-working and diligent team member.</w:t>
            </w:r>
          </w:p>
          <w:p w14:paraId="737A80A5" w14:textId="02136B79"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lastRenderedPageBreak/>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60511D61" w:rsidR="004923DA" w:rsidRPr="00AC656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b/>
          <w:sz w:val="24"/>
          <w:szCs w:val="24"/>
        </w:rPr>
        <w:t>1. Name of Learner</w:t>
      </w:r>
      <w:r w:rsidR="009D59C2">
        <w:rPr>
          <w:b/>
          <w:sz w:val="24"/>
          <w:szCs w:val="24"/>
        </w:rPr>
        <w:t>:</w:t>
      </w:r>
      <w:r w:rsidRPr="008B28E7">
        <w:rPr>
          <w:b/>
          <w:sz w:val="24"/>
          <w:szCs w:val="24"/>
        </w:rPr>
        <w:t xml:space="preserve"> </w:t>
      </w:r>
      <w:r w:rsidR="00AC6563">
        <w:rPr>
          <w:sz w:val="24"/>
          <w:szCs w:val="24"/>
        </w:rPr>
        <w:t>Keren Samuel</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67DCD1FF" w:rsidR="00390074" w:rsidRPr="00AC6563" w:rsidRDefault="00390074" w:rsidP="00FF7EBB">
      <w:pPr>
        <w:pBdr>
          <w:top w:val="single" w:sz="6" w:space="1" w:color="auto"/>
          <w:left w:val="single" w:sz="6" w:space="1" w:color="auto"/>
          <w:bottom w:val="single" w:sz="6" w:space="1" w:color="auto"/>
          <w:right w:val="single" w:sz="6" w:space="1" w:color="auto"/>
        </w:pBdr>
        <w:jc w:val="both"/>
        <w:rPr>
          <w:sz w:val="24"/>
          <w:szCs w:val="24"/>
        </w:rPr>
      </w:pPr>
      <w:r w:rsidRPr="0049196A">
        <w:rPr>
          <w:b/>
          <w:sz w:val="24"/>
          <w:szCs w:val="24"/>
        </w:rPr>
        <w:t>2. Learner’s University Number:</w:t>
      </w:r>
      <w:r w:rsidR="00AC6563">
        <w:rPr>
          <w:b/>
          <w:sz w:val="24"/>
          <w:szCs w:val="24"/>
        </w:rPr>
        <w:t xml:space="preserve"> </w:t>
      </w:r>
      <w:r w:rsidR="00AC6563" w:rsidRPr="00AC6563">
        <w:rPr>
          <w:sz w:val="24"/>
          <w:szCs w:val="24"/>
        </w:rPr>
        <w:t>2218788</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77A72D30" w14:textId="2D0F8600" w:rsidR="004923DA" w:rsidRPr="000F165D" w:rsidRDefault="000F165D"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Apartment 3, Old Railway Inn, 4 Victoria Road, Milford Haven</w:t>
      </w:r>
      <w:r w:rsidR="0018236C">
        <w:rPr>
          <w:sz w:val="24"/>
          <w:szCs w:val="24"/>
        </w:rPr>
        <w:t>, Pembrokeshire</w:t>
      </w:r>
      <w:r>
        <w:rPr>
          <w:sz w:val="24"/>
          <w:szCs w:val="24"/>
        </w:rPr>
        <w:t xml:space="preserve"> SA73 3AB</w:t>
      </w: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67089A06" w:rsidR="004923DA" w:rsidRPr="000F165D"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b/>
          <w:sz w:val="24"/>
          <w:szCs w:val="24"/>
        </w:rPr>
        <w:t>Telephone</w:t>
      </w:r>
      <w:r w:rsidR="009D59C2">
        <w:rPr>
          <w:b/>
          <w:sz w:val="24"/>
          <w:szCs w:val="24"/>
        </w:rPr>
        <w:t xml:space="preserve"> Number</w:t>
      </w:r>
      <w:r w:rsidR="00B17FA0">
        <w:rPr>
          <w:b/>
          <w:sz w:val="24"/>
          <w:szCs w:val="24"/>
        </w:rPr>
        <w:t>:</w:t>
      </w:r>
      <w:r w:rsidR="000F165D">
        <w:rPr>
          <w:b/>
          <w:sz w:val="24"/>
          <w:szCs w:val="24"/>
        </w:rPr>
        <w:t xml:space="preserve"> </w:t>
      </w:r>
      <w:r w:rsidR="000F165D">
        <w:rPr>
          <w:sz w:val="24"/>
          <w:szCs w:val="24"/>
        </w:rPr>
        <w:t>07587738309</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3DF2BA4D" w:rsidR="004923DA" w:rsidRPr="000F165D" w:rsidRDefault="004923DA" w:rsidP="00FF7EBB">
      <w:pPr>
        <w:pBdr>
          <w:top w:val="single" w:sz="6" w:space="1" w:color="auto"/>
          <w:left w:val="single" w:sz="6" w:space="1" w:color="auto"/>
          <w:bottom w:val="single" w:sz="6" w:space="1" w:color="auto"/>
          <w:right w:val="single" w:sz="6" w:space="1" w:color="auto"/>
        </w:pBdr>
        <w:jc w:val="both"/>
        <w:rPr>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0F165D">
        <w:rPr>
          <w:sz w:val="24"/>
          <w:szCs w:val="24"/>
        </w:rPr>
        <w:t xml:space="preserve"> Keren.Samuel@pembrokeshire.gov.uk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35ADFA36" w:rsidR="004923DA" w:rsidRPr="000F165D"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b/>
          <w:sz w:val="24"/>
          <w:szCs w:val="24"/>
        </w:rPr>
        <w:t>Date of Professional Qualification</w:t>
      </w:r>
      <w:r>
        <w:rPr>
          <w:b/>
          <w:sz w:val="24"/>
          <w:szCs w:val="24"/>
        </w:rPr>
        <w:t>:</w:t>
      </w:r>
      <w:r w:rsidRPr="008B28E7">
        <w:rPr>
          <w:b/>
          <w:sz w:val="24"/>
          <w:szCs w:val="24"/>
        </w:rPr>
        <w:t xml:space="preserve"> </w:t>
      </w:r>
      <w:r w:rsidR="000F165D">
        <w:rPr>
          <w:sz w:val="24"/>
          <w:szCs w:val="24"/>
        </w:rPr>
        <w:t>17/10/2020</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1F9D9815" w:rsidR="004923DA" w:rsidRPr="000F165D" w:rsidRDefault="004923DA" w:rsidP="00FF7EBB">
      <w:pPr>
        <w:pBdr>
          <w:top w:val="single" w:sz="6" w:space="1" w:color="auto"/>
          <w:left w:val="single" w:sz="6" w:space="1" w:color="auto"/>
          <w:bottom w:val="single" w:sz="6" w:space="1" w:color="auto"/>
          <w:right w:val="single" w:sz="6" w:space="1" w:color="auto"/>
        </w:pBdr>
        <w:jc w:val="both"/>
        <w:rPr>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0F165D">
        <w:rPr>
          <w:b/>
          <w:sz w:val="24"/>
          <w:szCs w:val="24"/>
        </w:rPr>
        <w:t xml:space="preserve"> </w:t>
      </w:r>
      <w:r w:rsidR="000F165D" w:rsidRPr="000F165D">
        <w:rPr>
          <w:sz w:val="24"/>
          <w:szCs w:val="24"/>
        </w:rPr>
        <w:t>14/07/2021</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65ED71D0" w:rsidR="004923DA" w:rsidRPr="000F165D" w:rsidRDefault="004923DA" w:rsidP="00FF7EBB">
      <w:pPr>
        <w:pBdr>
          <w:top w:val="single" w:sz="6" w:space="1" w:color="auto"/>
          <w:left w:val="single" w:sz="6" w:space="1" w:color="auto"/>
          <w:bottom w:val="single" w:sz="6" w:space="1" w:color="auto"/>
          <w:right w:val="single" w:sz="6" w:space="1" w:color="auto"/>
        </w:pBdr>
        <w:jc w:val="both"/>
        <w:rPr>
          <w:sz w:val="24"/>
          <w:szCs w:val="24"/>
        </w:rPr>
      </w:pPr>
      <w:r>
        <w:rPr>
          <w:b/>
          <w:sz w:val="24"/>
          <w:szCs w:val="24"/>
        </w:rPr>
        <w:t xml:space="preserve">Agency </w:t>
      </w:r>
      <w:r w:rsidR="00B17FA0">
        <w:rPr>
          <w:b/>
          <w:sz w:val="24"/>
          <w:szCs w:val="24"/>
        </w:rPr>
        <w:t>Contact details:</w:t>
      </w:r>
      <w:r w:rsidR="000F165D">
        <w:rPr>
          <w:b/>
          <w:sz w:val="24"/>
          <w:szCs w:val="24"/>
        </w:rPr>
        <w:t xml:space="preserve">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4F07315" w14:textId="77777777" w:rsidR="000F165D" w:rsidRPr="000F165D" w:rsidRDefault="004923DA" w:rsidP="000F165D">
      <w:pPr>
        <w:pBdr>
          <w:top w:val="single" w:sz="6" w:space="1" w:color="auto"/>
          <w:left w:val="single" w:sz="6" w:space="1" w:color="auto"/>
          <w:bottom w:val="single" w:sz="6" w:space="1" w:color="auto"/>
          <w:right w:val="single" w:sz="6" w:space="1" w:color="auto"/>
        </w:pBdr>
        <w:jc w:val="both"/>
        <w:rPr>
          <w:sz w:val="24"/>
          <w:szCs w:val="24"/>
        </w:rPr>
      </w:pPr>
      <w:r>
        <w:rPr>
          <w:b/>
          <w:sz w:val="24"/>
          <w:szCs w:val="24"/>
        </w:rPr>
        <w:t>Name:</w:t>
      </w:r>
      <w:r w:rsidR="000F165D">
        <w:rPr>
          <w:b/>
          <w:sz w:val="24"/>
          <w:szCs w:val="24"/>
        </w:rPr>
        <w:t xml:space="preserve"> </w:t>
      </w:r>
      <w:r w:rsidR="000F165D">
        <w:rPr>
          <w:sz w:val="24"/>
          <w:szCs w:val="24"/>
        </w:rPr>
        <w:t>Pembrokeshire County Council</w:t>
      </w:r>
    </w:p>
    <w:p w14:paraId="52190C8C" w14:textId="304C88C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2D53A2BA" w:rsidR="004923DA" w:rsidRPr="000F165D" w:rsidRDefault="004923DA" w:rsidP="00FF7EBB">
      <w:pPr>
        <w:pBdr>
          <w:top w:val="single" w:sz="6" w:space="1" w:color="auto"/>
          <w:left w:val="single" w:sz="6" w:space="1" w:color="auto"/>
          <w:bottom w:val="single" w:sz="6" w:space="1" w:color="auto"/>
          <w:right w:val="single" w:sz="6" w:space="1" w:color="auto"/>
        </w:pBdr>
        <w:jc w:val="both"/>
        <w:rPr>
          <w:sz w:val="24"/>
          <w:szCs w:val="24"/>
        </w:rPr>
      </w:pPr>
      <w:r>
        <w:rPr>
          <w:b/>
          <w:sz w:val="24"/>
          <w:szCs w:val="24"/>
        </w:rPr>
        <w:t>Address:</w:t>
      </w:r>
      <w:r w:rsidR="000F165D">
        <w:rPr>
          <w:b/>
          <w:sz w:val="24"/>
          <w:szCs w:val="24"/>
        </w:rPr>
        <w:t xml:space="preserve"> </w:t>
      </w:r>
      <w:r w:rsidR="000F165D">
        <w:rPr>
          <w:sz w:val="24"/>
          <w:szCs w:val="24"/>
        </w:rPr>
        <w:t>County Hall, Freeman’s way, Haverfordwest,</w:t>
      </w:r>
      <w:r w:rsidR="0018236C">
        <w:rPr>
          <w:sz w:val="24"/>
          <w:szCs w:val="24"/>
        </w:rPr>
        <w:t xml:space="preserve"> Pembrokeshire</w:t>
      </w:r>
      <w:r w:rsidR="000F165D">
        <w:rPr>
          <w:sz w:val="24"/>
          <w:szCs w:val="24"/>
        </w:rPr>
        <w:t xml:space="preserve"> </w:t>
      </w:r>
      <w:r w:rsidR="0018236C">
        <w:rPr>
          <w:sz w:val="24"/>
          <w:szCs w:val="24"/>
        </w:rPr>
        <w:t>SA61 1TP</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36D82A56" w:rsidR="004923DA" w:rsidRPr="0018236C" w:rsidRDefault="004923DA" w:rsidP="00FF7EBB">
      <w:pPr>
        <w:pBdr>
          <w:top w:val="single" w:sz="6" w:space="1" w:color="auto"/>
          <w:left w:val="single" w:sz="6" w:space="1" w:color="auto"/>
          <w:bottom w:val="single" w:sz="6" w:space="1" w:color="auto"/>
          <w:right w:val="single" w:sz="6" w:space="1" w:color="auto"/>
        </w:pBdr>
        <w:jc w:val="both"/>
        <w:rPr>
          <w:sz w:val="24"/>
          <w:szCs w:val="24"/>
        </w:rPr>
      </w:pPr>
      <w:r>
        <w:rPr>
          <w:b/>
          <w:sz w:val="24"/>
          <w:szCs w:val="24"/>
        </w:rPr>
        <w:t>Telephone Number:</w:t>
      </w:r>
      <w:r w:rsidR="0018236C">
        <w:rPr>
          <w:b/>
          <w:sz w:val="24"/>
          <w:szCs w:val="24"/>
        </w:rPr>
        <w:t xml:space="preserve"> </w:t>
      </w:r>
      <w:r w:rsidR="0018236C">
        <w:rPr>
          <w:sz w:val="24"/>
          <w:szCs w:val="24"/>
        </w:rPr>
        <w:t>01437 776086</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6AC25EBD" w:rsidR="004923DA" w:rsidRDefault="004923DA" w:rsidP="00C65921">
      <w:pPr>
        <w:pBdr>
          <w:top w:val="single" w:sz="6" w:space="1" w:color="auto"/>
          <w:left w:val="single" w:sz="6" w:space="1" w:color="auto"/>
          <w:bottom w:val="single" w:sz="6" w:space="1" w:color="auto"/>
          <w:right w:val="single" w:sz="6" w:space="1" w:color="auto"/>
        </w:pBdr>
        <w:jc w:val="both"/>
        <w:rPr>
          <w:sz w:val="24"/>
          <w:szCs w:val="24"/>
        </w:rPr>
      </w:pPr>
      <w:r>
        <w:rPr>
          <w:b/>
          <w:sz w:val="24"/>
          <w:szCs w:val="24"/>
        </w:rPr>
        <w:t xml:space="preserve">E-Mail address: </w:t>
      </w:r>
      <w:hyperlink r:id="rId37" w:history="1">
        <w:r w:rsidR="0018236C" w:rsidRPr="001874F0">
          <w:rPr>
            <w:rStyle w:val="Hyperlink"/>
            <w:sz w:val="24"/>
            <w:szCs w:val="24"/>
          </w:rPr>
          <w:t>anne-louise.easton@pembrokeshire.gov.uk</w:t>
        </w:r>
      </w:hyperlink>
    </w:p>
    <w:p w14:paraId="56BB6C17" w14:textId="77777777" w:rsidR="0018236C" w:rsidRPr="0018236C" w:rsidRDefault="0018236C" w:rsidP="00C65921">
      <w:pPr>
        <w:pBdr>
          <w:top w:val="single" w:sz="6" w:space="1" w:color="auto"/>
          <w:left w:val="single" w:sz="6" w:space="1" w:color="auto"/>
          <w:bottom w:val="single" w:sz="6" w:space="1" w:color="auto"/>
          <w:right w:val="single" w:sz="6" w:space="1" w:color="auto"/>
        </w:pBdr>
        <w:jc w:val="both"/>
        <w:rPr>
          <w:sz w:val="24"/>
          <w:szCs w:val="24"/>
        </w:rPr>
      </w:pPr>
    </w:p>
    <w:p w14:paraId="18AF92DC" w14:textId="77777777" w:rsidR="000E0D51" w:rsidRDefault="000E0D51" w:rsidP="000E0D51">
      <w:pPr>
        <w:jc w:val="both"/>
        <w:rPr>
          <w:b/>
          <w:sz w:val="24"/>
          <w:szCs w:val="24"/>
        </w:rPr>
      </w:pPr>
    </w:p>
    <w:p w14:paraId="39E47ED3" w14:textId="77777777" w:rsidR="0018236C" w:rsidRDefault="0018236C" w:rsidP="000E0D51">
      <w:pPr>
        <w:pBdr>
          <w:top w:val="single" w:sz="6" w:space="1" w:color="auto"/>
          <w:left w:val="single" w:sz="6" w:space="1" w:color="auto"/>
          <w:bottom w:val="single" w:sz="6" w:space="1" w:color="auto"/>
          <w:right w:val="single" w:sz="6" w:space="1" w:color="auto"/>
        </w:pBdr>
        <w:jc w:val="both"/>
        <w:rPr>
          <w:rFonts w:ascii="Arial-BoldMT" w:hAnsi="Arial-BoldMT" w:cs="Arial-BoldMT"/>
          <w:b/>
          <w:bCs/>
          <w:color w:val="auto"/>
          <w:sz w:val="24"/>
          <w:szCs w:val="24"/>
        </w:rPr>
      </w:pPr>
    </w:p>
    <w:p w14:paraId="33ACD9B7" w14:textId="7888F9CF"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750D7335"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0F165D">
        <w:rPr>
          <w:b/>
          <w:sz w:val="24"/>
          <w:szCs w:val="24"/>
        </w:rPr>
        <w:sym w:font="Wingdings 2" w:char="F052"/>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13A5884D" w:rsidR="004923DA" w:rsidRPr="000F165D"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b/>
          <w:sz w:val="24"/>
          <w:szCs w:val="24"/>
        </w:rPr>
        <w:t>Name:</w:t>
      </w:r>
      <w:r w:rsidR="000F165D">
        <w:rPr>
          <w:b/>
          <w:sz w:val="24"/>
          <w:szCs w:val="24"/>
        </w:rPr>
        <w:t xml:space="preserve"> </w:t>
      </w:r>
      <w:r w:rsidR="000F165D">
        <w:rPr>
          <w:sz w:val="24"/>
          <w:szCs w:val="24"/>
        </w:rPr>
        <w:t>Claire Guy</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37D5D2AF" w:rsidR="004923DA" w:rsidRPr="000F165D"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b/>
          <w:sz w:val="24"/>
          <w:szCs w:val="24"/>
        </w:rPr>
        <w:t>Address:</w:t>
      </w:r>
      <w:r w:rsidR="000F165D">
        <w:rPr>
          <w:b/>
          <w:sz w:val="24"/>
          <w:szCs w:val="24"/>
        </w:rPr>
        <w:t xml:space="preserve"> </w:t>
      </w:r>
      <w:r w:rsidR="000F165D">
        <w:rPr>
          <w:sz w:val="24"/>
          <w:szCs w:val="24"/>
        </w:rPr>
        <w:t>Pembrokeshire CMHT, Bro Cerwyn Centre, Fishguard road, Haverfordwest</w:t>
      </w:r>
      <w:r w:rsidR="0018236C">
        <w:rPr>
          <w:sz w:val="24"/>
          <w:szCs w:val="24"/>
        </w:rPr>
        <w:t>, Pembrokeshire</w:t>
      </w:r>
      <w:r w:rsidR="000F165D">
        <w:rPr>
          <w:sz w:val="24"/>
          <w:szCs w:val="24"/>
        </w:rPr>
        <w:t xml:space="preserve"> SA61 2PG</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5673FBC6" w:rsidR="004923DA" w:rsidRPr="000F165D"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b/>
          <w:sz w:val="24"/>
          <w:szCs w:val="24"/>
        </w:rPr>
        <w:t>Telephone Number:</w:t>
      </w:r>
      <w:r w:rsidR="000F165D">
        <w:rPr>
          <w:b/>
          <w:sz w:val="24"/>
          <w:szCs w:val="24"/>
        </w:rPr>
        <w:t xml:space="preserve"> </w:t>
      </w:r>
      <w:r w:rsidR="000F165D">
        <w:rPr>
          <w:sz w:val="24"/>
          <w:szCs w:val="24"/>
        </w:rPr>
        <w:t>01437 772818</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60548843" w:rsidR="004923DA" w:rsidRPr="000F165D"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b/>
          <w:sz w:val="24"/>
          <w:szCs w:val="24"/>
        </w:rPr>
        <w:t>E-Mail address:</w:t>
      </w:r>
      <w:r w:rsidR="000F165D">
        <w:rPr>
          <w:b/>
          <w:sz w:val="24"/>
          <w:szCs w:val="24"/>
        </w:rPr>
        <w:t xml:space="preserve"> </w:t>
      </w:r>
      <w:r w:rsidR="000F165D" w:rsidRPr="000F165D">
        <w:rPr>
          <w:sz w:val="24"/>
          <w:szCs w:val="24"/>
        </w:rPr>
        <w:t>Claire.Guy@pembrokeshire.gov.uk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7A8165AE" w:rsidR="004923DA" w:rsidRPr="00A17C26" w:rsidRDefault="004923DA" w:rsidP="00FF7EBB">
            <w:pPr>
              <w:jc w:val="both"/>
              <w:rPr>
                <w:sz w:val="24"/>
                <w:szCs w:val="24"/>
              </w:rPr>
            </w:pPr>
            <w:r w:rsidRPr="008B28E7">
              <w:rPr>
                <w:b/>
                <w:sz w:val="24"/>
                <w:szCs w:val="24"/>
              </w:rPr>
              <w:t>Name:</w:t>
            </w:r>
            <w:r w:rsidR="00A17C26">
              <w:rPr>
                <w:b/>
                <w:sz w:val="24"/>
                <w:szCs w:val="24"/>
              </w:rPr>
              <w:t xml:space="preserve"> </w:t>
            </w:r>
            <w:r w:rsidR="00A17C26">
              <w:rPr>
                <w:sz w:val="24"/>
                <w:szCs w:val="24"/>
              </w:rPr>
              <w:t>Saima Naheed</w:t>
            </w:r>
          </w:p>
          <w:p w14:paraId="4EF4A770" w14:textId="77777777" w:rsidR="004923DA" w:rsidRPr="008B28E7" w:rsidRDefault="004923DA" w:rsidP="00FF7EBB">
            <w:pPr>
              <w:jc w:val="both"/>
              <w:rPr>
                <w:b/>
                <w:sz w:val="24"/>
                <w:szCs w:val="24"/>
              </w:rPr>
            </w:pPr>
          </w:p>
          <w:p w14:paraId="7AE4B4A3" w14:textId="447DBA9D" w:rsidR="00A17C26" w:rsidRDefault="004923DA" w:rsidP="00A17C26">
            <w:pPr>
              <w:rPr>
                <w:sz w:val="24"/>
                <w:szCs w:val="24"/>
              </w:rPr>
            </w:pPr>
            <w:r w:rsidRPr="008B28E7">
              <w:rPr>
                <w:b/>
                <w:sz w:val="24"/>
                <w:szCs w:val="24"/>
              </w:rPr>
              <w:t>Work Address:</w:t>
            </w:r>
            <w:r w:rsidR="00A17C26">
              <w:rPr>
                <w:b/>
                <w:sz w:val="24"/>
                <w:szCs w:val="24"/>
              </w:rPr>
              <w:t xml:space="preserve"> </w:t>
            </w:r>
            <w:r w:rsidR="00A17C26">
              <w:rPr>
                <w:sz w:val="24"/>
                <w:szCs w:val="24"/>
              </w:rPr>
              <w:t>Pembrokeshire CMHT, Bro Cerwyn Centre, Fishguard road, Haverfordwest</w:t>
            </w:r>
            <w:r w:rsidR="0018236C">
              <w:rPr>
                <w:sz w:val="24"/>
                <w:szCs w:val="24"/>
              </w:rPr>
              <w:t>, Pembrokeshire</w:t>
            </w:r>
            <w:r w:rsidR="00A17C26">
              <w:rPr>
                <w:sz w:val="24"/>
                <w:szCs w:val="24"/>
              </w:rPr>
              <w:t xml:space="preserve"> SA61 2PG</w:t>
            </w:r>
          </w:p>
          <w:p w14:paraId="12053DB3" w14:textId="32FD7ECE" w:rsidR="004923DA" w:rsidRPr="008B28E7" w:rsidRDefault="004923DA" w:rsidP="00A17C26">
            <w:pPr>
              <w:rPr>
                <w:b/>
                <w:sz w:val="24"/>
                <w:szCs w:val="24"/>
              </w:rPr>
            </w:pPr>
            <w:r w:rsidRPr="008B28E7">
              <w:rPr>
                <w:b/>
                <w:sz w:val="24"/>
                <w:szCs w:val="24"/>
              </w:rPr>
              <w:t xml:space="preserve"> </w:t>
            </w:r>
          </w:p>
          <w:p w14:paraId="6E1CBC17" w14:textId="77777777" w:rsidR="004923DA" w:rsidRPr="008B28E7" w:rsidRDefault="004923DA" w:rsidP="00FF7EBB">
            <w:pPr>
              <w:jc w:val="both"/>
              <w:rPr>
                <w:b/>
                <w:sz w:val="24"/>
                <w:szCs w:val="24"/>
              </w:rPr>
            </w:pPr>
            <w:r w:rsidRPr="008B28E7">
              <w:rPr>
                <w:b/>
                <w:sz w:val="24"/>
                <w:szCs w:val="24"/>
              </w:rPr>
              <w:t>Professional Qualification and date of qualification:</w:t>
            </w:r>
          </w:p>
          <w:p w14:paraId="5F68A3CF" w14:textId="77777777" w:rsidR="004923DA" w:rsidRDefault="004923DA" w:rsidP="00FF7EBB">
            <w:pPr>
              <w:jc w:val="both"/>
              <w:rPr>
                <w:b/>
                <w:sz w:val="24"/>
                <w:szCs w:val="24"/>
              </w:rPr>
            </w:pPr>
          </w:p>
          <w:p w14:paraId="4C6113F1" w14:textId="4DF783F1" w:rsidR="004923DA" w:rsidRPr="00A17C26" w:rsidRDefault="009D59C2" w:rsidP="00FF7EBB">
            <w:pPr>
              <w:jc w:val="both"/>
              <w:rPr>
                <w:sz w:val="24"/>
                <w:szCs w:val="24"/>
              </w:rPr>
            </w:pPr>
            <w:r>
              <w:rPr>
                <w:b/>
                <w:sz w:val="24"/>
                <w:szCs w:val="24"/>
              </w:rPr>
              <w:t>T</w:t>
            </w:r>
            <w:r w:rsidR="004923DA" w:rsidRPr="008B28E7">
              <w:rPr>
                <w:b/>
                <w:sz w:val="24"/>
                <w:szCs w:val="24"/>
              </w:rPr>
              <w:t>elephone number:</w:t>
            </w:r>
            <w:r w:rsidR="00A17C26">
              <w:rPr>
                <w:b/>
                <w:sz w:val="24"/>
                <w:szCs w:val="24"/>
              </w:rPr>
              <w:t xml:space="preserve"> </w:t>
            </w:r>
            <w:r w:rsidR="00A17C26">
              <w:rPr>
                <w:sz w:val="24"/>
                <w:szCs w:val="24"/>
              </w:rPr>
              <w:t>01437</w:t>
            </w:r>
            <w:r w:rsidR="000F165D">
              <w:rPr>
                <w:sz w:val="24"/>
                <w:szCs w:val="24"/>
              </w:rPr>
              <w:t xml:space="preserve"> 77</w:t>
            </w:r>
            <w:r w:rsidR="00A17C26">
              <w:rPr>
                <w:sz w:val="24"/>
                <w:szCs w:val="24"/>
              </w:rPr>
              <w:t>2818</w:t>
            </w:r>
          </w:p>
          <w:p w14:paraId="0BB87919" w14:textId="548A11EF" w:rsidR="009D59C2" w:rsidRDefault="009D59C2" w:rsidP="00FF7EBB">
            <w:pPr>
              <w:jc w:val="both"/>
              <w:rPr>
                <w:b/>
                <w:sz w:val="24"/>
                <w:szCs w:val="24"/>
              </w:rPr>
            </w:pPr>
          </w:p>
          <w:p w14:paraId="4FDEE73F" w14:textId="75976121" w:rsidR="009D59C2" w:rsidRDefault="009D59C2" w:rsidP="00FF7EBB">
            <w:pPr>
              <w:jc w:val="both"/>
              <w:rPr>
                <w:sz w:val="24"/>
                <w:szCs w:val="24"/>
              </w:rPr>
            </w:pPr>
            <w:r>
              <w:rPr>
                <w:b/>
                <w:sz w:val="24"/>
                <w:szCs w:val="24"/>
              </w:rPr>
              <w:t>Email address:</w:t>
            </w:r>
            <w:r w:rsidR="00A17C26">
              <w:rPr>
                <w:b/>
                <w:sz w:val="24"/>
                <w:szCs w:val="24"/>
              </w:rPr>
              <w:t xml:space="preserve"> </w:t>
            </w:r>
            <w:hyperlink r:id="rId38" w:history="1">
              <w:r w:rsidR="000F165D" w:rsidRPr="001874F0">
                <w:rPr>
                  <w:rStyle w:val="Hyperlink"/>
                  <w:sz w:val="24"/>
                  <w:szCs w:val="24"/>
                </w:rPr>
                <w:t>saima.naheed@pembrokeshire.gov.uk</w:t>
              </w:r>
            </w:hyperlink>
          </w:p>
          <w:p w14:paraId="5CC95700" w14:textId="77777777" w:rsidR="000F165D" w:rsidRPr="00A17C26" w:rsidRDefault="000F165D" w:rsidP="00FF7EBB">
            <w:pPr>
              <w:jc w:val="both"/>
              <w:rPr>
                <w:sz w:val="24"/>
                <w:szCs w:val="24"/>
              </w:rPr>
            </w:pP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lastRenderedPageBreak/>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716C267B"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sidR="00A17C26">
        <w:rPr>
          <w:sz w:val="24"/>
          <w:szCs w:val="24"/>
        </w:rPr>
        <w:t xml:space="preserve"> Keren Samuel</w:t>
      </w:r>
      <w:r>
        <w:rPr>
          <w:sz w:val="24"/>
          <w:szCs w:val="24"/>
        </w:rPr>
        <w:t xml:space="preserve">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2327F0E6"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A17C26">
        <w:rPr>
          <w:sz w:val="24"/>
          <w:szCs w:val="24"/>
        </w:rPr>
        <w:t>17/10/2023</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555282F3"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_ _ _ _ _ _ </w:t>
      </w:r>
      <w:r w:rsidR="003F14AE">
        <w:rPr>
          <w:noProof/>
        </w:rPr>
        <w:drawing>
          <wp:inline distT="0" distB="0" distL="0" distR="0" wp14:anchorId="59767619" wp14:editId="309D8469">
            <wp:extent cx="1117600" cy="414655"/>
            <wp:effectExtent l="0" t="0" r="6350" b="4445"/>
            <wp:docPr id="5" name="Picture 5" descr="cid:image001.png@01DA0283.7C73B4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A0283.7C73B4E0"/>
                    <pic:cNvPicPr>
                      <a:picLocks noChangeAspect="1" noChangeArrowheads="1"/>
                    </pic:cNvPicPr>
                  </pic:nvPicPr>
                  <pic:blipFill>
                    <a:blip r:embed="rId39" r:link="rId40">
                      <a:extLst>
                        <a:ext uri="{28A0092B-C50C-407E-A947-70E740481C1C}">
                          <a14:useLocalDpi xmlns:a14="http://schemas.microsoft.com/office/drawing/2010/main" val="0"/>
                        </a:ext>
                      </a:extLst>
                    </a:blip>
                    <a:srcRect/>
                    <a:stretch>
                      <a:fillRect/>
                    </a:stretch>
                  </pic:blipFill>
                  <pic:spPr bwMode="auto">
                    <a:xfrm>
                      <a:off x="0" y="0"/>
                      <a:ext cx="1117600" cy="414655"/>
                    </a:xfrm>
                    <a:prstGeom prst="rect">
                      <a:avLst/>
                    </a:prstGeom>
                    <a:noFill/>
                    <a:ln>
                      <a:noFill/>
                    </a:ln>
                  </pic:spPr>
                </pic:pic>
              </a:graphicData>
            </a:graphic>
          </wp:inline>
        </w:drawing>
      </w:r>
      <w:bookmarkStart w:id="1" w:name="_GoBack"/>
      <w:bookmarkEnd w:id="1"/>
      <w:r w:rsidR="00B577D3">
        <w:rPr>
          <w:sz w:val="24"/>
          <w:szCs w:val="24"/>
        </w:rPr>
        <w:t xml:space="preserve">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0215842" w14:textId="7787C08F"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A17C26">
        <w:rPr>
          <w:sz w:val="24"/>
          <w:szCs w:val="24"/>
        </w:rPr>
        <w:t>07/07/2023</w:t>
      </w: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00EF9350" w:rsidR="00335C41" w:rsidRPr="00D3203C" w:rsidRDefault="00335C41" w:rsidP="00335C41">
            <w:pPr>
              <w:ind w:right="180"/>
              <w:jc w:val="both"/>
              <w:rPr>
                <w:sz w:val="24"/>
                <w:szCs w:val="24"/>
              </w:rPr>
            </w:pPr>
            <w:r w:rsidRPr="00D3203C">
              <w:rPr>
                <w:sz w:val="24"/>
                <w:szCs w:val="24"/>
              </w:rPr>
              <w:t>Signed__</w:t>
            </w:r>
            <w:r w:rsidR="00E83F00">
              <w:rPr>
                <w:noProof/>
                <w:sz w:val="24"/>
                <w:szCs w:val="24"/>
              </w:rPr>
              <w:drawing>
                <wp:inline distT="0" distB="0" distL="0" distR="0" wp14:anchorId="07DDC389" wp14:editId="0C55EBD5">
                  <wp:extent cx="792480" cy="42037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792480" cy="420370"/>
                          </a:xfrm>
                          <a:prstGeom prst="rect">
                            <a:avLst/>
                          </a:prstGeom>
                          <a:noFill/>
                        </pic:spPr>
                      </pic:pic>
                    </a:graphicData>
                  </a:graphic>
                </wp:inline>
              </w:drawing>
            </w:r>
            <w:r w:rsidRPr="00D3203C">
              <w:rPr>
                <w:sz w:val="24"/>
                <w:szCs w:val="24"/>
              </w:rPr>
              <w:t>_________ (Mentor)</w:t>
            </w:r>
          </w:p>
          <w:p w14:paraId="5D3F0767" w14:textId="77777777" w:rsidR="00335C41" w:rsidRPr="00D3203C" w:rsidRDefault="00335C41" w:rsidP="00335C41">
            <w:pPr>
              <w:ind w:right="180"/>
              <w:jc w:val="both"/>
              <w:rPr>
                <w:sz w:val="24"/>
                <w:szCs w:val="24"/>
              </w:rPr>
            </w:pPr>
          </w:p>
          <w:p w14:paraId="24E1B8A5" w14:textId="69AF016C" w:rsidR="00335C41" w:rsidRPr="00D3203C" w:rsidRDefault="00335C41" w:rsidP="00335C41">
            <w:pPr>
              <w:ind w:right="180"/>
              <w:jc w:val="both"/>
              <w:rPr>
                <w:sz w:val="24"/>
                <w:szCs w:val="24"/>
              </w:rPr>
            </w:pPr>
            <w:r w:rsidRPr="00D3203C">
              <w:rPr>
                <w:sz w:val="24"/>
                <w:szCs w:val="24"/>
              </w:rPr>
              <w:t>Date ___</w:t>
            </w:r>
            <w:r w:rsidR="00E83F00">
              <w:rPr>
                <w:sz w:val="24"/>
                <w:szCs w:val="24"/>
              </w:rPr>
              <w:t>22/10/2023</w:t>
            </w:r>
            <w:r w:rsidRPr="00D3203C">
              <w:rPr>
                <w:sz w:val="24"/>
                <w:szCs w:val="24"/>
              </w:rPr>
              <w:t>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012565DE"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 xml:space="preserve">_ </w:t>
      </w:r>
      <w:r w:rsidR="00A17C26">
        <w:rPr>
          <w:caps/>
          <w:sz w:val="24"/>
          <w:szCs w:val="24"/>
        </w:rPr>
        <w:t xml:space="preserve">Claire guy_ </w:t>
      </w:r>
    </w:p>
    <w:p w14:paraId="7C11F360" w14:textId="4D2B0E61"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 xml:space="preserve">_ _ </w:t>
      </w:r>
      <w:r w:rsidR="00E83F00" w:rsidRPr="00C049C6">
        <w:rPr>
          <w:b/>
          <w:noProof/>
        </w:rPr>
        <w:drawing>
          <wp:inline distT="0" distB="0" distL="0" distR="0" wp14:anchorId="45061A07" wp14:editId="1621510B">
            <wp:extent cx="792480" cy="421318"/>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814291" cy="432914"/>
                    </a:xfrm>
                    <a:prstGeom prst="rect">
                      <a:avLst/>
                    </a:prstGeom>
                    <a:noFill/>
                    <a:ln>
                      <a:noFill/>
                    </a:ln>
                  </pic:spPr>
                </pic:pic>
              </a:graphicData>
            </a:graphic>
          </wp:inline>
        </w:drawing>
      </w:r>
      <w:r w:rsidR="00B577D3" w:rsidRPr="00B577D3">
        <w:rPr>
          <w:sz w:val="24"/>
          <w:szCs w:val="24"/>
        </w:rPr>
        <w:t>_ _ _</w:t>
      </w:r>
      <w:r w:rsidR="009D59C2">
        <w:rPr>
          <w:sz w:val="24"/>
          <w:szCs w:val="24"/>
        </w:rPr>
        <w:t xml:space="preserve"> _ </w:t>
      </w:r>
      <w:r w:rsidR="00B577D3" w:rsidRPr="00B577D3">
        <w:rPr>
          <w:sz w:val="24"/>
          <w:szCs w:val="24"/>
        </w:rPr>
        <w:t xml:space="preserve"> _ _ _ _ _</w:t>
      </w:r>
    </w:p>
    <w:p w14:paraId="57B2A00A" w14:textId="695DAB5D"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 xml:space="preserve">_ </w:t>
      </w:r>
      <w:r w:rsidR="00E83F00">
        <w:rPr>
          <w:sz w:val="24"/>
          <w:szCs w:val="24"/>
        </w:rPr>
        <w:t>22/10/2023</w:t>
      </w:r>
      <w:r w:rsidR="00B577D3" w:rsidRPr="00B577D3">
        <w:rPr>
          <w:sz w:val="24"/>
          <w:szCs w:val="24"/>
        </w:rPr>
        <w:t xml:space="preserve">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68F528CF" w:rsidR="00986C0B" w:rsidRPr="00DA5682" w:rsidRDefault="00A17C26">
            <w:pPr>
              <w:rPr>
                <w:sz w:val="24"/>
                <w:szCs w:val="24"/>
              </w:rPr>
            </w:pPr>
            <w:r>
              <w:rPr>
                <w:sz w:val="24"/>
                <w:szCs w:val="24"/>
              </w:rPr>
              <w:t>Keren Samuel</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2FB667B0" w:rsidR="00986C0B" w:rsidRPr="00DA5682" w:rsidRDefault="00A17C26">
            <w:pPr>
              <w:rPr>
                <w:sz w:val="24"/>
                <w:szCs w:val="24"/>
              </w:rPr>
            </w:pPr>
            <w:r>
              <w:rPr>
                <w:sz w:val="24"/>
                <w:szCs w:val="24"/>
              </w:rPr>
              <w:t>Community Mental Health Team</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4B3B28E9" w:rsidR="00986C0B" w:rsidRPr="00DA5682" w:rsidRDefault="00A17C26">
            <w:pPr>
              <w:rPr>
                <w:sz w:val="24"/>
                <w:szCs w:val="24"/>
              </w:rPr>
            </w:pPr>
            <w:r>
              <w:rPr>
                <w:sz w:val="24"/>
                <w:szCs w:val="24"/>
              </w:rPr>
              <w:t>Claire Guy</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33772E15" w:rsidR="00986C0B" w:rsidRPr="00DA5682" w:rsidRDefault="00A17C26">
            <w:pPr>
              <w:rPr>
                <w:sz w:val="24"/>
                <w:szCs w:val="24"/>
              </w:rPr>
            </w:pPr>
            <w:r>
              <w:rPr>
                <w:sz w:val="24"/>
                <w:szCs w:val="24"/>
              </w:rPr>
              <w:t>Claire Guy</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pay Porth Agored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23462E29" w:rsidR="00986C0B" w:rsidRPr="00DA5682" w:rsidRDefault="00A17C26" w:rsidP="00986C0B">
      <w:pPr>
        <w:rPr>
          <w:sz w:val="24"/>
          <w:szCs w:val="24"/>
        </w:rPr>
      </w:pPr>
      <w:r>
        <w:rPr>
          <w:noProof/>
        </w:rPr>
        <w:drawing>
          <wp:anchor distT="0" distB="0" distL="114300" distR="114300" simplePos="0" relativeHeight="251659264" behindDoc="0" locked="0" layoutInCell="1" allowOverlap="1" wp14:anchorId="6C71ED2C" wp14:editId="3A2AD698">
            <wp:simplePos x="0" y="0"/>
            <wp:positionH relativeFrom="margin">
              <wp:posOffset>653143</wp:posOffset>
            </wp:positionH>
            <wp:positionV relativeFrom="paragraph">
              <wp:posOffset>7257</wp:posOffset>
            </wp:positionV>
            <wp:extent cx="908923" cy="445861"/>
            <wp:effectExtent l="0" t="0" r="0" b="0"/>
            <wp:wrapNone/>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908923" cy="44586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B48005" w14:textId="42270994" w:rsidR="00986C0B" w:rsidRPr="00DA5682" w:rsidRDefault="00A17C26" w:rsidP="00986C0B">
      <w:pPr>
        <w:rPr>
          <w:sz w:val="24"/>
          <w:szCs w:val="24"/>
        </w:rPr>
      </w:pPr>
      <w:r>
        <w:rPr>
          <w:sz w:val="24"/>
          <w:szCs w:val="24"/>
        </w:rPr>
        <w:t xml:space="preserve">Signed: </w:t>
      </w:r>
      <w:r w:rsidR="00986C0B" w:rsidRPr="00DA5682">
        <w:rPr>
          <w:sz w:val="24"/>
          <w:szCs w:val="24"/>
        </w:rPr>
        <w:t xml:space="preserve"> </w:t>
      </w:r>
      <w:r>
        <w:rPr>
          <w:sz w:val="24"/>
          <w:szCs w:val="24"/>
        </w:rPr>
        <w:t xml:space="preserve">                                 </w:t>
      </w:r>
      <w:r w:rsidR="00986C0B" w:rsidRPr="00DA5682">
        <w:rPr>
          <w:sz w:val="24"/>
          <w:szCs w:val="24"/>
        </w:rPr>
        <w:t>Print Name:</w:t>
      </w:r>
      <w:r>
        <w:rPr>
          <w:sz w:val="24"/>
          <w:szCs w:val="24"/>
        </w:rPr>
        <w:t xml:space="preserve"> Keren Samuel…... Date: 21/03/2023</w:t>
      </w:r>
      <w:r w:rsidR="00986C0B" w:rsidRPr="00DA5682">
        <w:rPr>
          <w:sz w:val="24"/>
          <w:szCs w:val="24"/>
        </w:rPr>
        <w:t xml:space="preserve"> </w:t>
      </w:r>
    </w:p>
    <w:p w14:paraId="68A01C33" w14:textId="6FFEF692"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1CF30B2B" w:rsidR="00986C0B" w:rsidRPr="00DA5682" w:rsidRDefault="00E83F00" w:rsidP="00986C0B">
      <w:pPr>
        <w:rPr>
          <w:sz w:val="24"/>
          <w:szCs w:val="24"/>
        </w:rPr>
      </w:pPr>
      <w:r>
        <w:rPr>
          <w:sz w:val="24"/>
          <w:szCs w:val="24"/>
        </w:rPr>
        <w:t xml:space="preserve">Signed:    </w:t>
      </w:r>
      <w:r w:rsidRPr="00E83F00">
        <w:rPr>
          <w:b/>
          <w:noProof/>
        </w:rPr>
        <w:t xml:space="preserve"> </w:t>
      </w:r>
      <w:r w:rsidRPr="00C049C6">
        <w:rPr>
          <w:b/>
          <w:noProof/>
        </w:rPr>
        <w:drawing>
          <wp:inline distT="0" distB="0" distL="0" distR="0" wp14:anchorId="6A030F31" wp14:editId="126ABFEB">
            <wp:extent cx="792480" cy="421318"/>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814291" cy="432914"/>
                    </a:xfrm>
                    <a:prstGeom prst="rect">
                      <a:avLst/>
                    </a:prstGeom>
                    <a:noFill/>
                    <a:ln>
                      <a:noFill/>
                    </a:ln>
                  </pic:spPr>
                </pic:pic>
              </a:graphicData>
            </a:graphic>
          </wp:inline>
        </w:drawing>
      </w:r>
      <w:r w:rsidR="00986C0B" w:rsidRPr="00DA5682">
        <w:rPr>
          <w:sz w:val="24"/>
          <w:szCs w:val="24"/>
        </w:rPr>
        <w:t xml:space="preserve"> </w:t>
      </w:r>
      <w:r>
        <w:rPr>
          <w:sz w:val="24"/>
          <w:szCs w:val="24"/>
        </w:rPr>
        <w:t xml:space="preserve">          </w:t>
      </w:r>
      <w:r w:rsidR="00A17C26">
        <w:rPr>
          <w:sz w:val="24"/>
          <w:szCs w:val="24"/>
        </w:rPr>
        <w:t>Print Name: Claire Guy………...Date: 21/03/2023</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77777777" w:rsidR="00986C0B" w:rsidRPr="00DA5682" w:rsidRDefault="00986C0B" w:rsidP="00986C0B">
      <w:pPr>
        <w:rPr>
          <w:sz w:val="24"/>
          <w:szCs w:val="24"/>
        </w:rPr>
      </w:pPr>
      <w:r w:rsidRPr="00DA5682">
        <w:rPr>
          <w:sz w:val="24"/>
          <w:szCs w:val="24"/>
        </w:rPr>
        <w:t>Signed:……………………….. Print Name:………………………….Date:……….</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44"/>
      <w:footerReference w:type="default" r:id="rId45"/>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657047" w14:textId="77777777" w:rsidR="005E1895" w:rsidRDefault="005E1895">
      <w:r>
        <w:separator/>
      </w:r>
    </w:p>
  </w:endnote>
  <w:endnote w:type="continuationSeparator" w:id="0">
    <w:p w14:paraId="38735BCC" w14:textId="77777777" w:rsidR="005E1895" w:rsidRDefault="005E18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MT">
    <w:panose1 w:val="00000000000000000000"/>
    <w:charset w:val="00"/>
    <w:family w:val="auto"/>
    <w:notTrueType/>
    <w:pitch w:val="default"/>
    <w:sig w:usb0="00000003" w:usb1="00000000" w:usb2="00000000" w:usb3="00000000" w:csb0="00000001" w:csb1="00000000"/>
  </w:font>
  <w:font w:name="Arial-BoldMT">
    <w:panose1 w:val="00000000000000000000"/>
    <w:charset w:val="00"/>
    <w:family w:val="auto"/>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 w:name="DengXian">
    <w:altName w:val="SimSu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1C092CE8" w:rsidR="005F5FD5" w:rsidRDefault="005F5FD5">
    <w:pPr>
      <w:pStyle w:val="Footer"/>
      <w:jc w:val="right"/>
    </w:pPr>
    <w:r>
      <w:fldChar w:fldCharType="begin"/>
    </w:r>
    <w:r>
      <w:instrText xml:space="preserve"> PAGE   \* MERGEFORMAT </w:instrText>
    </w:r>
    <w:r>
      <w:fldChar w:fldCharType="separate"/>
    </w:r>
    <w:r w:rsidR="003F14AE">
      <w:rPr>
        <w:noProof/>
      </w:rPr>
      <w:t>21</w:t>
    </w:r>
    <w:r>
      <w:rPr>
        <w:noProof/>
      </w:rPr>
      <w:fldChar w:fldCharType="end"/>
    </w:r>
  </w:p>
  <w:p w14:paraId="5CA2AEEC" w14:textId="77777777" w:rsidR="005F5FD5" w:rsidRPr="00E60F42" w:rsidRDefault="005F5FD5"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D5077D" w14:textId="77777777" w:rsidR="005E1895" w:rsidRDefault="005E1895">
      <w:r>
        <w:separator/>
      </w:r>
    </w:p>
  </w:footnote>
  <w:footnote w:type="continuationSeparator" w:id="0">
    <w:p w14:paraId="3268D0F1" w14:textId="77777777" w:rsidR="005E1895" w:rsidRDefault="005E18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5F5FD5" w:rsidRDefault="005F5FD5">
    <w:pPr>
      <w:pStyle w:val="Header"/>
    </w:pPr>
    <w:r>
      <w:t xml:space="preserve">Version 1_Cohort 15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231"/>
    <w:rsid w:val="000C378F"/>
    <w:rsid w:val="000C6892"/>
    <w:rsid w:val="000C6FFE"/>
    <w:rsid w:val="000D0BB6"/>
    <w:rsid w:val="000D2ED2"/>
    <w:rsid w:val="000D6653"/>
    <w:rsid w:val="000E0D51"/>
    <w:rsid w:val="000E26B0"/>
    <w:rsid w:val="000E37C2"/>
    <w:rsid w:val="000E38C3"/>
    <w:rsid w:val="000F1599"/>
    <w:rsid w:val="000F165D"/>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8236C"/>
    <w:rsid w:val="0018686F"/>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0A8F"/>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26641"/>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0FA4"/>
    <w:rsid w:val="003A1B6B"/>
    <w:rsid w:val="003A46C0"/>
    <w:rsid w:val="003A600E"/>
    <w:rsid w:val="003A6513"/>
    <w:rsid w:val="003B16C7"/>
    <w:rsid w:val="003B3115"/>
    <w:rsid w:val="003C19F1"/>
    <w:rsid w:val="003C3C67"/>
    <w:rsid w:val="003C4186"/>
    <w:rsid w:val="003C58DE"/>
    <w:rsid w:val="003C6185"/>
    <w:rsid w:val="003D0D2D"/>
    <w:rsid w:val="003D1885"/>
    <w:rsid w:val="003D1BC0"/>
    <w:rsid w:val="003D20F1"/>
    <w:rsid w:val="003D4710"/>
    <w:rsid w:val="003E16D7"/>
    <w:rsid w:val="003E197E"/>
    <w:rsid w:val="003E4B70"/>
    <w:rsid w:val="003E54CF"/>
    <w:rsid w:val="003E5FBA"/>
    <w:rsid w:val="003F1233"/>
    <w:rsid w:val="003F14AE"/>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7DF"/>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E1895"/>
    <w:rsid w:val="005F5FD5"/>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D6322"/>
    <w:rsid w:val="006E481E"/>
    <w:rsid w:val="006E795F"/>
    <w:rsid w:val="006F0862"/>
    <w:rsid w:val="006F1438"/>
    <w:rsid w:val="006F2A9E"/>
    <w:rsid w:val="006F5ED3"/>
    <w:rsid w:val="00700249"/>
    <w:rsid w:val="007069CD"/>
    <w:rsid w:val="00706BB5"/>
    <w:rsid w:val="0071231A"/>
    <w:rsid w:val="00712E90"/>
    <w:rsid w:val="00713B7E"/>
    <w:rsid w:val="00715902"/>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A71"/>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17C26"/>
    <w:rsid w:val="00A22441"/>
    <w:rsid w:val="00A23F3B"/>
    <w:rsid w:val="00A24406"/>
    <w:rsid w:val="00A25F64"/>
    <w:rsid w:val="00A275F6"/>
    <w:rsid w:val="00A303B9"/>
    <w:rsid w:val="00A37416"/>
    <w:rsid w:val="00A40ED6"/>
    <w:rsid w:val="00A43C3B"/>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C6563"/>
    <w:rsid w:val="00AD336F"/>
    <w:rsid w:val="00AD5474"/>
    <w:rsid w:val="00AE134C"/>
    <w:rsid w:val="00AE1868"/>
    <w:rsid w:val="00AE2564"/>
    <w:rsid w:val="00AE301F"/>
    <w:rsid w:val="00AE3302"/>
    <w:rsid w:val="00AE5BA6"/>
    <w:rsid w:val="00AE6231"/>
    <w:rsid w:val="00AE7077"/>
    <w:rsid w:val="00AF39C6"/>
    <w:rsid w:val="00AF61C2"/>
    <w:rsid w:val="00AF6CC6"/>
    <w:rsid w:val="00B0296A"/>
    <w:rsid w:val="00B07E79"/>
    <w:rsid w:val="00B12295"/>
    <w:rsid w:val="00B137BE"/>
    <w:rsid w:val="00B15998"/>
    <w:rsid w:val="00B17FA0"/>
    <w:rsid w:val="00B2292C"/>
    <w:rsid w:val="00B22C3C"/>
    <w:rsid w:val="00B24344"/>
    <w:rsid w:val="00B26769"/>
    <w:rsid w:val="00B26E33"/>
    <w:rsid w:val="00B2754B"/>
    <w:rsid w:val="00B30B19"/>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A7E3D"/>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1E79"/>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43D0"/>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CF4FFC"/>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C4E4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0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2167"/>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DAF"/>
    <w:rsid w:val="00FC5FF8"/>
    <w:rsid w:val="00FD25A6"/>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unhideWhenUsed/>
    <w:rsid w:val="00916A7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Bibliography">
    <w:name w:val="Bibliography"/>
    <w:basedOn w:val="Normal"/>
    <w:next w:val="Normal"/>
    <w:uiPriority w:val="37"/>
    <w:unhideWhenUsed/>
    <w:rsid w:val="00916A71"/>
    <w:pPr>
      <w:overflowPunct/>
      <w:autoSpaceDE/>
      <w:autoSpaceDN/>
      <w:adjustRightInd/>
      <w:spacing w:after="160" w:line="259" w:lineRule="auto"/>
      <w:textAlignment w:val="auto"/>
    </w:pPr>
    <w:rPr>
      <w:rFonts w:asciiTheme="minorHAnsi" w:eastAsiaTheme="minorHAnsi" w:hAnsiTheme="minorHAnsi" w:cstheme="minorBidi"/>
      <w:color w:val="auto"/>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54934441">
      <w:bodyDiv w:val="1"/>
      <w:marLeft w:val="0"/>
      <w:marRight w:val="0"/>
      <w:marTop w:val="0"/>
      <w:marBottom w:val="0"/>
      <w:divBdr>
        <w:top w:val="none" w:sz="0" w:space="0" w:color="auto"/>
        <w:left w:val="none" w:sz="0" w:space="0" w:color="auto"/>
        <w:bottom w:val="none" w:sz="0" w:space="0" w:color="auto"/>
        <w:right w:val="none" w:sz="0" w:space="0" w:color="auto"/>
      </w:divBdr>
    </w:div>
    <w:div w:id="186286258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anaw/2020/3" TargetMode="External"/><Relationship Id="rId18" Type="http://schemas.openxmlformats.org/officeDocument/2006/relationships/hyperlink" Target="https://www.cqc.org.uk/sites/default/files/Brief_guide_Capacity_and_consent_in_under_18s%20v3.pdf" TargetMode="External"/><Relationship Id="rId26" Type="http://schemas.openxmlformats.org/officeDocument/2006/relationships/hyperlink" Target="https://www.legislation.gov.uk/ukpga/2005/9/contents" TargetMode="External"/><Relationship Id="rId39"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hyperlink" Target="https://disability-studies.leeds.ac.uk/library/titles/R/" TargetMode="External"/><Relationship Id="rId34" Type="http://schemas.openxmlformats.org/officeDocument/2006/relationships/hyperlink" Target="https://doi.org/10.1177/0020872820936448" TargetMode="External"/><Relationship Id="rId42" Type="http://schemas.openxmlformats.org/officeDocument/2006/relationships/image" Target="media/image4.png"/><Relationship Id="rId47"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core.ac.uk/works/145370425" TargetMode="External"/><Relationship Id="rId17" Type="http://schemas.openxmlformats.org/officeDocument/2006/relationships/hyperlink" Target="http://www.lukeclements.co.uk/rhydian-social-welfare-law-in-wales/assessments-eligibility-criteria/" TargetMode="External"/><Relationship Id="rId25" Type="http://schemas.openxmlformats.org/officeDocument/2006/relationships/hyperlink" Target="https://doi.org/10.1002/cpp.1805" TargetMode="External"/><Relationship Id="rId33" Type="http://schemas.openxmlformats.org/officeDocument/2006/relationships/hyperlink" Target="https://www.legislation.gov.uk/anaw/2014/4/contents/enacted" TargetMode="External"/><Relationship Id="rId38" Type="http://schemas.openxmlformats.org/officeDocument/2006/relationships/hyperlink" Target="mailto:saima.naheed@pembrokeshire.gov.uk" TargetMode="Externa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legislation.gov.uk/ukpga/2004/31/contents" TargetMode="External"/><Relationship Id="rId20" Type="http://schemas.openxmlformats.org/officeDocument/2006/relationships/hyperlink" Target="https://www.equalityhumanrights.com/en/what-are-human-rights/how-are-your-rights-protected" TargetMode="External"/><Relationship Id="rId29" Type="http://schemas.openxmlformats.org/officeDocument/2006/relationships/hyperlink" Target="https://learning.nspcc.org.uk/news/2019/august/podcast-safeguarding-adults-and-children" TargetMode="External"/><Relationship Id="rId41"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007/s00127-012-0585-7" TargetMode="External"/><Relationship Id="rId32" Type="http://schemas.openxmlformats.org/officeDocument/2006/relationships/hyperlink" Target="https://safeguarding.wales/en/" TargetMode="External"/><Relationship Id="rId37" Type="http://schemas.openxmlformats.org/officeDocument/2006/relationships/hyperlink" Target="mailto:anne-louise.easton@pembrokeshire.gov.uk" TargetMode="External"/><Relationship Id="rId40" Type="http://schemas.openxmlformats.org/officeDocument/2006/relationships/image" Target="cid:image001.png@01DA0283.7C73B4E0" TargetMode="External"/><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legislation.gov.uk/ukpga/1989/41/contents" TargetMode="External"/><Relationship Id="rId23" Type="http://schemas.openxmlformats.org/officeDocument/2006/relationships/hyperlink" Target="http://ifsw.org/policies/statement-of-ethical-principles/" TargetMode="External"/><Relationship Id="rId28" Type="http://schemas.openxmlformats.org/officeDocument/2006/relationships/hyperlink" Target="https://www.legislation.gov.uk/mwa/2010/7/contents" TargetMode="External"/><Relationship Id="rId36" Type="http://schemas.openxmlformats.org/officeDocument/2006/relationships/hyperlink" Target="https://doi.org/10.1108/14769018200800023" TargetMode="External"/><Relationship Id="rId10" Type="http://schemas.openxmlformats.org/officeDocument/2006/relationships/endnotes" Target="endnotes.xml"/><Relationship Id="rId19" Type="http://schemas.openxmlformats.org/officeDocument/2006/relationships/hyperlink" Target="https://www.legislation.gov.uk/ukpga/2018/12/contents/enacted" TargetMode="External"/><Relationship Id="rId31" Type="http://schemas.openxmlformats.org/officeDocument/2006/relationships/hyperlink" Target="https://doi.org/10.1016/S1479-3547(01)80018-X" TargetMode="External"/><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31887/DCNS.2006.8.4/jbremner" TargetMode="External"/><Relationship Id="rId22" Type="http://schemas.openxmlformats.org/officeDocument/2006/relationships/hyperlink" Target="https://www.legislation.gov.uk/ukpga/1998/42/contents" TargetMode="External"/><Relationship Id="rId27" Type="http://schemas.openxmlformats.org/officeDocument/2006/relationships/hyperlink" Target="https://www.legislation.gov.uk/ukpga/1983/20/contents" TargetMode="External"/><Relationship Id="rId30" Type="http://schemas.openxmlformats.org/officeDocument/2006/relationships/hyperlink" Target="https://learning.nspcc.org.uk/child-protection-system/gillick-competence-fraser-guidelines" TargetMode="External"/><Relationship Id="rId35" Type="http://schemas.openxmlformats.org/officeDocument/2006/relationships/hyperlink" Target="https://www.unicef.org.uk/what-we-do/un-convention-child-rights/" TargetMode="External"/><Relationship Id="rId43"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FEDA7E-6A0F-4720-9C54-149BB58B37D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A619475-288B-4CB6-A801-1E6139CA0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5411</Words>
  <Characters>30844</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36183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Samuel, Keren</cp:lastModifiedBy>
  <cp:revision>2</cp:revision>
  <cp:lastPrinted>2020-02-11T19:20:00Z</cp:lastPrinted>
  <dcterms:created xsi:type="dcterms:W3CDTF">2023-10-23T06:04:00Z</dcterms:created>
  <dcterms:modified xsi:type="dcterms:W3CDTF">2023-10-23T06:04:00Z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