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809398" w:displacedByCustomXml="next"/>
    <w:bookmarkEnd w:id="0" w:displacedByCustomXml="next"/>
    <w:sdt>
      <w:sdtPr>
        <w:rPr>
          <w:rFonts w:ascii="Times New Roman" w:eastAsiaTheme="minorHAnsi" w:hAnsi="Times New Roman" w:cstheme="minorBidi"/>
          <w:color w:val="auto"/>
          <w:sz w:val="24"/>
          <w:szCs w:val="22"/>
          <w:lang w:val="en-GB"/>
        </w:rPr>
        <w:id w:val="-1890878258"/>
        <w:docPartObj>
          <w:docPartGallery w:val="Table of Contents"/>
          <w:docPartUnique/>
        </w:docPartObj>
      </w:sdtPr>
      <w:sdtEndPr>
        <w:rPr>
          <w:b/>
          <w:bCs/>
          <w:noProof/>
        </w:rPr>
      </w:sdtEndPr>
      <w:sdtContent>
        <w:p w14:paraId="231E7C03" w14:textId="3F9AA61B" w:rsidR="00B214A4" w:rsidRPr="006E66E7" w:rsidRDefault="00B214A4">
          <w:pPr>
            <w:pStyle w:val="TOCHeading"/>
            <w:rPr>
              <w:color w:val="000000" w:themeColor="text1"/>
            </w:rPr>
          </w:pPr>
          <w:r w:rsidRPr="006E66E7">
            <w:rPr>
              <w:color w:val="000000" w:themeColor="text1"/>
            </w:rPr>
            <w:t>Contents</w:t>
          </w:r>
        </w:p>
        <w:p w14:paraId="12C18E04" w14:textId="35268A6A" w:rsidR="00A22B71" w:rsidRDefault="00B214A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809608" w:history="1">
            <w:r w:rsidR="00A22B71" w:rsidRPr="006F2C66">
              <w:rPr>
                <w:rStyle w:val="Hyperlink"/>
                <w:noProof/>
              </w:rPr>
              <w:t>Introduction</w:t>
            </w:r>
            <w:r w:rsidR="00A22B71">
              <w:rPr>
                <w:noProof/>
                <w:webHidden/>
              </w:rPr>
              <w:tab/>
            </w:r>
            <w:r w:rsidR="00A22B71">
              <w:rPr>
                <w:noProof/>
                <w:webHidden/>
              </w:rPr>
              <w:fldChar w:fldCharType="begin"/>
            </w:r>
            <w:r w:rsidR="00A22B71">
              <w:rPr>
                <w:noProof/>
                <w:webHidden/>
              </w:rPr>
              <w:instrText xml:space="preserve"> PAGEREF _Toc5809608 \h </w:instrText>
            </w:r>
            <w:r w:rsidR="00A22B71">
              <w:rPr>
                <w:noProof/>
                <w:webHidden/>
              </w:rPr>
            </w:r>
            <w:r w:rsidR="00A22B71">
              <w:rPr>
                <w:noProof/>
                <w:webHidden/>
              </w:rPr>
              <w:fldChar w:fldCharType="separate"/>
            </w:r>
            <w:r w:rsidR="006E66E7">
              <w:rPr>
                <w:noProof/>
                <w:webHidden/>
              </w:rPr>
              <w:t>2</w:t>
            </w:r>
            <w:r w:rsidR="00A22B71">
              <w:rPr>
                <w:noProof/>
                <w:webHidden/>
              </w:rPr>
              <w:fldChar w:fldCharType="end"/>
            </w:r>
          </w:hyperlink>
        </w:p>
        <w:p w14:paraId="2671F7C3" w14:textId="299B4C0C" w:rsidR="00A22B71" w:rsidRDefault="00B0176C">
          <w:pPr>
            <w:pStyle w:val="TOC1"/>
            <w:tabs>
              <w:tab w:val="right" w:leader="dot" w:pos="9016"/>
            </w:tabs>
            <w:rPr>
              <w:rFonts w:asciiTheme="minorHAnsi" w:eastAsiaTheme="minorEastAsia" w:hAnsiTheme="minorHAnsi"/>
              <w:noProof/>
              <w:sz w:val="22"/>
              <w:lang w:eastAsia="en-GB"/>
            </w:rPr>
          </w:pPr>
          <w:hyperlink w:anchor="_Toc5809609" w:history="1">
            <w:r w:rsidR="00A22B71" w:rsidRPr="006F2C66">
              <w:rPr>
                <w:rStyle w:val="Hyperlink"/>
                <w:noProof/>
              </w:rPr>
              <w:t>Methodology</w:t>
            </w:r>
            <w:r w:rsidR="00A22B71">
              <w:rPr>
                <w:noProof/>
                <w:webHidden/>
              </w:rPr>
              <w:tab/>
            </w:r>
            <w:r w:rsidR="00A22B71">
              <w:rPr>
                <w:noProof/>
                <w:webHidden/>
              </w:rPr>
              <w:fldChar w:fldCharType="begin"/>
            </w:r>
            <w:r w:rsidR="00A22B71">
              <w:rPr>
                <w:noProof/>
                <w:webHidden/>
              </w:rPr>
              <w:instrText xml:space="preserve"> PAGEREF _Toc5809609 \h </w:instrText>
            </w:r>
            <w:r w:rsidR="00A22B71">
              <w:rPr>
                <w:noProof/>
                <w:webHidden/>
              </w:rPr>
            </w:r>
            <w:r w:rsidR="00A22B71">
              <w:rPr>
                <w:noProof/>
                <w:webHidden/>
              </w:rPr>
              <w:fldChar w:fldCharType="separate"/>
            </w:r>
            <w:r w:rsidR="006E66E7">
              <w:rPr>
                <w:noProof/>
                <w:webHidden/>
              </w:rPr>
              <w:t>6</w:t>
            </w:r>
            <w:r w:rsidR="00A22B71">
              <w:rPr>
                <w:noProof/>
                <w:webHidden/>
              </w:rPr>
              <w:fldChar w:fldCharType="end"/>
            </w:r>
          </w:hyperlink>
        </w:p>
        <w:p w14:paraId="7D3AB22D" w14:textId="1CB76E05" w:rsidR="00A22B71" w:rsidRDefault="00B0176C">
          <w:pPr>
            <w:pStyle w:val="TOC2"/>
            <w:tabs>
              <w:tab w:val="right" w:leader="dot" w:pos="9016"/>
            </w:tabs>
            <w:rPr>
              <w:rFonts w:asciiTheme="minorHAnsi" w:eastAsiaTheme="minorEastAsia" w:hAnsiTheme="minorHAnsi"/>
              <w:noProof/>
              <w:sz w:val="22"/>
              <w:lang w:eastAsia="en-GB"/>
            </w:rPr>
          </w:pPr>
          <w:hyperlink w:anchor="_Toc5809610" w:history="1">
            <w:r w:rsidR="00A22B71" w:rsidRPr="006F2C66">
              <w:rPr>
                <w:rStyle w:val="Hyperlink"/>
                <w:noProof/>
              </w:rPr>
              <w:t>Research paradigm</w:t>
            </w:r>
            <w:r w:rsidR="00A22B71">
              <w:rPr>
                <w:noProof/>
                <w:webHidden/>
              </w:rPr>
              <w:tab/>
            </w:r>
            <w:r w:rsidR="00A22B71">
              <w:rPr>
                <w:noProof/>
                <w:webHidden/>
              </w:rPr>
              <w:fldChar w:fldCharType="begin"/>
            </w:r>
            <w:r w:rsidR="00A22B71">
              <w:rPr>
                <w:noProof/>
                <w:webHidden/>
              </w:rPr>
              <w:instrText xml:space="preserve"> PAGEREF _Toc5809610 \h </w:instrText>
            </w:r>
            <w:r w:rsidR="00A22B71">
              <w:rPr>
                <w:noProof/>
                <w:webHidden/>
              </w:rPr>
            </w:r>
            <w:r w:rsidR="00A22B71">
              <w:rPr>
                <w:noProof/>
                <w:webHidden/>
              </w:rPr>
              <w:fldChar w:fldCharType="separate"/>
            </w:r>
            <w:r w:rsidR="006E66E7">
              <w:rPr>
                <w:noProof/>
                <w:webHidden/>
              </w:rPr>
              <w:t>6</w:t>
            </w:r>
            <w:r w:rsidR="00A22B71">
              <w:rPr>
                <w:noProof/>
                <w:webHidden/>
              </w:rPr>
              <w:fldChar w:fldCharType="end"/>
            </w:r>
          </w:hyperlink>
        </w:p>
        <w:p w14:paraId="4FD26D58" w14:textId="7A369DAC" w:rsidR="00A22B71" w:rsidRDefault="00B0176C">
          <w:pPr>
            <w:pStyle w:val="TOC2"/>
            <w:tabs>
              <w:tab w:val="right" w:leader="dot" w:pos="9016"/>
            </w:tabs>
            <w:rPr>
              <w:rFonts w:asciiTheme="minorHAnsi" w:eastAsiaTheme="minorEastAsia" w:hAnsiTheme="minorHAnsi"/>
              <w:noProof/>
              <w:sz w:val="22"/>
              <w:lang w:eastAsia="en-GB"/>
            </w:rPr>
          </w:pPr>
          <w:hyperlink w:anchor="_Toc5809611" w:history="1">
            <w:r w:rsidR="00A22B71" w:rsidRPr="006F2C66">
              <w:rPr>
                <w:rStyle w:val="Hyperlink"/>
                <w:noProof/>
              </w:rPr>
              <w:t>Measurement process</w:t>
            </w:r>
            <w:r w:rsidR="00A22B71">
              <w:rPr>
                <w:noProof/>
                <w:webHidden/>
              </w:rPr>
              <w:tab/>
            </w:r>
            <w:r w:rsidR="00A22B71">
              <w:rPr>
                <w:noProof/>
                <w:webHidden/>
              </w:rPr>
              <w:fldChar w:fldCharType="begin"/>
            </w:r>
            <w:r w:rsidR="00A22B71">
              <w:rPr>
                <w:noProof/>
                <w:webHidden/>
              </w:rPr>
              <w:instrText xml:space="preserve"> PAGEREF _Toc5809611 \h </w:instrText>
            </w:r>
            <w:r w:rsidR="00A22B71">
              <w:rPr>
                <w:noProof/>
                <w:webHidden/>
              </w:rPr>
            </w:r>
            <w:r w:rsidR="00A22B71">
              <w:rPr>
                <w:noProof/>
                <w:webHidden/>
              </w:rPr>
              <w:fldChar w:fldCharType="separate"/>
            </w:r>
            <w:r w:rsidR="006E66E7">
              <w:rPr>
                <w:noProof/>
                <w:webHidden/>
              </w:rPr>
              <w:t>9</w:t>
            </w:r>
            <w:r w:rsidR="00A22B71">
              <w:rPr>
                <w:noProof/>
                <w:webHidden/>
              </w:rPr>
              <w:fldChar w:fldCharType="end"/>
            </w:r>
          </w:hyperlink>
        </w:p>
        <w:p w14:paraId="56B9B2B1" w14:textId="209CC505" w:rsidR="00A22B71" w:rsidRDefault="00B0176C">
          <w:pPr>
            <w:pStyle w:val="TOC2"/>
            <w:tabs>
              <w:tab w:val="right" w:leader="dot" w:pos="9016"/>
            </w:tabs>
            <w:rPr>
              <w:rFonts w:asciiTheme="minorHAnsi" w:eastAsiaTheme="minorEastAsia" w:hAnsiTheme="minorHAnsi"/>
              <w:noProof/>
              <w:sz w:val="22"/>
              <w:lang w:eastAsia="en-GB"/>
            </w:rPr>
          </w:pPr>
          <w:hyperlink w:anchor="_Toc5809612" w:history="1">
            <w:r w:rsidR="00A22B71" w:rsidRPr="006F2C66">
              <w:rPr>
                <w:rStyle w:val="Hyperlink"/>
                <w:noProof/>
              </w:rPr>
              <w:t>Data analysis</w:t>
            </w:r>
            <w:r w:rsidR="00A22B71">
              <w:rPr>
                <w:noProof/>
                <w:webHidden/>
              </w:rPr>
              <w:tab/>
            </w:r>
            <w:r w:rsidR="00A22B71">
              <w:rPr>
                <w:noProof/>
                <w:webHidden/>
              </w:rPr>
              <w:fldChar w:fldCharType="begin"/>
            </w:r>
            <w:r w:rsidR="00A22B71">
              <w:rPr>
                <w:noProof/>
                <w:webHidden/>
              </w:rPr>
              <w:instrText xml:space="preserve"> PAGEREF _Toc5809612 \h </w:instrText>
            </w:r>
            <w:r w:rsidR="00A22B71">
              <w:rPr>
                <w:noProof/>
                <w:webHidden/>
              </w:rPr>
            </w:r>
            <w:r w:rsidR="00A22B71">
              <w:rPr>
                <w:noProof/>
                <w:webHidden/>
              </w:rPr>
              <w:fldChar w:fldCharType="separate"/>
            </w:r>
            <w:r w:rsidR="006E66E7">
              <w:rPr>
                <w:noProof/>
                <w:webHidden/>
              </w:rPr>
              <w:t>12</w:t>
            </w:r>
            <w:r w:rsidR="00A22B71">
              <w:rPr>
                <w:noProof/>
                <w:webHidden/>
              </w:rPr>
              <w:fldChar w:fldCharType="end"/>
            </w:r>
          </w:hyperlink>
        </w:p>
        <w:p w14:paraId="2D091575" w14:textId="41B9E13D" w:rsidR="00A22B71" w:rsidRDefault="00B0176C">
          <w:pPr>
            <w:pStyle w:val="TOC1"/>
            <w:tabs>
              <w:tab w:val="right" w:leader="dot" w:pos="9016"/>
            </w:tabs>
            <w:rPr>
              <w:rFonts w:asciiTheme="minorHAnsi" w:eastAsiaTheme="minorEastAsia" w:hAnsiTheme="minorHAnsi"/>
              <w:noProof/>
              <w:sz w:val="22"/>
              <w:lang w:eastAsia="en-GB"/>
            </w:rPr>
          </w:pPr>
          <w:hyperlink w:anchor="_Toc5809613" w:history="1">
            <w:r w:rsidR="00A22B71" w:rsidRPr="006F2C66">
              <w:rPr>
                <w:rStyle w:val="Hyperlink"/>
                <w:noProof/>
              </w:rPr>
              <w:t>Conclusion</w:t>
            </w:r>
            <w:r w:rsidR="00A22B71">
              <w:rPr>
                <w:noProof/>
                <w:webHidden/>
              </w:rPr>
              <w:tab/>
            </w:r>
            <w:r w:rsidR="00A22B71">
              <w:rPr>
                <w:noProof/>
                <w:webHidden/>
              </w:rPr>
              <w:fldChar w:fldCharType="begin"/>
            </w:r>
            <w:r w:rsidR="00A22B71">
              <w:rPr>
                <w:noProof/>
                <w:webHidden/>
              </w:rPr>
              <w:instrText xml:space="preserve"> PAGEREF _Toc5809613 \h </w:instrText>
            </w:r>
            <w:r w:rsidR="00A22B71">
              <w:rPr>
                <w:noProof/>
                <w:webHidden/>
              </w:rPr>
            </w:r>
            <w:r w:rsidR="00A22B71">
              <w:rPr>
                <w:noProof/>
                <w:webHidden/>
              </w:rPr>
              <w:fldChar w:fldCharType="separate"/>
            </w:r>
            <w:r w:rsidR="006E66E7">
              <w:rPr>
                <w:noProof/>
                <w:webHidden/>
              </w:rPr>
              <w:t>13</w:t>
            </w:r>
            <w:r w:rsidR="00A22B71">
              <w:rPr>
                <w:noProof/>
                <w:webHidden/>
              </w:rPr>
              <w:fldChar w:fldCharType="end"/>
            </w:r>
          </w:hyperlink>
        </w:p>
        <w:p w14:paraId="5088E539" w14:textId="6873FBB3" w:rsidR="00A22B71" w:rsidRDefault="00B0176C">
          <w:pPr>
            <w:pStyle w:val="TOC1"/>
            <w:tabs>
              <w:tab w:val="right" w:leader="dot" w:pos="9016"/>
            </w:tabs>
            <w:rPr>
              <w:rFonts w:asciiTheme="minorHAnsi" w:eastAsiaTheme="minorEastAsia" w:hAnsiTheme="minorHAnsi"/>
              <w:noProof/>
              <w:sz w:val="22"/>
              <w:lang w:eastAsia="en-GB"/>
            </w:rPr>
          </w:pPr>
          <w:hyperlink w:anchor="_Toc5809614" w:history="1">
            <w:r w:rsidR="00A22B71" w:rsidRPr="006F2C66">
              <w:rPr>
                <w:rStyle w:val="Hyperlink"/>
                <w:noProof/>
              </w:rPr>
              <w:t>Reference List</w:t>
            </w:r>
            <w:r w:rsidR="00A22B71">
              <w:rPr>
                <w:noProof/>
                <w:webHidden/>
              </w:rPr>
              <w:tab/>
            </w:r>
            <w:r w:rsidR="00A22B71">
              <w:rPr>
                <w:noProof/>
                <w:webHidden/>
              </w:rPr>
              <w:fldChar w:fldCharType="begin"/>
            </w:r>
            <w:r w:rsidR="00A22B71">
              <w:rPr>
                <w:noProof/>
                <w:webHidden/>
              </w:rPr>
              <w:instrText xml:space="preserve"> PAGEREF _Toc5809614 \h </w:instrText>
            </w:r>
            <w:r w:rsidR="00A22B71">
              <w:rPr>
                <w:noProof/>
                <w:webHidden/>
              </w:rPr>
            </w:r>
            <w:r w:rsidR="00A22B71">
              <w:rPr>
                <w:noProof/>
                <w:webHidden/>
              </w:rPr>
              <w:fldChar w:fldCharType="separate"/>
            </w:r>
            <w:r w:rsidR="006E66E7">
              <w:rPr>
                <w:noProof/>
                <w:webHidden/>
              </w:rPr>
              <w:t>15</w:t>
            </w:r>
            <w:r w:rsidR="00A22B71">
              <w:rPr>
                <w:noProof/>
                <w:webHidden/>
              </w:rPr>
              <w:fldChar w:fldCharType="end"/>
            </w:r>
          </w:hyperlink>
        </w:p>
        <w:p w14:paraId="2ECE8CA2" w14:textId="47056839" w:rsidR="00A22B71" w:rsidRDefault="00B0176C">
          <w:pPr>
            <w:pStyle w:val="TOC1"/>
            <w:tabs>
              <w:tab w:val="right" w:leader="dot" w:pos="9016"/>
            </w:tabs>
            <w:rPr>
              <w:rFonts w:asciiTheme="minorHAnsi" w:eastAsiaTheme="minorEastAsia" w:hAnsiTheme="minorHAnsi"/>
              <w:noProof/>
              <w:sz w:val="22"/>
              <w:lang w:eastAsia="en-GB"/>
            </w:rPr>
          </w:pPr>
          <w:hyperlink w:anchor="_Toc5809615" w:history="1">
            <w:r w:rsidR="00A22B71" w:rsidRPr="006F2C66">
              <w:rPr>
                <w:rStyle w:val="Hyperlink"/>
                <w:noProof/>
              </w:rPr>
              <w:t>Appendices</w:t>
            </w:r>
            <w:r w:rsidR="00A22B71">
              <w:rPr>
                <w:noProof/>
                <w:webHidden/>
              </w:rPr>
              <w:tab/>
            </w:r>
            <w:r w:rsidR="00A22B71">
              <w:rPr>
                <w:noProof/>
                <w:webHidden/>
              </w:rPr>
              <w:fldChar w:fldCharType="begin"/>
            </w:r>
            <w:r w:rsidR="00A22B71">
              <w:rPr>
                <w:noProof/>
                <w:webHidden/>
              </w:rPr>
              <w:instrText xml:space="preserve"> PAGEREF _Toc5809615 \h </w:instrText>
            </w:r>
            <w:r w:rsidR="00A22B71">
              <w:rPr>
                <w:noProof/>
                <w:webHidden/>
              </w:rPr>
            </w:r>
            <w:r w:rsidR="00A22B71">
              <w:rPr>
                <w:noProof/>
                <w:webHidden/>
              </w:rPr>
              <w:fldChar w:fldCharType="separate"/>
            </w:r>
            <w:r w:rsidR="006E66E7">
              <w:rPr>
                <w:noProof/>
                <w:webHidden/>
              </w:rPr>
              <w:t>16</w:t>
            </w:r>
            <w:r w:rsidR="00A22B71">
              <w:rPr>
                <w:noProof/>
                <w:webHidden/>
              </w:rPr>
              <w:fldChar w:fldCharType="end"/>
            </w:r>
          </w:hyperlink>
        </w:p>
        <w:p w14:paraId="44F5DCEC" w14:textId="76BA748E" w:rsidR="00A22B71" w:rsidRDefault="00B0176C">
          <w:pPr>
            <w:pStyle w:val="TOC2"/>
            <w:tabs>
              <w:tab w:val="right" w:leader="dot" w:pos="9016"/>
            </w:tabs>
            <w:rPr>
              <w:rFonts w:asciiTheme="minorHAnsi" w:eastAsiaTheme="minorEastAsia" w:hAnsiTheme="minorHAnsi"/>
              <w:noProof/>
              <w:sz w:val="22"/>
              <w:lang w:eastAsia="en-GB"/>
            </w:rPr>
          </w:pPr>
          <w:hyperlink w:anchor="_Toc5809616" w:history="1">
            <w:r w:rsidR="00A22B71" w:rsidRPr="006F2C66">
              <w:rPr>
                <w:rStyle w:val="Hyperlink"/>
                <w:i/>
                <w:noProof/>
              </w:rPr>
              <w:t>Appendix</w:t>
            </w:r>
            <w:r w:rsidR="00A22B71" w:rsidRPr="006F2C66">
              <w:rPr>
                <w:rStyle w:val="Hyperlink"/>
                <w:noProof/>
              </w:rPr>
              <w:t xml:space="preserve"> </w:t>
            </w:r>
            <w:r w:rsidR="00A22B71" w:rsidRPr="006F2C66">
              <w:rPr>
                <w:rStyle w:val="Hyperlink"/>
                <w:i/>
                <w:noProof/>
              </w:rPr>
              <w:t>1.</w:t>
            </w:r>
            <w:r w:rsidR="00A22B71">
              <w:rPr>
                <w:noProof/>
                <w:webHidden/>
              </w:rPr>
              <w:tab/>
            </w:r>
            <w:r w:rsidR="00A22B71">
              <w:rPr>
                <w:noProof/>
                <w:webHidden/>
              </w:rPr>
              <w:fldChar w:fldCharType="begin"/>
            </w:r>
            <w:r w:rsidR="00A22B71">
              <w:rPr>
                <w:noProof/>
                <w:webHidden/>
              </w:rPr>
              <w:instrText xml:space="preserve"> PAGEREF _Toc5809616 \h </w:instrText>
            </w:r>
            <w:r w:rsidR="00A22B71">
              <w:rPr>
                <w:noProof/>
                <w:webHidden/>
              </w:rPr>
            </w:r>
            <w:r w:rsidR="00A22B71">
              <w:rPr>
                <w:noProof/>
                <w:webHidden/>
              </w:rPr>
              <w:fldChar w:fldCharType="separate"/>
            </w:r>
            <w:r w:rsidR="006E66E7">
              <w:rPr>
                <w:noProof/>
                <w:webHidden/>
              </w:rPr>
              <w:t>16</w:t>
            </w:r>
            <w:r w:rsidR="00A22B71">
              <w:rPr>
                <w:noProof/>
                <w:webHidden/>
              </w:rPr>
              <w:fldChar w:fldCharType="end"/>
            </w:r>
          </w:hyperlink>
        </w:p>
        <w:p w14:paraId="27291ACF" w14:textId="79125779" w:rsidR="00A22B71" w:rsidRDefault="00B0176C">
          <w:pPr>
            <w:pStyle w:val="TOC2"/>
            <w:tabs>
              <w:tab w:val="right" w:leader="dot" w:pos="9016"/>
            </w:tabs>
            <w:rPr>
              <w:rFonts w:asciiTheme="minorHAnsi" w:eastAsiaTheme="minorEastAsia" w:hAnsiTheme="minorHAnsi"/>
              <w:noProof/>
              <w:sz w:val="22"/>
              <w:lang w:eastAsia="en-GB"/>
            </w:rPr>
          </w:pPr>
          <w:hyperlink w:anchor="_Toc5809617" w:history="1">
            <w:r w:rsidR="00A22B71" w:rsidRPr="006F2C66">
              <w:rPr>
                <w:rStyle w:val="Hyperlink"/>
                <w:i/>
                <w:noProof/>
              </w:rPr>
              <w:t>Appendix 2.</w:t>
            </w:r>
            <w:r w:rsidR="00A22B71">
              <w:rPr>
                <w:noProof/>
                <w:webHidden/>
              </w:rPr>
              <w:tab/>
            </w:r>
            <w:r w:rsidR="00A22B71">
              <w:rPr>
                <w:noProof/>
                <w:webHidden/>
              </w:rPr>
              <w:fldChar w:fldCharType="begin"/>
            </w:r>
            <w:r w:rsidR="00A22B71">
              <w:rPr>
                <w:noProof/>
                <w:webHidden/>
              </w:rPr>
              <w:instrText xml:space="preserve"> PAGEREF _Toc5809617 \h </w:instrText>
            </w:r>
            <w:r w:rsidR="00A22B71">
              <w:rPr>
                <w:noProof/>
                <w:webHidden/>
              </w:rPr>
            </w:r>
            <w:r w:rsidR="00A22B71">
              <w:rPr>
                <w:noProof/>
                <w:webHidden/>
              </w:rPr>
              <w:fldChar w:fldCharType="separate"/>
            </w:r>
            <w:r w:rsidR="006E66E7">
              <w:rPr>
                <w:noProof/>
                <w:webHidden/>
              </w:rPr>
              <w:t>19</w:t>
            </w:r>
            <w:r w:rsidR="00A22B71">
              <w:rPr>
                <w:noProof/>
                <w:webHidden/>
              </w:rPr>
              <w:fldChar w:fldCharType="end"/>
            </w:r>
          </w:hyperlink>
        </w:p>
        <w:p w14:paraId="6EF63F34" w14:textId="1809B478" w:rsidR="00A22B71" w:rsidRDefault="00B0176C">
          <w:pPr>
            <w:pStyle w:val="TOC1"/>
            <w:tabs>
              <w:tab w:val="right" w:leader="dot" w:pos="9016"/>
            </w:tabs>
            <w:rPr>
              <w:rFonts w:asciiTheme="minorHAnsi" w:eastAsiaTheme="minorEastAsia" w:hAnsiTheme="minorHAnsi"/>
              <w:noProof/>
              <w:sz w:val="22"/>
              <w:lang w:eastAsia="en-GB"/>
            </w:rPr>
          </w:pPr>
          <w:hyperlink w:anchor="_Toc5809618" w:history="1">
            <w:r w:rsidR="00A22B71" w:rsidRPr="006F2C66">
              <w:rPr>
                <w:rStyle w:val="Hyperlink"/>
                <w:noProof/>
              </w:rPr>
              <w:t>Part 2 – Link to Ethics Presentation</w:t>
            </w:r>
            <w:r w:rsidR="00A22B71">
              <w:rPr>
                <w:noProof/>
                <w:webHidden/>
              </w:rPr>
              <w:tab/>
            </w:r>
            <w:r w:rsidR="00A22B71">
              <w:rPr>
                <w:noProof/>
                <w:webHidden/>
              </w:rPr>
              <w:fldChar w:fldCharType="begin"/>
            </w:r>
            <w:r w:rsidR="00A22B71">
              <w:rPr>
                <w:noProof/>
                <w:webHidden/>
              </w:rPr>
              <w:instrText xml:space="preserve"> PAGEREF _Toc5809618 \h </w:instrText>
            </w:r>
            <w:r w:rsidR="00A22B71">
              <w:rPr>
                <w:noProof/>
                <w:webHidden/>
              </w:rPr>
            </w:r>
            <w:r w:rsidR="00A22B71">
              <w:rPr>
                <w:noProof/>
                <w:webHidden/>
              </w:rPr>
              <w:fldChar w:fldCharType="separate"/>
            </w:r>
            <w:r w:rsidR="006E66E7">
              <w:rPr>
                <w:noProof/>
                <w:webHidden/>
              </w:rPr>
              <w:t>33</w:t>
            </w:r>
            <w:r w:rsidR="00A22B71">
              <w:rPr>
                <w:noProof/>
                <w:webHidden/>
              </w:rPr>
              <w:fldChar w:fldCharType="end"/>
            </w:r>
          </w:hyperlink>
        </w:p>
        <w:p w14:paraId="6388405A" w14:textId="568DA360" w:rsidR="00B214A4" w:rsidRDefault="00B214A4">
          <w:r>
            <w:rPr>
              <w:b/>
              <w:bCs/>
              <w:noProof/>
            </w:rPr>
            <w:fldChar w:fldCharType="end"/>
          </w:r>
        </w:p>
      </w:sdtContent>
    </w:sdt>
    <w:p w14:paraId="49701EA0" w14:textId="529B3AD7" w:rsidR="00B214A4" w:rsidRDefault="00B214A4">
      <w:pPr>
        <w:rPr>
          <w:rFonts w:asciiTheme="majorHAnsi" w:eastAsiaTheme="majorEastAsia" w:hAnsiTheme="majorHAnsi" w:cstheme="majorBidi"/>
          <w:color w:val="2F5496" w:themeColor="accent1" w:themeShade="BF"/>
          <w:sz w:val="32"/>
          <w:szCs w:val="32"/>
        </w:rPr>
      </w:pPr>
      <w:r>
        <w:br w:type="page"/>
      </w:r>
    </w:p>
    <w:p w14:paraId="2D8F9B81" w14:textId="2E08483D" w:rsidR="00E94FD4" w:rsidRPr="006E66E7" w:rsidRDefault="00E64303" w:rsidP="00E64303">
      <w:pPr>
        <w:pStyle w:val="Heading1"/>
        <w:rPr>
          <w:color w:val="000000" w:themeColor="text1"/>
        </w:rPr>
      </w:pPr>
      <w:bookmarkStart w:id="1" w:name="_Toc5809608"/>
      <w:r w:rsidRPr="006E66E7">
        <w:rPr>
          <w:color w:val="000000" w:themeColor="text1"/>
        </w:rPr>
        <w:lastRenderedPageBreak/>
        <w:t>Introduction</w:t>
      </w:r>
      <w:bookmarkEnd w:id="1"/>
    </w:p>
    <w:p w14:paraId="729499E0" w14:textId="57707B5A" w:rsidR="00B152CB" w:rsidRDefault="00E64303" w:rsidP="00C310E0">
      <w:pPr>
        <w:spacing w:line="480" w:lineRule="auto"/>
      </w:pPr>
      <w:r>
        <w:tab/>
        <w:t xml:space="preserve">This essay will explore the </w:t>
      </w:r>
      <w:r w:rsidR="0038318A">
        <w:t xml:space="preserve">ever-old and </w:t>
      </w:r>
      <w:r>
        <w:t xml:space="preserve">ever-increasing debate around the </w:t>
      </w:r>
      <w:proofErr w:type="spellStart"/>
      <w:r>
        <w:t>honorous</w:t>
      </w:r>
      <w:proofErr w:type="spellEnd"/>
      <w:r>
        <w:t xml:space="preserve"> nature of formative marking and its</w:t>
      </w:r>
      <w:r w:rsidR="00382274">
        <w:t xml:space="preserve"> most imperative</w:t>
      </w:r>
      <w:r>
        <w:t xml:space="preserve"> </w:t>
      </w:r>
      <w:r w:rsidR="00D04520">
        <w:t xml:space="preserve">ultimate goal, the </w:t>
      </w:r>
      <w:r>
        <w:t>effectiveness on increasing pupil attainment</w:t>
      </w:r>
      <w:r w:rsidR="00E67764">
        <w:t xml:space="preserve">. </w:t>
      </w:r>
      <w:r>
        <w:t>Although broadly applicable to all subjects,</w:t>
      </w:r>
      <w:r w:rsidR="00211F5E">
        <w:t xml:space="preserve"> </w:t>
      </w:r>
      <w:r>
        <w:t xml:space="preserve">the </w:t>
      </w:r>
      <w:r w:rsidR="00720480">
        <w:t>direct</w:t>
      </w:r>
      <w:r>
        <w:t xml:space="preserve"> focus of this paper is word-heavy subjects</w:t>
      </w:r>
      <w:r w:rsidR="00484E04">
        <w:t xml:space="preserve">, or </w:t>
      </w:r>
      <w:r w:rsidR="00E21F2B">
        <w:t>‘</w:t>
      </w:r>
      <w:r w:rsidR="00484E04">
        <w:t>extended response</w:t>
      </w:r>
      <w:r w:rsidR="00E21F2B">
        <w:t>’</w:t>
      </w:r>
      <w:r w:rsidR="00484E04">
        <w:t xml:space="preserve"> subjects,</w:t>
      </w:r>
      <w:r>
        <w:t xml:space="preserve"> as defined by </w:t>
      </w:r>
      <w:proofErr w:type="spellStart"/>
      <w:r w:rsidR="00484E04">
        <w:t>Christodolou</w:t>
      </w:r>
      <w:proofErr w:type="spellEnd"/>
      <w:r w:rsidR="00484E04">
        <w:t xml:space="preserve"> (2014</w:t>
      </w:r>
      <w:r w:rsidR="00E21F2B">
        <w:t>, p. 71</w:t>
      </w:r>
      <w:r w:rsidR="00484E04">
        <w:t>).</w:t>
      </w:r>
      <w:r w:rsidR="00720480">
        <w:t xml:space="preserve"> These include English, History, Religious Education, Geography and Business</w:t>
      </w:r>
      <w:r w:rsidR="00071002">
        <w:t xml:space="preserve"> </w:t>
      </w:r>
      <w:r w:rsidR="00211F5E">
        <w:t>when considering</w:t>
      </w:r>
      <w:r w:rsidR="00071002">
        <w:t xml:space="preserve"> </w:t>
      </w:r>
      <w:r w:rsidR="00480908">
        <w:t>the subject range in KS4</w:t>
      </w:r>
      <w:r w:rsidR="00071002">
        <w:t xml:space="preserve"> </w:t>
      </w:r>
      <w:r w:rsidR="00720480" w:rsidRPr="00720480">
        <w:t>(Christodoulou, 2014)</w:t>
      </w:r>
      <w:r w:rsidR="00720480">
        <w:t>.</w:t>
      </w:r>
      <w:r>
        <w:t xml:space="preserve"> </w:t>
      </w:r>
      <w:r w:rsidR="00B152CB">
        <w:t>As thus, this paper</w:t>
      </w:r>
      <w:r w:rsidR="00734886">
        <w:t xml:space="preserve"> aims to explore the following twofold foci</w:t>
      </w:r>
      <w:r w:rsidR="00B152CB">
        <w:t xml:space="preserve"> – </w:t>
      </w:r>
    </w:p>
    <w:p w14:paraId="560B24EC" w14:textId="21BF8ACC" w:rsidR="00B152CB" w:rsidRDefault="00B152CB" w:rsidP="00B152CB">
      <w:pPr>
        <w:pStyle w:val="ListParagraph"/>
        <w:numPr>
          <w:ilvl w:val="0"/>
          <w:numId w:val="1"/>
        </w:numPr>
        <w:spacing w:line="480" w:lineRule="auto"/>
      </w:pPr>
      <w:r>
        <w:t>The contin</w:t>
      </w:r>
      <w:r w:rsidR="00D04520">
        <w:t xml:space="preserve">uing dissonance between formative assessment and its </w:t>
      </w:r>
      <w:r w:rsidR="00C85F5E">
        <w:t>incorrect</w:t>
      </w:r>
      <w:r w:rsidR="00396CB1">
        <w:t xml:space="preserve"> </w:t>
      </w:r>
      <w:r w:rsidR="00CE561F">
        <w:t xml:space="preserve">perceived </w:t>
      </w:r>
      <w:r w:rsidR="00D04520">
        <w:t>finality on student attainment</w:t>
      </w:r>
      <w:r w:rsidR="000554CC">
        <w:t xml:space="preserve">; </w:t>
      </w:r>
      <w:r w:rsidR="00D04520">
        <w:t>and</w:t>
      </w:r>
    </w:p>
    <w:p w14:paraId="3A156EEE" w14:textId="6EABF107" w:rsidR="000445C8" w:rsidRDefault="00396CB1" w:rsidP="00D578A7">
      <w:pPr>
        <w:pStyle w:val="ListParagraph"/>
        <w:numPr>
          <w:ilvl w:val="0"/>
          <w:numId w:val="1"/>
        </w:numPr>
        <w:spacing w:line="480" w:lineRule="auto"/>
      </w:pPr>
      <w:r>
        <w:t>T</w:t>
      </w:r>
      <w:r w:rsidR="008735DE">
        <w:t xml:space="preserve">he format which </w:t>
      </w:r>
      <w:r w:rsidR="000445C8">
        <w:t>many extended response subjects employ to formatively assess.</w:t>
      </w:r>
    </w:p>
    <w:p w14:paraId="2B621B8A" w14:textId="5CEC9DD7" w:rsidR="00EF5622" w:rsidRDefault="00E64303" w:rsidP="00B12172">
      <w:pPr>
        <w:spacing w:line="480" w:lineRule="auto"/>
        <w:ind w:firstLine="360"/>
      </w:pPr>
      <w:r>
        <w:t xml:space="preserve">Many educationalists have delved into and </w:t>
      </w:r>
      <w:r w:rsidR="007B498B">
        <w:t>argued for</w:t>
      </w:r>
      <w:r>
        <w:t xml:space="preserve"> </w:t>
      </w:r>
      <w:r w:rsidR="00B152CB">
        <w:t xml:space="preserve">the </w:t>
      </w:r>
      <w:r w:rsidR="00D578A7">
        <w:t xml:space="preserve">time-consuming nature </w:t>
      </w:r>
      <w:r>
        <w:t>of marking</w:t>
      </w:r>
      <w:r w:rsidR="00C310E0">
        <w:t xml:space="preserve"> extended</w:t>
      </w:r>
      <w:r w:rsidR="00B152CB">
        <w:t xml:space="preserve"> responses</w:t>
      </w:r>
      <w:r w:rsidR="00D578A7">
        <w:t xml:space="preserve"> and its inefficiency</w:t>
      </w:r>
      <w:r w:rsidR="008148D0">
        <w:t xml:space="preserve"> </w:t>
      </w:r>
      <w:r w:rsidR="00071002">
        <w:t>with many proposing ways forward</w:t>
      </w:r>
      <w:r w:rsidR="007B498B">
        <w:t xml:space="preserve"> </w:t>
      </w:r>
      <w:r w:rsidR="007B498B" w:rsidRPr="00860196">
        <w:t>(</w:t>
      </w:r>
      <w:r w:rsidR="00F61365" w:rsidRPr="007B498B">
        <w:t>Bennett, 2010</w:t>
      </w:r>
      <w:r w:rsidR="00F61365">
        <w:t xml:space="preserve">; </w:t>
      </w:r>
      <w:r w:rsidR="007B498B" w:rsidRPr="007B498B">
        <w:t>Bennett, 2011</w:t>
      </w:r>
      <w:r w:rsidR="007B498B">
        <w:t xml:space="preserve">; </w:t>
      </w:r>
      <w:r w:rsidR="00F37D2C" w:rsidRPr="00860196">
        <w:t>Christodoulou, 2016</w:t>
      </w:r>
      <w:r w:rsidR="00F37D2C">
        <w:t xml:space="preserve">; Fletcher-Wood, 2018; </w:t>
      </w:r>
      <w:r w:rsidR="007B498B" w:rsidRPr="007B498B">
        <w:t xml:space="preserve">Yu </w:t>
      </w:r>
      <w:r w:rsidR="00680D71">
        <w:t>&amp;</w:t>
      </w:r>
      <w:r w:rsidR="007B498B" w:rsidRPr="007B498B">
        <w:t xml:space="preserve"> Li, 2014)</w:t>
      </w:r>
      <w:r w:rsidR="00071002">
        <w:t xml:space="preserve">. Yu and Li (2014) argue that the term </w:t>
      </w:r>
      <w:r w:rsidR="00071002" w:rsidRPr="00D578A7">
        <w:rPr>
          <w:i/>
        </w:rPr>
        <w:t>formative assessment</w:t>
      </w:r>
      <w:r w:rsidR="0038318A">
        <w:t xml:space="preserve"> </w:t>
      </w:r>
      <w:r w:rsidR="00D33D87">
        <w:t xml:space="preserve">has </w:t>
      </w:r>
      <w:r w:rsidR="00F302FC">
        <w:t xml:space="preserve">wrongfully </w:t>
      </w:r>
      <w:r w:rsidR="00D33D87">
        <w:t xml:space="preserve">evolved to </w:t>
      </w:r>
      <w:r w:rsidR="0038318A">
        <w:t xml:space="preserve">serve as the assessment medium for </w:t>
      </w:r>
      <w:r w:rsidR="00513B15">
        <w:t>enabling to pose</w:t>
      </w:r>
      <w:r w:rsidR="0038318A">
        <w:t xml:space="preserve"> extended response tasks</w:t>
      </w:r>
      <w:r w:rsidR="00F302FC">
        <w:t xml:space="preserve">. They also make a strong claim for the </w:t>
      </w:r>
      <w:r w:rsidR="00071002">
        <w:t>confusion and misinterpretation</w:t>
      </w:r>
      <w:r w:rsidR="00F302FC">
        <w:t xml:space="preserve"> that surround </w:t>
      </w:r>
      <w:r w:rsidR="00480908">
        <w:t>how to formatively assess</w:t>
      </w:r>
      <w:r w:rsidR="0038318A">
        <w:t xml:space="preserve"> (Yu </w:t>
      </w:r>
      <w:r w:rsidR="00B27AEF">
        <w:t xml:space="preserve">&amp; </w:t>
      </w:r>
      <w:r w:rsidR="0038318A">
        <w:t>Li, 2014). M</w:t>
      </w:r>
      <w:r w:rsidR="00071002">
        <w:t xml:space="preserve">any interviewed practitioners regarded formative assessment to be a separate notion from teaching itself (Yu </w:t>
      </w:r>
      <w:r w:rsidR="00B27AEF">
        <w:t xml:space="preserve">&amp; </w:t>
      </w:r>
      <w:r w:rsidR="00071002">
        <w:t>Li, 2014).</w:t>
      </w:r>
      <w:r w:rsidR="00707E01">
        <w:t xml:space="preserve"> </w:t>
      </w:r>
      <w:r w:rsidR="000407EB">
        <w:t>Alarmingly</w:t>
      </w:r>
      <w:r w:rsidR="00707E01">
        <w:t>, this distinction made between the notions of teaching and formatively assessing is one of concern. In its definition,</w:t>
      </w:r>
      <w:r w:rsidR="007A36B7">
        <w:t xml:space="preserve"> </w:t>
      </w:r>
      <w:r w:rsidR="00707E01" w:rsidRPr="007A36B7">
        <w:rPr>
          <w:i/>
        </w:rPr>
        <w:t>formative assessment</w:t>
      </w:r>
      <w:r w:rsidR="00707E01">
        <w:t xml:space="preserve"> is the process within lessons to identify learner attainment through, for example, </w:t>
      </w:r>
      <w:r w:rsidR="00D33D87">
        <w:t xml:space="preserve">responsive </w:t>
      </w:r>
      <w:r w:rsidR="00707E01">
        <w:t>questioning</w:t>
      </w:r>
      <w:r w:rsidR="004854B7">
        <w:t xml:space="preserve"> (Yu &amp; Li, 2014)</w:t>
      </w:r>
      <w:r w:rsidR="00707E01">
        <w:t xml:space="preserve">. The goal of this process is not to make </w:t>
      </w:r>
      <w:r w:rsidR="000A088F">
        <w:t>final judgements</w:t>
      </w:r>
      <w:r w:rsidR="00707E01">
        <w:t xml:space="preserve"> on learner attainment but to enrich and enhance the pupils’ </w:t>
      </w:r>
      <w:r w:rsidR="000A088F">
        <w:t>attainment</w:t>
      </w:r>
      <w:r w:rsidR="00707E01">
        <w:t xml:space="preserve"> by </w:t>
      </w:r>
      <w:r w:rsidR="000A088F">
        <w:t xml:space="preserve">responding to pupil learning at the time of learning </w:t>
      </w:r>
      <w:r w:rsidR="000A088F" w:rsidRPr="000A088F">
        <w:t xml:space="preserve">(Torrance </w:t>
      </w:r>
      <w:r w:rsidR="00B27AEF">
        <w:t>&amp;</w:t>
      </w:r>
      <w:r w:rsidR="000A088F" w:rsidRPr="000A088F">
        <w:t xml:space="preserve"> Pryor, 2001)</w:t>
      </w:r>
      <w:r w:rsidR="000A088F">
        <w:t>.</w:t>
      </w:r>
      <w:r w:rsidR="008A32A8">
        <w:t xml:space="preserve"> F</w:t>
      </w:r>
      <w:r w:rsidR="00FE345F">
        <w:t xml:space="preserve">ormative assessment in its definition should be an on-going tool for assessing </w:t>
      </w:r>
      <w:r w:rsidR="003D5D14">
        <w:t xml:space="preserve">learning in lessons, not </w:t>
      </w:r>
      <w:r w:rsidR="003D5D14">
        <w:lastRenderedPageBreak/>
        <w:t xml:space="preserve">in isolation, but in conjunction </w:t>
      </w:r>
      <w:r w:rsidR="00FC3063">
        <w:t>and during</w:t>
      </w:r>
      <w:r w:rsidR="00D15439">
        <w:t xml:space="preserve"> the</w:t>
      </w:r>
      <w:r w:rsidR="007D6656">
        <w:t xml:space="preserve"> delivery of the</w:t>
      </w:r>
      <w:r w:rsidR="00D15439">
        <w:t xml:space="preserve"> learning content </w:t>
      </w:r>
      <w:r w:rsidR="003D5D14">
        <w:t xml:space="preserve">(Yu </w:t>
      </w:r>
      <w:r w:rsidR="000F638E">
        <w:t xml:space="preserve">&amp; </w:t>
      </w:r>
      <w:r w:rsidR="003D5D14">
        <w:t>Li, 2014).</w:t>
      </w:r>
      <w:r w:rsidR="00D15439">
        <w:t xml:space="preserve"> The </w:t>
      </w:r>
      <w:r w:rsidR="00233582">
        <w:t>dichotom</w:t>
      </w:r>
      <w:r w:rsidR="005A7ADC">
        <w:t xml:space="preserve">ous relationship between </w:t>
      </w:r>
      <w:r w:rsidR="00233582">
        <w:t xml:space="preserve">the </w:t>
      </w:r>
      <w:r w:rsidR="00D15439">
        <w:t xml:space="preserve">definition of formative assessment and the </w:t>
      </w:r>
      <w:r w:rsidR="002571F7">
        <w:t xml:space="preserve">exam-like </w:t>
      </w:r>
      <w:r w:rsidR="00D15439">
        <w:t>environment created by setting an extended response task</w:t>
      </w:r>
      <w:r w:rsidR="00AA7726">
        <w:t>s</w:t>
      </w:r>
      <w:r w:rsidR="00D15439">
        <w:t xml:space="preserve"> </w:t>
      </w:r>
      <w:r w:rsidR="00233582">
        <w:t>have long solicited attention</w:t>
      </w:r>
      <w:r w:rsidR="00690EF7">
        <w:t xml:space="preserve"> </w:t>
      </w:r>
      <w:r w:rsidR="00FA44B3" w:rsidRPr="00720480">
        <w:t>(Christodoulou, 201</w:t>
      </w:r>
      <w:r w:rsidR="00FA44B3">
        <w:t xml:space="preserve">6.) </w:t>
      </w:r>
    </w:p>
    <w:p w14:paraId="521B07E8" w14:textId="34CD528A" w:rsidR="00B12172" w:rsidRDefault="00FA44B3" w:rsidP="00B12172">
      <w:pPr>
        <w:spacing w:line="480" w:lineRule="auto"/>
        <w:ind w:firstLine="360"/>
      </w:pPr>
      <w:proofErr w:type="spellStart"/>
      <w:r>
        <w:t>Christodolou</w:t>
      </w:r>
      <w:proofErr w:type="spellEnd"/>
      <w:r>
        <w:t xml:space="preserve"> (2016) exemplifies this point with a lesson on teaching the apostrophe uses to KS4 pupils. For </w:t>
      </w:r>
      <w:r w:rsidR="00B12172">
        <w:t xml:space="preserve">formative </w:t>
      </w:r>
      <w:r>
        <w:t>assessment purposes, the class teacher sets an extended writing task</w:t>
      </w:r>
      <w:r w:rsidR="00570FA1">
        <w:t xml:space="preserve"> to write a persuasive </w:t>
      </w:r>
      <w:r w:rsidR="00B12172">
        <w:t>lette</w:t>
      </w:r>
      <w:r w:rsidR="00570FA1">
        <w:t>r which would demonstrate the</w:t>
      </w:r>
      <w:r>
        <w:t xml:space="preserve"> pupils</w:t>
      </w:r>
      <w:r w:rsidR="00570FA1">
        <w:t>’</w:t>
      </w:r>
      <w:r>
        <w:t xml:space="preserve"> use </w:t>
      </w:r>
      <w:r w:rsidR="002575E3">
        <w:t xml:space="preserve">of </w:t>
      </w:r>
      <w:r>
        <w:t xml:space="preserve">the apostrophe in context </w:t>
      </w:r>
      <w:r w:rsidRPr="00860196">
        <w:t>(Christodoulou, 2016)</w:t>
      </w:r>
      <w:r>
        <w:t xml:space="preserve">. She argues that </w:t>
      </w:r>
      <w:r w:rsidR="00B12172">
        <w:t>such a task</w:t>
      </w:r>
      <w:r>
        <w:t xml:space="preserve"> which involves the application of many more skills than just the correct use</w:t>
      </w:r>
      <w:r w:rsidR="00800E39">
        <w:t>s</w:t>
      </w:r>
      <w:r>
        <w:t xml:space="preserve"> of apostrophes to be an invalid representation of the pupils’ ability</w:t>
      </w:r>
      <w:r w:rsidR="00800E39">
        <w:t xml:space="preserve"> of </w:t>
      </w:r>
      <w:r w:rsidR="00C12A92">
        <w:t xml:space="preserve">correct </w:t>
      </w:r>
      <w:r w:rsidR="00800E39">
        <w:t>apostrophe use</w:t>
      </w:r>
      <w:r w:rsidR="0047111D">
        <w:t>s</w:t>
      </w:r>
      <w:r>
        <w:t xml:space="preserve"> </w:t>
      </w:r>
      <w:r w:rsidRPr="00860196">
        <w:t>(Christodoulou, 2016)</w:t>
      </w:r>
      <w:r>
        <w:t>.</w:t>
      </w:r>
      <w:r w:rsidR="00C12A92">
        <w:t xml:space="preserve"> Arguably, the task would</w:t>
      </w:r>
      <w:r w:rsidR="00367B47">
        <w:t xml:space="preserve"> </w:t>
      </w:r>
      <w:r w:rsidR="00C12A92">
        <w:t xml:space="preserve">require pupils to use the apostrophe, although in amongst other ‘mechanics of writing’ </w:t>
      </w:r>
      <w:r w:rsidR="00C12A92" w:rsidRPr="00860196">
        <w:t>(Christodoulou, 2016</w:t>
      </w:r>
      <w:r w:rsidR="00C12A92">
        <w:t>, p. 71</w:t>
      </w:r>
      <w:r w:rsidR="00C12A92" w:rsidRPr="00860196">
        <w:t>)</w:t>
      </w:r>
      <w:r w:rsidR="00C12A92">
        <w:t>. I</w:t>
      </w:r>
      <w:r w:rsidR="00F40C54">
        <w:t xml:space="preserve">f the pupils are given a success criteria for a truly effective </w:t>
      </w:r>
      <w:r w:rsidR="00570FA1">
        <w:t>persuasive letter</w:t>
      </w:r>
      <w:r w:rsidR="009407FB">
        <w:t xml:space="preserve">; </w:t>
      </w:r>
      <w:r w:rsidR="00756901">
        <w:t>the</w:t>
      </w:r>
      <w:r w:rsidR="00F40C54">
        <w:t xml:space="preserve"> task would also expect pupils to think</w:t>
      </w:r>
      <w:r w:rsidR="00B674F6">
        <w:t xml:space="preserve"> of persuasive techniques, </w:t>
      </w:r>
      <w:r w:rsidR="004911FC">
        <w:t xml:space="preserve">variation within their </w:t>
      </w:r>
      <w:r w:rsidR="00B674F6">
        <w:t>sentence structures and spelling, punctuation and grammar to name a few.</w:t>
      </w:r>
      <w:r w:rsidR="002346A7">
        <w:t xml:space="preserve"> True to Yu and Li’s (2014) finding, such a task </w:t>
      </w:r>
      <w:r w:rsidR="00163CB7">
        <w:t>does indeed</w:t>
      </w:r>
      <w:r w:rsidR="002346A7">
        <w:t xml:space="preserve"> segregate formative assessment from teaching due to</w:t>
      </w:r>
      <w:r w:rsidR="00A25186">
        <w:t xml:space="preserve"> the misunderstandings surrounding it</w:t>
      </w:r>
      <w:r w:rsidR="007237F5">
        <w:t>, as</w:t>
      </w:r>
      <w:r w:rsidR="005410F4">
        <w:t xml:space="preserve"> silent, exam-like conditions have become synonymous with</w:t>
      </w:r>
      <w:r w:rsidR="007237F5">
        <w:t xml:space="preserve"> </w:t>
      </w:r>
      <w:r w:rsidR="005410F4">
        <w:t>a productive environment for extended writing tasks</w:t>
      </w:r>
      <w:r w:rsidR="00540F65">
        <w:t xml:space="preserve"> which </w:t>
      </w:r>
      <w:r w:rsidR="00367B47">
        <w:t>by nature</w:t>
      </w:r>
      <w:r w:rsidR="00540F65">
        <w:t xml:space="preserve"> limit teacher involvement.</w:t>
      </w:r>
      <w:r w:rsidR="005410F4">
        <w:t xml:space="preserve"> </w:t>
      </w:r>
      <w:r>
        <w:t xml:space="preserve">Like the task above, </w:t>
      </w:r>
      <w:r w:rsidR="00371D4A">
        <w:t xml:space="preserve">according to </w:t>
      </w:r>
      <w:proofErr w:type="spellStart"/>
      <w:r w:rsidR="00371D4A">
        <w:t>Christodolou’s</w:t>
      </w:r>
      <w:proofErr w:type="spellEnd"/>
      <w:r w:rsidR="00371D4A">
        <w:t xml:space="preserve"> (2016) </w:t>
      </w:r>
      <w:r w:rsidR="007935AA">
        <w:t>detailed examination</w:t>
      </w:r>
      <w:r w:rsidR="00371D4A">
        <w:t xml:space="preserve"> of </w:t>
      </w:r>
      <w:r w:rsidR="00371D4A">
        <w:rPr>
          <w:i/>
        </w:rPr>
        <w:t>Ofsted</w:t>
      </w:r>
      <w:r w:rsidR="00371D4A">
        <w:t xml:space="preserve"> reports, </w:t>
      </w:r>
      <w:r w:rsidR="00AA563C" w:rsidRPr="00AA563C">
        <w:t>228</w:t>
      </w:r>
      <w:r w:rsidR="00371D4A">
        <w:t xml:space="preserve"> lesson observations praised such misinterpretations of the notion of a formative assessment</w:t>
      </w:r>
      <w:r w:rsidR="00AA563C">
        <w:t xml:space="preserve"> (p.32)</w:t>
      </w:r>
      <w:r w:rsidR="00371D4A">
        <w:t xml:space="preserve">. </w:t>
      </w:r>
      <w:r w:rsidR="00E3375F">
        <w:t>Such</w:t>
      </w:r>
      <w:r>
        <w:t xml:space="preserve"> </w:t>
      </w:r>
      <w:r w:rsidR="00E336ED">
        <w:t xml:space="preserve">mis(s)-tasks of </w:t>
      </w:r>
      <w:r>
        <w:t>formative assessment do not solely require pupils</w:t>
      </w:r>
      <w:r w:rsidR="007435C9">
        <w:t>’</w:t>
      </w:r>
      <w:r>
        <w:t xml:space="preserve"> access and use </w:t>
      </w:r>
      <w:r w:rsidR="007435C9">
        <w:t xml:space="preserve">of </w:t>
      </w:r>
      <w:r>
        <w:t>the knowledge that they have been studying most recently from their long-term memories</w:t>
      </w:r>
      <w:r w:rsidR="00F66B6D">
        <w:t xml:space="preserve"> (</w:t>
      </w:r>
      <w:proofErr w:type="spellStart"/>
      <w:r w:rsidR="00F66B6D">
        <w:t>Christodolou</w:t>
      </w:r>
      <w:proofErr w:type="spellEnd"/>
      <w:r w:rsidR="00F66B6D">
        <w:t>, 2016).</w:t>
      </w:r>
      <w:r w:rsidR="00FB2873">
        <w:t xml:space="preserve"> The</w:t>
      </w:r>
      <w:r w:rsidR="00324F34">
        <w:t xml:space="preserve">se activities </w:t>
      </w:r>
      <w:r w:rsidR="00FB2873">
        <w:t xml:space="preserve">will </w:t>
      </w:r>
      <w:r w:rsidR="00106F41">
        <w:t xml:space="preserve">also </w:t>
      </w:r>
      <w:r w:rsidR="00FB2873">
        <w:t xml:space="preserve">rely on pupils accessing many other schemas, or as </w:t>
      </w:r>
      <w:r w:rsidR="00FB2873" w:rsidRPr="00860196">
        <w:t>Christodoulou</w:t>
      </w:r>
      <w:r w:rsidR="00FB2873">
        <w:t xml:space="preserve"> </w:t>
      </w:r>
      <w:r w:rsidR="00106F41">
        <w:t xml:space="preserve">(2016) </w:t>
      </w:r>
      <w:r w:rsidR="00FB2873">
        <w:t>refers to them,</w:t>
      </w:r>
      <w:r w:rsidR="00B12172">
        <w:t xml:space="preserve"> </w:t>
      </w:r>
      <w:r w:rsidR="00FB2873">
        <w:t>‘mental models’ (p. 35</w:t>
      </w:r>
      <w:r w:rsidR="00FB2873" w:rsidRPr="00860196">
        <w:t>)</w:t>
      </w:r>
      <w:r w:rsidR="00FB2873">
        <w:t>.</w:t>
      </w:r>
      <w:r w:rsidR="00B12172">
        <w:t xml:space="preserve"> The </w:t>
      </w:r>
      <w:r w:rsidR="007945A2">
        <w:t>accessibility of schemas</w:t>
      </w:r>
      <w:r w:rsidR="00B12172">
        <w:t xml:space="preserve"> itself may pose a challenge. </w:t>
      </w:r>
      <w:r>
        <w:t>The formative assessment task</w:t>
      </w:r>
      <w:r w:rsidR="00B12172">
        <w:t xml:space="preserve">, in this case the </w:t>
      </w:r>
      <w:r w:rsidR="00812603">
        <w:t xml:space="preserve">uses of </w:t>
      </w:r>
      <w:r w:rsidR="00812603">
        <w:lastRenderedPageBreak/>
        <w:t>apostrophes</w:t>
      </w:r>
      <w:r w:rsidR="00B12172">
        <w:t>,</w:t>
      </w:r>
      <w:r>
        <w:t xml:space="preserve"> will rely upon the pupil having stored</w:t>
      </w:r>
      <w:r w:rsidR="00B406B0">
        <w:t xml:space="preserve"> the schema</w:t>
      </w:r>
      <w:r>
        <w:t xml:space="preserve"> not only </w:t>
      </w:r>
      <w:r w:rsidR="00B406B0">
        <w:t xml:space="preserve">for </w:t>
      </w:r>
      <w:r w:rsidR="00B12172">
        <w:t xml:space="preserve">the correct </w:t>
      </w:r>
      <w:r w:rsidR="00B406B0">
        <w:t xml:space="preserve">way in which it is used for possession and contraction but </w:t>
      </w:r>
      <w:r w:rsidR="00AA563C">
        <w:t>for other</w:t>
      </w:r>
      <w:r w:rsidR="00B406B0">
        <w:t xml:space="preserve"> engrams</w:t>
      </w:r>
      <w:r w:rsidR="00AA563C">
        <w:t xml:space="preserve"> or long-term memory traces</w:t>
      </w:r>
      <w:r w:rsidR="00B406B0">
        <w:t>, too</w:t>
      </w:r>
      <w:r w:rsidR="00AA563C">
        <w:t xml:space="preserve"> (</w:t>
      </w:r>
      <w:r w:rsidR="00AA563C" w:rsidRPr="00AA563C">
        <w:t>Bramham</w:t>
      </w:r>
      <w:r w:rsidR="00AA563C">
        <w:t xml:space="preserve"> &amp;</w:t>
      </w:r>
      <w:r w:rsidR="00AA563C" w:rsidRPr="00AA563C">
        <w:t xml:space="preserve"> </w:t>
      </w:r>
      <w:proofErr w:type="spellStart"/>
      <w:r w:rsidR="00AA563C" w:rsidRPr="00AA563C">
        <w:t>Messaoudi</w:t>
      </w:r>
      <w:proofErr w:type="spellEnd"/>
      <w:r w:rsidR="00AA563C" w:rsidRPr="00AA563C">
        <w:t>,</w:t>
      </w:r>
      <w:r w:rsidR="00AA563C">
        <w:t xml:space="preserve"> 2005</w:t>
      </w:r>
      <w:r w:rsidR="00B406B0">
        <w:t xml:space="preserve">). </w:t>
      </w:r>
      <w:r w:rsidR="00B91AD4">
        <w:t xml:space="preserve">Almost always will the formative assessment task require the learners to access other, often irrelevant to the topic at hand </w:t>
      </w:r>
      <w:r w:rsidR="00ED095D">
        <w:t>‘mental models’ (</w:t>
      </w:r>
      <w:proofErr w:type="spellStart"/>
      <w:r w:rsidR="00ED095D">
        <w:t>Christodolou</w:t>
      </w:r>
      <w:proofErr w:type="spellEnd"/>
      <w:r w:rsidR="00ED095D">
        <w:t>, 2016).</w:t>
      </w:r>
    </w:p>
    <w:p w14:paraId="4D22F0F8" w14:textId="6442126E" w:rsidR="00F61365" w:rsidRDefault="00396CB1" w:rsidP="00F61365">
      <w:pPr>
        <w:spacing w:line="480" w:lineRule="auto"/>
        <w:ind w:firstLine="360"/>
      </w:pPr>
      <w:proofErr w:type="spellStart"/>
      <w:r>
        <w:t>Wiliam</w:t>
      </w:r>
      <w:proofErr w:type="spellEnd"/>
      <w:r>
        <w:t xml:space="preserve"> (2011) argues that the alteration in the use of formative assessment </w:t>
      </w:r>
      <w:r w:rsidR="008826A6">
        <w:t xml:space="preserve">stems from the high-accountability culture imposed upon schools by local authorities and in turn by UK governments. He draws on the intrinsic nature of the word </w:t>
      </w:r>
      <w:r w:rsidR="008826A6" w:rsidRPr="00BB1FE3">
        <w:rPr>
          <w:i/>
        </w:rPr>
        <w:t>assessment</w:t>
      </w:r>
      <w:r w:rsidR="008826A6">
        <w:t xml:space="preserve"> </w:t>
      </w:r>
      <w:r w:rsidR="000554CC">
        <w:t>and its allusions</w:t>
      </w:r>
      <w:r w:rsidR="001E73B8">
        <w:t>,</w:t>
      </w:r>
      <w:r w:rsidR="000554CC">
        <w:t xml:space="preserve"> </w:t>
      </w:r>
      <w:r w:rsidR="008826A6">
        <w:t xml:space="preserve">which he </w:t>
      </w:r>
      <w:r w:rsidR="00BB1FE3">
        <w:t>argues</w:t>
      </w:r>
      <w:r w:rsidR="008826A6">
        <w:t xml:space="preserve"> to have been </w:t>
      </w:r>
      <w:r w:rsidR="00BB1FE3">
        <w:t>implemented for ‘low-stake diagnostics’ as opposed to for ‘high-stakes monitoring and tracking’ of schools (as cited by</w:t>
      </w:r>
      <w:r w:rsidR="000554CC">
        <w:t xml:space="preserve"> </w:t>
      </w:r>
      <w:proofErr w:type="spellStart"/>
      <w:r w:rsidR="00BB1FE3">
        <w:t>Christodolou</w:t>
      </w:r>
      <w:proofErr w:type="spellEnd"/>
      <w:r w:rsidR="00BB1FE3">
        <w:t>, 2016</w:t>
      </w:r>
      <w:r w:rsidR="000554CC">
        <w:t>, p.21</w:t>
      </w:r>
      <w:r w:rsidR="00BB1FE3">
        <w:t xml:space="preserve">). Indeed, with the latter materialising (as cited by </w:t>
      </w:r>
      <w:proofErr w:type="spellStart"/>
      <w:r w:rsidR="00BB1FE3">
        <w:t>Christodolou</w:t>
      </w:r>
      <w:proofErr w:type="spellEnd"/>
      <w:r w:rsidR="00BB1FE3">
        <w:t xml:space="preserve">, 2016). </w:t>
      </w:r>
      <w:r w:rsidR="0042166B">
        <w:t xml:space="preserve">The imposition of the high-accountability culture </w:t>
      </w:r>
      <w:r w:rsidR="00334654">
        <w:t xml:space="preserve">transformed the </w:t>
      </w:r>
      <w:r w:rsidR="00334654">
        <w:rPr>
          <w:i/>
        </w:rPr>
        <w:t>Assessment for Learning</w:t>
      </w:r>
      <w:r w:rsidR="000554CC">
        <w:rPr>
          <w:i/>
        </w:rPr>
        <w:t xml:space="preserve"> </w:t>
      </w:r>
      <w:r w:rsidR="000554CC" w:rsidRPr="000554CC">
        <w:t>(</w:t>
      </w:r>
      <w:proofErr w:type="spellStart"/>
      <w:r w:rsidR="000554CC" w:rsidRPr="000554CC">
        <w:t>AfL</w:t>
      </w:r>
      <w:proofErr w:type="spellEnd"/>
      <w:r w:rsidR="000554CC" w:rsidRPr="000554CC">
        <w:t>)</w:t>
      </w:r>
      <w:r w:rsidR="00CC618A">
        <w:t xml:space="preserve"> from its definitional meaning</w:t>
      </w:r>
      <w:r w:rsidR="00334654">
        <w:rPr>
          <w:i/>
        </w:rPr>
        <w:t xml:space="preserve"> </w:t>
      </w:r>
      <w:r w:rsidR="00334654">
        <w:t xml:space="preserve">to </w:t>
      </w:r>
      <w:r w:rsidR="00334654">
        <w:rPr>
          <w:i/>
        </w:rPr>
        <w:t>Assessment of Learning</w:t>
      </w:r>
      <w:r w:rsidR="00CC618A">
        <w:t xml:space="preserve"> (as cited by </w:t>
      </w:r>
      <w:proofErr w:type="spellStart"/>
      <w:r w:rsidR="00CC618A">
        <w:t>Christodolou</w:t>
      </w:r>
      <w:proofErr w:type="spellEnd"/>
      <w:r w:rsidR="00CC618A">
        <w:t>, 2016).</w:t>
      </w:r>
      <w:r w:rsidR="000554CC">
        <w:t xml:space="preserve"> </w:t>
      </w:r>
      <w:r w:rsidR="001E73B8">
        <w:t>This mean</w:t>
      </w:r>
      <w:r w:rsidR="00D8135A">
        <w:t>s</w:t>
      </w:r>
      <w:r w:rsidR="001E73B8">
        <w:t xml:space="preserve"> that </w:t>
      </w:r>
      <w:r w:rsidR="0091438E">
        <w:t>the notion of</w:t>
      </w:r>
      <w:r w:rsidR="001E73B8">
        <w:t xml:space="preserve"> assessment for formative purposes began being utilised through </w:t>
      </w:r>
      <w:r w:rsidR="00D8135A">
        <w:t>summative means, for example, the need</w:t>
      </w:r>
      <w:r w:rsidR="0091438E">
        <w:t xml:space="preserve"> to </w:t>
      </w:r>
      <w:r w:rsidR="009A1A0B">
        <w:t>mirror</w:t>
      </w:r>
      <w:r w:rsidR="00D56CC1">
        <w:t xml:space="preserve"> the</w:t>
      </w:r>
      <w:r w:rsidR="0091438E">
        <w:t xml:space="preserve"> General Certificate for Education (GCSE) exam-like questions</w:t>
      </w:r>
      <w:r w:rsidR="00D56CC1">
        <w:t xml:space="preserve"> which </w:t>
      </w:r>
      <w:r w:rsidR="009A1A0B">
        <w:t>call for extended responses</w:t>
      </w:r>
      <w:r w:rsidR="00C75795">
        <w:t>, as exemplified above</w:t>
      </w:r>
      <w:r w:rsidR="00863512">
        <w:t xml:space="preserve">. </w:t>
      </w:r>
      <w:r w:rsidR="00594D2F">
        <w:t xml:space="preserve">Ironically, </w:t>
      </w:r>
      <w:r w:rsidR="009A6210">
        <w:t xml:space="preserve">as </w:t>
      </w:r>
      <w:r w:rsidR="00594D2F">
        <w:t>in</w:t>
      </w:r>
      <w:r w:rsidR="000554CC">
        <w:t xml:space="preserve"> extended response subjects</w:t>
      </w:r>
      <w:r w:rsidR="003617E9">
        <w:t xml:space="preserve">, </w:t>
      </w:r>
      <w:r w:rsidR="000554CC">
        <w:t xml:space="preserve">where </w:t>
      </w:r>
      <w:r w:rsidR="00594D2F">
        <w:t xml:space="preserve">the distinction in ability is very often made </w:t>
      </w:r>
      <w:r w:rsidR="003617E9">
        <w:t>according to</w:t>
      </w:r>
      <w:r w:rsidR="00594D2F">
        <w:t xml:space="preserve"> pupils’ </w:t>
      </w:r>
      <w:r w:rsidR="00256BD4">
        <w:t>capabilities</w:t>
      </w:r>
      <w:r w:rsidR="003617E9">
        <w:t xml:space="preserve"> to </w:t>
      </w:r>
      <w:r w:rsidR="00256BD4">
        <w:t>provide</w:t>
      </w:r>
      <w:r w:rsidR="003617E9">
        <w:t xml:space="preserve"> </w:t>
      </w:r>
      <w:r w:rsidR="00C92009">
        <w:t xml:space="preserve">or include </w:t>
      </w:r>
      <w:r w:rsidR="003617E9">
        <w:t xml:space="preserve">word and phrase-level </w:t>
      </w:r>
      <w:r w:rsidR="00950817">
        <w:t xml:space="preserve">analytical </w:t>
      </w:r>
      <w:r w:rsidR="003617E9">
        <w:t>inferences</w:t>
      </w:r>
      <w:r w:rsidR="0091438E">
        <w:t xml:space="preserve">, </w:t>
      </w:r>
      <w:r w:rsidR="003617E9">
        <w:t xml:space="preserve">then according to </w:t>
      </w:r>
      <w:proofErr w:type="spellStart"/>
      <w:r w:rsidR="003617E9">
        <w:t>Wiliam</w:t>
      </w:r>
      <w:proofErr w:type="spellEnd"/>
      <w:r w:rsidR="003617E9">
        <w:t xml:space="preserve"> (2011), the UK government</w:t>
      </w:r>
      <w:r w:rsidR="00B820F8">
        <w:t>s</w:t>
      </w:r>
      <w:r w:rsidR="003617E9">
        <w:t xml:space="preserve"> </w:t>
      </w:r>
      <w:r w:rsidR="00B820F8">
        <w:t>themselves</w:t>
      </w:r>
      <w:r w:rsidR="003617E9">
        <w:t xml:space="preserve"> failed to </w:t>
      </w:r>
      <w:r w:rsidR="003F1B13">
        <w:t xml:space="preserve">make a logical deduction from the phrase </w:t>
      </w:r>
      <w:r w:rsidR="003F1B13" w:rsidRPr="005B5D0E">
        <w:rPr>
          <w:i/>
        </w:rPr>
        <w:t>Assessment for Learning.</w:t>
      </w:r>
      <w:r w:rsidR="00863512">
        <w:t xml:space="preserve"> </w:t>
      </w:r>
      <w:r w:rsidR="00C25094">
        <w:t>In hindsight,</w:t>
      </w:r>
      <w:r w:rsidR="00863512">
        <w:t xml:space="preserve"> </w:t>
      </w:r>
      <w:proofErr w:type="spellStart"/>
      <w:r w:rsidR="00863512">
        <w:t>Wiliam</w:t>
      </w:r>
      <w:proofErr w:type="spellEnd"/>
      <w:r w:rsidR="00863512">
        <w:t xml:space="preserve"> (2011) also </w:t>
      </w:r>
      <w:proofErr w:type="spellStart"/>
      <w:r w:rsidR="00863512">
        <w:t>proponed</w:t>
      </w:r>
      <w:proofErr w:type="spellEnd"/>
      <w:r w:rsidR="00863512">
        <w:t xml:space="preserve"> he had called </w:t>
      </w:r>
      <w:proofErr w:type="spellStart"/>
      <w:r w:rsidR="00863512">
        <w:t>AfL</w:t>
      </w:r>
      <w:proofErr w:type="spellEnd"/>
      <w:r w:rsidR="00863512">
        <w:t xml:space="preserve"> ‘responsive teaching’</w:t>
      </w:r>
      <w:r w:rsidR="00E5085C">
        <w:t xml:space="preserve"> which would have </w:t>
      </w:r>
      <w:r w:rsidR="00BB5BB3">
        <w:t>pre-empted</w:t>
      </w:r>
      <w:r w:rsidR="00E5085C">
        <w:t xml:space="preserve"> any </w:t>
      </w:r>
      <w:r w:rsidR="00BB5BB3">
        <w:t>future misconceptions</w:t>
      </w:r>
      <w:r w:rsidR="00E5085C">
        <w:t xml:space="preserve"> surrounding the term (as cited by </w:t>
      </w:r>
      <w:proofErr w:type="spellStart"/>
      <w:r w:rsidR="00E5085C">
        <w:t>Christodolou</w:t>
      </w:r>
      <w:proofErr w:type="spellEnd"/>
      <w:r w:rsidR="00E5085C">
        <w:t xml:space="preserve">, 2016, p.21). </w:t>
      </w:r>
      <w:r w:rsidR="00E301ED">
        <w:t xml:space="preserve">Fletcher-Wood (2018) published ‘Responsive Teaching’ </w:t>
      </w:r>
      <w:r w:rsidR="00525DF4">
        <w:t>and within it</w:t>
      </w:r>
      <w:r w:rsidR="00E301ED">
        <w:t xml:space="preserve"> clarif</w:t>
      </w:r>
      <w:r w:rsidR="00525DF4">
        <w:t>ies</w:t>
      </w:r>
      <w:r w:rsidR="00E301ED">
        <w:t xml:space="preserve"> </w:t>
      </w:r>
      <w:r w:rsidR="00525DF4">
        <w:t>some</w:t>
      </w:r>
      <w:r w:rsidR="00E5085C">
        <w:t xml:space="preserve"> misinterpretation</w:t>
      </w:r>
      <w:r w:rsidR="00BB5BB3">
        <w:t>s</w:t>
      </w:r>
      <w:r w:rsidR="00E301ED">
        <w:t xml:space="preserve"> </w:t>
      </w:r>
      <w:r w:rsidR="00525DF4">
        <w:t xml:space="preserve">by arguing for a need to plan for </w:t>
      </w:r>
      <w:r w:rsidR="00C92009">
        <w:t xml:space="preserve">a </w:t>
      </w:r>
      <w:r w:rsidR="00525DF4">
        <w:t>unit, as opposed to sequences of lessons and calls for more teacher flexibility.</w:t>
      </w:r>
      <w:r w:rsidR="00E301ED">
        <w:t xml:space="preserve"> </w:t>
      </w:r>
      <w:r w:rsidR="00C656DD">
        <w:t xml:space="preserve">Furthermore, the </w:t>
      </w:r>
      <w:r w:rsidR="00A2081B">
        <w:t xml:space="preserve">failings could be why Fletcher-Wood (2018) experienced </w:t>
      </w:r>
      <w:r w:rsidR="00C656DD">
        <w:lastRenderedPageBreak/>
        <w:t xml:space="preserve">his own understanding of the </w:t>
      </w:r>
      <w:proofErr w:type="spellStart"/>
      <w:r w:rsidR="00C656DD">
        <w:t>AfL</w:t>
      </w:r>
      <w:proofErr w:type="spellEnd"/>
      <w:r w:rsidR="00C656DD">
        <w:t xml:space="preserve"> </w:t>
      </w:r>
      <w:r w:rsidR="00A2081B">
        <w:t>t</w:t>
      </w:r>
      <w:r w:rsidR="00543B5C">
        <w:t>o hinder</w:t>
      </w:r>
      <w:r w:rsidR="004E0D5B">
        <w:t xml:space="preserve"> learning</w:t>
      </w:r>
      <w:r w:rsidR="00543B5C">
        <w:t>, as opposed to enrich</w:t>
      </w:r>
      <w:r w:rsidR="004E0D5B">
        <w:t xml:space="preserve"> it</w:t>
      </w:r>
      <w:r w:rsidR="00543B5C">
        <w:t>, as suggested by Torrance and Pryor (2001)</w:t>
      </w:r>
      <w:r w:rsidR="004E0D5B">
        <w:t>.</w:t>
      </w:r>
      <w:r w:rsidR="00525DF4">
        <w:t xml:space="preserve"> </w:t>
      </w:r>
      <w:proofErr w:type="spellStart"/>
      <w:r w:rsidR="009E341C">
        <w:t>Christodolou</w:t>
      </w:r>
      <w:proofErr w:type="spellEnd"/>
      <w:r w:rsidR="009E341C">
        <w:t xml:space="preserve"> (2016) suggests the potential lifeboat to lie within the field of cognitive psychology. She </w:t>
      </w:r>
      <w:r w:rsidR="00762F59">
        <w:t>suggests</w:t>
      </w:r>
      <w:r w:rsidR="009E341C">
        <w:t xml:space="preserve"> the above example </w:t>
      </w:r>
      <w:r w:rsidR="00762F59">
        <w:t>to overload</w:t>
      </w:r>
      <w:r w:rsidR="009E341C">
        <w:t xml:space="preserve"> the learner’s memory by </w:t>
      </w:r>
      <w:r w:rsidR="00762F59">
        <w:t>requiring them to access a knowledge base which is too broad (</w:t>
      </w:r>
      <w:proofErr w:type="spellStart"/>
      <w:r w:rsidR="00762F59">
        <w:t>Christodolou</w:t>
      </w:r>
      <w:proofErr w:type="spellEnd"/>
      <w:r w:rsidR="00762F59">
        <w:t xml:space="preserve"> 2016). The ‘generic skill model’, as </w:t>
      </w:r>
      <w:r w:rsidR="00783B62">
        <w:t xml:space="preserve">argued by </w:t>
      </w:r>
      <w:proofErr w:type="spellStart"/>
      <w:r w:rsidR="00783B62">
        <w:t>Christodolou</w:t>
      </w:r>
      <w:proofErr w:type="spellEnd"/>
      <w:r w:rsidR="00783B62">
        <w:t xml:space="preserve"> (2016) also prohibits the learners from consolidating the knowledge for the specific skill that was studied by prescribing </w:t>
      </w:r>
      <w:r w:rsidR="00990F7A">
        <w:t xml:space="preserve">the learners with </w:t>
      </w:r>
      <w:r w:rsidR="00783B62">
        <w:t>broad and complex activities</w:t>
      </w:r>
      <w:r w:rsidR="00990F7A">
        <w:t xml:space="preserve"> </w:t>
      </w:r>
      <w:r w:rsidR="003A5DE1">
        <w:t xml:space="preserve">with the illusion that ‘practising the final skill will improve the final skill’ (p. 39; p.43). Instead, she argues for the need to develop and assess domain specific knowledge through the ‘deliberate practice method’ which </w:t>
      </w:r>
      <w:r w:rsidR="005671AD">
        <w:t>evaluates</w:t>
      </w:r>
      <w:r w:rsidR="003A5DE1">
        <w:t xml:space="preserve"> the </w:t>
      </w:r>
      <w:r w:rsidR="00574063">
        <w:t xml:space="preserve">learning content in </w:t>
      </w:r>
      <w:r w:rsidR="005671AD">
        <w:t xml:space="preserve">the form of </w:t>
      </w:r>
      <w:r w:rsidR="00574063">
        <w:t>broken down particles (</w:t>
      </w:r>
      <w:proofErr w:type="spellStart"/>
      <w:r w:rsidR="00574063">
        <w:t>Christodolou</w:t>
      </w:r>
      <w:proofErr w:type="spellEnd"/>
      <w:r w:rsidR="00574063">
        <w:t>, 2016, p.33)</w:t>
      </w:r>
      <w:r w:rsidR="005671AD">
        <w:t>.</w:t>
      </w:r>
      <w:r w:rsidR="0008107A">
        <w:t xml:space="preserve"> Although</w:t>
      </w:r>
      <w:r w:rsidR="006565EB">
        <w:t xml:space="preserve"> this would largely eliminate the chances of a pupil experiencing cognitive overload, this would not necessarily ensure the pupil stays within the learning, or the struggle zone, where the knowledge acquisition is optimised</w:t>
      </w:r>
      <w:r w:rsidR="002E131F">
        <w:t xml:space="preserve"> (</w:t>
      </w:r>
      <w:proofErr w:type="spellStart"/>
      <w:r w:rsidR="002E131F" w:rsidRPr="006565EB">
        <w:t>Kozulin</w:t>
      </w:r>
      <w:proofErr w:type="spellEnd"/>
      <w:r w:rsidR="002E131F" w:rsidRPr="006565EB">
        <w:t xml:space="preserve">, </w:t>
      </w:r>
      <w:r w:rsidR="002E131F">
        <w:t>et al., 2003).</w:t>
      </w:r>
      <w:r w:rsidR="00F617BB">
        <w:t xml:space="preserve"> However, indeed pupil dependent, this is</w:t>
      </w:r>
      <w:r w:rsidR="007D5A9C">
        <w:t xml:space="preserve"> also</w:t>
      </w:r>
      <w:r w:rsidR="00F617BB">
        <w:t xml:space="preserve"> strongly suggestive of a number of learners finding themselves in the comfort zone re-accessing the same ‘mental models’ without </w:t>
      </w:r>
      <w:r w:rsidR="007D5A9C">
        <w:t xml:space="preserve">making </w:t>
      </w:r>
      <w:r w:rsidR="00423A53">
        <w:t xml:space="preserve">any </w:t>
      </w:r>
      <w:r w:rsidR="007D5A9C">
        <w:t>further progress</w:t>
      </w:r>
      <w:r w:rsidR="00A8626A">
        <w:t xml:space="preserve"> </w:t>
      </w:r>
      <w:r w:rsidR="00013F18">
        <w:t>(</w:t>
      </w:r>
      <w:proofErr w:type="spellStart"/>
      <w:r w:rsidR="00013F18">
        <w:t>Christodolou</w:t>
      </w:r>
      <w:proofErr w:type="spellEnd"/>
      <w:r w:rsidR="00013F18">
        <w:t>, 2016, p. 35</w:t>
      </w:r>
      <w:r w:rsidR="007D5A9C">
        <w:t xml:space="preserve">; </w:t>
      </w:r>
      <w:proofErr w:type="spellStart"/>
      <w:r w:rsidR="007D5A9C" w:rsidRPr="006565EB">
        <w:t>Kozulin</w:t>
      </w:r>
      <w:proofErr w:type="spellEnd"/>
      <w:r w:rsidR="007D5A9C" w:rsidRPr="006565EB">
        <w:t xml:space="preserve">, </w:t>
      </w:r>
      <w:r w:rsidR="007D5A9C">
        <w:t>et al., 2003</w:t>
      </w:r>
      <w:r w:rsidR="00013F18" w:rsidRPr="00860196">
        <w:t>)</w:t>
      </w:r>
      <w:r w:rsidR="00013F18">
        <w:t>.</w:t>
      </w:r>
      <w:r w:rsidR="00A8626A">
        <w:t xml:space="preserve"> This poses a</w:t>
      </w:r>
      <w:r w:rsidR="00423A53">
        <w:t xml:space="preserve">n inarguably intriguing </w:t>
      </w:r>
      <w:r w:rsidR="00A8626A">
        <w:t>question. When i</w:t>
      </w:r>
      <w:r w:rsidR="00FA2B1D">
        <w:t xml:space="preserve">s </w:t>
      </w:r>
      <w:r w:rsidR="00A8626A">
        <w:t xml:space="preserve">enough progress </w:t>
      </w:r>
      <w:r w:rsidR="00FA2B1D">
        <w:t>enough</w:t>
      </w:r>
      <w:r w:rsidR="00423A53">
        <w:t>?</w:t>
      </w:r>
    </w:p>
    <w:p w14:paraId="54743CC9" w14:textId="0A4CC84F" w:rsidR="00F37FB7" w:rsidRPr="00FA5FB0" w:rsidRDefault="009E341C" w:rsidP="00F37FB7">
      <w:pPr>
        <w:spacing w:line="480" w:lineRule="auto"/>
        <w:ind w:firstLine="360"/>
      </w:pPr>
      <w:r>
        <w:t>In summary, as</w:t>
      </w:r>
      <w:r w:rsidR="00525DF4">
        <w:t xml:space="preserve"> with the exemplification above, to be able to effectively execute assessment for learning and not </w:t>
      </w:r>
      <w:r>
        <w:t xml:space="preserve">assessment of learning, </w:t>
      </w:r>
      <w:r w:rsidR="00C92009">
        <w:t>the further needs to be accounted for</w:t>
      </w:r>
      <w:r>
        <w:t xml:space="preserve">. Clarification of any misconceptions surrounding the term by the stakeholders who are placed at the top of the </w:t>
      </w:r>
      <w:r w:rsidR="00BF79D8">
        <w:t>educational hierarchy, the governments</w:t>
      </w:r>
      <w:r w:rsidR="00F37FB7">
        <w:t xml:space="preserve"> and the </w:t>
      </w:r>
      <w:r w:rsidR="0073220F">
        <w:t>unpicking of learning content</w:t>
      </w:r>
      <w:r w:rsidR="00F37FB7">
        <w:t xml:space="preserve"> in to manageable chunks when assessing for learning.</w:t>
      </w:r>
    </w:p>
    <w:p w14:paraId="74489EA7" w14:textId="13F076C8" w:rsidR="00040B17" w:rsidRDefault="00040B17" w:rsidP="00040B17">
      <w:pPr>
        <w:spacing w:line="480" w:lineRule="auto"/>
      </w:pPr>
      <w:r>
        <w:tab/>
        <w:t xml:space="preserve">Considering the above, this study aims to </w:t>
      </w:r>
      <w:r w:rsidR="0073220F">
        <w:t>investigate</w:t>
      </w:r>
      <w:r>
        <w:t xml:space="preserve"> the following</w:t>
      </w:r>
      <w:r w:rsidR="00FA5FB0">
        <w:t>:</w:t>
      </w:r>
    </w:p>
    <w:p w14:paraId="1E9B08D3" w14:textId="066D4F98" w:rsidR="00C310E0" w:rsidRDefault="00040B17" w:rsidP="00040B17">
      <w:pPr>
        <w:pStyle w:val="ListParagraph"/>
        <w:numPr>
          <w:ilvl w:val="0"/>
          <w:numId w:val="3"/>
        </w:numPr>
        <w:spacing w:line="480" w:lineRule="auto"/>
      </w:pPr>
      <w:r>
        <w:lastRenderedPageBreak/>
        <w:t>The effectiveness of open-ended questions and multiple choice closed questions when assessing formatively?</w:t>
      </w:r>
    </w:p>
    <w:p w14:paraId="34D70707" w14:textId="455CB61B" w:rsidR="00FA5FB0" w:rsidRDefault="00E644FE" w:rsidP="00FA5FB0">
      <w:pPr>
        <w:pStyle w:val="ListParagraph"/>
        <w:numPr>
          <w:ilvl w:val="0"/>
          <w:numId w:val="3"/>
        </w:numPr>
        <w:spacing w:line="480" w:lineRule="auto"/>
      </w:pPr>
      <w:r>
        <w:t>Student satisfaction with regards to questionnaire styled formative assessment</w:t>
      </w:r>
      <w:r w:rsidR="00FA5FB0">
        <w:t>?</w:t>
      </w:r>
    </w:p>
    <w:p w14:paraId="5EDFD704" w14:textId="63738F53" w:rsidR="00FA5FB0" w:rsidRPr="006E66E7" w:rsidRDefault="00FA5FB0" w:rsidP="00FA5FB0">
      <w:pPr>
        <w:pStyle w:val="Heading1"/>
        <w:rPr>
          <w:color w:val="000000" w:themeColor="text1"/>
        </w:rPr>
      </w:pPr>
      <w:bookmarkStart w:id="2" w:name="_Toc5809609"/>
      <w:r w:rsidRPr="006E66E7">
        <w:rPr>
          <w:color w:val="000000" w:themeColor="text1"/>
        </w:rPr>
        <w:t>Methodology</w:t>
      </w:r>
      <w:bookmarkEnd w:id="2"/>
      <w:r w:rsidRPr="006E66E7">
        <w:rPr>
          <w:color w:val="000000" w:themeColor="text1"/>
        </w:rPr>
        <w:t xml:space="preserve"> </w:t>
      </w:r>
    </w:p>
    <w:p w14:paraId="634E61EE" w14:textId="1BCE8729" w:rsidR="000B0FD0" w:rsidRPr="006E66E7" w:rsidRDefault="000B0FD0" w:rsidP="000B0FD0">
      <w:pPr>
        <w:pStyle w:val="Heading2"/>
        <w:rPr>
          <w:color w:val="000000" w:themeColor="text1"/>
        </w:rPr>
      </w:pPr>
      <w:bookmarkStart w:id="3" w:name="_Toc5809610"/>
      <w:r w:rsidRPr="006E66E7">
        <w:rPr>
          <w:color w:val="000000" w:themeColor="text1"/>
        </w:rPr>
        <w:t>Research paradigm</w:t>
      </w:r>
      <w:bookmarkEnd w:id="3"/>
    </w:p>
    <w:p w14:paraId="1BCB99A6" w14:textId="77777777" w:rsidR="00B16D19" w:rsidRDefault="0083469B" w:rsidP="0083469B">
      <w:pPr>
        <w:spacing w:line="480" w:lineRule="auto"/>
      </w:pPr>
      <w:r>
        <w:tab/>
        <w:t>This study will be adopting a mixture of positivistic, interpretivist and constructivist research paradigms in order to ‘sensitise’</w:t>
      </w:r>
      <w:r w:rsidR="00FA4955">
        <w:t xml:space="preserve"> or materialise</w:t>
      </w:r>
      <w:r>
        <w:t xml:space="preserve"> the research enquiry above (Schwandt, 1994</w:t>
      </w:r>
      <w:r w:rsidR="00317C26">
        <w:t>, p. 118</w:t>
      </w:r>
      <w:r>
        <w:t xml:space="preserve">). </w:t>
      </w:r>
      <w:r w:rsidR="0068376F">
        <w:t xml:space="preserve">The </w:t>
      </w:r>
      <w:r w:rsidR="00D27192">
        <w:t>inclusion</w:t>
      </w:r>
      <w:r w:rsidR="0068376F">
        <w:t xml:space="preserve"> of </w:t>
      </w:r>
      <w:r w:rsidR="005601BB">
        <w:t xml:space="preserve">the </w:t>
      </w:r>
      <w:r w:rsidR="0068376F">
        <w:t xml:space="preserve">positivistic paradigm stems from the quantitative nature of the closed questions which were devised for this project in </w:t>
      </w:r>
      <w:r w:rsidR="0076486A">
        <w:t>gathering data from</w:t>
      </w:r>
      <w:r w:rsidR="0068376F">
        <w:t xml:space="preserve"> </w:t>
      </w:r>
      <w:r w:rsidR="0076486A">
        <w:t xml:space="preserve">a combination of </w:t>
      </w:r>
      <w:r w:rsidR="0068376F">
        <w:t>social and individual behaviour (</w:t>
      </w:r>
      <w:r w:rsidR="0068376F" w:rsidRPr="0068376F">
        <w:t>Cohen, Manion and Morrison, 2018)</w:t>
      </w:r>
      <w:r w:rsidR="0068376F">
        <w:t>.</w:t>
      </w:r>
      <w:r w:rsidR="0076486A">
        <w:t xml:space="preserve"> </w:t>
      </w:r>
      <w:r w:rsidR="00F30449">
        <w:t xml:space="preserve">As argued by Cohen, Manion and Morrison (2018), positivistic enquiries aim for objectivity, measurability, </w:t>
      </w:r>
      <w:r w:rsidR="001E1795">
        <w:t>patterning and predictability</w:t>
      </w:r>
      <w:r w:rsidR="00F30449">
        <w:t>. Indeed, before embarking on investigating the study in question, several preconceived ideas had guided its inception</w:t>
      </w:r>
      <w:r w:rsidR="00B1528A">
        <w:t>.</w:t>
      </w:r>
      <w:r w:rsidR="00F665D0">
        <w:t xml:space="preserve"> </w:t>
      </w:r>
      <w:r w:rsidR="00625755">
        <w:t>For example, s</w:t>
      </w:r>
      <w:r w:rsidR="00B1528A">
        <w:t xml:space="preserve">tudying a poem in class and instructing the learners to write a word-heavy reading assessment </w:t>
      </w:r>
      <w:r w:rsidR="00625755">
        <w:t xml:space="preserve">for formative assessment purposes </w:t>
      </w:r>
      <w:r w:rsidR="00B1528A">
        <w:t xml:space="preserve">may not </w:t>
      </w:r>
      <w:r w:rsidR="00F665D0">
        <w:t>illuminate</w:t>
      </w:r>
      <w:r w:rsidR="00B1528A">
        <w:t xml:space="preserve"> the learners’ true appreciation and sound understanding of the poem, as such a task requires the learners to use many more ‘mental models’ than just the ones the learners have developed over the course of studying the poem</w:t>
      </w:r>
      <w:r w:rsidR="00E36EF5">
        <w:t xml:space="preserve"> (</w:t>
      </w:r>
      <w:r w:rsidR="00E36EF5" w:rsidRPr="00860196">
        <w:t>Christodoulou</w:t>
      </w:r>
      <w:r w:rsidR="00E36EF5">
        <w:t>, 2016, p. 35).</w:t>
      </w:r>
      <w:r w:rsidR="00B1528A">
        <w:t xml:space="preserve"> </w:t>
      </w:r>
      <w:r w:rsidR="00E36EF5">
        <w:t xml:space="preserve">The learners </w:t>
      </w:r>
      <w:r w:rsidR="00625755">
        <w:t>would also be required to access the ones</w:t>
      </w:r>
      <w:r w:rsidR="00B1528A">
        <w:t xml:space="preserve"> </w:t>
      </w:r>
      <w:r w:rsidR="00E36EF5">
        <w:t>ranging from</w:t>
      </w:r>
      <w:r w:rsidR="00B1528A">
        <w:t xml:space="preserve"> writing accurately, structuring the assessment with a clear beginning, main body and an end to even remembering to underline the title </w:t>
      </w:r>
      <w:bookmarkStart w:id="4" w:name="_Hlk4317597"/>
      <w:r w:rsidR="00B1528A">
        <w:t>(</w:t>
      </w:r>
      <w:r w:rsidR="00B1528A" w:rsidRPr="00860196">
        <w:t>Christodoulou</w:t>
      </w:r>
      <w:r w:rsidR="00B1528A">
        <w:t>, 2016, p. 35).</w:t>
      </w:r>
      <w:r w:rsidR="00625755">
        <w:t xml:space="preserve"> </w:t>
      </w:r>
      <w:bookmarkEnd w:id="4"/>
      <w:r w:rsidR="00625755">
        <w:t xml:space="preserve">This, when done through a short </w:t>
      </w:r>
      <w:r w:rsidR="00CF171A">
        <w:t xml:space="preserve">questionnaire comprising of </w:t>
      </w:r>
      <w:r w:rsidR="00625755">
        <w:t>close</w:t>
      </w:r>
      <w:r w:rsidR="00CF171A">
        <w:t>d</w:t>
      </w:r>
      <w:r w:rsidR="00625755">
        <w:t xml:space="preserve"> questions with one or two more broad, open question</w:t>
      </w:r>
      <w:r w:rsidR="007F530F">
        <w:t>s</w:t>
      </w:r>
      <w:r w:rsidR="00625755">
        <w:t xml:space="preserve"> may well as well enable the learners to focus more on the content of the poem rather than being overwhelmed by </w:t>
      </w:r>
      <w:r w:rsidR="00266FD6">
        <w:t>having to remember other</w:t>
      </w:r>
      <w:r w:rsidR="00625755">
        <w:t xml:space="preserve"> mechanisms of writing</w:t>
      </w:r>
      <w:r w:rsidR="00266FD6">
        <w:t xml:space="preserve"> (</w:t>
      </w:r>
      <w:r w:rsidR="00266FD6" w:rsidRPr="00860196">
        <w:t>Christodoulou</w:t>
      </w:r>
      <w:r w:rsidR="00266FD6">
        <w:t xml:space="preserve">, 2016). </w:t>
      </w:r>
      <w:r w:rsidR="00C30A65">
        <w:t>This also highlights that</w:t>
      </w:r>
      <w:r w:rsidR="00F30449">
        <w:t xml:space="preserve"> </w:t>
      </w:r>
      <w:r w:rsidR="00817F45">
        <w:t xml:space="preserve">in order to truly present one assessment measure to be more effective than other, the study will have had to </w:t>
      </w:r>
      <w:r w:rsidR="00817F45">
        <w:lastRenderedPageBreak/>
        <w:t>employ a positivistic approach through its reliance on objectivity of the results</w:t>
      </w:r>
      <w:r w:rsidR="00C068D3">
        <w:t xml:space="preserve"> which would </w:t>
      </w:r>
      <w:r w:rsidR="00187EF8">
        <w:t>also begin ensuring</w:t>
      </w:r>
      <w:r w:rsidR="00C068D3">
        <w:t xml:space="preserve"> </w:t>
      </w:r>
      <w:r w:rsidR="00187EF8">
        <w:t>their</w:t>
      </w:r>
      <w:r w:rsidR="00C068D3">
        <w:t xml:space="preserve"> </w:t>
      </w:r>
      <w:r w:rsidR="002055CF">
        <w:t>validity</w:t>
      </w:r>
      <w:r w:rsidR="00817F45">
        <w:t xml:space="preserve">. </w:t>
      </w:r>
    </w:p>
    <w:p w14:paraId="7CCBC26D" w14:textId="5B944DA5" w:rsidR="000204B1" w:rsidRDefault="00817F45" w:rsidP="00B16D19">
      <w:pPr>
        <w:spacing w:line="480" w:lineRule="auto"/>
        <w:ind w:firstLine="720"/>
      </w:pPr>
      <w:r>
        <w:t xml:space="preserve">In order to achieve such objectivity, </w:t>
      </w:r>
      <w:r w:rsidR="00C068D3">
        <w:t xml:space="preserve">one approach could be to find </w:t>
      </w:r>
      <w:r>
        <w:t>patterns in the analysis of qualitative responses</w:t>
      </w:r>
      <w:r w:rsidR="00E27A03">
        <w:t xml:space="preserve">, thus employing a mixture of data </w:t>
      </w:r>
      <w:r w:rsidR="00851716">
        <w:t>analysis</w:t>
      </w:r>
      <w:r w:rsidR="00E27A03">
        <w:t xml:space="preserve"> approaches</w:t>
      </w:r>
      <w:r>
        <w:t xml:space="preserve">, however, this also presents its potential limitation as quantifying patterns identified through qualitative measures is in itself </w:t>
      </w:r>
      <w:r w:rsidR="00C068D3">
        <w:t xml:space="preserve">prone to </w:t>
      </w:r>
      <w:r>
        <w:t>subjectiv</w:t>
      </w:r>
      <w:r w:rsidR="00C068D3">
        <w:t>ity</w:t>
      </w:r>
      <w:r>
        <w:t xml:space="preserve"> and thus in nature may neutralise its </w:t>
      </w:r>
      <w:r w:rsidR="00B16D19">
        <w:t xml:space="preserve">intended </w:t>
      </w:r>
      <w:r>
        <w:t xml:space="preserve">objectivity. </w:t>
      </w:r>
      <w:r w:rsidR="00C068D3">
        <w:t xml:space="preserve">Furthermore, this may also pose a potential danger to the reliability and validity of the results (Cohen, Manion and Morrison, 2018). The above’s validity could be only be proven if the same study </w:t>
      </w:r>
      <w:r w:rsidR="006F1588">
        <w:t>could be replicated under the same or extremely similar conditions to produce the same or</w:t>
      </w:r>
      <w:r w:rsidR="001E7201">
        <w:t xml:space="preserve"> extremely</w:t>
      </w:r>
      <w:r w:rsidR="006F1588">
        <w:t xml:space="preserve"> similar results (Cohen, Manion and Morrison, 2018). This, however, </w:t>
      </w:r>
      <w:r w:rsidR="000204B1">
        <w:t xml:space="preserve">in itself </w:t>
      </w:r>
      <w:r w:rsidR="006F1588">
        <w:t xml:space="preserve">is </w:t>
      </w:r>
      <w:r w:rsidR="009D3AA1">
        <w:t xml:space="preserve">again </w:t>
      </w:r>
      <w:r w:rsidR="006F1588">
        <w:t xml:space="preserve">limiting in nature as mentioned by </w:t>
      </w:r>
      <w:r w:rsidR="006F1588" w:rsidRPr="0076486A">
        <w:t>Kierkegaard</w:t>
      </w:r>
      <w:r w:rsidR="006F1588">
        <w:t xml:space="preserve"> (2018)</w:t>
      </w:r>
      <w:r w:rsidR="00A238C5">
        <w:t xml:space="preserve"> who argues that </w:t>
      </w:r>
      <w:r w:rsidR="006F1588">
        <w:t xml:space="preserve">whenever investigating behaviour and performance of humans, such objectivity achieved by </w:t>
      </w:r>
      <w:r w:rsidR="004163B9">
        <w:t xml:space="preserve">analysing </w:t>
      </w:r>
      <w:r w:rsidR="006F1588">
        <w:t xml:space="preserve">numeric </w:t>
      </w:r>
      <w:r w:rsidR="004163B9">
        <w:t>data gathered</w:t>
      </w:r>
      <w:r w:rsidR="006F1588">
        <w:t xml:space="preserve"> </w:t>
      </w:r>
      <w:r w:rsidR="00E27A03">
        <w:t xml:space="preserve">through the investigation of human behaviour </w:t>
      </w:r>
      <w:r w:rsidR="006F1588">
        <w:t>may prove extremely hard to replicate due to behaviour’s subjectivity</w:t>
      </w:r>
      <w:r w:rsidR="00E27A03">
        <w:t xml:space="preserve"> and the influence of other, external factors, which may </w:t>
      </w:r>
      <w:r w:rsidR="000204B1">
        <w:t>upon reinvestigation render</w:t>
      </w:r>
      <w:r w:rsidR="00E27A03">
        <w:t xml:space="preserve"> </w:t>
      </w:r>
      <w:r w:rsidR="006F1588">
        <w:t>the enquiry invalid and unreliable (Cohen, Manion and Morrison, 2018).</w:t>
      </w:r>
      <w:r w:rsidR="00873CA0">
        <w:t xml:space="preserve"> </w:t>
      </w:r>
      <w:r w:rsidR="000204B1">
        <w:t xml:space="preserve">Furthermore, as this study </w:t>
      </w:r>
      <w:r w:rsidR="00422852">
        <w:t>founds itself</w:t>
      </w:r>
      <w:r w:rsidR="000204B1">
        <w:t xml:space="preserve"> </w:t>
      </w:r>
      <w:r w:rsidR="00422852">
        <w:t>on</w:t>
      </w:r>
      <w:r w:rsidR="000204B1">
        <w:t xml:space="preserve"> a word-heavy subject, the presentation of an idea, in terms of its descriptiveness or how it is ‘put across’ when answering </w:t>
      </w:r>
      <w:r w:rsidR="00422852">
        <w:t xml:space="preserve">interpretivist, </w:t>
      </w:r>
      <w:r w:rsidR="000204B1">
        <w:t xml:space="preserve">open-ended questions is also highly influenced by the </w:t>
      </w:r>
      <w:r w:rsidR="00422852">
        <w:t xml:space="preserve">respondents’ </w:t>
      </w:r>
      <w:r w:rsidR="000204B1">
        <w:t>inherent characteristics</w:t>
      </w:r>
      <w:r w:rsidR="00FF1365">
        <w:t>, such as family and social class</w:t>
      </w:r>
      <w:r w:rsidR="00422852">
        <w:t>.</w:t>
      </w:r>
      <w:r w:rsidR="000204B1">
        <w:t xml:space="preserve"> </w:t>
      </w:r>
      <w:r w:rsidR="002A1678">
        <w:t>Examples include, a</w:t>
      </w:r>
      <w:r w:rsidR="000204B1">
        <w:t xml:space="preserve">ccess </w:t>
      </w:r>
      <w:r w:rsidR="00422852">
        <w:t xml:space="preserve">to </w:t>
      </w:r>
      <w:r w:rsidR="000204B1">
        <w:t xml:space="preserve">and knowledge </w:t>
      </w:r>
      <w:r w:rsidR="00422852">
        <w:t>of</w:t>
      </w:r>
      <w:r w:rsidR="000204B1">
        <w:t xml:space="preserve"> less-frequent words in English, the knowledge regarding capitalisation of sentence initial words and for example </w:t>
      </w:r>
      <w:r w:rsidR="00E832EE">
        <w:t xml:space="preserve">knowledge of </w:t>
      </w:r>
      <w:r w:rsidR="000204B1">
        <w:t>punctuation conve</w:t>
      </w:r>
      <w:r w:rsidR="00422852">
        <w:t>ntion</w:t>
      </w:r>
      <w:r w:rsidR="00D32328">
        <w:t>s</w:t>
      </w:r>
      <w:r w:rsidR="00422852">
        <w:t xml:space="preserve"> may all influence </w:t>
      </w:r>
      <w:r w:rsidR="00D37930">
        <w:t xml:space="preserve">how the idea is conveyed by the person </w:t>
      </w:r>
      <w:r w:rsidR="00290C50">
        <w:t>conveying it</w:t>
      </w:r>
      <w:r w:rsidR="00422852">
        <w:t>. In turn, this leads</w:t>
      </w:r>
      <w:r w:rsidR="00962961">
        <w:t xml:space="preserve"> to</w:t>
      </w:r>
      <w:r w:rsidR="00EB01D6">
        <w:t xml:space="preserve"> </w:t>
      </w:r>
      <w:r w:rsidR="00422852">
        <w:t xml:space="preserve">socio-economic variables which </w:t>
      </w:r>
      <w:r w:rsidR="00267DBE">
        <w:t>are</w:t>
      </w:r>
      <w:r w:rsidR="00422852">
        <w:t xml:space="preserve"> argued to underpin the access to the knowledge of the above (</w:t>
      </w:r>
      <w:r w:rsidR="00422852" w:rsidRPr="00422852">
        <w:t>Carl</w:t>
      </w:r>
      <w:r w:rsidR="00422852">
        <w:t>o et al., 2004).</w:t>
      </w:r>
      <w:r w:rsidR="00EB01D6">
        <w:t xml:space="preserve"> </w:t>
      </w:r>
      <w:r w:rsidR="00EB01D6" w:rsidRPr="00422852">
        <w:t>Carl</w:t>
      </w:r>
      <w:r w:rsidR="00EB01D6">
        <w:t xml:space="preserve">o et al. (2004) argue that the </w:t>
      </w:r>
      <w:r w:rsidR="00AB5A8C">
        <w:lastRenderedPageBreak/>
        <w:t xml:space="preserve">children from middle class backgrounds are able to access </w:t>
      </w:r>
      <w:r w:rsidR="00AB15E6">
        <w:t>a far higher number of items from their lexicons than their working-class counterparts</w:t>
      </w:r>
      <w:r w:rsidR="000B0FD0">
        <w:t xml:space="preserve"> which when </w:t>
      </w:r>
    </w:p>
    <w:p w14:paraId="46180BEA" w14:textId="71E95D21" w:rsidR="000D3DB4" w:rsidRDefault="00AB15E6" w:rsidP="0083469B">
      <w:pPr>
        <w:spacing w:line="480" w:lineRule="auto"/>
      </w:pPr>
      <w:r>
        <w:t>Nonetheless, a</w:t>
      </w:r>
      <w:r w:rsidR="0063782A">
        <w:t xml:space="preserve"> solution to this presents itself in the form of the interpretivist paradigm which aims to understand and interpret the results through allowing for subjectivity by way of, for example, qualitative explanations from the participants, or focus groups (Cohen, Manion and Morrison, 2018).</w:t>
      </w:r>
      <w:r w:rsidR="009052BE">
        <w:t xml:space="preserve"> Indeed, as argued by Lin (1998), the combination of the two traditions of positivism and interpretivism complement each other and should be employed together in ensuring both validity and reliability of a research enquiry through offering insights by solidifying the results of the other. </w:t>
      </w:r>
      <w:r w:rsidR="003616B8">
        <w:t>She also argues that employing one</w:t>
      </w:r>
      <w:r w:rsidR="00877E4F">
        <w:t xml:space="preserve"> tradition </w:t>
      </w:r>
      <w:r w:rsidR="003616B8">
        <w:t xml:space="preserve">over the other limits the enquiry’s focus by, for example, </w:t>
      </w:r>
      <w:r w:rsidR="00877E4F">
        <w:t>overly relying on the findings of a particular case which does not allow for a broad focus, as well as the setback of purely focusing on contextual factors through the positivist tradition (Lin, 1998).</w:t>
      </w:r>
      <w:r w:rsidR="00061568">
        <w:t xml:space="preserve"> The above influenced the decision to include both paradigms when investigating this research enquiry. </w:t>
      </w:r>
      <w:r w:rsidR="0076486A">
        <w:t xml:space="preserve">As a result of being identified as limiting the nature of social enquiry through its quantifying nature </w:t>
      </w:r>
      <w:r w:rsidR="005601BB">
        <w:t xml:space="preserve">which </w:t>
      </w:r>
      <w:r w:rsidR="000D3DB4">
        <w:t xml:space="preserve">are argued to </w:t>
      </w:r>
      <w:r w:rsidR="0076486A">
        <w:t>exclude aspects of social life, such as choice, freedom, individuality and morality</w:t>
      </w:r>
      <w:r w:rsidR="00BB5506">
        <w:t xml:space="preserve">; </w:t>
      </w:r>
      <w:r w:rsidR="0076486A">
        <w:t>th</w:t>
      </w:r>
      <w:r w:rsidR="00BB5506">
        <w:t xml:space="preserve">is </w:t>
      </w:r>
      <w:r w:rsidR="009B705B">
        <w:t>furthe</w:t>
      </w:r>
      <w:r w:rsidR="0094470F">
        <w:t>r strengthened the need to include</w:t>
      </w:r>
      <w:r w:rsidR="0076486A">
        <w:t xml:space="preserve"> aspects of the interpretative paradigm to account for </w:t>
      </w:r>
      <w:r w:rsidR="000D3DB4">
        <w:t xml:space="preserve">the </w:t>
      </w:r>
      <w:r w:rsidR="0076486A">
        <w:t>rule-governance of human behaviour in certain settings (</w:t>
      </w:r>
      <w:r w:rsidR="0076486A" w:rsidRPr="0068376F">
        <w:t>Cohen, Manion and Morrison, 2018)</w:t>
      </w:r>
      <w:r w:rsidR="0076486A">
        <w:t xml:space="preserve">. </w:t>
      </w:r>
      <w:r w:rsidR="005601BB">
        <w:t xml:space="preserve">That is the rules and instruction guide </w:t>
      </w:r>
      <w:r w:rsidR="00BB5506">
        <w:t xml:space="preserve">and influence </w:t>
      </w:r>
      <w:r w:rsidR="005601BB">
        <w:t>the behaviour of individuals. This is also vastly dependant on the type of rule setting and instruction</w:t>
      </w:r>
      <w:r w:rsidR="004821B8">
        <w:t xml:space="preserve"> (Malott, 2015)</w:t>
      </w:r>
      <w:r w:rsidR="005601BB">
        <w:t xml:space="preserve">. For example, </w:t>
      </w:r>
      <w:r w:rsidR="00B43369">
        <w:t xml:space="preserve">Malott (2015) distinguishes between positive reinforcement and negative reinforcement or escape. </w:t>
      </w:r>
      <w:r w:rsidR="00835DB2">
        <w:t>Nonetheless</w:t>
      </w:r>
      <w:r w:rsidR="0076486A">
        <w:t xml:space="preserve">, as argued by </w:t>
      </w:r>
      <w:proofErr w:type="spellStart"/>
      <w:r w:rsidR="0076486A" w:rsidRPr="0076486A">
        <w:t>Søren</w:t>
      </w:r>
      <w:proofErr w:type="spellEnd"/>
      <w:r w:rsidR="0076486A" w:rsidRPr="0076486A">
        <w:t xml:space="preserve"> Kierkegaard</w:t>
      </w:r>
      <w:r w:rsidR="0076486A">
        <w:t xml:space="preserve"> (as cited by </w:t>
      </w:r>
      <w:r w:rsidR="0076486A" w:rsidRPr="0068376F">
        <w:t>Cohen, Manion and Morrison, 2018)</w:t>
      </w:r>
      <w:r w:rsidR="0076486A">
        <w:t>, the numeric objectivity of positivist research does not allow for</w:t>
      </w:r>
      <w:r w:rsidR="002F1AD7">
        <w:t xml:space="preserve"> subjectivity which human behaviour is often </w:t>
      </w:r>
      <w:r w:rsidR="000D3DB4">
        <w:t>exposed</w:t>
      </w:r>
      <w:r w:rsidR="002F1AD7">
        <w:t xml:space="preserve"> to. He argues that the inclusion of </w:t>
      </w:r>
      <w:r w:rsidR="00BB5506">
        <w:t xml:space="preserve">both </w:t>
      </w:r>
      <w:r w:rsidR="002F1AD7">
        <w:t xml:space="preserve">subjectivity and objectivity is necessary to avoid depersonalisation of the sample studied (as cited by </w:t>
      </w:r>
      <w:r w:rsidR="002F1AD7" w:rsidRPr="0068376F">
        <w:t>Cohen, Manion and Morrison, 2018)</w:t>
      </w:r>
      <w:r w:rsidR="002F1AD7">
        <w:t xml:space="preserve">. Yet the phrase ‘studied sample’ itself </w:t>
      </w:r>
      <w:r w:rsidR="002F1AD7">
        <w:lastRenderedPageBreak/>
        <w:t xml:space="preserve">depersonalises the participants of any given study by alluding to something which is inanimate. </w:t>
      </w:r>
      <w:r w:rsidR="000D3DB4">
        <w:t xml:space="preserve">Furthermore, as has been argued by Morrison (1995) investigating educational or curriculum based enquiries is problematic and prescriptive (as cited by Cohen, Manion and Morrison). </w:t>
      </w:r>
      <w:r w:rsidR="0070389A">
        <w:t xml:space="preserve">Based on the above, this study decided to use a questionnaire as its method with both quantitative and qualitative questions. The sample of year 7 pupils chosen for this particular study was selected due to their last predicted grades when leaving year 6. At this point, it was decided to exclude socio-economic variables as factors to enable the research enquiry to provide a more broad result. </w:t>
      </w:r>
    </w:p>
    <w:p w14:paraId="3A37EB31" w14:textId="650B5265" w:rsidR="000D384F" w:rsidRPr="006E66E7" w:rsidRDefault="000D384F" w:rsidP="000D384F">
      <w:pPr>
        <w:pStyle w:val="Heading2"/>
        <w:rPr>
          <w:color w:val="000000" w:themeColor="text1"/>
        </w:rPr>
      </w:pPr>
      <w:bookmarkStart w:id="5" w:name="_Toc5809611"/>
      <w:r w:rsidRPr="006E66E7">
        <w:rPr>
          <w:color w:val="000000" w:themeColor="text1"/>
        </w:rPr>
        <w:t>Measurement process</w:t>
      </w:r>
      <w:bookmarkEnd w:id="5"/>
    </w:p>
    <w:p w14:paraId="182332A4" w14:textId="50A13A0D" w:rsidR="000D384F" w:rsidRDefault="00EE1AE2" w:rsidP="00EF712F">
      <w:pPr>
        <w:spacing w:line="480" w:lineRule="auto"/>
      </w:pPr>
      <w:r>
        <w:tab/>
      </w:r>
      <w:r w:rsidR="002E243C">
        <w:t xml:space="preserve">Validity as defined by </w:t>
      </w:r>
      <w:r w:rsidR="002E243C" w:rsidRPr="0068376F">
        <w:t>Cohen, Manion and Morrison</w:t>
      </w:r>
      <w:r w:rsidR="002E243C">
        <w:t xml:space="preserve">( </w:t>
      </w:r>
      <w:r w:rsidR="002E243C" w:rsidRPr="0068376F">
        <w:t>2018)</w:t>
      </w:r>
      <w:r w:rsidR="002E243C">
        <w:t xml:space="preserve"> is the controllability, replicability and predictability of the research enquiry.  </w:t>
      </w:r>
      <w:r>
        <w:t xml:space="preserve">For the measurements process, this study decided to use questionnaires to ensure </w:t>
      </w:r>
      <w:r w:rsidR="00522861">
        <w:t>not only</w:t>
      </w:r>
      <w:r>
        <w:t xml:space="preserve"> validity </w:t>
      </w:r>
      <w:r w:rsidR="00522861">
        <w:t>but also</w:t>
      </w:r>
      <w:r>
        <w:t xml:space="preserve"> reliability of the research results. </w:t>
      </w:r>
      <w:r w:rsidR="00AD3E57">
        <w:t xml:space="preserve">The entire cohort of the year 7 class were given the questionnaires to answer on a poem they had studied in class which served as the formative assessment task they had to complete based on this </w:t>
      </w:r>
      <w:r w:rsidR="006F0BB5">
        <w:t>area of study</w:t>
      </w:r>
      <w:r w:rsidR="00AD3E57">
        <w:t xml:space="preserve">. The decision to distribute the questionnaire to all </w:t>
      </w:r>
      <w:r w:rsidR="00E40D63">
        <w:t xml:space="preserve">stemmed from that </w:t>
      </w:r>
      <w:r w:rsidR="00AD3E57">
        <w:t>the students to whom the questionnaire was given did not feel segregated from other</w:t>
      </w:r>
      <w:r w:rsidR="00E40D63">
        <w:t>s</w:t>
      </w:r>
      <w:r w:rsidR="00AD3E57">
        <w:t xml:space="preserve"> and vice versa which might have had an impact on the honesty of the answers </w:t>
      </w:r>
      <w:r w:rsidR="001E6566">
        <w:t>which might have, in turn, skewed the results.</w:t>
      </w:r>
      <w:r w:rsidR="00E40D63">
        <w:t xml:space="preserve"> As argued by </w:t>
      </w:r>
      <w:r w:rsidR="00E40D63" w:rsidRPr="0068376F">
        <w:t>Cohen, Manion and Morrison</w:t>
      </w:r>
      <w:r w:rsidR="00E40D63">
        <w:t xml:space="preserve"> (</w:t>
      </w:r>
      <w:r w:rsidR="00E40D63" w:rsidRPr="0068376F">
        <w:t>2018)</w:t>
      </w:r>
      <w:r w:rsidR="00E40D63">
        <w:t>, the benefits of using a questionnaire as a research tool are twofold. Firstly, the inherent anonymity it provides when the questionnaires are distributed on paper and</w:t>
      </w:r>
      <w:r w:rsidR="00ED0615">
        <w:t xml:space="preserve">, secondly, </w:t>
      </w:r>
      <w:r w:rsidR="00E40D63">
        <w:t>its more economical nature, both with regards to time and the cost of distribution (</w:t>
      </w:r>
      <w:r w:rsidR="00E40D63" w:rsidRPr="0068376F">
        <w:t>Cohen, Manion and Morrison, 2018)</w:t>
      </w:r>
      <w:r w:rsidR="00E40D63">
        <w:t>.</w:t>
      </w:r>
      <w:r w:rsidR="005A65A9">
        <w:t xml:space="preserve"> This also enables the investigator to collect pre-standardised answers which provide ease of analysis</w:t>
      </w:r>
      <w:r w:rsidR="009032AE">
        <w:t xml:space="preserve"> </w:t>
      </w:r>
      <w:r w:rsidR="009032AE" w:rsidRPr="009032AE">
        <w:t>(</w:t>
      </w:r>
      <w:proofErr w:type="spellStart"/>
      <w:r w:rsidR="009032AE" w:rsidRPr="009032AE">
        <w:t>Learning.gov.wales</w:t>
      </w:r>
      <w:proofErr w:type="spellEnd"/>
      <w:r w:rsidR="009032AE" w:rsidRPr="009032AE">
        <w:t>, 2019)</w:t>
      </w:r>
      <w:r w:rsidR="005A65A9">
        <w:t xml:space="preserve">. </w:t>
      </w:r>
      <w:r w:rsidR="00ED0615">
        <w:t xml:space="preserve"> </w:t>
      </w:r>
      <w:r w:rsidR="00C45799">
        <w:t xml:space="preserve">With regards to the anonymity, although the questionnaire when distributed on paper may provide anonymity, as the questionnaire for this research enquiry was devised on Google Forms, </w:t>
      </w:r>
      <w:r w:rsidR="00B643DE">
        <w:lastRenderedPageBreak/>
        <w:t xml:space="preserve">students would have had to log on to their computers which would have counteracted the anonymity. </w:t>
      </w:r>
      <w:r w:rsidR="00D969B5">
        <w:t>This, however, was overcome by instructing the participants to access the questionnaire through a link after accessing the internet browser as a guest.</w:t>
      </w:r>
      <w:r w:rsidR="00E05331">
        <w:t xml:space="preserve"> The questionnaire can be evidenced below as appendix 1.</w:t>
      </w:r>
      <w:r w:rsidR="00D969B5">
        <w:t xml:space="preserve"> </w:t>
      </w:r>
      <w:r w:rsidR="006868B5">
        <w:t xml:space="preserve">With regards to the latter, although this questionnaire was not distributed using mailing options, it still, nonetheless, proved economical as to the analysis of the responses. </w:t>
      </w:r>
      <w:r w:rsidR="00C03D24">
        <w:t xml:space="preserve">A potential setback of the questionnaire, as mentioned by </w:t>
      </w:r>
      <w:r w:rsidR="00C03D24" w:rsidRPr="0068376F">
        <w:t>Cohen, Manion and Morrison</w:t>
      </w:r>
      <w:r w:rsidR="00C03D24">
        <w:t xml:space="preserve"> (</w:t>
      </w:r>
      <w:r w:rsidR="00C03D24" w:rsidRPr="0068376F">
        <w:t>2018)</w:t>
      </w:r>
      <w:r w:rsidR="00C03D24">
        <w:t xml:space="preserve"> is its reliance on literacy of the participants. As the enquiry was ‘sensitised’ within an educational setting, including year 7 pupils</w:t>
      </w:r>
      <w:r w:rsidR="00763392">
        <w:t>, illiteracy was discounted</w:t>
      </w:r>
      <w:r w:rsidR="00244F4B">
        <w:t xml:space="preserve"> (Schwandt, 1994, p. 118).</w:t>
      </w:r>
      <w:r w:rsidR="00763392">
        <w:t xml:space="preserve"> </w:t>
      </w:r>
      <w:r w:rsidR="00813C0F">
        <w:t xml:space="preserve">To further promote the validity and reliability of the </w:t>
      </w:r>
      <w:r w:rsidR="00244F4B">
        <w:t xml:space="preserve">results, </w:t>
      </w:r>
      <w:r w:rsidR="00244F4B" w:rsidRPr="0068376F">
        <w:t>Cohen, Manion and Morrison</w:t>
      </w:r>
      <w:r w:rsidR="00244F4B">
        <w:t xml:space="preserve"> (</w:t>
      </w:r>
      <w:r w:rsidR="00244F4B" w:rsidRPr="0068376F">
        <w:t>2018)</w:t>
      </w:r>
      <w:r w:rsidR="00244F4B">
        <w:t xml:space="preserve"> suggest</w:t>
      </w:r>
      <w:r w:rsidR="00836A36">
        <w:t xml:space="preserve">, in their case, postal </w:t>
      </w:r>
      <w:r w:rsidR="00244F4B">
        <w:t>questionnaires to be followed up with telephone conversations which are individually tailored to the participants.</w:t>
      </w:r>
      <w:r w:rsidR="00435173">
        <w:t xml:space="preserve"> </w:t>
      </w:r>
      <w:r w:rsidR="00244F4B">
        <w:t xml:space="preserve">Although different in </w:t>
      </w:r>
      <w:r w:rsidR="002E243C">
        <w:t>its execution, the questionnaires were followed up with a</w:t>
      </w:r>
      <w:r w:rsidR="003F7897">
        <w:t xml:space="preserve"> post-intervention questionnaire </w:t>
      </w:r>
      <w:r w:rsidR="00172C12">
        <w:t xml:space="preserve">immediately after the participants had completed the questions on the poem. These questions </w:t>
      </w:r>
      <w:r w:rsidR="003F7897">
        <w:t>asked the participants for their opinions</w:t>
      </w:r>
      <w:r w:rsidR="00A706C5">
        <w:t xml:space="preserve"> on the effectiveness and ease of </w:t>
      </w:r>
      <w:r w:rsidR="006176DD">
        <w:t xml:space="preserve">completing </w:t>
      </w:r>
      <w:r w:rsidR="00A706C5">
        <w:t xml:space="preserve">the questionnaire, as opposed </w:t>
      </w:r>
      <w:r w:rsidR="006176DD">
        <w:t xml:space="preserve">to a </w:t>
      </w:r>
      <w:r w:rsidR="00A706C5">
        <w:t xml:space="preserve">typical reading assessment which the participants had completed on another two occasions as part of their scheme of work. </w:t>
      </w:r>
      <w:r w:rsidR="00172C12">
        <w:t xml:space="preserve">This provided the enquiry with explicit data with which to measure the effectiveness of the formative assessment method employed. </w:t>
      </w:r>
      <w:r w:rsidR="00587448">
        <w:t>The questionnaire was designed online and as mentioned by Cohen</w:t>
      </w:r>
      <w:r w:rsidR="00587448" w:rsidRPr="0068376F">
        <w:t>, Manion and Morrison</w:t>
      </w:r>
      <w:r w:rsidR="00587448">
        <w:t xml:space="preserve"> (</w:t>
      </w:r>
      <w:r w:rsidR="00587448" w:rsidRPr="0068376F">
        <w:t>2018</w:t>
      </w:r>
      <w:r w:rsidR="00587448">
        <w:t xml:space="preserve">), computer usage and internet based questionnaires carry numerous advantages. </w:t>
      </w:r>
      <w:r w:rsidR="00CD26CE">
        <w:t xml:space="preserve">Firstly, the reduction in cost and </w:t>
      </w:r>
      <w:r w:rsidR="008B5610">
        <w:t>improved efficiency</w:t>
      </w:r>
      <w:r w:rsidR="00CD26CE">
        <w:t xml:space="preserve"> with regards to time</w:t>
      </w:r>
      <w:r w:rsidR="00B71206">
        <w:t xml:space="preserve"> </w:t>
      </w:r>
      <w:r w:rsidR="005C2B39">
        <w:t>and secondly,</w:t>
      </w:r>
      <w:r w:rsidR="00CD26CE">
        <w:t xml:space="preserve"> </w:t>
      </w:r>
      <w:r w:rsidR="00EF712F">
        <w:t>the reduction in the researcher committing human errors whilst entering and processing the dat</w:t>
      </w:r>
      <w:r w:rsidR="005C2B39">
        <w:t xml:space="preserve">a, to name a few </w:t>
      </w:r>
      <w:r w:rsidR="00EF712F">
        <w:t>(Cohen</w:t>
      </w:r>
      <w:r w:rsidR="00EF712F" w:rsidRPr="0068376F">
        <w:t>, Manion and Morrison</w:t>
      </w:r>
      <w:r w:rsidR="00EF712F">
        <w:t xml:space="preserve">, </w:t>
      </w:r>
      <w:r w:rsidR="00EF712F" w:rsidRPr="0068376F">
        <w:t>2018</w:t>
      </w:r>
      <w:r w:rsidR="00EF712F">
        <w:t>).</w:t>
      </w:r>
      <w:r w:rsidR="005C2B39">
        <w:t xml:space="preserve"> </w:t>
      </w:r>
      <w:r w:rsidR="005C2B39" w:rsidRPr="00D6236A">
        <w:t xml:space="preserve">Albeit its many advantages, online research may also present </w:t>
      </w:r>
      <w:r w:rsidR="00D6236A">
        <w:t xml:space="preserve">some </w:t>
      </w:r>
      <w:r w:rsidR="005C2B39" w:rsidRPr="00D6236A">
        <w:t>disadvantages</w:t>
      </w:r>
      <w:r w:rsidR="00D6236A">
        <w:t xml:space="preserve">. These include an ethical issue with regards to the participants wishing to keep their identity from the researcher. This issue was overcome as </w:t>
      </w:r>
      <w:r w:rsidR="00254370">
        <w:t xml:space="preserve">the participants are typically </w:t>
      </w:r>
      <w:r w:rsidR="00254370">
        <w:lastRenderedPageBreak/>
        <w:t>taught by the principal researcher</w:t>
      </w:r>
      <w:r w:rsidR="00023D35">
        <w:t xml:space="preserve"> and they would</w:t>
      </w:r>
      <w:r w:rsidR="00481B53">
        <w:t xml:space="preserve"> participate in the research during their normal lesson time (</w:t>
      </w:r>
      <w:r w:rsidR="00481B53" w:rsidRPr="0068376F">
        <w:t>Cohen, Manion and Morriso</w:t>
      </w:r>
      <w:r w:rsidR="00481B53">
        <w:t xml:space="preserve">n, </w:t>
      </w:r>
      <w:r w:rsidR="00481B53" w:rsidRPr="0068376F">
        <w:t>2018</w:t>
      </w:r>
      <w:r w:rsidR="00481B53">
        <w:t>),</w:t>
      </w:r>
    </w:p>
    <w:p w14:paraId="2DDBFA1A" w14:textId="51DF81A3" w:rsidR="00B2078B" w:rsidRDefault="00604358" w:rsidP="00EE1AE2">
      <w:pPr>
        <w:spacing w:line="480" w:lineRule="auto"/>
      </w:pPr>
      <w:r>
        <w:tab/>
        <w:t xml:space="preserve">As mentioned by </w:t>
      </w:r>
      <w:r w:rsidRPr="0068376F">
        <w:t>Cohen, Manion and Morrison</w:t>
      </w:r>
      <w:r>
        <w:t xml:space="preserve"> (</w:t>
      </w:r>
      <w:r w:rsidRPr="0068376F">
        <w:t>2018</w:t>
      </w:r>
      <w:r>
        <w:t xml:space="preserve">), questionnaire design plays a vital role in ensuring validity and reliability. </w:t>
      </w:r>
      <w:r w:rsidR="00A90D50">
        <w:t xml:space="preserve">In ensuring this, questionnaires moved from the broad to the very specific with regards to the poem. Respondents were not enabled to skip questions within the main questionnaire, </w:t>
      </w:r>
      <w:r w:rsidR="005024A1">
        <w:t>neither</w:t>
      </w:r>
      <w:r w:rsidR="00A90D50">
        <w:t xml:space="preserve">, </w:t>
      </w:r>
      <w:r w:rsidR="005024A1">
        <w:t>were they</w:t>
      </w:r>
      <w:r w:rsidR="00A90D50">
        <w:t xml:space="preserve"> able to do so with regards to the post-poem follow up.</w:t>
      </w:r>
      <w:r w:rsidR="005024A1">
        <w:t xml:space="preserve"> With regards to branching, as suggested by Redline et al. (2002), if respondents are given the opportunity to skip, many may skip or misinterpret the instruction which would detail which question to move on to </w:t>
      </w:r>
      <w:r w:rsidR="003D14C0">
        <w:t>(as cited in Cohen</w:t>
      </w:r>
      <w:r w:rsidR="005024A1" w:rsidRPr="0068376F">
        <w:t>, Manion and Morrison</w:t>
      </w:r>
      <w:r w:rsidR="003D14C0">
        <w:t xml:space="preserve">, </w:t>
      </w:r>
      <w:r w:rsidR="005024A1" w:rsidRPr="0068376F">
        <w:t>2018</w:t>
      </w:r>
      <w:r w:rsidR="005024A1">
        <w:t xml:space="preserve">). </w:t>
      </w:r>
      <w:r w:rsidR="002E40E7">
        <w:t xml:space="preserve">This limitation was overcome by using Google Forms in devising the questionnaire to only display one question to the responded alongside the necessary </w:t>
      </w:r>
      <w:r w:rsidR="00EF0007">
        <w:t xml:space="preserve">instructions. Due to this, as mentioned above, </w:t>
      </w:r>
      <w:r w:rsidR="007735F2">
        <w:t xml:space="preserve">the questionnaire design strived to provide the respondents with the most user-friendly and easily understandable answer platform. </w:t>
      </w:r>
      <w:r w:rsidR="008247AA">
        <w:t>Furthermore, as the questionnaire populates its instruction positioning automatically o</w:t>
      </w:r>
      <w:r w:rsidR="003D14C0">
        <w:t>n a page,</w:t>
      </w:r>
      <w:r w:rsidR="008247AA">
        <w:t xml:space="preserve"> issues regarding the foveal view were </w:t>
      </w:r>
      <w:r w:rsidR="003D14C0">
        <w:t>discounted (Cohen</w:t>
      </w:r>
      <w:r w:rsidR="003D14C0" w:rsidRPr="0068376F">
        <w:t>, Manion and Morrison</w:t>
      </w:r>
      <w:r w:rsidR="003D14C0">
        <w:t xml:space="preserve">, </w:t>
      </w:r>
      <w:r w:rsidR="003D14C0" w:rsidRPr="0068376F">
        <w:t>2018</w:t>
      </w:r>
      <w:r w:rsidR="003D14C0">
        <w:t xml:space="preserve">). </w:t>
      </w:r>
      <w:r w:rsidR="0027460C">
        <w:t xml:space="preserve">The question design had to account for two areas. Firstly, to maintain its focus </w:t>
      </w:r>
      <w:r w:rsidR="00FD303B">
        <w:t>on moving away from extended response formative assessment</w:t>
      </w:r>
      <w:r w:rsidR="00E60804">
        <w:t xml:space="preserve">, </w:t>
      </w:r>
      <w:r w:rsidR="00FC0A02">
        <w:t xml:space="preserve">the decision was made that </w:t>
      </w:r>
      <w:r w:rsidR="00E60804">
        <w:t xml:space="preserve">the </w:t>
      </w:r>
      <w:r w:rsidR="0027460C">
        <w:t>questionnaire would</w:t>
      </w:r>
      <w:r w:rsidR="00FC0A02">
        <w:t xml:space="preserve"> </w:t>
      </w:r>
      <w:r w:rsidR="0027460C">
        <w:t xml:space="preserve">mainly consist of </w:t>
      </w:r>
      <w:r w:rsidR="00E60804">
        <w:t>dichotomous and multiple choice questions</w:t>
      </w:r>
      <w:r w:rsidR="000E619F">
        <w:t xml:space="preserve"> (</w:t>
      </w:r>
      <w:r w:rsidR="000E619F" w:rsidRPr="0068376F">
        <w:t>Cohen, Manion and Morrison</w:t>
      </w:r>
      <w:r w:rsidR="000E619F">
        <w:t xml:space="preserve">, </w:t>
      </w:r>
      <w:r w:rsidR="000E619F" w:rsidRPr="0068376F">
        <w:t>2018</w:t>
      </w:r>
      <w:r w:rsidR="000E619F">
        <w:t>).</w:t>
      </w:r>
      <w:r w:rsidR="00FC0A02">
        <w:t xml:space="preserve"> In order to provide the learners with a stretch and challenge question to account for differentiation within the questionnaire, a single open-ended question was included. </w:t>
      </w:r>
      <w:r w:rsidR="00F54214">
        <w:t xml:space="preserve">With regards to the multiple choice questions, </w:t>
      </w:r>
      <w:r w:rsidR="00F54214" w:rsidRPr="0068376F">
        <w:t>Cohen, Manion and Morrison</w:t>
      </w:r>
      <w:r w:rsidR="00F54214">
        <w:t xml:space="preserve"> (</w:t>
      </w:r>
      <w:r w:rsidR="00F54214" w:rsidRPr="0068376F">
        <w:t>2018</w:t>
      </w:r>
      <w:r w:rsidR="00F54214">
        <w:t>) argue for the potential ambiguity the questions may carry</w:t>
      </w:r>
      <w:r w:rsidR="0032170C">
        <w:t>, as word</w:t>
      </w:r>
      <w:r w:rsidR="00282429">
        <w:t>s ma</w:t>
      </w:r>
      <w:r w:rsidR="006C2783">
        <w:t>y</w:t>
      </w:r>
      <w:r w:rsidR="00282429">
        <w:t xml:space="preserve"> be </w:t>
      </w:r>
      <w:r w:rsidR="00EE5A9B">
        <w:t xml:space="preserve">perceived as </w:t>
      </w:r>
      <w:r w:rsidR="00282429">
        <w:t>ambiguous</w:t>
      </w:r>
      <w:r w:rsidR="00EE5A9B">
        <w:t xml:space="preserve"> and to carry different meanings</w:t>
      </w:r>
      <w:r w:rsidR="00282429">
        <w:t xml:space="preserve">. </w:t>
      </w:r>
      <w:r w:rsidR="006C2783">
        <w:t xml:space="preserve">They also </w:t>
      </w:r>
      <w:r w:rsidR="00917E23">
        <w:t>note the different interpretations of these words, as participants may make different associations with the primary and secondary meanings of words (</w:t>
      </w:r>
      <w:r w:rsidR="00917E23" w:rsidRPr="0068376F">
        <w:t>Cohen, Manion and Morrison</w:t>
      </w:r>
      <w:r w:rsidR="00917E23">
        <w:t xml:space="preserve">, </w:t>
      </w:r>
      <w:r w:rsidR="00917E23" w:rsidRPr="0068376F">
        <w:t>2018</w:t>
      </w:r>
      <w:r w:rsidR="00917E23">
        <w:t>)</w:t>
      </w:r>
      <w:r w:rsidR="004A35C8">
        <w:t>.</w:t>
      </w:r>
      <w:r w:rsidR="00197BB3">
        <w:t xml:space="preserve"> The post-poem follow up also included rating </w:t>
      </w:r>
      <w:r w:rsidR="00197BB3">
        <w:lastRenderedPageBreak/>
        <w:t>scales questions from which the participants had to select the option they felt was the most appropriate (</w:t>
      </w:r>
      <w:r w:rsidR="00197BB3" w:rsidRPr="0068376F">
        <w:t>Cohen, Manion and Morrison</w:t>
      </w:r>
      <w:r w:rsidR="00197BB3">
        <w:t xml:space="preserve">, </w:t>
      </w:r>
      <w:r w:rsidR="00197BB3" w:rsidRPr="0068376F">
        <w:t>2018</w:t>
      </w:r>
      <w:r w:rsidR="00197BB3">
        <w:t>).</w:t>
      </w:r>
      <w:r w:rsidR="00AF2BDE">
        <w:t xml:space="preserve"> </w:t>
      </w:r>
      <w:r w:rsidR="002942C7">
        <w:t xml:space="preserve">The rating scales, as argued by </w:t>
      </w:r>
      <w:r w:rsidR="002942C7" w:rsidRPr="0068376F">
        <w:t>Cohen, Manion and Morrison</w:t>
      </w:r>
      <w:r w:rsidR="002942C7">
        <w:t xml:space="preserve"> (</w:t>
      </w:r>
      <w:r w:rsidR="002942C7" w:rsidRPr="0068376F">
        <w:t>2018</w:t>
      </w:r>
      <w:r w:rsidR="002942C7">
        <w:t>) are subject to some limitations. For example, the investigator’s lack of ability to identify falsified responses, avoiding ticking something at the extreme end of the Likert scale, and a strong impulse of the human being to identify in the mid-point of the investigation enquiry. Despite these, rating scales do allow</w:t>
      </w:r>
      <w:r w:rsidR="00AF2BDE">
        <w:t xml:space="preserve"> the participants with the necessary flexibility alongside an opportunity for the researcher to identify patterns and frequencies</w:t>
      </w:r>
      <w:r w:rsidR="005F5798">
        <w:t xml:space="preserve"> (</w:t>
      </w:r>
      <w:r w:rsidR="005F5798" w:rsidRPr="0068376F">
        <w:t>Cohen, Manion and Morrison</w:t>
      </w:r>
      <w:r w:rsidR="005F5798">
        <w:t xml:space="preserve">, </w:t>
      </w:r>
      <w:r w:rsidR="005F5798" w:rsidRPr="0068376F">
        <w:t>2018</w:t>
      </w:r>
      <w:r w:rsidR="005F5798">
        <w:t>).</w:t>
      </w:r>
      <w:r w:rsidR="00A008F0">
        <w:t xml:space="preserve"> In mitigating the </w:t>
      </w:r>
      <w:r w:rsidR="009536C6">
        <w:t xml:space="preserve">human impulse to, at times, identify in the mid-point of a scale, an even-numbered scale was employed, as recommended by </w:t>
      </w:r>
      <w:r w:rsidR="009536C6" w:rsidRPr="0068376F">
        <w:t>Cohen, Manion and Morrison</w:t>
      </w:r>
      <w:r w:rsidR="009536C6">
        <w:t xml:space="preserve"> (</w:t>
      </w:r>
      <w:r w:rsidR="009536C6" w:rsidRPr="0068376F">
        <w:t>2018</w:t>
      </w:r>
      <w:r w:rsidR="009536C6">
        <w:t>).</w:t>
      </w:r>
      <w:r w:rsidR="0092441A">
        <w:t xml:space="preserve"> This might encourage the participants to make </w:t>
      </w:r>
      <w:r w:rsidR="00300C14">
        <w:t>a more engaged decision (</w:t>
      </w:r>
      <w:r w:rsidR="00300C14" w:rsidRPr="0068376F">
        <w:t>Cohen, Manion and Morrison</w:t>
      </w:r>
      <w:r w:rsidR="00300C14">
        <w:t xml:space="preserve">, </w:t>
      </w:r>
      <w:r w:rsidR="00300C14" w:rsidRPr="0068376F">
        <w:t>2018</w:t>
      </w:r>
      <w:r w:rsidR="00300C14">
        <w:t>).</w:t>
      </w:r>
      <w:r w:rsidR="0061676E">
        <w:t xml:space="preserve"> After completing the questionnaire, students are able to access instantaneous feedback which may also serve as motivational for the pupils, as the first part of the questionnaire – the quiz</w:t>
      </w:r>
      <w:r w:rsidR="00B003A3">
        <w:t xml:space="preserve"> on the comprehension of the poem</w:t>
      </w:r>
      <w:r w:rsidR="0061676E">
        <w:t xml:space="preserve">, is marked out of 10 marks in total. </w:t>
      </w:r>
    </w:p>
    <w:p w14:paraId="54A795C3" w14:textId="05736696" w:rsidR="00B2078B" w:rsidRPr="006E66E7" w:rsidRDefault="00B2078B" w:rsidP="00B2078B">
      <w:pPr>
        <w:pStyle w:val="Heading2"/>
        <w:rPr>
          <w:color w:val="000000" w:themeColor="text1"/>
        </w:rPr>
      </w:pPr>
      <w:bookmarkStart w:id="6" w:name="_Toc5809612"/>
      <w:r w:rsidRPr="006E66E7">
        <w:rPr>
          <w:color w:val="000000" w:themeColor="text1"/>
        </w:rPr>
        <w:t>Data analysis</w:t>
      </w:r>
      <w:bookmarkEnd w:id="6"/>
    </w:p>
    <w:p w14:paraId="373342DD" w14:textId="4DF71A7F" w:rsidR="00B2078B" w:rsidRDefault="00B2078B" w:rsidP="00B2078B">
      <w:pPr>
        <w:spacing w:line="480" w:lineRule="auto"/>
      </w:pPr>
      <w:r>
        <w:tab/>
        <w:t>The data will be analysed using Google Forms analytics which collates the results to an easily understandable format</w:t>
      </w:r>
      <w:r w:rsidR="00042FD4">
        <w:t xml:space="preserve">, providing percentages alongside </w:t>
      </w:r>
      <w:r>
        <w:t xml:space="preserve">. </w:t>
      </w:r>
      <w:r w:rsidR="00BE74BD">
        <w:t xml:space="preserve">As the questionnaire devised for this research enquiry will mainly produce quantitative data, the analysis of the two qualitative data questions will take the following form. The responses will be tabulated to produce an outline of the most frequent response type or as </w:t>
      </w:r>
      <w:r w:rsidR="00BE74BD" w:rsidRPr="0068376F">
        <w:t>Cohen, Manion and Morrison</w:t>
      </w:r>
      <w:r w:rsidR="00BE74BD">
        <w:t xml:space="preserve"> (</w:t>
      </w:r>
      <w:r w:rsidR="00BE74BD" w:rsidRPr="0068376F">
        <w:t>2018</w:t>
      </w:r>
      <w:r w:rsidR="00BE74BD">
        <w:t xml:space="preserve">) call this, the drawing together of similar responses. These </w:t>
      </w:r>
      <w:r w:rsidR="000F0ED9">
        <w:t>have been</w:t>
      </w:r>
      <w:r w:rsidR="00BE74BD">
        <w:t xml:space="preserve"> anticipated in advance. </w:t>
      </w:r>
      <w:r w:rsidR="00790DB3">
        <w:t xml:space="preserve">For question 8 which can be evidenced below on page 15, a list of anticipated answers had been pre-prepared. This includes </w:t>
      </w:r>
      <w:r w:rsidR="00790DB3">
        <w:rPr>
          <w:i/>
        </w:rPr>
        <w:t xml:space="preserve">flower, a flower blossoming </w:t>
      </w:r>
      <w:r w:rsidR="00790DB3">
        <w:t>and</w:t>
      </w:r>
      <w:r w:rsidR="00790DB3">
        <w:rPr>
          <w:i/>
        </w:rPr>
        <w:t xml:space="preserve"> </w:t>
      </w:r>
      <w:r w:rsidR="00A4286E">
        <w:rPr>
          <w:i/>
        </w:rPr>
        <w:t>like a flower developing</w:t>
      </w:r>
      <w:r w:rsidR="00A4286E">
        <w:t xml:space="preserve">. Although dissimilar in nature, they all include the main connotation for the word </w:t>
      </w:r>
      <w:r w:rsidR="00A4286E">
        <w:rPr>
          <w:i/>
        </w:rPr>
        <w:t>bloom</w:t>
      </w:r>
      <w:r w:rsidR="006E6CC8">
        <w:t xml:space="preserve">, a flower. </w:t>
      </w:r>
      <w:r w:rsidR="002459C3">
        <w:t>For question 1</w:t>
      </w:r>
      <w:r w:rsidR="00042FD4">
        <w:t xml:space="preserve">6, some possible answers may include </w:t>
      </w:r>
      <w:r w:rsidR="00042FD4">
        <w:rPr>
          <w:i/>
        </w:rPr>
        <w:t xml:space="preserve">less writing, didn’t </w:t>
      </w:r>
      <w:r w:rsidR="00042FD4">
        <w:rPr>
          <w:i/>
        </w:rPr>
        <w:lastRenderedPageBreak/>
        <w:t xml:space="preserve">have to follow strict structure, </w:t>
      </w:r>
      <w:r w:rsidR="00FE7B9A">
        <w:rPr>
          <w:i/>
        </w:rPr>
        <w:t xml:space="preserve">punctuation </w:t>
      </w:r>
      <w:r w:rsidR="00FE7B9A">
        <w:t xml:space="preserve">and </w:t>
      </w:r>
      <w:r w:rsidR="00FE7B9A">
        <w:rPr>
          <w:i/>
        </w:rPr>
        <w:t>spelling</w:t>
      </w:r>
      <w:r w:rsidR="00FE7B9A">
        <w:t xml:space="preserve">. </w:t>
      </w:r>
      <w:r w:rsidR="00A22A26">
        <w:t xml:space="preserve">This qualitative data will be organised into groups dependant on the answers. </w:t>
      </w:r>
      <w:r w:rsidR="00C83B8D">
        <w:t xml:space="preserve">Although, as mentioned by </w:t>
      </w:r>
      <w:r w:rsidR="00C83B8D" w:rsidRPr="0068376F">
        <w:t>Cohen, Manion and Morrison</w:t>
      </w:r>
      <w:r w:rsidR="00C83B8D">
        <w:t xml:space="preserve"> (</w:t>
      </w:r>
      <w:r w:rsidR="00C83B8D" w:rsidRPr="0068376F">
        <w:t>2018</w:t>
      </w:r>
      <w:r w:rsidR="00C83B8D">
        <w:t>), such data grouping may neglect the integrity and uniqueness of an individual participant’s responses to a collective summary, it does, nonetheless provide a useful method of summarising responses.</w:t>
      </w:r>
      <w:r w:rsidR="00A26E9B">
        <w:t xml:space="preserve"> To also ensure the data does not become </w:t>
      </w:r>
      <w:r w:rsidR="00C61C72">
        <w:t>decontextualized</w:t>
      </w:r>
      <w:r w:rsidR="00A26E9B">
        <w:t>, all</w:t>
      </w:r>
      <w:r w:rsidR="00C61C72">
        <w:t xml:space="preserve"> preceding answers before the</w:t>
      </w:r>
      <w:r w:rsidR="00A26E9B">
        <w:t xml:space="preserve"> qualitative </w:t>
      </w:r>
      <w:r w:rsidR="00C61C72">
        <w:t>responses</w:t>
      </w:r>
      <w:r w:rsidR="00A26E9B">
        <w:t xml:space="preserve"> will be </w:t>
      </w:r>
      <w:r w:rsidR="00C61C72">
        <w:t>consulted for patterns</w:t>
      </w:r>
      <w:r w:rsidR="00F30A87">
        <w:t xml:space="preserve"> (</w:t>
      </w:r>
      <w:r w:rsidR="00F30A87" w:rsidRPr="0068376F">
        <w:t>Cohen, Manion and Morrison</w:t>
      </w:r>
      <w:r w:rsidR="00F30A87">
        <w:t xml:space="preserve">, </w:t>
      </w:r>
      <w:r w:rsidR="00F30A87" w:rsidRPr="0068376F">
        <w:t>2018</w:t>
      </w:r>
      <w:r w:rsidR="00F30A87">
        <w:t>).</w:t>
      </w:r>
      <w:r w:rsidR="00CC0C79">
        <w:t xml:space="preserve"> </w:t>
      </w:r>
    </w:p>
    <w:p w14:paraId="1BC068CF" w14:textId="7B2534B6" w:rsidR="00CC0C79" w:rsidRDefault="00CC0C79" w:rsidP="00B2078B">
      <w:pPr>
        <w:spacing w:line="480" w:lineRule="auto"/>
      </w:pPr>
      <w:r>
        <w:tab/>
        <w:t xml:space="preserve">With regards to the </w:t>
      </w:r>
      <w:r w:rsidR="00D00D5B">
        <w:t>quantitative</w:t>
      </w:r>
      <w:r>
        <w:t xml:space="preserve"> data analysis</w:t>
      </w:r>
      <w:r w:rsidR="00D47BEF">
        <w:t xml:space="preserve">, </w:t>
      </w:r>
      <w:r w:rsidR="00DB00B2">
        <w:t>the</w:t>
      </w:r>
      <w:r w:rsidR="00D47BEF">
        <w:t xml:space="preserve"> data will be </w:t>
      </w:r>
      <w:r w:rsidR="00132E12">
        <w:t xml:space="preserve">used to </w:t>
      </w:r>
      <w:r w:rsidR="00C769D0">
        <w:t xml:space="preserve">collate and </w:t>
      </w:r>
      <w:r w:rsidR="00132E12">
        <w:t>present a scaled response to the data analysis in order to account for proportions (</w:t>
      </w:r>
      <w:r w:rsidR="00132E12" w:rsidRPr="0068376F">
        <w:t>Cohen, Manion and Morrison</w:t>
      </w:r>
      <w:r w:rsidR="00132E12">
        <w:t xml:space="preserve">, </w:t>
      </w:r>
      <w:r w:rsidR="00132E12" w:rsidRPr="0068376F">
        <w:t>2018</w:t>
      </w:r>
      <w:r w:rsidR="00132E12">
        <w:t>). The questions employing the rating scale as its measure which provide ordinal data will also be analysed</w:t>
      </w:r>
      <w:r w:rsidR="00DB7131">
        <w:t xml:space="preserve"> using Google Forms which presents the data </w:t>
      </w:r>
      <w:r w:rsidR="008D2B2E">
        <w:t xml:space="preserve">in an easily readable format. </w:t>
      </w:r>
      <w:r w:rsidR="00A306F0">
        <w:t xml:space="preserve">No further significance or statistical tests are to be employed. </w:t>
      </w:r>
    </w:p>
    <w:p w14:paraId="5D6435DB" w14:textId="6AC82A29" w:rsidR="00DB00B2" w:rsidRDefault="00DB00B2" w:rsidP="00B2078B">
      <w:pPr>
        <w:spacing w:line="480" w:lineRule="auto"/>
      </w:pPr>
      <w:r>
        <w:tab/>
        <w:t>A potential limitation of this enquiry is its reliance on gathering the data across a single data capture, as oppo</w:t>
      </w:r>
      <w:r w:rsidR="004B19E1">
        <w:t xml:space="preserve">sed to leading, </w:t>
      </w:r>
      <w:r>
        <w:t xml:space="preserve">either a comparative or a longitudinal study. </w:t>
      </w:r>
      <w:r w:rsidR="004B19E1">
        <w:t xml:space="preserve">This is something the research may potentially focus upon in </w:t>
      </w:r>
      <w:r w:rsidR="002049F4">
        <w:t xml:space="preserve">the </w:t>
      </w:r>
      <w:r w:rsidR="00574620">
        <w:t>future as the gathering of</w:t>
      </w:r>
      <w:r w:rsidR="004B19E1">
        <w:t xml:space="preserve"> larger-scale data alongside coded comparative data would allow to present a </w:t>
      </w:r>
      <w:r w:rsidR="00574620">
        <w:t xml:space="preserve">more comprehensive interpretation of the question at hand. </w:t>
      </w:r>
    </w:p>
    <w:p w14:paraId="237C485E" w14:textId="6750D5F3" w:rsidR="000526DA" w:rsidRPr="006E66E7" w:rsidRDefault="000526DA" w:rsidP="000526DA">
      <w:pPr>
        <w:pStyle w:val="Heading1"/>
        <w:rPr>
          <w:color w:val="000000" w:themeColor="text1"/>
        </w:rPr>
      </w:pPr>
      <w:bookmarkStart w:id="7" w:name="_Toc5809613"/>
      <w:r w:rsidRPr="006E66E7">
        <w:rPr>
          <w:color w:val="000000" w:themeColor="text1"/>
        </w:rPr>
        <w:t>Conclusion</w:t>
      </w:r>
      <w:bookmarkEnd w:id="7"/>
    </w:p>
    <w:p w14:paraId="68055982" w14:textId="30359AA5" w:rsidR="000526DA" w:rsidRPr="000526DA" w:rsidRDefault="000526DA" w:rsidP="000526DA">
      <w:pPr>
        <w:spacing w:line="480" w:lineRule="auto"/>
        <w:ind w:firstLine="720"/>
      </w:pPr>
      <w:r>
        <w:t xml:space="preserve">This paper has detailed a research enquiry which proposes a way away </w:t>
      </w:r>
      <w:r w:rsidR="00DC3B61">
        <w:t>and some</w:t>
      </w:r>
      <w:r>
        <w:t xml:space="preserve"> perhaps </w:t>
      </w:r>
      <w:r w:rsidR="00DC3B61">
        <w:t xml:space="preserve">a </w:t>
      </w:r>
      <w:r>
        <w:t xml:space="preserve">way forward from the misconceptions the term </w:t>
      </w:r>
      <w:r>
        <w:rPr>
          <w:i/>
        </w:rPr>
        <w:t>formative assessment</w:t>
      </w:r>
      <w:r>
        <w:t xml:space="preserve"> carries with it and proposed an alternative in how to formatively assess pupils’ progress. </w:t>
      </w:r>
      <w:r w:rsidR="00C769D0">
        <w:t xml:space="preserve">Although, some may argue </w:t>
      </w:r>
      <w:r w:rsidR="006706C0">
        <w:t xml:space="preserve">that an assessment styled in a questionnaire format may </w:t>
      </w:r>
      <w:r w:rsidR="00071BBC">
        <w:t>disillusion and falsely</w:t>
      </w:r>
      <w:r w:rsidR="006706C0">
        <w:t xml:space="preserve"> prepare the learners </w:t>
      </w:r>
      <w:r w:rsidR="00CB64BE">
        <w:t>for exams as summative assessments</w:t>
      </w:r>
      <w:r w:rsidR="006706C0">
        <w:t xml:space="preserve"> </w:t>
      </w:r>
      <w:r w:rsidR="00CB64BE">
        <w:t>in</w:t>
      </w:r>
      <w:r w:rsidR="006706C0">
        <w:t xml:space="preserve"> </w:t>
      </w:r>
      <w:r w:rsidR="00CB64BE">
        <w:t>word-heavy</w:t>
      </w:r>
      <w:r w:rsidR="00071BBC">
        <w:t xml:space="preserve"> subjects require pupils to </w:t>
      </w:r>
      <w:r w:rsidR="002A20BE">
        <w:t>produce extended responses</w:t>
      </w:r>
      <w:r w:rsidR="00377454">
        <w:t>, this paper has argued that it is t</w:t>
      </w:r>
      <w:r w:rsidR="00C82C45">
        <w:t>his dichotomy</w:t>
      </w:r>
      <w:r w:rsidR="00991C1F">
        <w:t xml:space="preserve">, </w:t>
      </w:r>
      <w:r w:rsidR="00991C1F">
        <w:lastRenderedPageBreak/>
        <w:t>alongside other reasons detailed above,</w:t>
      </w:r>
      <w:r w:rsidR="00C82C45">
        <w:t xml:space="preserve"> </w:t>
      </w:r>
      <w:r w:rsidR="00377454">
        <w:t>that are</w:t>
      </w:r>
      <w:r w:rsidR="00991C1F">
        <w:t xml:space="preserve"> responsible for the confus</w:t>
      </w:r>
      <w:r w:rsidR="00290507">
        <w:t xml:space="preserve">ion the term has had to endure in its interpretation. </w:t>
      </w:r>
    </w:p>
    <w:p w14:paraId="78AFB003" w14:textId="44FD0D72" w:rsidR="00FA5FB0" w:rsidRPr="00FA5FB0" w:rsidRDefault="00FA5FB0" w:rsidP="0083469B">
      <w:pPr>
        <w:spacing w:line="360" w:lineRule="auto"/>
      </w:pPr>
    </w:p>
    <w:p w14:paraId="742733EE" w14:textId="2E6542C9" w:rsidR="00EB4341" w:rsidRDefault="00EB4341" w:rsidP="000F332B">
      <w:pPr>
        <w:spacing w:line="360" w:lineRule="auto"/>
      </w:pPr>
    </w:p>
    <w:p w14:paraId="7DBFE4B2" w14:textId="45B56C09" w:rsidR="000F332B" w:rsidRDefault="000F332B" w:rsidP="000F332B">
      <w:pPr>
        <w:spacing w:line="360" w:lineRule="auto"/>
      </w:pPr>
    </w:p>
    <w:p w14:paraId="6684ADAE" w14:textId="20BD62AE" w:rsidR="00E82A3C" w:rsidRDefault="00E82A3C">
      <w:pPr>
        <w:rPr>
          <w:rFonts w:asciiTheme="majorHAnsi" w:eastAsiaTheme="majorEastAsia" w:hAnsiTheme="majorHAnsi" w:cstheme="majorBidi"/>
          <w:color w:val="2F5496" w:themeColor="accent1" w:themeShade="BF"/>
          <w:sz w:val="32"/>
          <w:szCs w:val="32"/>
        </w:rPr>
      </w:pPr>
      <w:r>
        <w:br w:type="page"/>
      </w:r>
    </w:p>
    <w:p w14:paraId="1DE2AC3C" w14:textId="60D9A382" w:rsidR="00EB4341" w:rsidRPr="006E66E7" w:rsidRDefault="00EB4341" w:rsidP="00C310E0">
      <w:pPr>
        <w:pStyle w:val="Heading1"/>
        <w:rPr>
          <w:color w:val="000000" w:themeColor="text1"/>
        </w:rPr>
      </w:pPr>
      <w:bookmarkStart w:id="8" w:name="_Toc5809614"/>
      <w:r w:rsidRPr="006E66E7">
        <w:rPr>
          <w:color w:val="000000" w:themeColor="text1"/>
        </w:rPr>
        <w:lastRenderedPageBreak/>
        <w:t>Reference List</w:t>
      </w:r>
      <w:bookmarkEnd w:id="8"/>
    </w:p>
    <w:p w14:paraId="3418C0A9" w14:textId="77777777" w:rsidR="00D36AD5" w:rsidRDefault="00D36AD5" w:rsidP="000F332B">
      <w:pPr>
        <w:spacing w:line="240" w:lineRule="auto"/>
        <w:ind w:left="720" w:hanging="720"/>
      </w:pPr>
      <w:r w:rsidRPr="007B498B">
        <w:t>Bennett, R. (2010). Cognitively Based Assessment of, for, and as Learning (CBAL): A Preliminary Theory of Action for Summative and Formative Assessment. Measurement: Interdisciplinary Research &amp; Perspective, 8(2-3), pp.70-91.</w:t>
      </w:r>
    </w:p>
    <w:p w14:paraId="34A3D0E9" w14:textId="77777777" w:rsidR="00D36AD5" w:rsidRDefault="00D36AD5" w:rsidP="000F332B">
      <w:pPr>
        <w:spacing w:line="240" w:lineRule="auto"/>
        <w:ind w:left="720" w:hanging="720"/>
      </w:pPr>
      <w:r w:rsidRPr="007B498B">
        <w:t>Bennett, R. (2011). Formative assessment: a critical review. Assessment in Education: Principles, Policy &amp; Practice, 18(1), pp.5-25.</w:t>
      </w:r>
    </w:p>
    <w:p w14:paraId="0B92595B" w14:textId="77777777" w:rsidR="00D36AD5" w:rsidRDefault="00D36AD5" w:rsidP="000F332B">
      <w:pPr>
        <w:spacing w:line="240" w:lineRule="auto"/>
        <w:ind w:left="720" w:hanging="720"/>
      </w:pPr>
      <w:r w:rsidRPr="00AA563C">
        <w:t xml:space="preserve">Bramham, C.R. and </w:t>
      </w:r>
      <w:proofErr w:type="spellStart"/>
      <w:r w:rsidRPr="00AA563C">
        <w:t>Messaoudi</w:t>
      </w:r>
      <w:proofErr w:type="spellEnd"/>
      <w:r w:rsidRPr="00AA563C">
        <w:t>, E., 2005. BDNF function in adult synaptic plasticity: the synaptic consolidation hypothesis. Progress in neurobiology, 76(2), pp.99-125.</w:t>
      </w:r>
    </w:p>
    <w:p w14:paraId="087AC251" w14:textId="77777777" w:rsidR="00D36AD5" w:rsidRDefault="00D36AD5" w:rsidP="000F332B">
      <w:pPr>
        <w:spacing w:line="240" w:lineRule="auto"/>
        <w:ind w:left="720" w:hanging="720"/>
      </w:pPr>
      <w:r w:rsidRPr="00422852">
        <w:t>Carlo, M.S., August, D., McLaughlin, B., Snow, C.E., Dressler, C., Lippman, D.N., Lively, T.J. and White, C.E., 2004. Closing the gap: Addressing the vocabulary needs of English‐language learners in bilingual and mainstream classrooms. Reading Research Quarterly, 39(2), pp.188-215.</w:t>
      </w:r>
    </w:p>
    <w:p w14:paraId="687D5120" w14:textId="77777777" w:rsidR="00D36AD5" w:rsidRDefault="00D36AD5" w:rsidP="000F332B">
      <w:pPr>
        <w:spacing w:line="240" w:lineRule="auto"/>
      </w:pPr>
      <w:r w:rsidRPr="00C310E0">
        <w:t>Christodoulou, D. (2014). Seven Myths About Education. Hoboken: Taylor and Francis.</w:t>
      </w:r>
    </w:p>
    <w:p w14:paraId="2A9E1F34" w14:textId="77777777" w:rsidR="00D36AD5" w:rsidRDefault="00D36AD5" w:rsidP="000F332B">
      <w:pPr>
        <w:spacing w:line="240" w:lineRule="auto"/>
        <w:ind w:left="720" w:hanging="720"/>
      </w:pPr>
      <w:r w:rsidRPr="00C310E0">
        <w:t>Christodoulou, D. (2016). Making Good Progress? The future of Assessment for Learning. London: Oxford University Press.</w:t>
      </w:r>
    </w:p>
    <w:p w14:paraId="0F1FDAEC" w14:textId="77777777" w:rsidR="00D36AD5" w:rsidRDefault="00D36AD5" w:rsidP="000F332B">
      <w:pPr>
        <w:spacing w:line="240" w:lineRule="auto"/>
        <w:ind w:left="720" w:hanging="720"/>
      </w:pPr>
      <w:r w:rsidRPr="0068376F">
        <w:t>Cohen, L., Manion, L. and Morrison, K. (2018). Research methods in education. London: Routledge, Taylor and Francis group.</w:t>
      </w:r>
    </w:p>
    <w:p w14:paraId="541E38B8" w14:textId="77777777" w:rsidR="00D36AD5" w:rsidRPr="00C310E0" w:rsidRDefault="00D36AD5" w:rsidP="000F332B">
      <w:pPr>
        <w:spacing w:line="240" w:lineRule="auto"/>
        <w:ind w:left="720" w:hanging="720"/>
      </w:pPr>
      <w:r w:rsidRPr="00D33D87">
        <w:t>Fletcher-Wood, H. (2018). Responsive teaching. Abingdon, Oxon: Routledge.</w:t>
      </w:r>
    </w:p>
    <w:p w14:paraId="2672D266" w14:textId="77777777" w:rsidR="00D36AD5" w:rsidRDefault="00D36AD5" w:rsidP="000F332B">
      <w:pPr>
        <w:spacing w:line="240" w:lineRule="auto"/>
        <w:ind w:left="720" w:hanging="720"/>
      </w:pPr>
      <w:proofErr w:type="spellStart"/>
      <w:r w:rsidRPr="006565EB">
        <w:t>Kozulin</w:t>
      </w:r>
      <w:proofErr w:type="spellEnd"/>
      <w:r w:rsidRPr="006565EB">
        <w:t xml:space="preserve">, A., </w:t>
      </w:r>
      <w:proofErr w:type="spellStart"/>
      <w:r w:rsidRPr="006565EB">
        <w:t>Gindis</w:t>
      </w:r>
      <w:proofErr w:type="spellEnd"/>
      <w:r w:rsidRPr="006565EB">
        <w:t xml:space="preserve">, B., </w:t>
      </w:r>
      <w:proofErr w:type="spellStart"/>
      <w:r w:rsidRPr="006565EB">
        <w:t>Ageyev</w:t>
      </w:r>
      <w:proofErr w:type="spellEnd"/>
      <w:r w:rsidRPr="006565EB">
        <w:t>, V.S. and Miller, S.M. eds., 2003. Vygotsky's educational theory in cultural context. Cambridge University Press.</w:t>
      </w:r>
    </w:p>
    <w:p w14:paraId="1DFE4795" w14:textId="77777777" w:rsidR="00D36AD5" w:rsidRDefault="00D36AD5" w:rsidP="00860196">
      <w:pPr>
        <w:spacing w:line="240" w:lineRule="auto"/>
        <w:ind w:left="720" w:hanging="720"/>
      </w:pPr>
      <w:proofErr w:type="spellStart"/>
      <w:r w:rsidRPr="005A65A9">
        <w:t>Learning.gov.wales</w:t>
      </w:r>
      <w:proofErr w:type="spellEnd"/>
      <w:r w:rsidRPr="005A65A9">
        <w:t>. (2019). [online] Available at: https://learning.gov.wales/docs/learningwales/publications/150814-effective-use-of-data-en.pdf [Accessed 6 Apr. 2019].</w:t>
      </w:r>
    </w:p>
    <w:p w14:paraId="3F0CDF45" w14:textId="77777777" w:rsidR="00D36AD5" w:rsidRDefault="00D36AD5" w:rsidP="000F332B">
      <w:pPr>
        <w:spacing w:line="240" w:lineRule="auto"/>
        <w:ind w:left="720" w:hanging="720"/>
      </w:pPr>
      <w:r w:rsidRPr="009052BE">
        <w:t>Lin, A.C., 1998. Bridging positivist and interpretivist approaches to qualitative methods. Policy studies journal, 26(1), pp.162-180.</w:t>
      </w:r>
    </w:p>
    <w:p w14:paraId="6BDE201F" w14:textId="77777777" w:rsidR="00D36AD5" w:rsidRDefault="00D36AD5" w:rsidP="000F332B">
      <w:pPr>
        <w:spacing w:line="240" w:lineRule="auto"/>
        <w:ind w:left="720" w:hanging="720"/>
      </w:pPr>
      <w:r w:rsidRPr="005601BB">
        <w:t xml:space="preserve">Malott, R., 2015. Principles of </w:t>
      </w:r>
      <w:proofErr w:type="spellStart"/>
      <w:r w:rsidRPr="005601BB">
        <w:t>behavior</w:t>
      </w:r>
      <w:proofErr w:type="spellEnd"/>
      <w:r w:rsidRPr="005601BB">
        <w:t>. Psychology Press.</w:t>
      </w:r>
    </w:p>
    <w:p w14:paraId="43833F18" w14:textId="77777777" w:rsidR="00D36AD5" w:rsidRDefault="00D36AD5" w:rsidP="00860196">
      <w:pPr>
        <w:spacing w:line="240" w:lineRule="auto"/>
        <w:ind w:left="720" w:hanging="720"/>
      </w:pPr>
      <w:r w:rsidRPr="0083469B">
        <w:t>Schwandt, T.A., 1994. Constructivist, interpretivist approaches to human inquiry. Handbook of qualitative research, 1, pp.118-137.</w:t>
      </w:r>
    </w:p>
    <w:p w14:paraId="1D18630C" w14:textId="77777777" w:rsidR="00D36AD5" w:rsidRDefault="00D36AD5" w:rsidP="00860196">
      <w:pPr>
        <w:spacing w:line="240" w:lineRule="auto"/>
        <w:ind w:left="720" w:hanging="720"/>
      </w:pPr>
      <w:r w:rsidRPr="000A088F">
        <w:t>Torrance, H. and Pryor, J. (2001). Developing Formative Assessment in the Classroom: Using action research to explore and modify theory. British Educational Research Journal, 27(5), pp.615-631.</w:t>
      </w:r>
    </w:p>
    <w:p w14:paraId="4B9C8958" w14:textId="77777777" w:rsidR="00D36AD5" w:rsidRDefault="00D36AD5" w:rsidP="00860196">
      <w:pPr>
        <w:spacing w:line="240" w:lineRule="auto"/>
        <w:ind w:left="720" w:hanging="720"/>
      </w:pPr>
      <w:proofErr w:type="spellStart"/>
      <w:r w:rsidRPr="00396CB1">
        <w:t>Wiliam</w:t>
      </w:r>
      <w:proofErr w:type="spellEnd"/>
      <w:r w:rsidRPr="00396CB1">
        <w:t>, D. (2011). Embedded formative assessment. Bloomington: Solution Tree Press.</w:t>
      </w:r>
    </w:p>
    <w:p w14:paraId="4F4DC178" w14:textId="77777777" w:rsidR="00D36AD5" w:rsidRDefault="00D36AD5" w:rsidP="00860196">
      <w:pPr>
        <w:spacing w:line="240" w:lineRule="auto"/>
        <w:ind w:left="720" w:hanging="720"/>
      </w:pPr>
      <w:r w:rsidRPr="00071002">
        <w:t>Yu, H. and Li, H. (2014). Group-based Formative Assessment: A Successful Way to Make Summative Assessment Effective. Theory and Practice in Language Studies, 4(4).</w:t>
      </w:r>
    </w:p>
    <w:p w14:paraId="754F7080" w14:textId="77777777" w:rsidR="00E47924" w:rsidRDefault="00E47924">
      <w:r>
        <w:br w:type="page"/>
      </w:r>
    </w:p>
    <w:p w14:paraId="3A724BAD" w14:textId="2C1F6E40" w:rsidR="005A65A9" w:rsidRPr="006E66E7" w:rsidRDefault="00C84516" w:rsidP="00C84516">
      <w:pPr>
        <w:pStyle w:val="Heading1"/>
        <w:rPr>
          <w:color w:val="000000" w:themeColor="text1"/>
        </w:rPr>
      </w:pPr>
      <w:bookmarkStart w:id="9" w:name="_Toc5809615"/>
      <w:r w:rsidRPr="006E66E7">
        <w:rPr>
          <w:color w:val="000000" w:themeColor="text1"/>
        </w:rPr>
        <w:lastRenderedPageBreak/>
        <w:t>Appendices</w:t>
      </w:r>
      <w:bookmarkEnd w:id="9"/>
    </w:p>
    <w:p w14:paraId="4CD5509C" w14:textId="1512F765" w:rsidR="00C84516" w:rsidRPr="006E66E7" w:rsidRDefault="00286C88" w:rsidP="00043E08">
      <w:pPr>
        <w:pStyle w:val="Heading2"/>
        <w:jc w:val="center"/>
        <w:rPr>
          <w:color w:val="000000" w:themeColor="text1"/>
        </w:rPr>
      </w:pPr>
      <w:bookmarkStart w:id="10" w:name="_Toc5809616"/>
      <w:r w:rsidRPr="006E66E7">
        <w:rPr>
          <w:i/>
          <w:color w:val="000000" w:themeColor="text1"/>
        </w:rPr>
        <w:t>Appendix</w:t>
      </w:r>
      <w:r w:rsidRPr="006E66E7">
        <w:rPr>
          <w:color w:val="000000" w:themeColor="text1"/>
        </w:rPr>
        <w:t xml:space="preserve"> </w:t>
      </w:r>
      <w:r w:rsidRPr="006E66E7">
        <w:rPr>
          <w:i/>
          <w:color w:val="000000" w:themeColor="text1"/>
        </w:rPr>
        <w:t>1.</w:t>
      </w:r>
      <w:bookmarkEnd w:id="10"/>
    </w:p>
    <w:p w14:paraId="2B2467DA" w14:textId="0D912577" w:rsidR="00E64303" w:rsidRDefault="00286C88" w:rsidP="00286C88">
      <w:pPr>
        <w:jc w:val="center"/>
      </w:pPr>
      <w:r>
        <w:rPr>
          <w:noProof/>
          <w:lang w:eastAsia="en-GB"/>
        </w:rPr>
        <w:drawing>
          <wp:inline distT="0" distB="0" distL="0" distR="0" wp14:anchorId="5F734529" wp14:editId="25A5FE74">
            <wp:extent cx="5724525" cy="8105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1457039A" w14:textId="1A1201D5" w:rsidR="00286C88" w:rsidRDefault="00043E08" w:rsidP="00286C88">
      <w:pPr>
        <w:jc w:val="center"/>
      </w:pPr>
      <w:r>
        <w:rPr>
          <w:noProof/>
          <w:lang w:eastAsia="en-GB"/>
        </w:rPr>
        <w:lastRenderedPageBreak/>
        <w:drawing>
          <wp:inline distT="0" distB="0" distL="0" distR="0" wp14:anchorId="303AAE5E" wp14:editId="5B31EDF4">
            <wp:extent cx="5724525" cy="8105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3FDD164E" w14:textId="1FAD8495" w:rsidR="00043E08" w:rsidRDefault="00043E08" w:rsidP="00286C88">
      <w:pPr>
        <w:jc w:val="center"/>
      </w:pPr>
    </w:p>
    <w:p w14:paraId="5EC3FE3A" w14:textId="1FFCD675" w:rsidR="00043E08" w:rsidRDefault="00043E08" w:rsidP="00286C88">
      <w:pPr>
        <w:jc w:val="center"/>
      </w:pPr>
    </w:p>
    <w:p w14:paraId="41BC02BF" w14:textId="6E8C006E" w:rsidR="00043E08" w:rsidRDefault="00043E08" w:rsidP="00286C88">
      <w:pPr>
        <w:jc w:val="center"/>
      </w:pPr>
      <w:r>
        <w:rPr>
          <w:noProof/>
          <w:lang w:eastAsia="en-GB"/>
        </w:rPr>
        <w:lastRenderedPageBreak/>
        <w:drawing>
          <wp:inline distT="0" distB="0" distL="0" distR="0" wp14:anchorId="38C1CFCA" wp14:editId="7A64CBCC">
            <wp:extent cx="5724525" cy="8105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p>
    <w:p w14:paraId="0BF97739" w14:textId="7C5F7189" w:rsidR="001D78FC" w:rsidRDefault="001D78FC" w:rsidP="00286C88">
      <w:pPr>
        <w:jc w:val="center"/>
      </w:pPr>
    </w:p>
    <w:p w14:paraId="74939EEF" w14:textId="5E4534ED" w:rsidR="001D78FC" w:rsidRDefault="001D78FC" w:rsidP="00286C88">
      <w:pPr>
        <w:jc w:val="center"/>
      </w:pPr>
    </w:p>
    <w:p w14:paraId="1555374E" w14:textId="4884AECE" w:rsidR="001D78FC" w:rsidRPr="00286C88" w:rsidRDefault="001D78FC" w:rsidP="00A37034">
      <w:pPr>
        <w:pStyle w:val="Heading2"/>
        <w:jc w:val="center"/>
      </w:pPr>
      <w:bookmarkStart w:id="11" w:name="_Toc5809617"/>
      <w:r w:rsidRPr="006E66E7">
        <w:rPr>
          <w:i/>
          <w:color w:val="000000" w:themeColor="text1"/>
        </w:rPr>
        <w:lastRenderedPageBreak/>
        <w:t>Appendix 2.</w:t>
      </w:r>
      <w:r w:rsidR="00BC655F" w:rsidRPr="006E66E7">
        <w:rPr>
          <w:noProof/>
          <w:color w:val="000000" w:themeColor="text1"/>
        </w:rPr>
        <w:t xml:space="preserve"> </w:t>
      </w:r>
      <w:r w:rsidR="00BC655F">
        <w:rPr>
          <w:noProof/>
        </w:rPr>
        <w:drawing>
          <wp:inline distT="0" distB="0" distL="0" distR="0" wp14:anchorId="2D5E1309" wp14:editId="57993FFB">
            <wp:extent cx="5731510" cy="8102184"/>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102184"/>
                    </a:xfrm>
                    <a:prstGeom prst="rect">
                      <a:avLst/>
                    </a:prstGeom>
                    <a:noFill/>
                    <a:ln>
                      <a:noFill/>
                    </a:ln>
                  </pic:spPr>
                </pic:pic>
              </a:graphicData>
            </a:graphic>
          </wp:inline>
        </w:drawing>
      </w:r>
      <w:bookmarkEnd w:id="11"/>
    </w:p>
    <w:p w14:paraId="200C5CEA" w14:textId="0655F166" w:rsidR="001D78FC" w:rsidRDefault="00BC655F" w:rsidP="00286C88">
      <w:pPr>
        <w:jc w:val="center"/>
      </w:pPr>
      <w:r>
        <w:rPr>
          <w:noProof/>
        </w:rPr>
        <w:lastRenderedPageBreak/>
        <w:drawing>
          <wp:inline distT="0" distB="0" distL="0" distR="0" wp14:anchorId="5E0E98A2" wp14:editId="26EE7ACA">
            <wp:extent cx="5734050" cy="81057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22EF0551" wp14:editId="0E5563CA">
            <wp:extent cx="5734050" cy="81057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3772C122" wp14:editId="3C881C89">
            <wp:extent cx="5734050" cy="81057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6D1BA600" wp14:editId="565B99ED">
            <wp:extent cx="5734050" cy="81057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13C19BD3" wp14:editId="583C9323">
            <wp:extent cx="5734050" cy="81057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4FF63B69" wp14:editId="0CF09636">
            <wp:extent cx="5734050" cy="81057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27DAEC23" wp14:editId="7D7F7C6B">
            <wp:extent cx="5734050" cy="81057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70353482" wp14:editId="3CD29DE2">
            <wp:extent cx="5734050" cy="81057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5526040D" wp14:editId="71CCBA81">
            <wp:extent cx="5734050" cy="81057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51ADF8B0" wp14:editId="7EBB4DB9">
            <wp:extent cx="5734050" cy="81057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00423024" wp14:editId="0CD9EC1A">
            <wp:extent cx="5734050" cy="81057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5845B2AC" wp14:editId="55194949">
            <wp:extent cx="5734050" cy="81057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r>
        <w:rPr>
          <w:noProof/>
        </w:rPr>
        <w:lastRenderedPageBreak/>
        <w:drawing>
          <wp:inline distT="0" distB="0" distL="0" distR="0" wp14:anchorId="54CCE9D8" wp14:editId="32924F66">
            <wp:extent cx="5734050" cy="81057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4050" cy="8105775"/>
                    </a:xfrm>
                    <a:prstGeom prst="rect">
                      <a:avLst/>
                    </a:prstGeom>
                    <a:noFill/>
                    <a:ln>
                      <a:noFill/>
                    </a:ln>
                  </pic:spPr>
                </pic:pic>
              </a:graphicData>
            </a:graphic>
          </wp:inline>
        </w:drawing>
      </w:r>
    </w:p>
    <w:p w14:paraId="2A1A936C" w14:textId="52958605" w:rsidR="008D7B68" w:rsidRDefault="008D7B68" w:rsidP="00286C88">
      <w:pPr>
        <w:jc w:val="center"/>
      </w:pPr>
    </w:p>
    <w:p w14:paraId="4D435B70" w14:textId="2C17A790" w:rsidR="008D7B68" w:rsidRDefault="008D7B68" w:rsidP="00286C88">
      <w:pPr>
        <w:jc w:val="center"/>
      </w:pPr>
    </w:p>
    <w:p w14:paraId="22840AEB" w14:textId="438D4FB5" w:rsidR="008D7B68" w:rsidRPr="006E66E7" w:rsidRDefault="008D7B68" w:rsidP="008D7B68">
      <w:pPr>
        <w:pStyle w:val="Heading1"/>
        <w:rPr>
          <w:color w:val="000000" w:themeColor="text1"/>
        </w:rPr>
      </w:pPr>
      <w:bookmarkStart w:id="12" w:name="_Toc5809618"/>
      <w:r w:rsidRPr="006E66E7">
        <w:rPr>
          <w:color w:val="000000" w:themeColor="text1"/>
        </w:rPr>
        <w:lastRenderedPageBreak/>
        <w:t xml:space="preserve">Part 2 – </w:t>
      </w:r>
      <w:r w:rsidR="009E2CF9" w:rsidRPr="006E66E7">
        <w:rPr>
          <w:color w:val="000000" w:themeColor="text1"/>
        </w:rPr>
        <w:t xml:space="preserve">Link to </w:t>
      </w:r>
      <w:r w:rsidRPr="006E66E7">
        <w:rPr>
          <w:color w:val="000000" w:themeColor="text1"/>
        </w:rPr>
        <w:t>Ethics Presentation</w:t>
      </w:r>
      <w:bookmarkEnd w:id="12"/>
    </w:p>
    <w:p w14:paraId="1F37BDD4" w14:textId="387A3725" w:rsidR="00921301" w:rsidRDefault="00921301" w:rsidP="00921301"/>
    <w:p w14:paraId="43A26B12" w14:textId="0A492AF9" w:rsidR="00921301" w:rsidRDefault="00921301" w:rsidP="00921301">
      <w:r>
        <w:t>The link to the video is as follows:</w:t>
      </w:r>
    </w:p>
    <w:p w14:paraId="3402464F" w14:textId="671ED2A7" w:rsidR="00921301" w:rsidRPr="006E66E7" w:rsidRDefault="00921301" w:rsidP="00921301">
      <w:pPr>
        <w:rPr>
          <w:color w:val="000000" w:themeColor="text1"/>
        </w:rPr>
      </w:pPr>
      <w:hyperlink r:id="rId25" w:history="1">
        <w:r w:rsidRPr="006E66E7">
          <w:rPr>
            <w:rStyle w:val="Hyperlink"/>
            <w:color w:val="000000" w:themeColor="text1"/>
          </w:rPr>
          <w:t>https://youtu.be/McU7K31ttEg</w:t>
        </w:r>
      </w:hyperlink>
      <w:r w:rsidRPr="006E66E7">
        <w:rPr>
          <w:color w:val="000000" w:themeColor="text1"/>
        </w:rPr>
        <w:t xml:space="preserve"> </w:t>
      </w:r>
      <w:bookmarkStart w:id="13" w:name="_GoBack"/>
      <w:bookmarkEnd w:id="13"/>
    </w:p>
    <w:sectPr w:rsidR="00921301" w:rsidRPr="006E66E7" w:rsidSect="009B392A">
      <w:headerReference w:type="default" r:id="rId26"/>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6D04EF" w14:textId="77777777" w:rsidR="00B0176C" w:rsidRDefault="00B0176C" w:rsidP="00790DB3">
      <w:pPr>
        <w:spacing w:after="0" w:line="240" w:lineRule="auto"/>
      </w:pPr>
      <w:r>
        <w:separator/>
      </w:r>
    </w:p>
  </w:endnote>
  <w:endnote w:type="continuationSeparator" w:id="0">
    <w:p w14:paraId="6A2656BB" w14:textId="77777777" w:rsidR="00B0176C" w:rsidRDefault="00B0176C" w:rsidP="00790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7320049"/>
      <w:docPartObj>
        <w:docPartGallery w:val="Page Numbers (Bottom of Page)"/>
        <w:docPartUnique/>
      </w:docPartObj>
    </w:sdtPr>
    <w:sdtEndPr>
      <w:rPr>
        <w:noProof/>
      </w:rPr>
    </w:sdtEndPr>
    <w:sdtContent>
      <w:p w14:paraId="6ADC0740" w14:textId="7DA62818" w:rsidR="00790DB3" w:rsidRDefault="00790DB3">
        <w:pPr>
          <w:pStyle w:val="Footer"/>
          <w:jc w:val="right"/>
        </w:pPr>
        <w:r>
          <w:fldChar w:fldCharType="begin"/>
        </w:r>
        <w:r>
          <w:instrText xml:space="preserve"> PAGE   \* MERGEFORMAT </w:instrText>
        </w:r>
        <w:r>
          <w:fldChar w:fldCharType="separate"/>
        </w:r>
        <w:r w:rsidR="00A606B0">
          <w:rPr>
            <w:noProof/>
          </w:rPr>
          <w:t>11</w:t>
        </w:r>
        <w:r>
          <w:rPr>
            <w:noProof/>
          </w:rPr>
          <w:fldChar w:fldCharType="end"/>
        </w:r>
      </w:p>
    </w:sdtContent>
  </w:sdt>
  <w:p w14:paraId="6F06F11C" w14:textId="77777777" w:rsidR="00790DB3" w:rsidRDefault="00790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60CC52" w14:textId="77777777" w:rsidR="00B0176C" w:rsidRDefault="00B0176C" w:rsidP="00790DB3">
      <w:pPr>
        <w:spacing w:after="0" w:line="240" w:lineRule="auto"/>
      </w:pPr>
      <w:r>
        <w:separator/>
      </w:r>
    </w:p>
  </w:footnote>
  <w:footnote w:type="continuationSeparator" w:id="0">
    <w:p w14:paraId="4F9991BE" w14:textId="77777777" w:rsidR="00B0176C" w:rsidRDefault="00B0176C" w:rsidP="00790D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2B4C72" w14:textId="0372E254" w:rsidR="009B392A" w:rsidRDefault="00EB17EF" w:rsidP="009B392A">
    <w:pPr>
      <w:pStyle w:val="Header"/>
      <w:jc w:val="right"/>
    </w:pPr>
    <w:r w:rsidRPr="00EB17EF">
      <w:t>MA (Ed) ECGE7001</w:t>
    </w:r>
    <w:r w:rsidRPr="00EB17EF">
      <w:br/>
    </w:r>
    <w:r w:rsidR="009B392A">
      <w:t>Andres Novi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F742B"/>
    <w:multiLevelType w:val="hybridMultilevel"/>
    <w:tmpl w:val="8BEA15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FB6524"/>
    <w:multiLevelType w:val="hybridMultilevel"/>
    <w:tmpl w:val="D54C6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833EA6"/>
    <w:multiLevelType w:val="hybridMultilevel"/>
    <w:tmpl w:val="4FB6558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303"/>
    <w:rsid w:val="0000184B"/>
    <w:rsid w:val="00013F18"/>
    <w:rsid w:val="000204B1"/>
    <w:rsid w:val="00023D35"/>
    <w:rsid w:val="000407EB"/>
    <w:rsid w:val="00040B17"/>
    <w:rsid w:val="000420CD"/>
    <w:rsid w:val="00042FD4"/>
    <w:rsid w:val="00043E08"/>
    <w:rsid w:val="000445C8"/>
    <w:rsid w:val="000526DA"/>
    <w:rsid w:val="000554CC"/>
    <w:rsid w:val="00061568"/>
    <w:rsid w:val="00071002"/>
    <w:rsid w:val="00071BBC"/>
    <w:rsid w:val="00071C9E"/>
    <w:rsid w:val="0007472B"/>
    <w:rsid w:val="0008107A"/>
    <w:rsid w:val="000A088F"/>
    <w:rsid w:val="000B0FD0"/>
    <w:rsid w:val="000B160A"/>
    <w:rsid w:val="000D384F"/>
    <w:rsid w:val="000D3DB4"/>
    <w:rsid w:val="000E619F"/>
    <w:rsid w:val="000F0ED9"/>
    <w:rsid w:val="000F332B"/>
    <w:rsid w:val="000F638E"/>
    <w:rsid w:val="00106F41"/>
    <w:rsid w:val="00132E12"/>
    <w:rsid w:val="00163CB7"/>
    <w:rsid w:val="0016767F"/>
    <w:rsid w:val="00172C12"/>
    <w:rsid w:val="001822EA"/>
    <w:rsid w:val="00187EF8"/>
    <w:rsid w:val="00197BB3"/>
    <w:rsid w:val="001A6F69"/>
    <w:rsid w:val="001D78FC"/>
    <w:rsid w:val="001E1795"/>
    <w:rsid w:val="001E6566"/>
    <w:rsid w:val="001E7201"/>
    <w:rsid w:val="001E73B8"/>
    <w:rsid w:val="002049F4"/>
    <w:rsid w:val="002055CF"/>
    <w:rsid w:val="00211F5E"/>
    <w:rsid w:val="0021205E"/>
    <w:rsid w:val="00233582"/>
    <w:rsid w:val="002346A7"/>
    <w:rsid w:val="00244F4B"/>
    <w:rsid w:val="002459C3"/>
    <w:rsid w:val="00254370"/>
    <w:rsid w:val="00256BD4"/>
    <w:rsid w:val="002571F7"/>
    <w:rsid w:val="002575E3"/>
    <w:rsid w:val="00266FD6"/>
    <w:rsid w:val="002671B9"/>
    <w:rsid w:val="00267DBE"/>
    <w:rsid w:val="0027460C"/>
    <w:rsid w:val="00282429"/>
    <w:rsid w:val="00286C88"/>
    <w:rsid w:val="00290507"/>
    <w:rsid w:val="00290C50"/>
    <w:rsid w:val="002925DF"/>
    <w:rsid w:val="002942C7"/>
    <w:rsid w:val="002A1678"/>
    <w:rsid w:val="002A20BE"/>
    <w:rsid w:val="002E131F"/>
    <w:rsid w:val="002E243C"/>
    <w:rsid w:val="002E40E7"/>
    <w:rsid w:val="002F1AD7"/>
    <w:rsid w:val="00300C14"/>
    <w:rsid w:val="0030264C"/>
    <w:rsid w:val="00317C26"/>
    <w:rsid w:val="00320638"/>
    <w:rsid w:val="0032170C"/>
    <w:rsid w:val="00324F34"/>
    <w:rsid w:val="003277D7"/>
    <w:rsid w:val="00331678"/>
    <w:rsid w:val="00334654"/>
    <w:rsid w:val="003616B8"/>
    <w:rsid w:val="003617E9"/>
    <w:rsid w:val="00367B47"/>
    <w:rsid w:val="00371D4A"/>
    <w:rsid w:val="00377454"/>
    <w:rsid w:val="00382274"/>
    <w:rsid w:val="0038318A"/>
    <w:rsid w:val="00396CB1"/>
    <w:rsid w:val="003A5DE1"/>
    <w:rsid w:val="003D14C0"/>
    <w:rsid w:val="003D5D14"/>
    <w:rsid w:val="003F1B13"/>
    <w:rsid w:val="003F7897"/>
    <w:rsid w:val="004163B9"/>
    <w:rsid w:val="0042166B"/>
    <w:rsid w:val="00422852"/>
    <w:rsid w:val="00423A53"/>
    <w:rsid w:val="00435173"/>
    <w:rsid w:val="00463DB5"/>
    <w:rsid w:val="0047111D"/>
    <w:rsid w:val="00480908"/>
    <w:rsid w:val="00481B53"/>
    <w:rsid w:val="004821B8"/>
    <w:rsid w:val="00484E04"/>
    <w:rsid w:val="004854B7"/>
    <w:rsid w:val="004911FC"/>
    <w:rsid w:val="004A2550"/>
    <w:rsid w:val="004A35C8"/>
    <w:rsid w:val="004B19E1"/>
    <w:rsid w:val="004B29A4"/>
    <w:rsid w:val="004E0D5B"/>
    <w:rsid w:val="005024A1"/>
    <w:rsid w:val="00513B15"/>
    <w:rsid w:val="00522861"/>
    <w:rsid w:val="00525DF4"/>
    <w:rsid w:val="00540F65"/>
    <w:rsid w:val="005410F4"/>
    <w:rsid w:val="00543B5C"/>
    <w:rsid w:val="00547BE5"/>
    <w:rsid w:val="005601BB"/>
    <w:rsid w:val="00562066"/>
    <w:rsid w:val="005671AD"/>
    <w:rsid w:val="00570FA1"/>
    <w:rsid w:val="00574063"/>
    <w:rsid w:val="00574620"/>
    <w:rsid w:val="00587448"/>
    <w:rsid w:val="00594D2F"/>
    <w:rsid w:val="005A65A9"/>
    <w:rsid w:val="005A7ADC"/>
    <w:rsid w:val="005B5D0E"/>
    <w:rsid w:val="005C2B39"/>
    <w:rsid w:val="005F5798"/>
    <w:rsid w:val="00604358"/>
    <w:rsid w:val="0061676E"/>
    <w:rsid w:val="006176DD"/>
    <w:rsid w:val="00620419"/>
    <w:rsid w:val="00620A6B"/>
    <w:rsid w:val="00625755"/>
    <w:rsid w:val="0063782A"/>
    <w:rsid w:val="0064058E"/>
    <w:rsid w:val="00655ED7"/>
    <w:rsid w:val="006565EB"/>
    <w:rsid w:val="006706C0"/>
    <w:rsid w:val="00680D71"/>
    <w:rsid w:val="0068376F"/>
    <w:rsid w:val="006868B5"/>
    <w:rsid w:val="00690EF7"/>
    <w:rsid w:val="006A1644"/>
    <w:rsid w:val="006A4B97"/>
    <w:rsid w:val="006B3E6F"/>
    <w:rsid w:val="006B587C"/>
    <w:rsid w:val="006C2783"/>
    <w:rsid w:val="006C544E"/>
    <w:rsid w:val="006D28CE"/>
    <w:rsid w:val="006D4836"/>
    <w:rsid w:val="006E0459"/>
    <w:rsid w:val="006E66E7"/>
    <w:rsid w:val="006E6CC8"/>
    <w:rsid w:val="006F0BB5"/>
    <w:rsid w:val="006F1588"/>
    <w:rsid w:val="0070389A"/>
    <w:rsid w:val="00707E01"/>
    <w:rsid w:val="0071052E"/>
    <w:rsid w:val="00720480"/>
    <w:rsid w:val="007237F5"/>
    <w:rsid w:val="0073220F"/>
    <w:rsid w:val="00734886"/>
    <w:rsid w:val="007435C9"/>
    <w:rsid w:val="00756901"/>
    <w:rsid w:val="00762F59"/>
    <w:rsid w:val="00763392"/>
    <w:rsid w:val="0076486A"/>
    <w:rsid w:val="00767CFB"/>
    <w:rsid w:val="007735F2"/>
    <w:rsid w:val="00783B62"/>
    <w:rsid w:val="00790DB3"/>
    <w:rsid w:val="007935AA"/>
    <w:rsid w:val="007943D3"/>
    <w:rsid w:val="007945A2"/>
    <w:rsid w:val="007A36B7"/>
    <w:rsid w:val="007B498B"/>
    <w:rsid w:val="007D1CFF"/>
    <w:rsid w:val="007D5A9C"/>
    <w:rsid w:val="007D6656"/>
    <w:rsid w:val="007F530F"/>
    <w:rsid w:val="00800E39"/>
    <w:rsid w:val="00812603"/>
    <w:rsid w:val="00813C0F"/>
    <w:rsid w:val="008148D0"/>
    <w:rsid w:val="00817F45"/>
    <w:rsid w:val="008247AA"/>
    <w:rsid w:val="00826920"/>
    <w:rsid w:val="0083469B"/>
    <w:rsid w:val="00835DB2"/>
    <w:rsid w:val="00836A36"/>
    <w:rsid w:val="00841C25"/>
    <w:rsid w:val="00841F77"/>
    <w:rsid w:val="00851716"/>
    <w:rsid w:val="00860196"/>
    <w:rsid w:val="00863512"/>
    <w:rsid w:val="008735DE"/>
    <w:rsid w:val="00873CA0"/>
    <w:rsid w:val="00877E4F"/>
    <w:rsid w:val="008826A6"/>
    <w:rsid w:val="008A32A8"/>
    <w:rsid w:val="008B5610"/>
    <w:rsid w:val="008D2B2E"/>
    <w:rsid w:val="008D7B68"/>
    <w:rsid w:val="008F777A"/>
    <w:rsid w:val="009032AE"/>
    <w:rsid w:val="009052BE"/>
    <w:rsid w:val="0091438E"/>
    <w:rsid w:val="00917E23"/>
    <w:rsid w:val="00921301"/>
    <w:rsid w:val="0092441A"/>
    <w:rsid w:val="009407FB"/>
    <w:rsid w:val="0094470F"/>
    <w:rsid w:val="00950817"/>
    <w:rsid w:val="009536C6"/>
    <w:rsid w:val="00962961"/>
    <w:rsid w:val="00990F7A"/>
    <w:rsid w:val="00991C1F"/>
    <w:rsid w:val="009976F7"/>
    <w:rsid w:val="009A1A0B"/>
    <w:rsid w:val="009A6210"/>
    <w:rsid w:val="009B392A"/>
    <w:rsid w:val="009B705B"/>
    <w:rsid w:val="009C5B57"/>
    <w:rsid w:val="009D3AA1"/>
    <w:rsid w:val="009E2CF9"/>
    <w:rsid w:val="009E341C"/>
    <w:rsid w:val="00A008F0"/>
    <w:rsid w:val="00A2081B"/>
    <w:rsid w:val="00A21BBA"/>
    <w:rsid w:val="00A22A26"/>
    <w:rsid w:val="00A22B71"/>
    <w:rsid w:val="00A238C5"/>
    <w:rsid w:val="00A25186"/>
    <w:rsid w:val="00A26E9B"/>
    <w:rsid w:val="00A306F0"/>
    <w:rsid w:val="00A37034"/>
    <w:rsid w:val="00A4286E"/>
    <w:rsid w:val="00A606B0"/>
    <w:rsid w:val="00A706C5"/>
    <w:rsid w:val="00A8626A"/>
    <w:rsid w:val="00A90D50"/>
    <w:rsid w:val="00A96564"/>
    <w:rsid w:val="00AA563C"/>
    <w:rsid w:val="00AA7726"/>
    <w:rsid w:val="00AB15E6"/>
    <w:rsid w:val="00AB5A8C"/>
    <w:rsid w:val="00AD3E57"/>
    <w:rsid w:val="00AE2CE1"/>
    <w:rsid w:val="00AF284F"/>
    <w:rsid w:val="00AF2BDE"/>
    <w:rsid w:val="00B003A3"/>
    <w:rsid w:val="00B010FE"/>
    <w:rsid w:val="00B0176C"/>
    <w:rsid w:val="00B12172"/>
    <w:rsid w:val="00B1528A"/>
    <w:rsid w:val="00B152CB"/>
    <w:rsid w:val="00B16D19"/>
    <w:rsid w:val="00B2078B"/>
    <w:rsid w:val="00B214A4"/>
    <w:rsid w:val="00B27AEF"/>
    <w:rsid w:val="00B406B0"/>
    <w:rsid w:val="00B43369"/>
    <w:rsid w:val="00B643DE"/>
    <w:rsid w:val="00B674F6"/>
    <w:rsid w:val="00B67E34"/>
    <w:rsid w:val="00B71206"/>
    <w:rsid w:val="00B7568F"/>
    <w:rsid w:val="00B771D9"/>
    <w:rsid w:val="00B820F8"/>
    <w:rsid w:val="00B91AD4"/>
    <w:rsid w:val="00B95207"/>
    <w:rsid w:val="00BA039D"/>
    <w:rsid w:val="00BB1FE3"/>
    <w:rsid w:val="00BB5506"/>
    <w:rsid w:val="00BB5BB3"/>
    <w:rsid w:val="00BC655F"/>
    <w:rsid w:val="00BE74BD"/>
    <w:rsid w:val="00BF792C"/>
    <w:rsid w:val="00BF79D8"/>
    <w:rsid w:val="00C03D24"/>
    <w:rsid w:val="00C068D3"/>
    <w:rsid w:val="00C12A92"/>
    <w:rsid w:val="00C25094"/>
    <w:rsid w:val="00C30A65"/>
    <w:rsid w:val="00C310E0"/>
    <w:rsid w:val="00C45799"/>
    <w:rsid w:val="00C56794"/>
    <w:rsid w:val="00C61C72"/>
    <w:rsid w:val="00C656DD"/>
    <w:rsid w:val="00C75795"/>
    <w:rsid w:val="00C769D0"/>
    <w:rsid w:val="00C82C45"/>
    <w:rsid w:val="00C83B8D"/>
    <w:rsid w:val="00C84516"/>
    <w:rsid w:val="00C85F5E"/>
    <w:rsid w:val="00C92009"/>
    <w:rsid w:val="00C933BF"/>
    <w:rsid w:val="00CA4136"/>
    <w:rsid w:val="00CB64BE"/>
    <w:rsid w:val="00CC0C79"/>
    <w:rsid w:val="00CC618A"/>
    <w:rsid w:val="00CD26CE"/>
    <w:rsid w:val="00CD2F2B"/>
    <w:rsid w:val="00CD37DC"/>
    <w:rsid w:val="00CE2776"/>
    <w:rsid w:val="00CE561F"/>
    <w:rsid w:val="00CE776B"/>
    <w:rsid w:val="00CF171A"/>
    <w:rsid w:val="00D00D5B"/>
    <w:rsid w:val="00D04520"/>
    <w:rsid w:val="00D15439"/>
    <w:rsid w:val="00D234F4"/>
    <w:rsid w:val="00D27192"/>
    <w:rsid w:val="00D32328"/>
    <w:rsid w:val="00D33D87"/>
    <w:rsid w:val="00D36AD5"/>
    <w:rsid w:val="00D37930"/>
    <w:rsid w:val="00D4556A"/>
    <w:rsid w:val="00D47BEF"/>
    <w:rsid w:val="00D56CC1"/>
    <w:rsid w:val="00D578A7"/>
    <w:rsid w:val="00D6236A"/>
    <w:rsid w:val="00D8135A"/>
    <w:rsid w:val="00D969B5"/>
    <w:rsid w:val="00D97123"/>
    <w:rsid w:val="00DA158C"/>
    <w:rsid w:val="00DB00B2"/>
    <w:rsid w:val="00DB0424"/>
    <w:rsid w:val="00DB7131"/>
    <w:rsid w:val="00DB75FE"/>
    <w:rsid w:val="00DB7801"/>
    <w:rsid w:val="00DC06D1"/>
    <w:rsid w:val="00DC3B61"/>
    <w:rsid w:val="00DE4EF3"/>
    <w:rsid w:val="00DE7540"/>
    <w:rsid w:val="00E05331"/>
    <w:rsid w:val="00E05BAB"/>
    <w:rsid w:val="00E21F2B"/>
    <w:rsid w:val="00E27A03"/>
    <w:rsid w:val="00E301ED"/>
    <w:rsid w:val="00E336ED"/>
    <w:rsid w:val="00E3375F"/>
    <w:rsid w:val="00E36EF5"/>
    <w:rsid w:val="00E40D63"/>
    <w:rsid w:val="00E42401"/>
    <w:rsid w:val="00E47924"/>
    <w:rsid w:val="00E5085C"/>
    <w:rsid w:val="00E60804"/>
    <w:rsid w:val="00E64303"/>
    <w:rsid w:val="00E644FE"/>
    <w:rsid w:val="00E662CE"/>
    <w:rsid w:val="00E67764"/>
    <w:rsid w:val="00E77BEF"/>
    <w:rsid w:val="00E82A3C"/>
    <w:rsid w:val="00E82BFD"/>
    <w:rsid w:val="00E832EE"/>
    <w:rsid w:val="00E94FD4"/>
    <w:rsid w:val="00EB01D6"/>
    <w:rsid w:val="00EB17EF"/>
    <w:rsid w:val="00EB4341"/>
    <w:rsid w:val="00EC4800"/>
    <w:rsid w:val="00ED0615"/>
    <w:rsid w:val="00ED095D"/>
    <w:rsid w:val="00EE1AE2"/>
    <w:rsid w:val="00EE5A9B"/>
    <w:rsid w:val="00EF0007"/>
    <w:rsid w:val="00EF5622"/>
    <w:rsid w:val="00EF712F"/>
    <w:rsid w:val="00F2286E"/>
    <w:rsid w:val="00F302FC"/>
    <w:rsid w:val="00F30449"/>
    <w:rsid w:val="00F30A87"/>
    <w:rsid w:val="00F37D2C"/>
    <w:rsid w:val="00F37FB7"/>
    <w:rsid w:val="00F40C54"/>
    <w:rsid w:val="00F50DAF"/>
    <w:rsid w:val="00F54214"/>
    <w:rsid w:val="00F61365"/>
    <w:rsid w:val="00F617BB"/>
    <w:rsid w:val="00F665D0"/>
    <w:rsid w:val="00F66B6D"/>
    <w:rsid w:val="00F82946"/>
    <w:rsid w:val="00FA2B1D"/>
    <w:rsid w:val="00FA44B3"/>
    <w:rsid w:val="00FA4955"/>
    <w:rsid w:val="00FA5FB0"/>
    <w:rsid w:val="00FA7159"/>
    <w:rsid w:val="00FB2873"/>
    <w:rsid w:val="00FC0A02"/>
    <w:rsid w:val="00FC3063"/>
    <w:rsid w:val="00FD303B"/>
    <w:rsid w:val="00FE345F"/>
    <w:rsid w:val="00FE7B9A"/>
    <w:rsid w:val="00FF1365"/>
    <w:rsid w:val="00FF3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A145F"/>
  <w15:chartTrackingRefBased/>
  <w15:docId w15:val="{78F2E052-3011-47D5-9923-7796841D4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3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0F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30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152CB"/>
    <w:pPr>
      <w:ind w:left="720"/>
      <w:contextualSpacing/>
    </w:pPr>
  </w:style>
  <w:style w:type="character" w:customStyle="1" w:styleId="Heading2Char">
    <w:name w:val="Heading 2 Char"/>
    <w:basedOn w:val="DefaultParagraphFont"/>
    <w:link w:val="Heading2"/>
    <w:uiPriority w:val="9"/>
    <w:rsid w:val="000B0FD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14A4"/>
    <w:pPr>
      <w:outlineLvl w:val="9"/>
    </w:pPr>
    <w:rPr>
      <w:lang w:val="en-US"/>
    </w:rPr>
  </w:style>
  <w:style w:type="paragraph" w:styleId="TOC1">
    <w:name w:val="toc 1"/>
    <w:basedOn w:val="Normal"/>
    <w:next w:val="Normal"/>
    <w:autoRedefine/>
    <w:uiPriority w:val="39"/>
    <w:unhideWhenUsed/>
    <w:rsid w:val="00B214A4"/>
    <w:pPr>
      <w:spacing w:after="100"/>
    </w:pPr>
  </w:style>
  <w:style w:type="paragraph" w:styleId="TOC2">
    <w:name w:val="toc 2"/>
    <w:basedOn w:val="Normal"/>
    <w:next w:val="Normal"/>
    <w:autoRedefine/>
    <w:uiPriority w:val="39"/>
    <w:unhideWhenUsed/>
    <w:rsid w:val="00B214A4"/>
    <w:pPr>
      <w:spacing w:after="100"/>
      <w:ind w:left="240"/>
    </w:pPr>
  </w:style>
  <w:style w:type="character" w:styleId="Hyperlink">
    <w:name w:val="Hyperlink"/>
    <w:basedOn w:val="DefaultParagraphFont"/>
    <w:uiPriority w:val="99"/>
    <w:unhideWhenUsed/>
    <w:rsid w:val="00B214A4"/>
    <w:rPr>
      <w:color w:val="0563C1" w:themeColor="hyperlink"/>
      <w:u w:val="single"/>
    </w:rPr>
  </w:style>
  <w:style w:type="paragraph" w:styleId="Header">
    <w:name w:val="header"/>
    <w:basedOn w:val="Normal"/>
    <w:link w:val="HeaderChar"/>
    <w:uiPriority w:val="99"/>
    <w:unhideWhenUsed/>
    <w:rsid w:val="00790D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DB3"/>
  </w:style>
  <w:style w:type="paragraph" w:styleId="Footer">
    <w:name w:val="footer"/>
    <w:basedOn w:val="Normal"/>
    <w:link w:val="FooterChar"/>
    <w:uiPriority w:val="99"/>
    <w:unhideWhenUsed/>
    <w:rsid w:val="00790D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DB3"/>
  </w:style>
  <w:style w:type="paragraph" w:styleId="BalloonText">
    <w:name w:val="Balloon Text"/>
    <w:basedOn w:val="Normal"/>
    <w:link w:val="BalloonTextChar"/>
    <w:uiPriority w:val="99"/>
    <w:semiHidden/>
    <w:unhideWhenUsed/>
    <w:rsid w:val="00A370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7034"/>
    <w:rPr>
      <w:rFonts w:ascii="Segoe UI" w:hAnsi="Segoe UI" w:cs="Segoe UI"/>
      <w:sz w:val="18"/>
      <w:szCs w:val="18"/>
    </w:rPr>
  </w:style>
  <w:style w:type="character" w:styleId="UnresolvedMention">
    <w:name w:val="Unresolved Mention"/>
    <w:basedOn w:val="DefaultParagraphFont"/>
    <w:uiPriority w:val="99"/>
    <w:semiHidden/>
    <w:unhideWhenUsed/>
    <w:rsid w:val="009213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6229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youtu.be/McU7K31ttEg"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CB7500-9CD8-4F22-B724-132DD7A3C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33</Pages>
  <Words>4334</Words>
  <Characters>24710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Andres Novi</dc:creator>
  <cp:keywords/>
  <dc:description/>
  <cp:lastModifiedBy>Andres Novi</cp:lastModifiedBy>
  <cp:revision>29</cp:revision>
  <cp:lastPrinted>2019-04-10T20:27:00Z</cp:lastPrinted>
  <dcterms:created xsi:type="dcterms:W3CDTF">2019-04-10T16:16:00Z</dcterms:created>
  <dcterms:modified xsi:type="dcterms:W3CDTF">2019-04-10T20:30:00Z</dcterms:modified>
</cp:coreProperties>
</file>