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BAE3C" w14:textId="77777777" w:rsidR="0021494B" w:rsidRPr="007F2C7B" w:rsidRDefault="0021494B" w:rsidP="0021494B">
      <w:pPr>
        <w:jc w:val="center"/>
        <w:rPr>
          <w:rFonts w:ascii="Times New Roman" w:hAnsi="Times New Roman" w:cs="Times New Roman"/>
          <w:sz w:val="48"/>
          <w:szCs w:val="48"/>
          <w:u w:val="single"/>
        </w:rPr>
      </w:pPr>
      <w:r w:rsidRPr="007F2C7B">
        <w:rPr>
          <w:rFonts w:ascii="Times New Roman" w:hAnsi="Times New Roman" w:cs="Times New Roman"/>
          <w:sz w:val="48"/>
          <w:szCs w:val="48"/>
          <w:u w:val="single"/>
        </w:rPr>
        <w:t>Crime Prevention</w:t>
      </w:r>
    </w:p>
    <w:p w14:paraId="3E882709" w14:textId="77777777" w:rsidR="0021494B" w:rsidRPr="007F2C7B" w:rsidRDefault="0021494B" w:rsidP="0021494B">
      <w:pPr>
        <w:jc w:val="center"/>
        <w:rPr>
          <w:rFonts w:ascii="Times New Roman" w:hAnsi="Times New Roman" w:cs="Times New Roman"/>
          <w:sz w:val="24"/>
          <w:szCs w:val="24"/>
        </w:rPr>
      </w:pPr>
      <w:r w:rsidRPr="007F2C7B">
        <w:rPr>
          <w:rFonts w:ascii="Times New Roman" w:hAnsi="Times New Roman" w:cs="Times New Roman"/>
          <w:sz w:val="24"/>
          <w:szCs w:val="24"/>
        </w:rPr>
        <w:t>Cherise Shade</w:t>
      </w:r>
    </w:p>
    <w:p w14:paraId="320B0D9F" w14:textId="77777777" w:rsidR="00715EF3" w:rsidRPr="00715EF3" w:rsidRDefault="0021494B" w:rsidP="00715EF3">
      <w:pPr>
        <w:spacing w:before="120" w:after="120"/>
        <w:jc w:val="center"/>
        <w:rPr>
          <w:rFonts w:ascii="Times New Roman" w:hAnsi="Times New Roman" w:cs="Times New Roman"/>
        </w:rPr>
      </w:pPr>
      <w:r w:rsidRPr="007F2C7B">
        <w:rPr>
          <w:rFonts w:ascii="Times New Roman" w:hAnsi="Times New Roman" w:cs="Times New Roman"/>
          <w:sz w:val="24"/>
          <w:szCs w:val="24"/>
        </w:rPr>
        <w:t xml:space="preserve">Evidence based approaches to policing </w:t>
      </w:r>
      <w:r w:rsidRPr="00715EF3">
        <w:rPr>
          <w:rFonts w:ascii="Times New Roman" w:hAnsi="Times New Roman" w:cs="Times New Roman"/>
        </w:rPr>
        <w:t>BMOL4001</w:t>
      </w:r>
    </w:p>
    <w:p w14:paraId="4CF5C127" w14:textId="67FB62D2" w:rsidR="00715EF3" w:rsidRPr="00715EF3" w:rsidRDefault="00715EF3" w:rsidP="00715EF3">
      <w:pPr>
        <w:spacing w:before="120" w:after="120"/>
        <w:jc w:val="center"/>
        <w:rPr>
          <w:rFonts w:ascii="Times New Roman" w:hAnsi="Times New Roman" w:cs="Times New Roman"/>
        </w:rPr>
      </w:pPr>
      <w:r w:rsidRPr="00715EF3">
        <w:rPr>
          <w:rFonts w:ascii="Times New Roman" w:hAnsi="Times New Roman" w:cs="Times New Roman"/>
        </w:rPr>
        <w:t>Evidence Based Policing &amp; Applications</w:t>
      </w:r>
    </w:p>
    <w:p w14:paraId="786EC4C6" w14:textId="77777777" w:rsidR="00715EF3" w:rsidRPr="007F2C7B" w:rsidRDefault="00715EF3" w:rsidP="00904BC5">
      <w:pPr>
        <w:rPr>
          <w:rFonts w:ascii="Times New Roman" w:hAnsi="Times New Roman" w:cs="Times New Roman"/>
          <w:sz w:val="24"/>
          <w:szCs w:val="24"/>
        </w:rPr>
      </w:pPr>
    </w:p>
    <w:p w14:paraId="4393D1CA"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b/>
          <w:bCs/>
          <w:color w:val="0E101A"/>
          <w:sz w:val="24"/>
          <w:szCs w:val="24"/>
          <w:u w:val="single"/>
          <w:lang w:val="en-US"/>
        </w:rPr>
        <w:t>Introduction</w:t>
      </w:r>
    </w:p>
    <w:p w14:paraId="18E40C86"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The basis of the modern-day and current crime prevention model is C. Ray Jeffrey's Crime Prevention Through Environment Design theory (CPTED); many scholars believe crime prevention is better than a rection after committing a crime with punishment (Caro, 2016). Application and implementation of this methodology are through Key Crime Prevention Theories, situational theory (reducing the chances of crime), theoretical theory (suggestions of what may reduce crime), and developmental theory (early intervention strategies that look at why people turn to crime). This paper will explore the three main fundamental crime prevention theories and look closely at the breakdown of all aspects of each theory and its purpose. Furthermore, as an extension of these theories, the paper will look to explain the following areas and their methods of application, using examples of their application to crimes of today. </w:t>
      </w:r>
    </w:p>
    <w:p w14:paraId="7FC137DC" w14:textId="05715872" w:rsidR="0021494B" w:rsidRPr="007F2C7B" w:rsidRDefault="0021494B" w:rsidP="0021494B">
      <w:pPr>
        <w:numPr>
          <w:ilvl w:val="0"/>
          <w:numId w:val="2"/>
        </w:num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Biological positivism (the theory that an individual's characteristics and </w:t>
      </w:r>
      <w:r w:rsidR="008C4D54" w:rsidRPr="007F2C7B">
        <w:rPr>
          <w:rFonts w:ascii="Times New Roman" w:eastAsia="Times New Roman" w:hAnsi="Times New Roman" w:cs="Times New Roman"/>
          <w:color w:val="0E101A"/>
          <w:sz w:val="24"/>
          <w:szCs w:val="24"/>
          <w:lang w:val="en-US"/>
        </w:rPr>
        <w:t>behavior</w:t>
      </w:r>
      <w:r w:rsidRPr="007F2C7B">
        <w:rPr>
          <w:rFonts w:ascii="Times New Roman" w:eastAsia="Times New Roman" w:hAnsi="Times New Roman" w:cs="Times New Roman"/>
          <w:color w:val="0E101A"/>
          <w:sz w:val="24"/>
          <w:szCs w:val="24"/>
          <w:lang w:val="en-US"/>
        </w:rPr>
        <w:t xml:space="preserve"> that make up their genetic disposition which causes them to become a criminal)</w:t>
      </w:r>
    </w:p>
    <w:p w14:paraId="3288E231" w14:textId="77777777" w:rsidR="0021494B" w:rsidRPr="007F2C7B" w:rsidRDefault="0021494B" w:rsidP="0021494B">
      <w:pPr>
        <w:numPr>
          <w:ilvl w:val="0"/>
          <w:numId w:val="2"/>
        </w:num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Psychological positivism (the suggestion that a criminal personality resides in the mind of a criminal)</w:t>
      </w:r>
    </w:p>
    <w:p w14:paraId="485A4199" w14:textId="77777777" w:rsidR="0021494B" w:rsidRPr="007F2C7B" w:rsidRDefault="0021494B" w:rsidP="0021494B">
      <w:pPr>
        <w:numPr>
          <w:ilvl w:val="0"/>
          <w:numId w:val="2"/>
        </w:num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the differences between Classicism vs Positivism</w:t>
      </w:r>
    </w:p>
    <w:p w14:paraId="49937594"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b/>
          <w:bCs/>
          <w:color w:val="0E101A"/>
          <w:sz w:val="24"/>
          <w:szCs w:val="24"/>
          <w:u w:val="single"/>
          <w:lang w:val="en-US"/>
        </w:rPr>
        <w:t>Situational Theory</w:t>
      </w:r>
    </w:p>
    <w:p w14:paraId="3912974B" w14:textId="73E96B74"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Each theory has several subsections they derive from; it is essential to break them down in detail to understand their intention. The first part of this paper will </w:t>
      </w:r>
      <w:r w:rsidR="00034CEA">
        <w:rPr>
          <w:rFonts w:ascii="Times New Roman" w:eastAsia="Times New Roman" w:hAnsi="Times New Roman" w:cs="Times New Roman"/>
          <w:color w:val="0E101A"/>
          <w:sz w:val="24"/>
          <w:szCs w:val="24"/>
          <w:lang w:val="en-US"/>
        </w:rPr>
        <w:t xml:space="preserve">look into </w:t>
      </w:r>
      <w:r w:rsidRPr="007F2C7B">
        <w:rPr>
          <w:rFonts w:ascii="Times New Roman" w:eastAsia="Times New Roman" w:hAnsi="Times New Roman" w:cs="Times New Roman"/>
          <w:color w:val="0E101A"/>
          <w:sz w:val="24"/>
          <w:szCs w:val="24"/>
          <w:lang w:val="en-US"/>
        </w:rPr>
        <w:t>the makeup of Situational Crime Prevention Theory (SCPT), its meaning, and its application to crime.</w:t>
      </w:r>
    </w:p>
    <w:p w14:paraId="1942DAA3" w14:textId="71B04C30"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lastRenderedPageBreak/>
        <w:t>"Situational crime prevention theory is an offence based rather than an offender-based approach to target crime" (Wim Huisman, 2013). Its focus is on reducing crime opportunities through managerial and environmental changes, which intends to dissuade the criminal by challenging the theoretical thinking towards the need or want to commit an act of crime; it "</w:t>
      </w:r>
      <w:r w:rsidR="000D7309" w:rsidRPr="007F2C7B">
        <w:rPr>
          <w:rFonts w:ascii="Times New Roman" w:eastAsia="Times New Roman" w:hAnsi="Times New Roman" w:cs="Times New Roman"/>
          <w:color w:val="0E101A"/>
          <w:sz w:val="24"/>
          <w:szCs w:val="24"/>
          <w:lang w:val="en-US"/>
        </w:rPr>
        <w:t>maximizes</w:t>
      </w:r>
      <w:r w:rsidRPr="007F2C7B">
        <w:rPr>
          <w:rFonts w:ascii="Times New Roman" w:eastAsia="Times New Roman" w:hAnsi="Times New Roman" w:cs="Times New Roman"/>
          <w:color w:val="0E101A"/>
          <w:sz w:val="24"/>
          <w:szCs w:val="24"/>
          <w:lang w:val="en-US"/>
        </w:rPr>
        <w:t xml:space="preserve"> the risk and </w:t>
      </w:r>
      <w:r w:rsidR="000D7309" w:rsidRPr="007F2C7B">
        <w:rPr>
          <w:rFonts w:ascii="Times New Roman" w:eastAsia="Times New Roman" w:hAnsi="Times New Roman" w:cs="Times New Roman"/>
          <w:color w:val="0E101A"/>
          <w:sz w:val="24"/>
          <w:szCs w:val="24"/>
          <w:lang w:val="en-US"/>
        </w:rPr>
        <w:t>minimizes</w:t>
      </w:r>
      <w:r w:rsidRPr="007F2C7B">
        <w:rPr>
          <w:rFonts w:ascii="Times New Roman" w:eastAsia="Times New Roman" w:hAnsi="Times New Roman" w:cs="Times New Roman"/>
          <w:color w:val="0E101A"/>
          <w:sz w:val="24"/>
          <w:szCs w:val="24"/>
          <w:lang w:val="en-US"/>
        </w:rPr>
        <w:t xml:space="preserve"> the reward" (policing, 2022). It takes the shine off the reward of the crime itself in simple terms.</w:t>
      </w:r>
    </w:p>
    <w:p w14:paraId="34CA5025" w14:textId="0D18830F" w:rsidR="0021494B" w:rsidRPr="007F2C7B" w:rsidRDefault="000D7309"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Theorized</w:t>
      </w:r>
      <w:r w:rsidR="0021494B" w:rsidRPr="007F2C7B">
        <w:rPr>
          <w:rFonts w:ascii="Times New Roman" w:eastAsia="Times New Roman" w:hAnsi="Times New Roman" w:cs="Times New Roman"/>
          <w:color w:val="0E101A"/>
          <w:sz w:val="24"/>
          <w:szCs w:val="24"/>
          <w:lang w:val="en-US"/>
        </w:rPr>
        <w:t xml:space="preserve"> by Cohen and Felson, for a crime to occur, three elements must be present, a Motivated offender, a suitable target and the absence of capable guardians (Miró, 2014). </w:t>
      </w:r>
    </w:p>
    <w:p w14:paraId="5071665E" w14:textId="4D47DA8E"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The environmental element of this theory is practicality. It includes the application of physical interventions, for example, deterring burglary through the introduction of capable guardians such as alarms, locks, CCTV, chains, additional lighting and sensors. Additionally, the introduction of staffing like police, security officers, and </w:t>
      </w:r>
      <w:r w:rsidR="00423B35" w:rsidRPr="007F2C7B">
        <w:rPr>
          <w:rFonts w:ascii="Times New Roman" w:eastAsia="Times New Roman" w:hAnsi="Times New Roman" w:cs="Times New Roman"/>
          <w:color w:val="0E101A"/>
          <w:sz w:val="24"/>
          <w:szCs w:val="24"/>
          <w:lang w:val="en-US"/>
        </w:rPr>
        <w:t>neighborhood</w:t>
      </w:r>
      <w:r w:rsidRPr="007F2C7B">
        <w:rPr>
          <w:rFonts w:ascii="Times New Roman" w:eastAsia="Times New Roman" w:hAnsi="Times New Roman" w:cs="Times New Roman"/>
          <w:color w:val="0E101A"/>
          <w:sz w:val="24"/>
          <w:szCs w:val="24"/>
          <w:lang w:val="en-US"/>
        </w:rPr>
        <w:t xml:space="preserve"> watch can significantly impact a deterrent to </w:t>
      </w:r>
      <w:r w:rsidR="002E1D51" w:rsidRPr="007F2C7B">
        <w:rPr>
          <w:rFonts w:ascii="Times New Roman" w:eastAsia="Times New Roman" w:hAnsi="Times New Roman" w:cs="Times New Roman"/>
          <w:color w:val="0E101A"/>
          <w:sz w:val="24"/>
          <w:szCs w:val="24"/>
          <w:lang w:val="en-US"/>
        </w:rPr>
        <w:t>minimize</w:t>
      </w:r>
      <w:r w:rsidRPr="007F2C7B">
        <w:rPr>
          <w:rFonts w:ascii="Times New Roman" w:eastAsia="Times New Roman" w:hAnsi="Times New Roman" w:cs="Times New Roman"/>
          <w:color w:val="0E101A"/>
          <w:sz w:val="24"/>
          <w:szCs w:val="24"/>
          <w:lang w:val="en-US"/>
        </w:rPr>
        <w:t xml:space="preserve"> the attempt of crime. The latter is an unknown quantity to a potential criminal, as the community monitor their </w:t>
      </w:r>
      <w:r w:rsidR="002C274D" w:rsidRPr="007F2C7B">
        <w:rPr>
          <w:rFonts w:ascii="Times New Roman" w:eastAsia="Times New Roman" w:hAnsi="Times New Roman" w:cs="Times New Roman"/>
          <w:color w:val="0E101A"/>
          <w:sz w:val="24"/>
          <w:szCs w:val="24"/>
          <w:lang w:val="en-US"/>
        </w:rPr>
        <w:t>neighborhoods</w:t>
      </w:r>
      <w:r w:rsidRPr="007F2C7B">
        <w:rPr>
          <w:rFonts w:ascii="Times New Roman" w:eastAsia="Times New Roman" w:hAnsi="Times New Roman" w:cs="Times New Roman"/>
          <w:color w:val="0E101A"/>
          <w:sz w:val="24"/>
          <w:szCs w:val="24"/>
          <w:lang w:val="en-US"/>
        </w:rPr>
        <w:t xml:space="preserve"> through everyday observations, reporting suspicious activity to the police (Tilley, 1995).</w:t>
      </w:r>
      <w:r w:rsidR="002C274D">
        <w:rPr>
          <w:rFonts w:ascii="Times New Roman" w:eastAsia="Times New Roman" w:hAnsi="Times New Roman" w:cs="Times New Roman"/>
          <w:color w:val="0E101A"/>
          <w:sz w:val="24"/>
          <w:szCs w:val="24"/>
          <w:lang w:val="en-US"/>
        </w:rPr>
        <w:t xml:space="preserve"> A disadvantage to this </w:t>
      </w:r>
      <w:r w:rsidR="00825886">
        <w:rPr>
          <w:rFonts w:ascii="Times New Roman" w:eastAsia="Times New Roman" w:hAnsi="Times New Roman" w:cs="Times New Roman"/>
          <w:color w:val="0E101A"/>
          <w:sz w:val="24"/>
          <w:szCs w:val="24"/>
          <w:lang w:val="en-US"/>
        </w:rPr>
        <w:t xml:space="preserve">technique is that </w:t>
      </w:r>
      <w:r w:rsidR="008B053A">
        <w:rPr>
          <w:rFonts w:ascii="Times New Roman" w:eastAsia="Times New Roman" w:hAnsi="Times New Roman" w:cs="Times New Roman"/>
          <w:color w:val="0E101A"/>
          <w:sz w:val="24"/>
          <w:szCs w:val="24"/>
          <w:lang w:val="en-US"/>
        </w:rPr>
        <w:t xml:space="preserve">it </w:t>
      </w:r>
      <w:r w:rsidR="00825886">
        <w:rPr>
          <w:rFonts w:ascii="Times New Roman" w:eastAsia="Times New Roman" w:hAnsi="Times New Roman" w:cs="Times New Roman"/>
          <w:color w:val="0E101A"/>
          <w:sz w:val="24"/>
          <w:szCs w:val="24"/>
          <w:lang w:val="en-US"/>
        </w:rPr>
        <w:t xml:space="preserve">can be and expensive </w:t>
      </w:r>
      <w:r w:rsidR="00494644">
        <w:rPr>
          <w:rFonts w:ascii="Times New Roman" w:eastAsia="Times New Roman" w:hAnsi="Times New Roman" w:cs="Times New Roman"/>
          <w:color w:val="0E101A"/>
          <w:sz w:val="24"/>
          <w:szCs w:val="24"/>
          <w:lang w:val="en-US"/>
        </w:rPr>
        <w:t>approach to dealing with crime.</w:t>
      </w:r>
    </w:p>
    <w:p w14:paraId="29711691"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b/>
          <w:bCs/>
          <w:color w:val="0E101A"/>
          <w:sz w:val="24"/>
          <w:szCs w:val="24"/>
          <w:u w:val="single"/>
          <w:lang w:val="en-US"/>
        </w:rPr>
        <w:t>Theoretical Theory</w:t>
      </w:r>
    </w:p>
    <w:p w14:paraId="727B7A29" w14:textId="05C0B419"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Theoretical crime prevention (TCP) is, in turn, an extension of the application of (SCPT) focusing on its suggestions on ways to reduce crime. As previously mentioned, introducing such environmental prohibitions as capable guardians to </w:t>
      </w:r>
      <w:r w:rsidR="002A4667" w:rsidRPr="007F2C7B">
        <w:rPr>
          <w:rFonts w:ascii="Times New Roman" w:eastAsia="Times New Roman" w:hAnsi="Times New Roman" w:cs="Times New Roman"/>
          <w:color w:val="0E101A"/>
          <w:sz w:val="24"/>
          <w:szCs w:val="24"/>
          <w:lang w:val="en-US"/>
        </w:rPr>
        <w:t>minimize</w:t>
      </w:r>
      <w:r w:rsidRPr="007F2C7B">
        <w:rPr>
          <w:rFonts w:ascii="Times New Roman" w:eastAsia="Times New Roman" w:hAnsi="Times New Roman" w:cs="Times New Roman"/>
          <w:color w:val="0E101A"/>
          <w:sz w:val="24"/>
          <w:szCs w:val="24"/>
          <w:lang w:val="en-US"/>
        </w:rPr>
        <w:t xml:space="preserve"> the act of crime is practical and physical, so incorporating this with methods to reduce crime would suggest its intent could lead to productive, positive outcomes in reducing crime. </w:t>
      </w:r>
    </w:p>
    <w:p w14:paraId="060A6DA9" w14:textId="447E0DFE"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TCP is the basis of the theories intended to </w:t>
      </w:r>
      <w:r w:rsidR="007A48B0" w:rsidRPr="007F2C7B">
        <w:rPr>
          <w:rFonts w:ascii="Times New Roman" w:eastAsia="Times New Roman" w:hAnsi="Times New Roman" w:cs="Times New Roman"/>
          <w:color w:val="0E101A"/>
          <w:sz w:val="24"/>
          <w:szCs w:val="24"/>
          <w:lang w:val="en-US"/>
        </w:rPr>
        <w:t>materialize</w:t>
      </w:r>
      <w:r w:rsidRPr="007F2C7B">
        <w:rPr>
          <w:rFonts w:ascii="Times New Roman" w:eastAsia="Times New Roman" w:hAnsi="Times New Roman" w:cs="Times New Roman"/>
          <w:color w:val="0E101A"/>
          <w:sz w:val="24"/>
          <w:szCs w:val="24"/>
          <w:lang w:val="en-US"/>
        </w:rPr>
        <w:t xml:space="preserve"> into practical acts or initiatives; for example, in the United Kingdom, the government set up "The Beating Crime Plan" to protect victims from crime and make the streets safer (Home Office, 2021). Additional suggestions </w:t>
      </w:r>
      <w:r w:rsidRPr="007F2C7B">
        <w:rPr>
          <w:rFonts w:ascii="Times New Roman" w:eastAsia="Times New Roman" w:hAnsi="Times New Roman" w:cs="Times New Roman"/>
          <w:color w:val="0E101A"/>
          <w:sz w:val="24"/>
          <w:szCs w:val="24"/>
          <w:lang w:val="en-US"/>
        </w:rPr>
        <w:lastRenderedPageBreak/>
        <w:t>would be community initiatives concerning drug-related crimes and looking at ways to reduce the impact on people within their communities by setting up civic, service, church, youth, and volunteer programs (</w:t>
      </w:r>
      <w:proofErr w:type="spellStart"/>
      <w:r w:rsidRPr="007F2C7B">
        <w:rPr>
          <w:rFonts w:ascii="Times New Roman" w:eastAsia="Times New Roman" w:hAnsi="Times New Roman" w:cs="Times New Roman"/>
          <w:color w:val="0E101A"/>
          <w:sz w:val="24"/>
          <w:szCs w:val="24"/>
          <w:lang w:val="en-US"/>
        </w:rPr>
        <w:t>Lurigio</w:t>
      </w:r>
      <w:proofErr w:type="spellEnd"/>
      <w:r w:rsidRPr="007F2C7B">
        <w:rPr>
          <w:rFonts w:ascii="Times New Roman" w:eastAsia="Times New Roman" w:hAnsi="Times New Roman" w:cs="Times New Roman"/>
          <w:color w:val="0E101A"/>
          <w:sz w:val="24"/>
          <w:szCs w:val="24"/>
          <w:lang w:val="en-US"/>
        </w:rPr>
        <w:t>, 1996). Likewise, engagement with each other and the vulnerable highlights that drug abuse should not become a social norm, represented by legitimate practices but through acceptance of defining unlawful ones (Williams, 2010).</w:t>
      </w:r>
      <w:r w:rsidR="007566FA">
        <w:rPr>
          <w:rFonts w:ascii="Times New Roman" w:eastAsia="Times New Roman" w:hAnsi="Times New Roman" w:cs="Times New Roman"/>
          <w:color w:val="0E101A"/>
          <w:sz w:val="24"/>
          <w:szCs w:val="24"/>
          <w:lang w:val="en-US"/>
        </w:rPr>
        <w:t xml:space="preserve">  </w:t>
      </w:r>
    </w:p>
    <w:p w14:paraId="591D9C1F"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b/>
          <w:bCs/>
          <w:color w:val="0E101A"/>
          <w:sz w:val="24"/>
          <w:szCs w:val="24"/>
          <w:u w:val="single"/>
          <w:lang w:val="en-US"/>
        </w:rPr>
        <w:t>Developmental Crime Theory</w:t>
      </w:r>
    </w:p>
    <w:p w14:paraId="5FFB4626" w14:textId="48C8BC91"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Research effectively </w:t>
      </w:r>
      <w:r w:rsidR="00933C05" w:rsidRPr="007F2C7B">
        <w:rPr>
          <w:rFonts w:ascii="Times New Roman" w:eastAsia="Times New Roman" w:hAnsi="Times New Roman" w:cs="Times New Roman"/>
          <w:color w:val="0E101A"/>
          <w:sz w:val="24"/>
          <w:szCs w:val="24"/>
          <w:lang w:val="en-US"/>
        </w:rPr>
        <w:t>recognizes</w:t>
      </w:r>
      <w:r w:rsidRPr="007F2C7B">
        <w:rPr>
          <w:rFonts w:ascii="Times New Roman" w:eastAsia="Times New Roman" w:hAnsi="Times New Roman" w:cs="Times New Roman"/>
          <w:color w:val="0E101A"/>
          <w:sz w:val="24"/>
          <w:szCs w:val="24"/>
          <w:lang w:val="en-US"/>
        </w:rPr>
        <w:t xml:space="preserve"> the birth of criminal aspects in people and questions why they think crime is the answer. To understand crime, a good knowledge of why people turn to crime in the first place is an essential key aspect of crime prevention; this is precisely what Developmental Crime Theory (DCT) does. DCT prevention concentrates on early intervention, accentuating the risks that lead people to criminality (crime, 2019).</w:t>
      </w:r>
    </w:p>
    <w:p w14:paraId="45BF076E" w14:textId="4EC479EE"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In 1974 (scholar, 2022), David Farrington, along with other academics, such as David Hawkins, Richard Catalano and Terrie Moffit, published in 1993 (</w:t>
      </w:r>
      <w:proofErr w:type="spellStart"/>
      <w:r w:rsidRPr="007F2C7B">
        <w:rPr>
          <w:rFonts w:ascii="Times New Roman" w:eastAsia="Times New Roman" w:hAnsi="Times New Roman" w:cs="Times New Roman"/>
          <w:color w:val="0E101A"/>
          <w:sz w:val="24"/>
          <w:szCs w:val="24"/>
          <w:lang w:val="en-US"/>
        </w:rPr>
        <w:t>thebritishacademy</w:t>
      </w:r>
      <w:proofErr w:type="spellEnd"/>
      <w:r w:rsidRPr="007F2C7B">
        <w:rPr>
          <w:rFonts w:ascii="Times New Roman" w:eastAsia="Times New Roman" w:hAnsi="Times New Roman" w:cs="Times New Roman"/>
          <w:color w:val="0E101A"/>
          <w:sz w:val="24"/>
          <w:szCs w:val="24"/>
          <w:lang w:val="en-US"/>
        </w:rPr>
        <w:t xml:space="preserve">, 2022), believed many variables within an </w:t>
      </w:r>
      <w:r w:rsidR="00801685" w:rsidRPr="007F2C7B">
        <w:rPr>
          <w:rFonts w:ascii="Times New Roman" w:eastAsia="Times New Roman" w:hAnsi="Times New Roman" w:cs="Times New Roman"/>
          <w:color w:val="0E101A"/>
          <w:sz w:val="24"/>
          <w:szCs w:val="24"/>
          <w:lang w:val="en-US"/>
        </w:rPr>
        <w:t>individual’s</w:t>
      </w:r>
      <w:r w:rsidRPr="007F2C7B">
        <w:rPr>
          <w:rFonts w:ascii="Times New Roman" w:eastAsia="Times New Roman" w:hAnsi="Times New Roman" w:cs="Times New Roman"/>
          <w:color w:val="0E101A"/>
          <w:sz w:val="24"/>
          <w:szCs w:val="24"/>
          <w:lang w:val="en-US"/>
        </w:rPr>
        <w:t xml:space="preserve"> development influence the growth of a criminal or criminals' </w:t>
      </w:r>
      <w:r w:rsidR="009951CC" w:rsidRPr="007F2C7B">
        <w:rPr>
          <w:rFonts w:ascii="Times New Roman" w:eastAsia="Times New Roman" w:hAnsi="Times New Roman" w:cs="Times New Roman"/>
          <w:color w:val="0E101A"/>
          <w:sz w:val="24"/>
          <w:szCs w:val="24"/>
          <w:lang w:val="en-US"/>
        </w:rPr>
        <w:t>behaviors</w:t>
      </w:r>
      <w:r w:rsidRPr="007F2C7B">
        <w:rPr>
          <w:rFonts w:ascii="Times New Roman" w:eastAsia="Times New Roman" w:hAnsi="Times New Roman" w:cs="Times New Roman"/>
          <w:color w:val="0E101A"/>
          <w:sz w:val="24"/>
          <w:szCs w:val="24"/>
          <w:lang w:val="en-US"/>
        </w:rPr>
        <w:t xml:space="preserve">. For example, one of the theories looking at specific long- and short-term influences on development is "Integrated Cognitive Antisocial Potential (ICAP). It specifically investigates the short-term reason why youths turn to crime through the presence of antisocial potential. The Social Development Model Theory (SDM) states that youths learn prosocial and antisocial </w:t>
      </w:r>
      <w:r w:rsidR="009951CC" w:rsidRPr="007F2C7B">
        <w:rPr>
          <w:rFonts w:ascii="Times New Roman" w:eastAsia="Times New Roman" w:hAnsi="Times New Roman" w:cs="Times New Roman"/>
          <w:color w:val="0E101A"/>
          <w:sz w:val="24"/>
          <w:szCs w:val="24"/>
          <w:lang w:val="en-US"/>
        </w:rPr>
        <w:t>behaviors</w:t>
      </w:r>
      <w:r w:rsidRPr="007F2C7B">
        <w:rPr>
          <w:rFonts w:ascii="Times New Roman" w:eastAsia="Times New Roman" w:hAnsi="Times New Roman" w:cs="Times New Roman"/>
          <w:color w:val="0E101A"/>
          <w:sz w:val="24"/>
          <w:szCs w:val="24"/>
          <w:lang w:val="en-US"/>
        </w:rPr>
        <w:t xml:space="preserve"> throughout the same </w:t>
      </w:r>
      <w:r w:rsidR="00DF2A23" w:rsidRPr="007F2C7B">
        <w:rPr>
          <w:rFonts w:ascii="Times New Roman" w:eastAsia="Times New Roman" w:hAnsi="Times New Roman" w:cs="Times New Roman"/>
          <w:color w:val="0E101A"/>
          <w:sz w:val="24"/>
          <w:szCs w:val="24"/>
          <w:lang w:val="en-US"/>
        </w:rPr>
        <w:t>socialization</w:t>
      </w:r>
      <w:r w:rsidRPr="007F2C7B">
        <w:rPr>
          <w:rFonts w:ascii="Times New Roman" w:eastAsia="Times New Roman" w:hAnsi="Times New Roman" w:cs="Times New Roman"/>
          <w:color w:val="0E101A"/>
          <w:sz w:val="24"/>
          <w:szCs w:val="24"/>
          <w:lang w:val="en-US"/>
        </w:rPr>
        <w:t xml:space="preserve"> process (Farrington, 2018).</w:t>
      </w:r>
    </w:p>
    <w:p w14:paraId="4C8CE8D1" w14:textId="0D4513A0"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A snapshot of the United Kingdom youth justice system shows that juvenile crime statistics have increased considerably. In 2001, 2,807 youths under 18 were in custody, compared to 2019, where there were 859, with several offenders on remand. (polatics.co.uk, 22). </w:t>
      </w:r>
      <w:r w:rsidR="00D031B3">
        <w:rPr>
          <w:rFonts w:ascii="Times New Roman" w:eastAsia="Times New Roman" w:hAnsi="Times New Roman" w:cs="Times New Roman"/>
          <w:color w:val="0E101A"/>
          <w:sz w:val="24"/>
          <w:szCs w:val="24"/>
          <w:lang w:val="en-US"/>
        </w:rPr>
        <w:t>With reference to</w:t>
      </w:r>
      <w:r w:rsidRPr="007F2C7B">
        <w:rPr>
          <w:rFonts w:ascii="Times New Roman" w:eastAsia="Times New Roman" w:hAnsi="Times New Roman" w:cs="Times New Roman"/>
          <w:color w:val="0E101A"/>
          <w:sz w:val="24"/>
          <w:szCs w:val="24"/>
          <w:lang w:val="en-US"/>
        </w:rPr>
        <w:t xml:space="preserve"> DCT, although further along the development timeline as crimes have already been committed, the </w:t>
      </w:r>
      <w:r w:rsidR="008A1EB0" w:rsidRPr="007F2C7B">
        <w:rPr>
          <w:rFonts w:ascii="Times New Roman" w:eastAsia="Times New Roman" w:hAnsi="Times New Roman" w:cs="Times New Roman"/>
          <w:color w:val="0E101A"/>
          <w:sz w:val="24"/>
          <w:szCs w:val="24"/>
          <w:lang w:val="en-US"/>
        </w:rPr>
        <w:t>young</w:t>
      </w:r>
      <w:r w:rsidRPr="007F2C7B">
        <w:rPr>
          <w:rFonts w:ascii="Times New Roman" w:eastAsia="Times New Roman" w:hAnsi="Times New Roman" w:cs="Times New Roman"/>
          <w:color w:val="0E101A"/>
          <w:sz w:val="24"/>
          <w:szCs w:val="24"/>
          <w:lang w:val="en-US"/>
        </w:rPr>
        <w:t xml:space="preserve"> offender institutes (YOI) apply the above developmental theories </w:t>
      </w:r>
      <w:r w:rsidRPr="007F2C7B">
        <w:rPr>
          <w:rFonts w:ascii="Times New Roman" w:eastAsia="Times New Roman" w:hAnsi="Times New Roman" w:cs="Times New Roman"/>
          <w:color w:val="0E101A"/>
          <w:sz w:val="24"/>
          <w:szCs w:val="24"/>
          <w:lang w:val="en-US"/>
        </w:rPr>
        <w:lastRenderedPageBreak/>
        <w:t xml:space="preserve">to help rehabilitate and prevent reoffence. The purpose of a YOI is "that of rehabilitation and care" (polatics.co.uk, 22); other institutes include secure training </w:t>
      </w:r>
      <w:r w:rsidR="009951CC" w:rsidRPr="007F2C7B">
        <w:rPr>
          <w:rFonts w:ascii="Times New Roman" w:eastAsia="Times New Roman" w:hAnsi="Times New Roman" w:cs="Times New Roman"/>
          <w:color w:val="0E101A"/>
          <w:sz w:val="24"/>
          <w:szCs w:val="24"/>
          <w:lang w:val="en-US"/>
        </w:rPr>
        <w:t>centers</w:t>
      </w:r>
      <w:r w:rsidRPr="007F2C7B">
        <w:rPr>
          <w:rFonts w:ascii="Times New Roman" w:eastAsia="Times New Roman" w:hAnsi="Times New Roman" w:cs="Times New Roman"/>
          <w:color w:val="0E101A"/>
          <w:sz w:val="24"/>
          <w:szCs w:val="24"/>
          <w:lang w:val="en-US"/>
        </w:rPr>
        <w:t xml:space="preserve"> and local authority secure children's homes.  </w:t>
      </w:r>
    </w:p>
    <w:p w14:paraId="54CC7C4E"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b/>
          <w:bCs/>
          <w:color w:val="0E101A"/>
          <w:sz w:val="24"/>
          <w:szCs w:val="24"/>
          <w:u w:val="single"/>
          <w:lang w:val="en-US"/>
        </w:rPr>
        <w:t>Classicism and Positivism</w:t>
      </w:r>
    </w:p>
    <w:p w14:paraId="43C9A922" w14:textId="5080A372"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Within the inner workings of the critical theories, research </w:t>
      </w:r>
      <w:r w:rsidR="00D02A20" w:rsidRPr="007F2C7B">
        <w:rPr>
          <w:rFonts w:ascii="Times New Roman" w:eastAsia="Times New Roman" w:hAnsi="Times New Roman" w:cs="Times New Roman"/>
          <w:color w:val="0E101A"/>
          <w:sz w:val="24"/>
          <w:szCs w:val="24"/>
          <w:lang w:val="en-US"/>
        </w:rPr>
        <w:t>evidence</w:t>
      </w:r>
      <w:r w:rsidRPr="007F2C7B">
        <w:rPr>
          <w:rFonts w:ascii="Times New Roman" w:eastAsia="Times New Roman" w:hAnsi="Times New Roman" w:cs="Times New Roman"/>
          <w:color w:val="0E101A"/>
          <w:sz w:val="24"/>
          <w:szCs w:val="24"/>
          <w:lang w:val="en-US"/>
        </w:rPr>
        <w:t xml:space="preserve"> many crucial factors in a person or persons carrying out criminal activities. A reoccurring theme is present across all areas: classicism, biological positivism, and phycological positivism. History shows monarchs could intervene and have absolute power of punishment and its application. Mooney (2000) claims that classicism is rational in its basic form. By removing classism and developing a </w:t>
      </w:r>
      <w:r w:rsidR="00D02A20" w:rsidRPr="007F2C7B">
        <w:rPr>
          <w:rFonts w:ascii="Times New Roman" w:eastAsia="Times New Roman" w:hAnsi="Times New Roman" w:cs="Times New Roman"/>
          <w:color w:val="0E101A"/>
          <w:sz w:val="24"/>
          <w:szCs w:val="24"/>
          <w:lang w:val="en-US"/>
        </w:rPr>
        <w:t>penalization</w:t>
      </w:r>
      <w:r w:rsidRPr="007F2C7B">
        <w:rPr>
          <w:rFonts w:ascii="Times New Roman" w:eastAsia="Times New Roman" w:hAnsi="Times New Roman" w:cs="Times New Roman"/>
          <w:color w:val="0E101A"/>
          <w:sz w:val="24"/>
          <w:szCs w:val="24"/>
          <w:lang w:val="en-US"/>
        </w:rPr>
        <w:t xml:space="preserve"> of crime through a legal process, a basic central premise exists that all men are equal (Canals, 1960). </w:t>
      </w:r>
    </w:p>
    <w:p w14:paraId="2A6A4D4D" w14:textId="15F017B1"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Classicism in this context refers to holding everyone accountable for their actions within society and the laws we abide by, and the level of punishment each crime carries. Intrinsically entwined in their sophistication are two theories Biological and psychological positivism. An in-depth scientific analysis of crime looks at many aspects of the human and then </w:t>
      </w:r>
      <w:r w:rsidR="00370088" w:rsidRPr="007F2C7B">
        <w:rPr>
          <w:rFonts w:ascii="Times New Roman" w:eastAsia="Times New Roman" w:hAnsi="Times New Roman" w:cs="Times New Roman"/>
          <w:color w:val="0E101A"/>
          <w:sz w:val="24"/>
          <w:szCs w:val="24"/>
          <w:lang w:val="en-US"/>
        </w:rPr>
        <w:t>theorizes</w:t>
      </w:r>
      <w:r w:rsidRPr="007F2C7B">
        <w:rPr>
          <w:rFonts w:ascii="Times New Roman" w:eastAsia="Times New Roman" w:hAnsi="Times New Roman" w:cs="Times New Roman"/>
          <w:color w:val="0E101A"/>
          <w:sz w:val="24"/>
          <w:szCs w:val="24"/>
          <w:lang w:val="en-US"/>
        </w:rPr>
        <w:t xml:space="preserve"> those individual traits to imply and determine the outcome of who will become a criminal (Fedorek, 2022). Classicism was very much in </w:t>
      </w:r>
      <w:r w:rsidR="00370088" w:rsidRPr="007F2C7B">
        <w:rPr>
          <w:rFonts w:ascii="Times New Roman" w:eastAsia="Times New Roman" w:hAnsi="Times New Roman" w:cs="Times New Roman"/>
          <w:color w:val="0E101A"/>
          <w:sz w:val="24"/>
          <w:szCs w:val="24"/>
          <w:lang w:val="en-US"/>
        </w:rPr>
        <w:t>favor</w:t>
      </w:r>
      <w:r w:rsidRPr="007F2C7B">
        <w:rPr>
          <w:rFonts w:ascii="Times New Roman" w:eastAsia="Times New Roman" w:hAnsi="Times New Roman" w:cs="Times New Roman"/>
          <w:color w:val="0E101A"/>
          <w:sz w:val="24"/>
          <w:szCs w:val="24"/>
          <w:lang w:val="en-US"/>
        </w:rPr>
        <w:t xml:space="preserve"> of taking power away from judges that would judge people on status rather than crime and gave more meaning to</w:t>
      </w:r>
      <w:r w:rsidR="00960552" w:rsidRPr="00960552">
        <w:rPr>
          <w:rFonts w:ascii="Times New Roman" w:eastAsia="Times New Roman" w:hAnsi="Times New Roman" w:cs="Times New Roman"/>
          <w:color w:val="0E101A"/>
          <w:sz w:val="24"/>
          <w:szCs w:val="24"/>
          <w:lang w:val="en-US"/>
        </w:rPr>
        <w:t xml:space="preserve"> </w:t>
      </w:r>
      <w:proofErr w:type="spellStart"/>
      <w:r w:rsidR="00960552" w:rsidRPr="007F2C7B">
        <w:rPr>
          <w:rFonts w:ascii="Times New Roman" w:eastAsia="Times New Roman" w:hAnsi="Times New Roman" w:cs="Times New Roman"/>
          <w:color w:val="0E101A"/>
          <w:sz w:val="24"/>
          <w:szCs w:val="24"/>
          <w:lang w:val="en-US"/>
        </w:rPr>
        <w:t>mens</w:t>
      </w:r>
      <w:proofErr w:type="spellEnd"/>
      <w:r w:rsidR="00960552" w:rsidRPr="007F2C7B">
        <w:rPr>
          <w:rFonts w:ascii="Times New Roman" w:eastAsia="Times New Roman" w:hAnsi="Times New Roman" w:cs="Times New Roman"/>
          <w:color w:val="0E101A"/>
          <w:sz w:val="24"/>
          <w:szCs w:val="24"/>
          <w:lang w:val="en-US"/>
        </w:rPr>
        <w:t>-rea</w:t>
      </w:r>
      <w:r w:rsidR="00960552">
        <w:rPr>
          <w:rFonts w:ascii="Times New Roman" w:eastAsia="Times New Roman" w:hAnsi="Times New Roman" w:cs="Times New Roman"/>
          <w:color w:val="0E101A"/>
          <w:sz w:val="24"/>
          <w:szCs w:val="24"/>
          <w:lang w:val="en-US"/>
        </w:rPr>
        <w:t xml:space="preserve"> the </w:t>
      </w:r>
      <w:r w:rsidRPr="007F2C7B">
        <w:rPr>
          <w:rFonts w:ascii="Times New Roman" w:eastAsia="Times New Roman" w:hAnsi="Times New Roman" w:cs="Times New Roman"/>
          <w:color w:val="0E101A"/>
          <w:sz w:val="24"/>
          <w:szCs w:val="24"/>
          <w:lang w:val="en-US"/>
        </w:rPr>
        <w:t>moral guilt</w:t>
      </w:r>
      <w:r w:rsidR="00197A9E">
        <w:rPr>
          <w:rFonts w:ascii="Times New Roman" w:eastAsia="Times New Roman" w:hAnsi="Times New Roman" w:cs="Times New Roman"/>
          <w:color w:val="0E101A"/>
          <w:sz w:val="24"/>
          <w:szCs w:val="24"/>
          <w:lang w:val="en-US"/>
        </w:rPr>
        <w:t xml:space="preserve"> over</w:t>
      </w:r>
      <w:r w:rsidRPr="007F2C7B">
        <w:rPr>
          <w:rFonts w:ascii="Times New Roman" w:eastAsia="Times New Roman" w:hAnsi="Times New Roman" w:cs="Times New Roman"/>
          <w:color w:val="0E101A"/>
          <w:sz w:val="24"/>
          <w:szCs w:val="24"/>
          <w:lang w:val="en-US"/>
        </w:rPr>
        <w:t xml:space="preserve"> the criminal guilt. Unlike positivism, which was more about liability than responsibility and had an instrumental influence in introducing juvenile courts. Part of the theory was about crime prevention, making it more applicable. Unlike classicism, it is a restricted theory because it directly addresses crime, not how crime accrues (Canals, 1960).</w:t>
      </w:r>
    </w:p>
    <w:p w14:paraId="4B24558B"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b/>
          <w:bCs/>
          <w:color w:val="0E101A"/>
          <w:sz w:val="24"/>
          <w:szCs w:val="24"/>
          <w:u w:val="single"/>
          <w:lang w:val="en-US"/>
        </w:rPr>
        <w:t>Crime prevention applied</w:t>
      </w:r>
    </w:p>
    <w:p w14:paraId="4BF295C7" w14:textId="2C034A73"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Crime prevention programs that have proven to work show that by design, description and outcome when applied individually or combined, situational, theoretical and developmental </w:t>
      </w:r>
      <w:r w:rsidRPr="007F2C7B">
        <w:rPr>
          <w:rFonts w:ascii="Times New Roman" w:eastAsia="Times New Roman" w:hAnsi="Times New Roman" w:cs="Times New Roman"/>
          <w:color w:val="0E101A"/>
          <w:sz w:val="24"/>
          <w:szCs w:val="24"/>
          <w:lang w:val="en-US"/>
        </w:rPr>
        <w:lastRenderedPageBreak/>
        <w:t xml:space="preserve">theories have high success rates. One of the many crime prevention programs, namely development theory, shows that statistics are positive by </w:t>
      </w:r>
      <w:r w:rsidR="000F0874" w:rsidRPr="007F2C7B">
        <w:rPr>
          <w:rFonts w:ascii="Times New Roman" w:eastAsia="Times New Roman" w:hAnsi="Times New Roman" w:cs="Times New Roman"/>
          <w:color w:val="0E101A"/>
          <w:sz w:val="24"/>
          <w:szCs w:val="24"/>
          <w:lang w:val="en-US"/>
        </w:rPr>
        <w:t>emphasizing</w:t>
      </w:r>
      <w:r w:rsidRPr="007F2C7B">
        <w:rPr>
          <w:rFonts w:ascii="Times New Roman" w:eastAsia="Times New Roman" w:hAnsi="Times New Roman" w:cs="Times New Roman"/>
          <w:color w:val="0E101A"/>
          <w:sz w:val="24"/>
          <w:szCs w:val="24"/>
          <w:lang w:val="en-US"/>
        </w:rPr>
        <w:t xml:space="preserve"> youth crime deterrence. Since its establishment in the United Kingdom, the Youth Inclusion Program (YIP) has placed two youth street workers in each priority </w:t>
      </w:r>
      <w:r w:rsidR="000F0874" w:rsidRPr="007F2C7B">
        <w:rPr>
          <w:rFonts w:ascii="Times New Roman" w:eastAsia="Times New Roman" w:hAnsi="Times New Roman" w:cs="Times New Roman"/>
          <w:color w:val="0E101A"/>
          <w:sz w:val="24"/>
          <w:szCs w:val="24"/>
          <w:lang w:val="en-US"/>
        </w:rPr>
        <w:t>neighborhood</w:t>
      </w:r>
      <w:r w:rsidRPr="007F2C7B">
        <w:rPr>
          <w:rFonts w:ascii="Times New Roman" w:eastAsia="Times New Roman" w:hAnsi="Times New Roman" w:cs="Times New Roman"/>
          <w:color w:val="0E101A"/>
          <w:sz w:val="24"/>
          <w:szCs w:val="24"/>
          <w:lang w:val="en-US"/>
        </w:rPr>
        <w:t>. The aim is to assist and advise approximately 50 of the most vulnerable, aged youths 13 to 16, provide mentoring, homework and skill-building activities for 10 hours a week; the street workers also assist in dealing with violence, drugs, gangs and personal health. After research, the mentoring program results were a 65% reduction in youth arrest and 16% in crime overall in those communities; it was so successfully effective and accepted that the program doubled</w:t>
      </w:r>
      <w:sdt>
        <w:sdtPr>
          <w:rPr>
            <w:rFonts w:ascii="Times New Roman" w:eastAsia="Times New Roman" w:hAnsi="Times New Roman" w:cs="Times New Roman"/>
            <w:color w:val="0E101A"/>
            <w:sz w:val="24"/>
            <w:szCs w:val="24"/>
            <w:lang w:val="en-US"/>
          </w:rPr>
          <w:id w:val="296414576"/>
          <w:citation/>
        </w:sdtPr>
        <w:sdtEndPr/>
        <w:sdtContent>
          <w:r w:rsidR="00FE60F4">
            <w:rPr>
              <w:rFonts w:ascii="Times New Roman" w:eastAsia="Times New Roman" w:hAnsi="Times New Roman" w:cs="Times New Roman"/>
              <w:color w:val="0E101A"/>
              <w:sz w:val="24"/>
              <w:szCs w:val="24"/>
              <w:lang w:val="en-US"/>
            </w:rPr>
            <w:fldChar w:fldCharType="begin"/>
          </w:r>
          <w:r w:rsidR="00FE60F4">
            <w:rPr>
              <w:rFonts w:ascii="Times New Roman" w:eastAsia="Times New Roman" w:hAnsi="Times New Roman" w:cs="Times New Roman"/>
              <w:color w:val="0E101A"/>
              <w:sz w:val="24"/>
              <w:szCs w:val="24"/>
            </w:rPr>
            <w:instrText xml:space="preserve"> CITATION can16 \l 2057 </w:instrText>
          </w:r>
          <w:r w:rsidR="00FE60F4">
            <w:rPr>
              <w:rFonts w:ascii="Times New Roman" w:eastAsia="Times New Roman" w:hAnsi="Times New Roman" w:cs="Times New Roman"/>
              <w:color w:val="0E101A"/>
              <w:sz w:val="24"/>
              <w:szCs w:val="24"/>
              <w:lang w:val="en-US"/>
            </w:rPr>
            <w:fldChar w:fldCharType="separate"/>
          </w:r>
          <w:r w:rsidR="00FE60F4">
            <w:rPr>
              <w:rFonts w:ascii="Times New Roman" w:eastAsia="Times New Roman" w:hAnsi="Times New Roman" w:cs="Times New Roman"/>
              <w:noProof/>
              <w:color w:val="0E101A"/>
              <w:sz w:val="24"/>
              <w:szCs w:val="24"/>
            </w:rPr>
            <w:t xml:space="preserve"> </w:t>
          </w:r>
          <w:r w:rsidR="00FE60F4" w:rsidRPr="00FE60F4">
            <w:rPr>
              <w:rFonts w:ascii="Times New Roman" w:eastAsia="Times New Roman" w:hAnsi="Times New Roman" w:cs="Times New Roman"/>
              <w:noProof/>
              <w:color w:val="0E101A"/>
              <w:sz w:val="24"/>
              <w:szCs w:val="24"/>
            </w:rPr>
            <w:t>(prevention, 2016)</w:t>
          </w:r>
          <w:r w:rsidR="00FE60F4">
            <w:rPr>
              <w:rFonts w:ascii="Times New Roman" w:eastAsia="Times New Roman" w:hAnsi="Times New Roman" w:cs="Times New Roman"/>
              <w:color w:val="0E101A"/>
              <w:sz w:val="24"/>
              <w:szCs w:val="24"/>
              <w:lang w:val="en-US"/>
            </w:rPr>
            <w:fldChar w:fldCharType="end"/>
          </w:r>
        </w:sdtContent>
      </w:sdt>
      <w:r w:rsidR="00172E61">
        <w:rPr>
          <w:rFonts w:ascii="Times New Roman" w:eastAsia="Times New Roman" w:hAnsi="Times New Roman" w:cs="Times New Roman"/>
          <w:color w:val="0E101A"/>
          <w:sz w:val="24"/>
          <w:szCs w:val="24"/>
          <w:lang w:val="en-US"/>
        </w:rPr>
        <w:t xml:space="preserve">.  </w:t>
      </w:r>
      <w:r w:rsidRPr="007F2C7B">
        <w:rPr>
          <w:rFonts w:ascii="Times New Roman" w:eastAsia="Times New Roman" w:hAnsi="Times New Roman" w:cs="Times New Roman"/>
          <w:color w:val="0E101A"/>
          <w:sz w:val="24"/>
          <w:szCs w:val="24"/>
          <w:lang w:val="en-US"/>
        </w:rPr>
        <w:t xml:space="preserve">Other programs where critical theories are applied worth mentioning are Big Brothers Big Sisters Program, Life Skills Training Program, Kirkholt (UK) </w:t>
      </w:r>
      <w:r w:rsidR="009C7696" w:rsidRPr="007F2C7B">
        <w:rPr>
          <w:rFonts w:ascii="Times New Roman" w:eastAsia="Times New Roman" w:hAnsi="Times New Roman" w:cs="Times New Roman"/>
          <w:color w:val="0E101A"/>
          <w:sz w:val="24"/>
          <w:szCs w:val="24"/>
          <w:lang w:val="en-US"/>
        </w:rPr>
        <w:t>Neighborhood</w:t>
      </w:r>
      <w:r w:rsidRPr="007F2C7B">
        <w:rPr>
          <w:rFonts w:ascii="Times New Roman" w:eastAsia="Times New Roman" w:hAnsi="Times New Roman" w:cs="Times New Roman"/>
          <w:color w:val="0E101A"/>
          <w:sz w:val="24"/>
          <w:szCs w:val="24"/>
          <w:lang w:val="en-US"/>
        </w:rPr>
        <w:t xml:space="preserve"> Watch and Positive Parenting Program.</w:t>
      </w:r>
    </w:p>
    <w:p w14:paraId="3468DCCB"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b/>
          <w:bCs/>
          <w:color w:val="0E101A"/>
          <w:sz w:val="24"/>
          <w:szCs w:val="24"/>
          <w:u w:val="single"/>
          <w:lang w:val="en-US"/>
        </w:rPr>
        <w:t>Case study: Lewisham violence and vulnerability</w:t>
      </w:r>
      <w:r w:rsidRPr="007F2C7B">
        <w:rPr>
          <w:rFonts w:ascii="Times New Roman" w:eastAsia="Times New Roman" w:hAnsi="Times New Roman" w:cs="Times New Roman"/>
          <w:color w:val="0E101A"/>
          <w:sz w:val="24"/>
          <w:szCs w:val="24"/>
          <w:u w:val="single"/>
          <w:lang w:val="en-US"/>
        </w:rPr>
        <w:t> </w:t>
      </w:r>
    </w:p>
    <w:p w14:paraId="35EB27FF"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In the London borough of Lewisham, there were concerns around the number of young people involved in serious youth violence, drug dealing and gang-related crime. There was an alarmingly high amount of crime incidents happing, particularly from 2010 through to 2011 with over 300 cases of serious crimes; subsequent analysis shows figures trending downward with lower than 225 over the following six-year period.  </w:t>
      </w:r>
    </w:p>
    <w:p w14:paraId="196A29B8" w14:textId="6A1E2DC1"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Many of these crimes were knife related. The Evidence-Based Policing (EBP) models of hot spot policing and problem-oriented policing were used to identify and map this increasing violent trend. The situational theory was applied to identify the environmental and social challenges that faced the borough of Lewisham, allowing the multitask agencies involved with solving the problem to formulate a practical approach. The primary method of dealing with the problems was forming specific programs and partnerships, each with a detailed target to address. Those groups were Missing, Exploited and Trafficked (MET), Focused </w:t>
      </w:r>
      <w:r w:rsidRPr="007F2C7B">
        <w:rPr>
          <w:rFonts w:ascii="Times New Roman" w:eastAsia="Times New Roman" w:hAnsi="Times New Roman" w:cs="Times New Roman"/>
          <w:color w:val="0E101A"/>
          <w:sz w:val="24"/>
          <w:szCs w:val="24"/>
          <w:lang w:val="en-US"/>
        </w:rPr>
        <w:lastRenderedPageBreak/>
        <w:t xml:space="preserve">Deterrence, Accident and Emergency, Hotspot/schools, Parents/family work-trusted adults and the Savvy matrix (councils, 2022). With the methods implemented, they were reviewed and adapted as needed. Subsequent investigations showed that the implementation of EBP </w:t>
      </w:r>
      <w:r w:rsidR="00433796">
        <w:rPr>
          <w:rFonts w:ascii="Times New Roman" w:eastAsia="Times New Roman" w:hAnsi="Times New Roman" w:cs="Times New Roman"/>
          <w:color w:val="0E101A"/>
          <w:sz w:val="24"/>
          <w:szCs w:val="24"/>
          <w:lang w:val="en-US"/>
        </w:rPr>
        <w:t xml:space="preserve">and the </w:t>
      </w:r>
      <w:r w:rsidR="00DD02CD">
        <w:rPr>
          <w:rFonts w:ascii="Times New Roman" w:eastAsia="Times New Roman" w:hAnsi="Times New Roman" w:cs="Times New Roman"/>
          <w:color w:val="0E101A"/>
          <w:sz w:val="24"/>
          <w:szCs w:val="24"/>
          <w:lang w:val="en-US"/>
        </w:rPr>
        <w:t>situational theor</w:t>
      </w:r>
      <w:r w:rsidR="00433796">
        <w:rPr>
          <w:rFonts w:ascii="Times New Roman" w:eastAsia="Times New Roman" w:hAnsi="Times New Roman" w:cs="Times New Roman"/>
          <w:color w:val="0E101A"/>
          <w:sz w:val="24"/>
          <w:szCs w:val="24"/>
          <w:lang w:val="en-US"/>
        </w:rPr>
        <w:t xml:space="preserve">ies </w:t>
      </w:r>
      <w:r w:rsidRPr="007F2C7B">
        <w:rPr>
          <w:rFonts w:ascii="Times New Roman" w:eastAsia="Times New Roman" w:hAnsi="Times New Roman" w:cs="Times New Roman"/>
          <w:color w:val="0E101A"/>
          <w:sz w:val="24"/>
          <w:szCs w:val="24"/>
          <w:lang w:val="en-US"/>
        </w:rPr>
        <w:t>did have a positive impact; however, the Lewisham borough had resolved only one problem. Recent crime statistics show many more issues yet to be addressed and resolved. </w:t>
      </w:r>
    </w:p>
    <w:p w14:paraId="18CF47A5" w14:textId="78238C95"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The question </w:t>
      </w:r>
      <w:r w:rsidR="00172E61" w:rsidRPr="007F2C7B">
        <w:rPr>
          <w:rFonts w:ascii="Times New Roman" w:eastAsia="Times New Roman" w:hAnsi="Times New Roman" w:cs="Times New Roman"/>
          <w:color w:val="0E101A"/>
          <w:sz w:val="24"/>
          <w:szCs w:val="24"/>
          <w:lang w:val="en-US"/>
        </w:rPr>
        <w:t>must</w:t>
      </w:r>
      <w:r w:rsidRPr="007F2C7B">
        <w:rPr>
          <w:rFonts w:ascii="Times New Roman" w:eastAsia="Times New Roman" w:hAnsi="Times New Roman" w:cs="Times New Roman"/>
          <w:color w:val="0E101A"/>
          <w:sz w:val="24"/>
          <w:szCs w:val="24"/>
          <w:lang w:val="en-US"/>
        </w:rPr>
        <w:t xml:space="preserve"> be, did the application of the EBP have a negative impact overall. Where EBP concentrated resources successfully to tackle one specific criminal issue, were criminals aware of this methodology, resulting in them finding other ways to commit a crime, causing a rise in other crimes. If the survey conducted by Rate (2022) is anything to go by, the current statistics show a decrease in antisocial </w:t>
      </w:r>
      <w:r w:rsidRPr="007F2C7B">
        <w:rPr>
          <w:rFonts w:ascii="Times New Roman" w:eastAsia="Times New Roman" w:hAnsi="Times New Roman" w:cs="Times New Roman"/>
          <w:color w:val="0E101A"/>
          <w:sz w:val="24"/>
          <w:szCs w:val="24"/>
        </w:rPr>
        <w:t>behaviours</w:t>
      </w:r>
      <w:r w:rsidRPr="007F2C7B">
        <w:rPr>
          <w:rFonts w:ascii="Times New Roman" w:eastAsia="Times New Roman" w:hAnsi="Times New Roman" w:cs="Times New Roman"/>
          <w:color w:val="0E101A"/>
          <w:sz w:val="24"/>
          <w:szCs w:val="24"/>
          <w:lang w:val="en-US"/>
        </w:rPr>
        <w:t xml:space="preserve"> of 14%; however, weapon possession was unstable, with a decrease followed by an increase recently. Conversely, other crimes the youth in Lewisham were involved in within their postcode gangs were drugs and theft from a person, which have gotten better; drug crimes decreased, making them 9% and theft from a person by 150%.</w:t>
      </w:r>
      <w:r w:rsidR="00DB72D6">
        <w:rPr>
          <w:rFonts w:ascii="Times New Roman" w:eastAsia="Times New Roman" w:hAnsi="Times New Roman" w:cs="Times New Roman"/>
          <w:color w:val="0E101A"/>
          <w:sz w:val="24"/>
          <w:szCs w:val="24"/>
          <w:lang w:val="en-US"/>
        </w:rPr>
        <w:t xml:space="preserve">  </w:t>
      </w:r>
    </w:p>
    <w:p w14:paraId="62FC4993"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b/>
          <w:bCs/>
          <w:color w:val="0E101A"/>
          <w:sz w:val="24"/>
          <w:szCs w:val="24"/>
          <w:u w:val="single"/>
          <w:lang w:val="en-US"/>
        </w:rPr>
        <w:t>Summary</w:t>
      </w:r>
    </w:p>
    <w:p w14:paraId="039F74EE"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Today committing a crime is in constant flux; it is an evolving sophisticated, and volatile state of the ever-emerging challenge to those in power whose purpose is to protect and serve and uphold the country's laws. This paper looked at the three main Key Crime Prevention Theories of Evidence-Based Policing (EBP) and the subsequent breakdown of each theory and its purpose. Likewise, it looked at evidence highlighting biological and psychological positivism methods, including the differences between Classicism and Positivism. Within all the EBP methods are the fundamentals of the crime prevention theories. </w:t>
      </w:r>
    </w:p>
    <w:p w14:paraId="175590DA"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At first glance, with so many credited writings and so many points of view, one would be correct in thinking it is a minefield of conflicting arguments. The crime prevention theories </w:t>
      </w:r>
      <w:r w:rsidRPr="007F2C7B">
        <w:rPr>
          <w:rFonts w:ascii="Times New Roman" w:eastAsia="Times New Roman" w:hAnsi="Times New Roman" w:cs="Times New Roman"/>
          <w:color w:val="0E101A"/>
          <w:sz w:val="24"/>
          <w:szCs w:val="24"/>
          <w:lang w:val="en-US"/>
        </w:rPr>
        <w:lastRenderedPageBreak/>
        <w:t xml:space="preserve">question what the attraction of crime is, why a person becomes a criminal, and how the application of early intervention assists in trying to deter someone from committing a crime. </w:t>
      </w:r>
      <w:r>
        <w:rPr>
          <w:rFonts w:ascii="Times New Roman" w:eastAsia="Times New Roman" w:hAnsi="Times New Roman" w:cs="Times New Roman"/>
          <w:color w:val="0E101A"/>
          <w:sz w:val="24"/>
          <w:szCs w:val="24"/>
          <w:lang w:val="en-US"/>
        </w:rPr>
        <w:t>P</w:t>
      </w:r>
      <w:r w:rsidRPr="007F2C7B">
        <w:rPr>
          <w:rFonts w:ascii="Times New Roman" w:eastAsia="Times New Roman" w:hAnsi="Times New Roman" w:cs="Times New Roman"/>
          <w:color w:val="0E101A"/>
          <w:sz w:val="24"/>
          <w:szCs w:val="24"/>
          <w:lang w:val="en-US"/>
        </w:rPr>
        <w:t>olice researchers and academics have for hundreds of years asked these very same questions. </w:t>
      </w:r>
    </w:p>
    <w:p w14:paraId="48A2AC20" w14:textId="77777777" w:rsidR="0021494B" w:rsidRPr="007F2C7B" w:rsidRDefault="0021494B" w:rsidP="0021494B">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Countless police and academics alike provide an argument for and against these same basic questions. However, it appears evident that the collective conclusions on the matter are the kernel of the tools that the police use today to combat crime. This is especially after conducting a closer detailed look at each of the Key Crime Prevention Theories, founding itself upon crime being rational, biological, social or environmental.</w:t>
      </w:r>
    </w:p>
    <w:p w14:paraId="71725E10" w14:textId="17A5BCE9" w:rsidR="0021494B" w:rsidRPr="00353312" w:rsidRDefault="0021494B" w:rsidP="00353312">
      <w:pPr>
        <w:spacing w:after="0" w:line="480" w:lineRule="auto"/>
        <w:rPr>
          <w:rFonts w:ascii="Times New Roman" w:eastAsia="Times New Roman" w:hAnsi="Times New Roman" w:cs="Times New Roman"/>
          <w:color w:val="0E101A"/>
          <w:sz w:val="24"/>
          <w:szCs w:val="24"/>
          <w:lang w:val="en-US"/>
        </w:rPr>
      </w:pPr>
      <w:r w:rsidRPr="007F2C7B">
        <w:rPr>
          <w:rFonts w:ascii="Times New Roman" w:eastAsia="Times New Roman" w:hAnsi="Times New Roman" w:cs="Times New Roman"/>
          <w:color w:val="0E101A"/>
          <w:sz w:val="24"/>
          <w:szCs w:val="24"/>
          <w:lang w:val="en-US"/>
        </w:rPr>
        <w:t xml:space="preserve">The framework of EBP, as highlighted throughout this paper, is designed to be adapted on the premise of what works and, most importantly, what does not; only then can improvements be made to increase its effectiveness in fighting crime. Although a relatively new model, it has a core basis, research on its application to crimes, providing results and comparison to other outcomes across all policing and judicial institutions. The EBP model that deals with sharing information is the College of policing, which works </w:t>
      </w:r>
      <w:r w:rsidR="00177B80" w:rsidRPr="007F2C7B">
        <w:rPr>
          <w:rFonts w:ascii="Times New Roman" w:eastAsia="Times New Roman" w:hAnsi="Times New Roman" w:cs="Times New Roman"/>
          <w:color w:val="0E101A"/>
          <w:sz w:val="24"/>
          <w:szCs w:val="24"/>
          <w:lang w:val="en-US"/>
        </w:rPr>
        <w:t>center</w:t>
      </w:r>
      <w:r w:rsidRPr="007F2C7B">
        <w:rPr>
          <w:rFonts w:ascii="Times New Roman" w:eastAsia="Times New Roman" w:hAnsi="Times New Roman" w:cs="Times New Roman"/>
          <w:color w:val="0E101A"/>
          <w:sz w:val="24"/>
          <w:szCs w:val="24"/>
          <w:lang w:val="en-US"/>
        </w:rPr>
        <w:t>, whose role is "the collection and sharing of research evidence on crime reduction and support the use in practice" (Policing, 2022).</w:t>
      </w:r>
      <w:r w:rsidR="00353312">
        <w:rPr>
          <w:rFonts w:ascii="Times New Roman" w:eastAsia="Times New Roman" w:hAnsi="Times New Roman" w:cs="Times New Roman"/>
          <w:color w:val="0E101A"/>
          <w:sz w:val="24"/>
          <w:szCs w:val="24"/>
          <w:lang w:val="en-US"/>
        </w:rPr>
        <w:t xml:space="preserve">  Crime is unpredictable and unsta</w:t>
      </w:r>
      <w:r w:rsidR="00B4297B">
        <w:rPr>
          <w:rFonts w:ascii="Times New Roman" w:eastAsia="Times New Roman" w:hAnsi="Times New Roman" w:cs="Times New Roman"/>
          <w:color w:val="0E101A"/>
          <w:sz w:val="24"/>
          <w:szCs w:val="24"/>
          <w:lang w:val="en-US"/>
        </w:rPr>
        <w:t>ble and ever changing</w:t>
      </w:r>
      <w:r w:rsidR="008B053A">
        <w:rPr>
          <w:rFonts w:ascii="Times New Roman" w:eastAsia="Times New Roman" w:hAnsi="Times New Roman" w:cs="Times New Roman"/>
          <w:color w:val="0E101A"/>
          <w:sz w:val="24"/>
          <w:szCs w:val="24"/>
          <w:lang w:val="en-US"/>
        </w:rPr>
        <w:t xml:space="preserve"> in technique.</w:t>
      </w:r>
    </w:p>
    <w:p w14:paraId="4B8F8293" w14:textId="77777777" w:rsidR="0021494B" w:rsidRDefault="0021494B" w:rsidP="0021494B">
      <w:r>
        <w:rPr>
          <w:noProof/>
        </w:rPr>
        <w:drawing>
          <wp:inline distT="0" distB="0" distL="0" distR="0" wp14:anchorId="5B9122E2" wp14:editId="69F41E00">
            <wp:extent cx="5731510" cy="2624703"/>
            <wp:effectExtent l="0" t="0" r="2540" b="4445"/>
            <wp:docPr id="1" name="Picture 1" descr="Quotes about Crime prevention (48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otes about Crime prevention (48 quot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24703"/>
                    </a:xfrm>
                    <a:prstGeom prst="rect">
                      <a:avLst/>
                    </a:prstGeom>
                    <a:noFill/>
                    <a:ln>
                      <a:noFill/>
                    </a:ln>
                  </pic:spPr>
                </pic:pic>
              </a:graphicData>
            </a:graphic>
          </wp:inline>
        </w:drawing>
      </w:r>
    </w:p>
    <w:p w14:paraId="6527963B" w14:textId="0BA761E1" w:rsidR="008B530F" w:rsidRDefault="008B530F" w:rsidP="00823270">
      <w:pPr>
        <w:rPr>
          <w:rFonts w:cstheme="minorHAnsi"/>
          <w:color w:val="242424"/>
          <w:sz w:val="20"/>
          <w:szCs w:val="20"/>
          <w:shd w:val="clear" w:color="auto" w:fill="FFFFFF"/>
        </w:rPr>
      </w:pPr>
    </w:p>
    <w:sdt>
      <w:sdtPr>
        <w:rPr>
          <w:rFonts w:asciiTheme="minorHAnsi" w:eastAsiaTheme="minorHAnsi" w:hAnsiTheme="minorHAnsi" w:cstheme="minorBidi"/>
          <w:color w:val="auto"/>
          <w:sz w:val="22"/>
          <w:szCs w:val="22"/>
        </w:rPr>
        <w:id w:val="20831404"/>
        <w:docPartObj>
          <w:docPartGallery w:val="Bibliographies"/>
          <w:docPartUnique/>
        </w:docPartObj>
      </w:sdtPr>
      <w:sdtEndPr/>
      <w:sdtContent>
        <w:p w14:paraId="5F249BB6" w14:textId="626CBD17" w:rsidR="002048CA" w:rsidRDefault="002048CA">
          <w:pPr>
            <w:pStyle w:val="Heading1"/>
          </w:pPr>
          <w:r>
            <w:t>Bibliography</w:t>
          </w:r>
        </w:p>
        <w:sdt>
          <w:sdtPr>
            <w:id w:val="111145805"/>
            <w:bibliography/>
          </w:sdtPr>
          <w:sdtEndPr/>
          <w:sdtContent>
            <w:p w14:paraId="3CB6ACA7" w14:textId="77777777" w:rsidR="002048CA" w:rsidRDefault="002048CA" w:rsidP="002048CA">
              <w:pPr>
                <w:pStyle w:val="Bibliography"/>
                <w:rPr>
                  <w:noProof/>
                  <w:sz w:val="24"/>
                  <w:szCs w:val="24"/>
                </w:rPr>
              </w:pPr>
              <w:r>
                <w:fldChar w:fldCharType="begin"/>
              </w:r>
              <w:r>
                <w:instrText xml:space="preserve"> BIBLIOGRAPHY </w:instrText>
              </w:r>
              <w:r>
                <w:fldChar w:fldCharType="separate"/>
              </w:r>
              <w:r>
                <w:rPr>
                  <w:noProof/>
                </w:rPr>
                <w:t xml:space="preserve">Canals, J. M., 1960. Classicism, Positivism and Social Defense. </w:t>
              </w:r>
              <w:r>
                <w:rPr>
                  <w:i/>
                  <w:iCs/>
                  <w:noProof/>
                </w:rPr>
                <w:t xml:space="preserve">Classicism, Positivism and Social Defense, </w:t>
              </w:r>
              <w:r>
                <w:rPr>
                  <w:noProof/>
                </w:rPr>
                <w:t>Volume 50, p. 550.</w:t>
              </w:r>
            </w:p>
            <w:p w14:paraId="470A56F6" w14:textId="77777777" w:rsidR="002048CA" w:rsidRDefault="002048CA" w:rsidP="002048CA">
              <w:pPr>
                <w:pStyle w:val="Bibliography"/>
                <w:rPr>
                  <w:noProof/>
                </w:rPr>
              </w:pPr>
              <w:r>
                <w:rPr>
                  <w:noProof/>
                </w:rPr>
                <w:t xml:space="preserve">Caro, M. D., 2016. utilitarianism and retributivism in Cesare Beccaria. </w:t>
              </w:r>
              <w:r>
                <w:rPr>
                  <w:i/>
                  <w:iCs/>
                  <w:noProof/>
                </w:rPr>
                <w:t xml:space="preserve">italian law jounal 2 Italian , </w:t>
              </w:r>
              <w:r>
                <w:rPr>
                  <w:noProof/>
                </w:rPr>
                <w:t>Issue 2.</w:t>
              </w:r>
            </w:p>
            <w:p w14:paraId="72B70277" w14:textId="77777777" w:rsidR="002048CA" w:rsidRDefault="002048CA" w:rsidP="002048CA">
              <w:pPr>
                <w:pStyle w:val="Bibliography"/>
                <w:rPr>
                  <w:noProof/>
                </w:rPr>
              </w:pPr>
              <w:r>
                <w:rPr>
                  <w:noProof/>
                </w:rPr>
                <w:t xml:space="preserve">councils, l., 2022. </w:t>
              </w:r>
              <w:r>
                <w:rPr>
                  <w:i/>
                  <w:iCs/>
                  <w:noProof/>
                </w:rPr>
                <w:t xml:space="preserve">lewisham violence and vulnerability. </w:t>
              </w:r>
              <w:r>
                <w:rPr>
                  <w:noProof/>
                </w:rPr>
                <w:t xml:space="preserve">[Online] </w:t>
              </w:r>
              <w:r>
                <w:rPr>
                  <w:noProof/>
                </w:rPr>
                <w:br/>
                <w:t xml:space="preserve">Available at: </w:t>
              </w:r>
              <w:r>
                <w:rPr>
                  <w:noProof/>
                  <w:u w:val="single"/>
                </w:rPr>
                <w:t>https://www.londoncouncils.gov.uk/our-key-themes/crime-and-public-protection/borough-crime-case-studies/lewisham-violence-and</w:t>
              </w:r>
              <w:r>
                <w:rPr>
                  <w:noProof/>
                </w:rPr>
                <w:br/>
                <w:t>[Accessed 2020 april 2022].</w:t>
              </w:r>
            </w:p>
            <w:p w14:paraId="71E68D08" w14:textId="77777777" w:rsidR="002048CA" w:rsidRDefault="002048CA" w:rsidP="002048CA">
              <w:pPr>
                <w:pStyle w:val="Bibliography"/>
                <w:rPr>
                  <w:noProof/>
                </w:rPr>
              </w:pPr>
              <w:r>
                <w:rPr>
                  <w:noProof/>
                </w:rPr>
                <w:t xml:space="preserve">crime, u. n. o. o. d. a., 2019. </w:t>
              </w:r>
              <w:r>
                <w:rPr>
                  <w:i/>
                  <w:iCs/>
                  <w:noProof/>
                </w:rPr>
                <w:t xml:space="preserve">E4J University Module Series: Crime Prevention and Criminal Justice. </w:t>
              </w:r>
              <w:r>
                <w:rPr>
                  <w:noProof/>
                </w:rPr>
                <w:t xml:space="preserve">[Online] </w:t>
              </w:r>
              <w:r>
                <w:rPr>
                  <w:noProof/>
                </w:rPr>
                <w:br/>
                <w:t xml:space="preserve">Available at: </w:t>
              </w:r>
              <w:r>
                <w:rPr>
                  <w:noProof/>
                  <w:u w:val="single"/>
                </w:rPr>
                <w:t>https://www.unodc.org/e4j/zh/crime-prevention-criminal-justice/module-2/key-issues/2a--detailed-explanation-of-tonry-and-farringtons-typology.html#:~:text=Developmental%20crime%20prevention,Farrington%20and%20Welsh%2C%202007).</w:t>
              </w:r>
              <w:r>
                <w:rPr>
                  <w:noProof/>
                </w:rPr>
                <w:br/>
                <w:t>[Accessed 18 april 22].</w:t>
              </w:r>
            </w:p>
            <w:p w14:paraId="34BD6B36" w14:textId="77777777" w:rsidR="002048CA" w:rsidRDefault="002048CA" w:rsidP="002048CA">
              <w:pPr>
                <w:pStyle w:val="Bibliography"/>
                <w:rPr>
                  <w:noProof/>
                </w:rPr>
              </w:pPr>
              <w:r>
                <w:rPr>
                  <w:noProof/>
                </w:rPr>
                <w:t xml:space="preserve">Farrington, T. R. M. a. D. P., 2018. Developmental and life-course explanations of offending. </w:t>
              </w:r>
              <w:r>
                <w:rPr>
                  <w:i/>
                  <w:iCs/>
                  <w:noProof/>
                </w:rPr>
                <w:t xml:space="preserve">Psychology, Crime &amp; Law, </w:t>
              </w:r>
              <w:r>
                <w:rPr>
                  <w:noProof/>
                </w:rPr>
                <w:t>p. 625.</w:t>
              </w:r>
            </w:p>
            <w:p w14:paraId="61C6C178" w14:textId="77777777" w:rsidR="002048CA" w:rsidRDefault="002048CA" w:rsidP="002048CA">
              <w:pPr>
                <w:pStyle w:val="Bibliography"/>
                <w:rPr>
                  <w:noProof/>
                </w:rPr>
              </w:pPr>
              <w:r>
                <w:rPr>
                  <w:noProof/>
                </w:rPr>
                <w:t xml:space="preserve">Fedorek, B., 2022. </w:t>
              </w:r>
              <w:r>
                <w:rPr>
                  <w:i/>
                  <w:iCs/>
                  <w:noProof/>
                </w:rPr>
                <w:t xml:space="preserve">INTRODUCTION TO THE AMERICAN CRIMINAL JUSTICE SYSTEM/Biological and Psychological Positivism. </w:t>
              </w:r>
              <w:r>
                <w:rPr>
                  <w:noProof/>
                </w:rPr>
                <w:t xml:space="preserve">[Online] </w:t>
              </w:r>
              <w:r>
                <w:rPr>
                  <w:noProof/>
                </w:rPr>
                <w:br/>
                <w:t xml:space="preserve">Available at: </w:t>
              </w:r>
              <w:r>
                <w:rPr>
                  <w:noProof/>
                  <w:u w:val="single"/>
                </w:rPr>
                <w:t>https://openoregon.pressbooks.pub/ccj230/chapter/4-7-biological-and-psychological-positivism/</w:t>
              </w:r>
              <w:r>
                <w:rPr>
                  <w:noProof/>
                </w:rPr>
                <w:br/>
                <w:t>[Accessed 19 april 2022].</w:t>
              </w:r>
            </w:p>
            <w:p w14:paraId="20F9040B" w14:textId="77777777" w:rsidR="002048CA" w:rsidRDefault="002048CA" w:rsidP="002048CA">
              <w:pPr>
                <w:pStyle w:val="Bibliography"/>
                <w:rPr>
                  <w:noProof/>
                </w:rPr>
              </w:pPr>
              <w:r>
                <w:rPr>
                  <w:noProof/>
                </w:rPr>
                <w:t xml:space="preserve">Home Office, M. o. J., 2021. </w:t>
              </w:r>
              <w:r>
                <w:rPr>
                  <w:i/>
                  <w:iCs/>
                  <w:noProof/>
                </w:rPr>
                <w:t xml:space="preserve">Crime plan to protect victims and make streets safer, </w:t>
              </w:r>
              <w:r>
                <w:rPr>
                  <w:noProof/>
                </w:rPr>
                <w:t>s.l.: gov.uk.</w:t>
              </w:r>
            </w:p>
            <w:p w14:paraId="0C1CDF9C" w14:textId="77777777" w:rsidR="002048CA" w:rsidRDefault="002048CA" w:rsidP="002048CA">
              <w:pPr>
                <w:pStyle w:val="Bibliography"/>
                <w:rPr>
                  <w:noProof/>
                </w:rPr>
              </w:pPr>
              <w:r>
                <w:rPr>
                  <w:noProof/>
                </w:rPr>
                <w:t xml:space="preserve">Lurigio, R. C. D. &amp;. A. J., 1996. </w:t>
              </w:r>
              <w:r>
                <w:rPr>
                  <w:i/>
                  <w:iCs/>
                  <w:noProof/>
                </w:rPr>
                <w:t xml:space="preserve">Fighting Back: Neighborhood Antidrug Strategies. </w:t>
              </w:r>
              <w:r>
                <w:rPr>
                  <w:noProof/>
                </w:rPr>
                <w:t>s.l.:SAGE Publications, Inc..</w:t>
              </w:r>
            </w:p>
            <w:p w14:paraId="4ABB0D55" w14:textId="77777777" w:rsidR="002048CA" w:rsidRDefault="002048CA" w:rsidP="002048CA">
              <w:pPr>
                <w:pStyle w:val="Bibliography"/>
                <w:rPr>
                  <w:noProof/>
                </w:rPr>
              </w:pPr>
              <w:r>
                <w:rPr>
                  <w:noProof/>
                </w:rPr>
                <w:t xml:space="preserve">Miró, F., 2014. Routine Activity Theory. 31 january. </w:t>
              </w:r>
            </w:p>
            <w:p w14:paraId="04FB4F6C" w14:textId="77777777" w:rsidR="002048CA" w:rsidRDefault="002048CA" w:rsidP="002048CA">
              <w:pPr>
                <w:pStyle w:val="Bibliography"/>
                <w:rPr>
                  <w:noProof/>
                </w:rPr>
              </w:pPr>
              <w:r>
                <w:rPr>
                  <w:noProof/>
                </w:rPr>
                <w:t>Mooney, J., 2000. Classicist Criminology: Liberal Explanations of Violence. In: london: Palgrave Macmillan, p. 13.</w:t>
              </w:r>
            </w:p>
            <w:p w14:paraId="38229809" w14:textId="77777777" w:rsidR="002048CA" w:rsidRDefault="002048CA" w:rsidP="002048CA">
              <w:pPr>
                <w:pStyle w:val="Bibliography"/>
                <w:rPr>
                  <w:noProof/>
                </w:rPr>
              </w:pPr>
              <w:r>
                <w:rPr>
                  <w:noProof/>
                </w:rPr>
                <w:t xml:space="preserve">polatics.co.uk, 22. </w:t>
              </w:r>
              <w:r>
                <w:rPr>
                  <w:i/>
                  <w:iCs/>
                  <w:noProof/>
                </w:rPr>
                <w:t xml:space="preserve">young offenders insitutions. </w:t>
              </w:r>
              <w:r>
                <w:rPr>
                  <w:noProof/>
                </w:rPr>
                <w:t xml:space="preserve">[Online] </w:t>
              </w:r>
              <w:r>
                <w:rPr>
                  <w:noProof/>
                </w:rPr>
                <w:br/>
                <w:t xml:space="preserve">Available at: </w:t>
              </w:r>
              <w:r>
                <w:rPr>
                  <w:noProof/>
                  <w:u w:val="single"/>
                </w:rPr>
                <w:t>https://www.politics.co.uk/reference/young-offender-institutions/#:~:text=In%202019%20there%20were%20approximately,figure%20of%202%2C807%20in%202001.</w:t>
              </w:r>
              <w:r>
                <w:rPr>
                  <w:noProof/>
                </w:rPr>
                <w:br/>
                <w:t>[Accessed 18 april 22].</w:t>
              </w:r>
            </w:p>
            <w:p w14:paraId="222F54C8" w14:textId="77777777" w:rsidR="002048CA" w:rsidRDefault="002048CA" w:rsidP="002048CA">
              <w:pPr>
                <w:pStyle w:val="Bibliography"/>
                <w:rPr>
                  <w:noProof/>
                </w:rPr>
              </w:pPr>
              <w:r>
                <w:rPr>
                  <w:noProof/>
                </w:rPr>
                <w:t xml:space="preserve">policing, c. o., 2022. </w:t>
              </w:r>
              <w:r>
                <w:rPr>
                  <w:i/>
                  <w:iCs/>
                  <w:noProof/>
                </w:rPr>
                <w:t xml:space="preserve">Evidence briefing about situational crime prevention interventions, </w:t>
              </w:r>
              <w:r>
                <w:rPr>
                  <w:noProof/>
                </w:rPr>
                <w:t>s.l.: neighbourhood crime .</w:t>
              </w:r>
            </w:p>
            <w:p w14:paraId="0CD44963" w14:textId="77777777" w:rsidR="002048CA" w:rsidRDefault="002048CA" w:rsidP="002048CA">
              <w:pPr>
                <w:pStyle w:val="Bibliography"/>
                <w:rPr>
                  <w:noProof/>
                </w:rPr>
              </w:pPr>
              <w:r>
                <w:rPr>
                  <w:noProof/>
                </w:rPr>
                <w:t xml:space="preserve">policing, c. o., 2022. </w:t>
              </w:r>
              <w:r>
                <w:rPr>
                  <w:i/>
                  <w:iCs/>
                  <w:noProof/>
                </w:rPr>
                <w:t xml:space="preserve">What Works Centre for Crime Reduction. </w:t>
              </w:r>
              <w:r>
                <w:rPr>
                  <w:noProof/>
                </w:rPr>
                <w:t xml:space="preserve">[Online] </w:t>
              </w:r>
              <w:r>
                <w:rPr>
                  <w:noProof/>
                </w:rPr>
                <w:br/>
                <w:t xml:space="preserve">Available at: </w:t>
              </w:r>
              <w:r>
                <w:rPr>
                  <w:noProof/>
                  <w:u w:val="single"/>
                </w:rPr>
                <w:t>https://www.college.police.uk/research/what-works-centre-crime-reduction</w:t>
              </w:r>
              <w:r>
                <w:rPr>
                  <w:noProof/>
                </w:rPr>
                <w:br/>
                <w:t>[Accessed 19 april 2022].</w:t>
              </w:r>
            </w:p>
            <w:p w14:paraId="47100E71" w14:textId="77777777" w:rsidR="002048CA" w:rsidRDefault="002048CA" w:rsidP="002048CA">
              <w:pPr>
                <w:pStyle w:val="Bibliography"/>
                <w:rPr>
                  <w:noProof/>
                </w:rPr>
              </w:pPr>
              <w:r>
                <w:rPr>
                  <w:noProof/>
                </w:rPr>
                <w:lastRenderedPageBreak/>
                <w:t xml:space="preserve">prevention, c. m. n. p. c., 2016. </w:t>
              </w:r>
              <w:r>
                <w:rPr>
                  <w:i/>
                  <w:iCs/>
                  <w:noProof/>
                </w:rPr>
                <w:t xml:space="preserve">safercities. </w:t>
              </w:r>
              <w:r>
                <w:rPr>
                  <w:noProof/>
                </w:rPr>
                <w:t xml:space="preserve">[Online] </w:t>
              </w:r>
              <w:r>
                <w:rPr>
                  <w:noProof/>
                </w:rPr>
                <w:br/>
                <w:t xml:space="preserve">Available at: </w:t>
              </w:r>
              <w:r>
                <w:rPr>
                  <w:noProof/>
                  <w:u w:val="single"/>
                </w:rPr>
                <w:t>http://safercities.ca/wp-content/uploads/2016/07/CMNCP_AB_3_FINAL_JULY8_DIGITAL.pdf</w:t>
              </w:r>
              <w:r>
                <w:rPr>
                  <w:noProof/>
                </w:rPr>
                <w:br/>
                <w:t>[Accessed 19 april 2022].</w:t>
              </w:r>
            </w:p>
            <w:p w14:paraId="4E06D6B9" w14:textId="77777777" w:rsidR="002048CA" w:rsidRDefault="002048CA" w:rsidP="002048CA">
              <w:pPr>
                <w:pStyle w:val="Bibliography"/>
                <w:rPr>
                  <w:noProof/>
                </w:rPr>
              </w:pPr>
              <w:r>
                <w:rPr>
                  <w:noProof/>
                </w:rPr>
                <w:t xml:space="preserve">rate, c., 2022. </w:t>
              </w:r>
              <w:r>
                <w:rPr>
                  <w:i/>
                  <w:iCs/>
                  <w:noProof/>
                </w:rPr>
                <w:t xml:space="preserve">lewisham crime overview. </w:t>
              </w:r>
              <w:r>
                <w:rPr>
                  <w:noProof/>
                </w:rPr>
                <w:t xml:space="preserve">[Online] </w:t>
              </w:r>
              <w:r>
                <w:rPr>
                  <w:noProof/>
                </w:rPr>
                <w:br/>
                <w:t xml:space="preserve">Available at: </w:t>
              </w:r>
              <w:r>
                <w:rPr>
                  <w:noProof/>
                  <w:u w:val="single"/>
                </w:rPr>
                <w:t>https://crimerate.co.uk/london/lewisham#:~:text=The%20overall%20crime%20rate%20in,of%2087%20per%201%2C000%20residents.</w:t>
              </w:r>
              <w:r>
                <w:rPr>
                  <w:noProof/>
                </w:rPr>
                <w:br/>
                <w:t>[Accessed 20 april 2022].</w:t>
              </w:r>
            </w:p>
            <w:p w14:paraId="77685098" w14:textId="77777777" w:rsidR="002048CA" w:rsidRDefault="002048CA" w:rsidP="002048CA">
              <w:pPr>
                <w:pStyle w:val="Bibliography"/>
                <w:rPr>
                  <w:noProof/>
                </w:rPr>
              </w:pPr>
              <w:r>
                <w:rPr>
                  <w:noProof/>
                </w:rPr>
                <w:t xml:space="preserve">Tammy Kochel, S. N., 2019. </w:t>
              </w:r>
              <w:r>
                <w:rPr>
                  <w:i/>
                  <w:iCs/>
                  <w:noProof/>
                </w:rPr>
                <w:t xml:space="preserve">hot spot policing. </w:t>
              </w:r>
              <w:r>
                <w:rPr>
                  <w:noProof/>
                </w:rPr>
                <w:t>s.l.:Oxford Bibliographies.</w:t>
              </w:r>
            </w:p>
            <w:p w14:paraId="77E8CBCE" w14:textId="77777777" w:rsidR="002048CA" w:rsidRDefault="002048CA" w:rsidP="002048CA">
              <w:pPr>
                <w:pStyle w:val="Bibliography"/>
                <w:rPr>
                  <w:noProof/>
                </w:rPr>
              </w:pPr>
              <w:r>
                <w:rPr>
                  <w:noProof/>
                </w:rPr>
                <w:t xml:space="preserve">Tilley, G. L. &amp;. N., 1995. </w:t>
              </w:r>
              <w:r>
                <w:rPr>
                  <w:i/>
                  <w:iCs/>
                  <w:noProof/>
                </w:rPr>
                <w:t xml:space="preserve">POLICING AND NEIGHBOURHOOD WATCH:. </w:t>
              </w:r>
              <w:r>
                <w:rPr>
                  <w:noProof/>
                </w:rPr>
                <w:t>london: Home Office Police Research Group.</w:t>
              </w:r>
            </w:p>
            <w:p w14:paraId="38DF8FF4" w14:textId="77777777" w:rsidR="002048CA" w:rsidRDefault="002048CA" w:rsidP="002048CA">
              <w:pPr>
                <w:pStyle w:val="Bibliography"/>
                <w:rPr>
                  <w:noProof/>
                </w:rPr>
              </w:pPr>
              <w:r>
                <w:rPr>
                  <w:noProof/>
                </w:rPr>
                <w:t xml:space="preserve">university, A. s., 2022. </w:t>
              </w:r>
              <w:r>
                <w:rPr>
                  <w:i/>
                  <w:iCs/>
                  <w:noProof/>
                </w:rPr>
                <w:t xml:space="preserve">Center for Problem-Oriented Policing. </w:t>
              </w:r>
              <w:r>
                <w:rPr>
                  <w:noProof/>
                </w:rPr>
                <w:t>s.l.:s.n.</w:t>
              </w:r>
            </w:p>
            <w:p w14:paraId="73A24FB1" w14:textId="77777777" w:rsidR="002048CA" w:rsidRDefault="002048CA" w:rsidP="002048CA">
              <w:pPr>
                <w:pStyle w:val="Bibliography"/>
                <w:rPr>
                  <w:noProof/>
                </w:rPr>
              </w:pPr>
              <w:r>
                <w:rPr>
                  <w:noProof/>
                </w:rPr>
                <w:t xml:space="preserve">williams, F. p., 2010. </w:t>
              </w:r>
              <w:r>
                <w:rPr>
                  <w:i/>
                  <w:iCs/>
                  <w:noProof/>
                </w:rPr>
                <w:t xml:space="preserve">criminology theory selected classic reading. </w:t>
              </w:r>
              <w:r>
                <w:rPr>
                  <w:noProof/>
                </w:rPr>
                <w:t>2nd ed. s.l.:taylor and francis group.</w:t>
              </w:r>
            </w:p>
            <w:p w14:paraId="34D82127" w14:textId="77777777" w:rsidR="002048CA" w:rsidRDefault="002048CA" w:rsidP="002048CA">
              <w:pPr>
                <w:pStyle w:val="Bibliography"/>
                <w:rPr>
                  <w:noProof/>
                </w:rPr>
              </w:pPr>
              <w:r>
                <w:rPr>
                  <w:noProof/>
                </w:rPr>
                <w:t xml:space="preserve">Wim Huisman, J. v. E., 2013. Opportunities for Environmental Crime: A Test of Situational Crime Prevention Theory. </w:t>
              </w:r>
              <w:r>
                <w:rPr>
                  <w:i/>
                  <w:iCs/>
                  <w:noProof/>
                </w:rPr>
                <w:t xml:space="preserve">The British Journal of Criminology, Volume 53, Issue 6, November 2013, Pages 1178–1200,, </w:t>
              </w:r>
              <w:r>
                <w:rPr>
                  <w:noProof/>
                </w:rPr>
                <w:t>29 june, 53(6), pp. 1178-1200.</w:t>
              </w:r>
            </w:p>
            <w:p w14:paraId="1A767339" w14:textId="0CC45139" w:rsidR="002048CA" w:rsidRDefault="002048CA" w:rsidP="002048CA">
              <w:r>
                <w:rPr>
                  <w:b/>
                  <w:bCs/>
                  <w:noProof/>
                </w:rPr>
                <w:fldChar w:fldCharType="end"/>
              </w:r>
            </w:p>
          </w:sdtContent>
        </w:sdt>
      </w:sdtContent>
    </w:sdt>
    <w:p w14:paraId="68CD27A5" w14:textId="77777777" w:rsidR="002048CA" w:rsidRPr="00B43D58" w:rsidRDefault="002048CA" w:rsidP="00823270">
      <w:pPr>
        <w:rPr>
          <w:rFonts w:cstheme="minorHAnsi"/>
          <w:color w:val="242424"/>
          <w:sz w:val="20"/>
          <w:szCs w:val="20"/>
          <w:shd w:val="clear" w:color="auto" w:fill="FFFFFF"/>
        </w:rPr>
      </w:pPr>
    </w:p>
    <w:sectPr w:rsidR="002048CA" w:rsidRPr="00B43D5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3C9D0" w14:textId="77777777" w:rsidR="00176BE4" w:rsidRDefault="00176BE4" w:rsidP="00C469B8">
      <w:pPr>
        <w:spacing w:after="0" w:line="240" w:lineRule="auto"/>
      </w:pPr>
      <w:r>
        <w:separator/>
      </w:r>
    </w:p>
  </w:endnote>
  <w:endnote w:type="continuationSeparator" w:id="0">
    <w:p w14:paraId="2EABA2D5" w14:textId="77777777" w:rsidR="00176BE4" w:rsidRDefault="00176BE4" w:rsidP="00C46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B427A" w14:textId="77777777" w:rsidR="00C469B8" w:rsidRDefault="00C469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2E03C" w14:textId="77777777" w:rsidR="00C469B8" w:rsidRDefault="00C469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6210A" w14:textId="77777777" w:rsidR="00C469B8" w:rsidRDefault="00C46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073B4" w14:textId="77777777" w:rsidR="00176BE4" w:rsidRDefault="00176BE4" w:rsidP="00C469B8">
      <w:pPr>
        <w:spacing w:after="0" w:line="240" w:lineRule="auto"/>
      </w:pPr>
      <w:r>
        <w:separator/>
      </w:r>
    </w:p>
  </w:footnote>
  <w:footnote w:type="continuationSeparator" w:id="0">
    <w:p w14:paraId="3D5ECEF3" w14:textId="77777777" w:rsidR="00176BE4" w:rsidRDefault="00176BE4" w:rsidP="00C469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10147" w14:textId="77777777" w:rsidR="00C469B8" w:rsidRDefault="00C469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4781A" w14:textId="77777777" w:rsidR="00C469B8" w:rsidRDefault="00C469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07420" w14:textId="77777777" w:rsidR="00C469B8" w:rsidRDefault="00C469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62139"/>
    <w:multiLevelType w:val="multilevel"/>
    <w:tmpl w:val="59AA534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CA5AC8"/>
    <w:multiLevelType w:val="multilevel"/>
    <w:tmpl w:val="0AD03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7875425">
    <w:abstractNumId w:val="0"/>
  </w:num>
  <w:num w:numId="2" w16cid:durableId="11623516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629"/>
    <w:rsid w:val="00001AAD"/>
    <w:rsid w:val="00007710"/>
    <w:rsid w:val="00017BD3"/>
    <w:rsid w:val="000210F0"/>
    <w:rsid w:val="00023454"/>
    <w:rsid w:val="00025F90"/>
    <w:rsid w:val="0003234E"/>
    <w:rsid w:val="00032785"/>
    <w:rsid w:val="00034CEA"/>
    <w:rsid w:val="00040F5E"/>
    <w:rsid w:val="000447FD"/>
    <w:rsid w:val="0004724C"/>
    <w:rsid w:val="0005103A"/>
    <w:rsid w:val="00053016"/>
    <w:rsid w:val="00057178"/>
    <w:rsid w:val="00065FF7"/>
    <w:rsid w:val="00073C2F"/>
    <w:rsid w:val="00084022"/>
    <w:rsid w:val="00092F50"/>
    <w:rsid w:val="0009474D"/>
    <w:rsid w:val="000953DA"/>
    <w:rsid w:val="00096A7C"/>
    <w:rsid w:val="000A453F"/>
    <w:rsid w:val="000A5D57"/>
    <w:rsid w:val="000A6656"/>
    <w:rsid w:val="000B2ACB"/>
    <w:rsid w:val="000B3C40"/>
    <w:rsid w:val="000B3D6F"/>
    <w:rsid w:val="000B7D12"/>
    <w:rsid w:val="000C08E4"/>
    <w:rsid w:val="000C52CE"/>
    <w:rsid w:val="000D024A"/>
    <w:rsid w:val="000D369E"/>
    <w:rsid w:val="000D4A0D"/>
    <w:rsid w:val="000D5142"/>
    <w:rsid w:val="000D7309"/>
    <w:rsid w:val="000E5F73"/>
    <w:rsid w:val="000E65AD"/>
    <w:rsid w:val="000F0874"/>
    <w:rsid w:val="000F3D09"/>
    <w:rsid w:val="000F4888"/>
    <w:rsid w:val="000F742B"/>
    <w:rsid w:val="00100BBD"/>
    <w:rsid w:val="0010214B"/>
    <w:rsid w:val="001052CC"/>
    <w:rsid w:val="00110F82"/>
    <w:rsid w:val="00117C48"/>
    <w:rsid w:val="001208AF"/>
    <w:rsid w:val="00123A3B"/>
    <w:rsid w:val="00125EE0"/>
    <w:rsid w:val="00126F74"/>
    <w:rsid w:val="00127FD6"/>
    <w:rsid w:val="001367EE"/>
    <w:rsid w:val="00136D0D"/>
    <w:rsid w:val="001370AD"/>
    <w:rsid w:val="001476BF"/>
    <w:rsid w:val="00151165"/>
    <w:rsid w:val="00153F74"/>
    <w:rsid w:val="001555D9"/>
    <w:rsid w:val="00157A51"/>
    <w:rsid w:val="00160E0B"/>
    <w:rsid w:val="00162A5B"/>
    <w:rsid w:val="001650E8"/>
    <w:rsid w:val="001720BE"/>
    <w:rsid w:val="00172E61"/>
    <w:rsid w:val="0017410C"/>
    <w:rsid w:val="00176BE4"/>
    <w:rsid w:val="00177B80"/>
    <w:rsid w:val="001833DD"/>
    <w:rsid w:val="0018558C"/>
    <w:rsid w:val="00192D53"/>
    <w:rsid w:val="001930F4"/>
    <w:rsid w:val="00197A9E"/>
    <w:rsid w:val="00197B59"/>
    <w:rsid w:val="001A0322"/>
    <w:rsid w:val="001A472B"/>
    <w:rsid w:val="001A5D9B"/>
    <w:rsid w:val="001A613C"/>
    <w:rsid w:val="001A6E15"/>
    <w:rsid w:val="001B0C55"/>
    <w:rsid w:val="001B11E9"/>
    <w:rsid w:val="001B4B10"/>
    <w:rsid w:val="001C2E5B"/>
    <w:rsid w:val="001C4308"/>
    <w:rsid w:val="001C7CA5"/>
    <w:rsid w:val="001D3308"/>
    <w:rsid w:val="001E26C0"/>
    <w:rsid w:val="001E597D"/>
    <w:rsid w:val="001E6955"/>
    <w:rsid w:val="001E71E6"/>
    <w:rsid w:val="001F048F"/>
    <w:rsid w:val="001F2882"/>
    <w:rsid w:val="001F429B"/>
    <w:rsid w:val="001F6A15"/>
    <w:rsid w:val="002003FB"/>
    <w:rsid w:val="002048CA"/>
    <w:rsid w:val="00204F0B"/>
    <w:rsid w:val="00205B46"/>
    <w:rsid w:val="00207822"/>
    <w:rsid w:val="002123E2"/>
    <w:rsid w:val="0021494B"/>
    <w:rsid w:val="00215B3D"/>
    <w:rsid w:val="00217885"/>
    <w:rsid w:val="002373B3"/>
    <w:rsid w:val="00242E4D"/>
    <w:rsid w:val="0024465D"/>
    <w:rsid w:val="00245AEF"/>
    <w:rsid w:val="00263A58"/>
    <w:rsid w:val="00266C76"/>
    <w:rsid w:val="00276009"/>
    <w:rsid w:val="002762A7"/>
    <w:rsid w:val="0028195B"/>
    <w:rsid w:val="002933E7"/>
    <w:rsid w:val="002A145A"/>
    <w:rsid w:val="002A1A33"/>
    <w:rsid w:val="002A4667"/>
    <w:rsid w:val="002A4764"/>
    <w:rsid w:val="002A7714"/>
    <w:rsid w:val="002B0908"/>
    <w:rsid w:val="002B4F34"/>
    <w:rsid w:val="002C028C"/>
    <w:rsid w:val="002C059A"/>
    <w:rsid w:val="002C26C8"/>
    <w:rsid w:val="002C274D"/>
    <w:rsid w:val="002C27AA"/>
    <w:rsid w:val="002C6945"/>
    <w:rsid w:val="002D19AB"/>
    <w:rsid w:val="002D2C01"/>
    <w:rsid w:val="002D3F1F"/>
    <w:rsid w:val="002D5376"/>
    <w:rsid w:val="002E1D51"/>
    <w:rsid w:val="002F4AA6"/>
    <w:rsid w:val="002F5BA5"/>
    <w:rsid w:val="0030318A"/>
    <w:rsid w:val="00312D22"/>
    <w:rsid w:val="00317372"/>
    <w:rsid w:val="00322FD5"/>
    <w:rsid w:val="0032425D"/>
    <w:rsid w:val="00342766"/>
    <w:rsid w:val="00342CC1"/>
    <w:rsid w:val="00353312"/>
    <w:rsid w:val="00355E99"/>
    <w:rsid w:val="00357A3C"/>
    <w:rsid w:val="0036011C"/>
    <w:rsid w:val="003630D1"/>
    <w:rsid w:val="003641B9"/>
    <w:rsid w:val="00370088"/>
    <w:rsid w:val="0037323C"/>
    <w:rsid w:val="00380255"/>
    <w:rsid w:val="00383B2E"/>
    <w:rsid w:val="00385831"/>
    <w:rsid w:val="0039207A"/>
    <w:rsid w:val="003935C6"/>
    <w:rsid w:val="00393A1D"/>
    <w:rsid w:val="0039519B"/>
    <w:rsid w:val="00395778"/>
    <w:rsid w:val="003A6BBE"/>
    <w:rsid w:val="003A6CA5"/>
    <w:rsid w:val="003A78C2"/>
    <w:rsid w:val="003B2DF6"/>
    <w:rsid w:val="003B2E31"/>
    <w:rsid w:val="003B3F34"/>
    <w:rsid w:val="003B4568"/>
    <w:rsid w:val="003B47E6"/>
    <w:rsid w:val="003B760C"/>
    <w:rsid w:val="003B7F3B"/>
    <w:rsid w:val="003C2194"/>
    <w:rsid w:val="003C6373"/>
    <w:rsid w:val="003D3766"/>
    <w:rsid w:val="003D5A5F"/>
    <w:rsid w:val="003E0C73"/>
    <w:rsid w:val="003E471C"/>
    <w:rsid w:val="003E683B"/>
    <w:rsid w:val="003F0FEC"/>
    <w:rsid w:val="004002ED"/>
    <w:rsid w:val="00400D86"/>
    <w:rsid w:val="0040239B"/>
    <w:rsid w:val="004036C4"/>
    <w:rsid w:val="00410025"/>
    <w:rsid w:val="00412FC4"/>
    <w:rsid w:val="004148A8"/>
    <w:rsid w:val="0042066F"/>
    <w:rsid w:val="00420E65"/>
    <w:rsid w:val="00423B35"/>
    <w:rsid w:val="00426386"/>
    <w:rsid w:val="00426C67"/>
    <w:rsid w:val="00426C6A"/>
    <w:rsid w:val="00433796"/>
    <w:rsid w:val="00442DC8"/>
    <w:rsid w:val="004445D1"/>
    <w:rsid w:val="0044592E"/>
    <w:rsid w:val="004479AC"/>
    <w:rsid w:val="00447AE6"/>
    <w:rsid w:val="00462253"/>
    <w:rsid w:val="00462CAA"/>
    <w:rsid w:val="0046610C"/>
    <w:rsid w:val="00471032"/>
    <w:rsid w:val="00485325"/>
    <w:rsid w:val="004861AD"/>
    <w:rsid w:val="0049010A"/>
    <w:rsid w:val="00490777"/>
    <w:rsid w:val="00493F40"/>
    <w:rsid w:val="00494644"/>
    <w:rsid w:val="004948E8"/>
    <w:rsid w:val="0049526F"/>
    <w:rsid w:val="00496570"/>
    <w:rsid w:val="004A0CBC"/>
    <w:rsid w:val="004B27D2"/>
    <w:rsid w:val="004B28E9"/>
    <w:rsid w:val="004B3EBA"/>
    <w:rsid w:val="004B5649"/>
    <w:rsid w:val="004C4467"/>
    <w:rsid w:val="004C5A5D"/>
    <w:rsid w:val="004E39C8"/>
    <w:rsid w:val="004E3ADF"/>
    <w:rsid w:val="004E5DA2"/>
    <w:rsid w:val="004E64F9"/>
    <w:rsid w:val="004F00E6"/>
    <w:rsid w:val="004F03E8"/>
    <w:rsid w:val="00504295"/>
    <w:rsid w:val="00504587"/>
    <w:rsid w:val="00506C83"/>
    <w:rsid w:val="00506EF6"/>
    <w:rsid w:val="005078E1"/>
    <w:rsid w:val="005118B1"/>
    <w:rsid w:val="00514FFD"/>
    <w:rsid w:val="00515F81"/>
    <w:rsid w:val="00516D52"/>
    <w:rsid w:val="00530773"/>
    <w:rsid w:val="00530913"/>
    <w:rsid w:val="0053470F"/>
    <w:rsid w:val="005356A2"/>
    <w:rsid w:val="005376F3"/>
    <w:rsid w:val="005429EB"/>
    <w:rsid w:val="005469CB"/>
    <w:rsid w:val="005538C1"/>
    <w:rsid w:val="00554880"/>
    <w:rsid w:val="005549A5"/>
    <w:rsid w:val="005566AE"/>
    <w:rsid w:val="00557CD7"/>
    <w:rsid w:val="00563815"/>
    <w:rsid w:val="00572D6F"/>
    <w:rsid w:val="00572FF8"/>
    <w:rsid w:val="00576570"/>
    <w:rsid w:val="00581F25"/>
    <w:rsid w:val="00583C95"/>
    <w:rsid w:val="00584078"/>
    <w:rsid w:val="00584B7B"/>
    <w:rsid w:val="005957CC"/>
    <w:rsid w:val="005A1006"/>
    <w:rsid w:val="005A3F4A"/>
    <w:rsid w:val="005A6B84"/>
    <w:rsid w:val="005A6F92"/>
    <w:rsid w:val="005B55F3"/>
    <w:rsid w:val="005B60E8"/>
    <w:rsid w:val="005B61A8"/>
    <w:rsid w:val="005C22B6"/>
    <w:rsid w:val="005C5010"/>
    <w:rsid w:val="005D66C0"/>
    <w:rsid w:val="005E0FBC"/>
    <w:rsid w:val="005E12E3"/>
    <w:rsid w:val="005F168E"/>
    <w:rsid w:val="005F4F24"/>
    <w:rsid w:val="006012FE"/>
    <w:rsid w:val="006045A4"/>
    <w:rsid w:val="00604F10"/>
    <w:rsid w:val="00606109"/>
    <w:rsid w:val="00606A91"/>
    <w:rsid w:val="00611EB4"/>
    <w:rsid w:val="0061291F"/>
    <w:rsid w:val="00614F1D"/>
    <w:rsid w:val="006338EB"/>
    <w:rsid w:val="00634802"/>
    <w:rsid w:val="00634A7E"/>
    <w:rsid w:val="0063588F"/>
    <w:rsid w:val="00637663"/>
    <w:rsid w:val="0065011C"/>
    <w:rsid w:val="00663980"/>
    <w:rsid w:val="0066405D"/>
    <w:rsid w:val="00664A78"/>
    <w:rsid w:val="00665D42"/>
    <w:rsid w:val="00670CEF"/>
    <w:rsid w:val="006739D9"/>
    <w:rsid w:val="00677B5B"/>
    <w:rsid w:val="006823A5"/>
    <w:rsid w:val="00685135"/>
    <w:rsid w:val="0068750C"/>
    <w:rsid w:val="006900C9"/>
    <w:rsid w:val="006912E8"/>
    <w:rsid w:val="006914ED"/>
    <w:rsid w:val="006919B1"/>
    <w:rsid w:val="006A240B"/>
    <w:rsid w:val="006A68DD"/>
    <w:rsid w:val="006A7DA6"/>
    <w:rsid w:val="006B1B15"/>
    <w:rsid w:val="006B3906"/>
    <w:rsid w:val="006C0231"/>
    <w:rsid w:val="006C4AE2"/>
    <w:rsid w:val="006D0464"/>
    <w:rsid w:val="006D5929"/>
    <w:rsid w:val="007041B8"/>
    <w:rsid w:val="007068D3"/>
    <w:rsid w:val="00707611"/>
    <w:rsid w:val="00715E76"/>
    <w:rsid w:val="00715EF3"/>
    <w:rsid w:val="00721BC3"/>
    <w:rsid w:val="007235F0"/>
    <w:rsid w:val="007243D1"/>
    <w:rsid w:val="00724BC4"/>
    <w:rsid w:val="00731BC1"/>
    <w:rsid w:val="00732735"/>
    <w:rsid w:val="0073544E"/>
    <w:rsid w:val="00746629"/>
    <w:rsid w:val="00752A0A"/>
    <w:rsid w:val="007549BD"/>
    <w:rsid w:val="00755C88"/>
    <w:rsid w:val="007566FA"/>
    <w:rsid w:val="007652C9"/>
    <w:rsid w:val="00771B8D"/>
    <w:rsid w:val="00774EAC"/>
    <w:rsid w:val="00775419"/>
    <w:rsid w:val="00776DF9"/>
    <w:rsid w:val="00785B7C"/>
    <w:rsid w:val="00792549"/>
    <w:rsid w:val="00794AF1"/>
    <w:rsid w:val="007975C3"/>
    <w:rsid w:val="007A0440"/>
    <w:rsid w:val="007A1C51"/>
    <w:rsid w:val="007A48B0"/>
    <w:rsid w:val="007A5E23"/>
    <w:rsid w:val="007B10FA"/>
    <w:rsid w:val="007B3229"/>
    <w:rsid w:val="007B6E01"/>
    <w:rsid w:val="007B7136"/>
    <w:rsid w:val="007C1573"/>
    <w:rsid w:val="007D22B7"/>
    <w:rsid w:val="007E2576"/>
    <w:rsid w:val="007E35DB"/>
    <w:rsid w:val="007F2AD2"/>
    <w:rsid w:val="007F4CD6"/>
    <w:rsid w:val="007F51CA"/>
    <w:rsid w:val="007F5E27"/>
    <w:rsid w:val="007F6412"/>
    <w:rsid w:val="00801685"/>
    <w:rsid w:val="0080190A"/>
    <w:rsid w:val="008037FD"/>
    <w:rsid w:val="00806260"/>
    <w:rsid w:val="008149A1"/>
    <w:rsid w:val="00823270"/>
    <w:rsid w:val="00825886"/>
    <w:rsid w:val="0083099D"/>
    <w:rsid w:val="008326AC"/>
    <w:rsid w:val="00834A3A"/>
    <w:rsid w:val="00836DA0"/>
    <w:rsid w:val="0084771B"/>
    <w:rsid w:val="00850D32"/>
    <w:rsid w:val="008543A2"/>
    <w:rsid w:val="008554F0"/>
    <w:rsid w:val="0085564C"/>
    <w:rsid w:val="008573FC"/>
    <w:rsid w:val="00864835"/>
    <w:rsid w:val="008813C8"/>
    <w:rsid w:val="00881A14"/>
    <w:rsid w:val="008822F3"/>
    <w:rsid w:val="008825AB"/>
    <w:rsid w:val="008831FE"/>
    <w:rsid w:val="0088365D"/>
    <w:rsid w:val="00892EEA"/>
    <w:rsid w:val="00897D2F"/>
    <w:rsid w:val="008A1EB0"/>
    <w:rsid w:val="008A2D22"/>
    <w:rsid w:val="008A5F82"/>
    <w:rsid w:val="008B053A"/>
    <w:rsid w:val="008B1979"/>
    <w:rsid w:val="008B530F"/>
    <w:rsid w:val="008C4D54"/>
    <w:rsid w:val="008C6F8E"/>
    <w:rsid w:val="008D3506"/>
    <w:rsid w:val="008D78A1"/>
    <w:rsid w:val="008D7A46"/>
    <w:rsid w:val="008E1521"/>
    <w:rsid w:val="008E30C4"/>
    <w:rsid w:val="008F71D2"/>
    <w:rsid w:val="009048AC"/>
    <w:rsid w:val="00904BC5"/>
    <w:rsid w:val="009117D7"/>
    <w:rsid w:val="00912171"/>
    <w:rsid w:val="00913E22"/>
    <w:rsid w:val="00914882"/>
    <w:rsid w:val="009160DE"/>
    <w:rsid w:val="00924D59"/>
    <w:rsid w:val="00925684"/>
    <w:rsid w:val="00927852"/>
    <w:rsid w:val="00933C05"/>
    <w:rsid w:val="00936C69"/>
    <w:rsid w:val="009433ED"/>
    <w:rsid w:val="00944EFD"/>
    <w:rsid w:val="009460DB"/>
    <w:rsid w:val="00946514"/>
    <w:rsid w:val="0094742A"/>
    <w:rsid w:val="00950D21"/>
    <w:rsid w:val="009521B0"/>
    <w:rsid w:val="00952B36"/>
    <w:rsid w:val="009547EA"/>
    <w:rsid w:val="00960552"/>
    <w:rsid w:val="00962DD8"/>
    <w:rsid w:val="00974F5C"/>
    <w:rsid w:val="00974F7D"/>
    <w:rsid w:val="00977B2D"/>
    <w:rsid w:val="009853D9"/>
    <w:rsid w:val="00985FA9"/>
    <w:rsid w:val="009951CC"/>
    <w:rsid w:val="009A19FA"/>
    <w:rsid w:val="009A43EC"/>
    <w:rsid w:val="009A7C4C"/>
    <w:rsid w:val="009B2AAF"/>
    <w:rsid w:val="009B2B83"/>
    <w:rsid w:val="009B521C"/>
    <w:rsid w:val="009C08A9"/>
    <w:rsid w:val="009C0F00"/>
    <w:rsid w:val="009C2230"/>
    <w:rsid w:val="009C4223"/>
    <w:rsid w:val="009C42D7"/>
    <w:rsid w:val="009C5329"/>
    <w:rsid w:val="009C7696"/>
    <w:rsid w:val="009C7F2B"/>
    <w:rsid w:val="009D0FEF"/>
    <w:rsid w:val="009E03C3"/>
    <w:rsid w:val="009E1F7A"/>
    <w:rsid w:val="009E313C"/>
    <w:rsid w:val="009F1FFA"/>
    <w:rsid w:val="009F2595"/>
    <w:rsid w:val="009F6927"/>
    <w:rsid w:val="00A07CE6"/>
    <w:rsid w:val="00A10AEF"/>
    <w:rsid w:val="00A12493"/>
    <w:rsid w:val="00A22381"/>
    <w:rsid w:val="00A24864"/>
    <w:rsid w:val="00A26F05"/>
    <w:rsid w:val="00A30F95"/>
    <w:rsid w:val="00A31BBD"/>
    <w:rsid w:val="00A33E76"/>
    <w:rsid w:val="00A4160A"/>
    <w:rsid w:val="00A45940"/>
    <w:rsid w:val="00A529C7"/>
    <w:rsid w:val="00A54864"/>
    <w:rsid w:val="00A652E2"/>
    <w:rsid w:val="00A73ED8"/>
    <w:rsid w:val="00A81C76"/>
    <w:rsid w:val="00A868E1"/>
    <w:rsid w:val="00A86E46"/>
    <w:rsid w:val="00A9209C"/>
    <w:rsid w:val="00A934EA"/>
    <w:rsid w:val="00A93501"/>
    <w:rsid w:val="00A96924"/>
    <w:rsid w:val="00A97495"/>
    <w:rsid w:val="00AA1769"/>
    <w:rsid w:val="00AB3719"/>
    <w:rsid w:val="00AB4379"/>
    <w:rsid w:val="00AC142D"/>
    <w:rsid w:val="00AC607D"/>
    <w:rsid w:val="00AD421D"/>
    <w:rsid w:val="00AD474B"/>
    <w:rsid w:val="00AE3650"/>
    <w:rsid w:val="00AF15BE"/>
    <w:rsid w:val="00B019C0"/>
    <w:rsid w:val="00B01BC0"/>
    <w:rsid w:val="00B03276"/>
    <w:rsid w:val="00B042D4"/>
    <w:rsid w:val="00B11D3A"/>
    <w:rsid w:val="00B24E98"/>
    <w:rsid w:val="00B26FB0"/>
    <w:rsid w:val="00B31FC5"/>
    <w:rsid w:val="00B3276C"/>
    <w:rsid w:val="00B4297B"/>
    <w:rsid w:val="00B43D58"/>
    <w:rsid w:val="00B442BF"/>
    <w:rsid w:val="00B458D7"/>
    <w:rsid w:val="00B50000"/>
    <w:rsid w:val="00B5711C"/>
    <w:rsid w:val="00B63BCC"/>
    <w:rsid w:val="00B64C99"/>
    <w:rsid w:val="00B70A7A"/>
    <w:rsid w:val="00B72FAC"/>
    <w:rsid w:val="00B84E1E"/>
    <w:rsid w:val="00B865FC"/>
    <w:rsid w:val="00B91991"/>
    <w:rsid w:val="00B92254"/>
    <w:rsid w:val="00B93AE5"/>
    <w:rsid w:val="00B94D97"/>
    <w:rsid w:val="00BA07C9"/>
    <w:rsid w:val="00BB6386"/>
    <w:rsid w:val="00BB7EA1"/>
    <w:rsid w:val="00BD06FC"/>
    <w:rsid w:val="00BD329C"/>
    <w:rsid w:val="00BD487C"/>
    <w:rsid w:val="00BD6038"/>
    <w:rsid w:val="00BE4583"/>
    <w:rsid w:val="00BE4F7E"/>
    <w:rsid w:val="00BF11D2"/>
    <w:rsid w:val="00BF4159"/>
    <w:rsid w:val="00BF583C"/>
    <w:rsid w:val="00C02FBD"/>
    <w:rsid w:val="00C048E5"/>
    <w:rsid w:val="00C1026A"/>
    <w:rsid w:val="00C11F1D"/>
    <w:rsid w:val="00C16B1F"/>
    <w:rsid w:val="00C246B7"/>
    <w:rsid w:val="00C32BD2"/>
    <w:rsid w:val="00C33E51"/>
    <w:rsid w:val="00C3532F"/>
    <w:rsid w:val="00C36612"/>
    <w:rsid w:val="00C469B8"/>
    <w:rsid w:val="00C53D0E"/>
    <w:rsid w:val="00C5434E"/>
    <w:rsid w:val="00C642E4"/>
    <w:rsid w:val="00C70AFE"/>
    <w:rsid w:val="00C7775F"/>
    <w:rsid w:val="00C77955"/>
    <w:rsid w:val="00C81867"/>
    <w:rsid w:val="00C82B9A"/>
    <w:rsid w:val="00C85C7B"/>
    <w:rsid w:val="00C954C1"/>
    <w:rsid w:val="00C977D5"/>
    <w:rsid w:val="00CA166B"/>
    <w:rsid w:val="00CA1D48"/>
    <w:rsid w:val="00CA218F"/>
    <w:rsid w:val="00CA6A24"/>
    <w:rsid w:val="00CB59AD"/>
    <w:rsid w:val="00CB7AFF"/>
    <w:rsid w:val="00CC6E87"/>
    <w:rsid w:val="00CD1CC6"/>
    <w:rsid w:val="00CD3FA3"/>
    <w:rsid w:val="00CD4DCF"/>
    <w:rsid w:val="00CD7BDE"/>
    <w:rsid w:val="00CE100D"/>
    <w:rsid w:val="00CE7621"/>
    <w:rsid w:val="00CF0E33"/>
    <w:rsid w:val="00CF3CCC"/>
    <w:rsid w:val="00CF44F4"/>
    <w:rsid w:val="00CF4C5D"/>
    <w:rsid w:val="00CF73C6"/>
    <w:rsid w:val="00D019D7"/>
    <w:rsid w:val="00D02A20"/>
    <w:rsid w:val="00D031B3"/>
    <w:rsid w:val="00D037B3"/>
    <w:rsid w:val="00D10420"/>
    <w:rsid w:val="00D14DC0"/>
    <w:rsid w:val="00D165EA"/>
    <w:rsid w:val="00D17F2B"/>
    <w:rsid w:val="00D20205"/>
    <w:rsid w:val="00D24D30"/>
    <w:rsid w:val="00D26D6C"/>
    <w:rsid w:val="00D37CEA"/>
    <w:rsid w:val="00D417C9"/>
    <w:rsid w:val="00D44DAA"/>
    <w:rsid w:val="00D461F6"/>
    <w:rsid w:val="00D510CA"/>
    <w:rsid w:val="00D53CEF"/>
    <w:rsid w:val="00D567E5"/>
    <w:rsid w:val="00D5774C"/>
    <w:rsid w:val="00D628F5"/>
    <w:rsid w:val="00D63516"/>
    <w:rsid w:val="00D63B68"/>
    <w:rsid w:val="00D7699F"/>
    <w:rsid w:val="00D82382"/>
    <w:rsid w:val="00D832BD"/>
    <w:rsid w:val="00D84B05"/>
    <w:rsid w:val="00D942C7"/>
    <w:rsid w:val="00DA2657"/>
    <w:rsid w:val="00DA27A3"/>
    <w:rsid w:val="00DA4AE3"/>
    <w:rsid w:val="00DB01C6"/>
    <w:rsid w:val="00DB446D"/>
    <w:rsid w:val="00DB72D6"/>
    <w:rsid w:val="00DC0E74"/>
    <w:rsid w:val="00DC4275"/>
    <w:rsid w:val="00DC5290"/>
    <w:rsid w:val="00DC69CB"/>
    <w:rsid w:val="00DD025A"/>
    <w:rsid w:val="00DD02CD"/>
    <w:rsid w:val="00DD11FD"/>
    <w:rsid w:val="00DD262D"/>
    <w:rsid w:val="00DD518A"/>
    <w:rsid w:val="00DE7621"/>
    <w:rsid w:val="00DE7D72"/>
    <w:rsid w:val="00DF148E"/>
    <w:rsid w:val="00DF2A23"/>
    <w:rsid w:val="00DF62D3"/>
    <w:rsid w:val="00DF7F8D"/>
    <w:rsid w:val="00E0114D"/>
    <w:rsid w:val="00E01367"/>
    <w:rsid w:val="00E01BFB"/>
    <w:rsid w:val="00E021D4"/>
    <w:rsid w:val="00E028FC"/>
    <w:rsid w:val="00E0564E"/>
    <w:rsid w:val="00E069B0"/>
    <w:rsid w:val="00E14683"/>
    <w:rsid w:val="00E235D3"/>
    <w:rsid w:val="00E32E4D"/>
    <w:rsid w:val="00E33458"/>
    <w:rsid w:val="00E35E8A"/>
    <w:rsid w:val="00E40A1F"/>
    <w:rsid w:val="00E40C43"/>
    <w:rsid w:val="00E4168A"/>
    <w:rsid w:val="00E52A15"/>
    <w:rsid w:val="00E55CA6"/>
    <w:rsid w:val="00E561A4"/>
    <w:rsid w:val="00E60920"/>
    <w:rsid w:val="00E66714"/>
    <w:rsid w:val="00E74ECE"/>
    <w:rsid w:val="00E8396A"/>
    <w:rsid w:val="00E85451"/>
    <w:rsid w:val="00E950E4"/>
    <w:rsid w:val="00E95624"/>
    <w:rsid w:val="00EA4CAC"/>
    <w:rsid w:val="00EA639D"/>
    <w:rsid w:val="00EA66A8"/>
    <w:rsid w:val="00EA6D76"/>
    <w:rsid w:val="00EB1010"/>
    <w:rsid w:val="00EB5650"/>
    <w:rsid w:val="00EC0576"/>
    <w:rsid w:val="00EC6418"/>
    <w:rsid w:val="00EF07F3"/>
    <w:rsid w:val="00EF1E8C"/>
    <w:rsid w:val="00EF7011"/>
    <w:rsid w:val="00F010D9"/>
    <w:rsid w:val="00F075FC"/>
    <w:rsid w:val="00F11F20"/>
    <w:rsid w:val="00F12F1C"/>
    <w:rsid w:val="00F15886"/>
    <w:rsid w:val="00F165A1"/>
    <w:rsid w:val="00F21E9C"/>
    <w:rsid w:val="00F25A0F"/>
    <w:rsid w:val="00F25C11"/>
    <w:rsid w:val="00F31EA8"/>
    <w:rsid w:val="00F31F91"/>
    <w:rsid w:val="00F32C8B"/>
    <w:rsid w:val="00F439DE"/>
    <w:rsid w:val="00F45C97"/>
    <w:rsid w:val="00F476B7"/>
    <w:rsid w:val="00F51670"/>
    <w:rsid w:val="00F60778"/>
    <w:rsid w:val="00F61180"/>
    <w:rsid w:val="00F63634"/>
    <w:rsid w:val="00F63999"/>
    <w:rsid w:val="00F656C5"/>
    <w:rsid w:val="00F73E56"/>
    <w:rsid w:val="00F747A4"/>
    <w:rsid w:val="00F82C8C"/>
    <w:rsid w:val="00F91631"/>
    <w:rsid w:val="00FA1FD0"/>
    <w:rsid w:val="00FA4DF9"/>
    <w:rsid w:val="00FA51CF"/>
    <w:rsid w:val="00FA6848"/>
    <w:rsid w:val="00FA6F55"/>
    <w:rsid w:val="00FB01EE"/>
    <w:rsid w:val="00FB0958"/>
    <w:rsid w:val="00FB5C01"/>
    <w:rsid w:val="00FB6C7C"/>
    <w:rsid w:val="00FB7A93"/>
    <w:rsid w:val="00FC0DFD"/>
    <w:rsid w:val="00FC3363"/>
    <w:rsid w:val="00FC3D20"/>
    <w:rsid w:val="00FD451D"/>
    <w:rsid w:val="00FD5DA7"/>
    <w:rsid w:val="00FD700F"/>
    <w:rsid w:val="00FE27EB"/>
    <w:rsid w:val="00FE60F4"/>
    <w:rsid w:val="00FE7D53"/>
    <w:rsid w:val="00FF47BD"/>
    <w:rsid w:val="00FF7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BB125"/>
  <w15:chartTrackingRefBased/>
  <w15:docId w15:val="{CF2A4544-41F1-435D-861C-0993C5419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494B"/>
  </w:style>
  <w:style w:type="paragraph" w:styleId="Heading1">
    <w:name w:val="heading 1"/>
    <w:basedOn w:val="Normal"/>
    <w:next w:val="Normal"/>
    <w:link w:val="Heading1Char"/>
    <w:uiPriority w:val="9"/>
    <w:qFormat/>
    <w:rsid w:val="004A0C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173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31737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A0CBC"/>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8037FD"/>
    <w:rPr>
      <w:b/>
      <w:bCs/>
    </w:rPr>
  </w:style>
  <w:style w:type="paragraph" w:styleId="Bibliography">
    <w:name w:val="Bibliography"/>
    <w:basedOn w:val="Normal"/>
    <w:next w:val="Normal"/>
    <w:uiPriority w:val="37"/>
    <w:unhideWhenUsed/>
    <w:rsid w:val="00B042D4"/>
  </w:style>
  <w:style w:type="paragraph" w:styleId="Header">
    <w:name w:val="header"/>
    <w:basedOn w:val="Normal"/>
    <w:link w:val="HeaderChar"/>
    <w:uiPriority w:val="99"/>
    <w:unhideWhenUsed/>
    <w:rsid w:val="00C46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9B8"/>
  </w:style>
  <w:style w:type="paragraph" w:styleId="Footer">
    <w:name w:val="footer"/>
    <w:basedOn w:val="Normal"/>
    <w:link w:val="FooterChar"/>
    <w:uiPriority w:val="99"/>
    <w:unhideWhenUsed/>
    <w:rsid w:val="00C46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9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9123">
      <w:bodyDiv w:val="1"/>
      <w:marLeft w:val="0"/>
      <w:marRight w:val="0"/>
      <w:marTop w:val="0"/>
      <w:marBottom w:val="0"/>
      <w:divBdr>
        <w:top w:val="none" w:sz="0" w:space="0" w:color="auto"/>
        <w:left w:val="none" w:sz="0" w:space="0" w:color="auto"/>
        <w:bottom w:val="none" w:sz="0" w:space="0" w:color="auto"/>
        <w:right w:val="none" w:sz="0" w:space="0" w:color="auto"/>
      </w:divBdr>
    </w:div>
    <w:div w:id="69545430">
      <w:bodyDiv w:val="1"/>
      <w:marLeft w:val="0"/>
      <w:marRight w:val="0"/>
      <w:marTop w:val="0"/>
      <w:marBottom w:val="0"/>
      <w:divBdr>
        <w:top w:val="none" w:sz="0" w:space="0" w:color="auto"/>
        <w:left w:val="none" w:sz="0" w:space="0" w:color="auto"/>
        <w:bottom w:val="none" w:sz="0" w:space="0" w:color="auto"/>
        <w:right w:val="none" w:sz="0" w:space="0" w:color="auto"/>
      </w:divBdr>
    </w:div>
    <w:div w:id="162284908">
      <w:bodyDiv w:val="1"/>
      <w:marLeft w:val="0"/>
      <w:marRight w:val="0"/>
      <w:marTop w:val="0"/>
      <w:marBottom w:val="0"/>
      <w:divBdr>
        <w:top w:val="none" w:sz="0" w:space="0" w:color="auto"/>
        <w:left w:val="none" w:sz="0" w:space="0" w:color="auto"/>
        <w:bottom w:val="none" w:sz="0" w:space="0" w:color="auto"/>
        <w:right w:val="none" w:sz="0" w:space="0" w:color="auto"/>
      </w:divBdr>
    </w:div>
    <w:div w:id="194201547">
      <w:bodyDiv w:val="1"/>
      <w:marLeft w:val="0"/>
      <w:marRight w:val="0"/>
      <w:marTop w:val="0"/>
      <w:marBottom w:val="0"/>
      <w:divBdr>
        <w:top w:val="none" w:sz="0" w:space="0" w:color="auto"/>
        <w:left w:val="none" w:sz="0" w:space="0" w:color="auto"/>
        <w:bottom w:val="none" w:sz="0" w:space="0" w:color="auto"/>
        <w:right w:val="none" w:sz="0" w:space="0" w:color="auto"/>
      </w:divBdr>
    </w:div>
    <w:div w:id="205410546">
      <w:bodyDiv w:val="1"/>
      <w:marLeft w:val="0"/>
      <w:marRight w:val="0"/>
      <w:marTop w:val="0"/>
      <w:marBottom w:val="0"/>
      <w:divBdr>
        <w:top w:val="none" w:sz="0" w:space="0" w:color="auto"/>
        <w:left w:val="none" w:sz="0" w:space="0" w:color="auto"/>
        <w:bottom w:val="none" w:sz="0" w:space="0" w:color="auto"/>
        <w:right w:val="none" w:sz="0" w:space="0" w:color="auto"/>
      </w:divBdr>
    </w:div>
    <w:div w:id="282152635">
      <w:bodyDiv w:val="1"/>
      <w:marLeft w:val="0"/>
      <w:marRight w:val="0"/>
      <w:marTop w:val="0"/>
      <w:marBottom w:val="0"/>
      <w:divBdr>
        <w:top w:val="none" w:sz="0" w:space="0" w:color="auto"/>
        <w:left w:val="none" w:sz="0" w:space="0" w:color="auto"/>
        <w:bottom w:val="none" w:sz="0" w:space="0" w:color="auto"/>
        <w:right w:val="none" w:sz="0" w:space="0" w:color="auto"/>
      </w:divBdr>
    </w:div>
    <w:div w:id="299849937">
      <w:bodyDiv w:val="1"/>
      <w:marLeft w:val="0"/>
      <w:marRight w:val="0"/>
      <w:marTop w:val="0"/>
      <w:marBottom w:val="0"/>
      <w:divBdr>
        <w:top w:val="none" w:sz="0" w:space="0" w:color="auto"/>
        <w:left w:val="none" w:sz="0" w:space="0" w:color="auto"/>
        <w:bottom w:val="none" w:sz="0" w:space="0" w:color="auto"/>
        <w:right w:val="none" w:sz="0" w:space="0" w:color="auto"/>
      </w:divBdr>
    </w:div>
    <w:div w:id="360865884">
      <w:bodyDiv w:val="1"/>
      <w:marLeft w:val="0"/>
      <w:marRight w:val="0"/>
      <w:marTop w:val="0"/>
      <w:marBottom w:val="0"/>
      <w:divBdr>
        <w:top w:val="none" w:sz="0" w:space="0" w:color="auto"/>
        <w:left w:val="none" w:sz="0" w:space="0" w:color="auto"/>
        <w:bottom w:val="none" w:sz="0" w:space="0" w:color="auto"/>
        <w:right w:val="none" w:sz="0" w:space="0" w:color="auto"/>
      </w:divBdr>
    </w:div>
    <w:div w:id="400569422">
      <w:bodyDiv w:val="1"/>
      <w:marLeft w:val="0"/>
      <w:marRight w:val="0"/>
      <w:marTop w:val="0"/>
      <w:marBottom w:val="0"/>
      <w:divBdr>
        <w:top w:val="none" w:sz="0" w:space="0" w:color="auto"/>
        <w:left w:val="none" w:sz="0" w:space="0" w:color="auto"/>
        <w:bottom w:val="none" w:sz="0" w:space="0" w:color="auto"/>
        <w:right w:val="none" w:sz="0" w:space="0" w:color="auto"/>
      </w:divBdr>
    </w:div>
    <w:div w:id="417823599">
      <w:bodyDiv w:val="1"/>
      <w:marLeft w:val="0"/>
      <w:marRight w:val="0"/>
      <w:marTop w:val="0"/>
      <w:marBottom w:val="0"/>
      <w:divBdr>
        <w:top w:val="none" w:sz="0" w:space="0" w:color="auto"/>
        <w:left w:val="none" w:sz="0" w:space="0" w:color="auto"/>
        <w:bottom w:val="none" w:sz="0" w:space="0" w:color="auto"/>
        <w:right w:val="none" w:sz="0" w:space="0" w:color="auto"/>
      </w:divBdr>
    </w:div>
    <w:div w:id="418721339">
      <w:bodyDiv w:val="1"/>
      <w:marLeft w:val="0"/>
      <w:marRight w:val="0"/>
      <w:marTop w:val="0"/>
      <w:marBottom w:val="0"/>
      <w:divBdr>
        <w:top w:val="none" w:sz="0" w:space="0" w:color="auto"/>
        <w:left w:val="none" w:sz="0" w:space="0" w:color="auto"/>
        <w:bottom w:val="none" w:sz="0" w:space="0" w:color="auto"/>
        <w:right w:val="none" w:sz="0" w:space="0" w:color="auto"/>
      </w:divBdr>
    </w:div>
    <w:div w:id="465045555">
      <w:bodyDiv w:val="1"/>
      <w:marLeft w:val="0"/>
      <w:marRight w:val="0"/>
      <w:marTop w:val="0"/>
      <w:marBottom w:val="0"/>
      <w:divBdr>
        <w:top w:val="none" w:sz="0" w:space="0" w:color="auto"/>
        <w:left w:val="none" w:sz="0" w:space="0" w:color="auto"/>
        <w:bottom w:val="none" w:sz="0" w:space="0" w:color="auto"/>
        <w:right w:val="none" w:sz="0" w:space="0" w:color="auto"/>
      </w:divBdr>
    </w:div>
    <w:div w:id="547186772">
      <w:bodyDiv w:val="1"/>
      <w:marLeft w:val="0"/>
      <w:marRight w:val="0"/>
      <w:marTop w:val="0"/>
      <w:marBottom w:val="0"/>
      <w:divBdr>
        <w:top w:val="none" w:sz="0" w:space="0" w:color="auto"/>
        <w:left w:val="none" w:sz="0" w:space="0" w:color="auto"/>
        <w:bottom w:val="none" w:sz="0" w:space="0" w:color="auto"/>
        <w:right w:val="none" w:sz="0" w:space="0" w:color="auto"/>
      </w:divBdr>
    </w:div>
    <w:div w:id="586302850">
      <w:bodyDiv w:val="1"/>
      <w:marLeft w:val="0"/>
      <w:marRight w:val="0"/>
      <w:marTop w:val="0"/>
      <w:marBottom w:val="0"/>
      <w:divBdr>
        <w:top w:val="none" w:sz="0" w:space="0" w:color="auto"/>
        <w:left w:val="none" w:sz="0" w:space="0" w:color="auto"/>
        <w:bottom w:val="none" w:sz="0" w:space="0" w:color="auto"/>
        <w:right w:val="none" w:sz="0" w:space="0" w:color="auto"/>
      </w:divBdr>
    </w:div>
    <w:div w:id="612905864">
      <w:bodyDiv w:val="1"/>
      <w:marLeft w:val="0"/>
      <w:marRight w:val="0"/>
      <w:marTop w:val="0"/>
      <w:marBottom w:val="0"/>
      <w:divBdr>
        <w:top w:val="none" w:sz="0" w:space="0" w:color="auto"/>
        <w:left w:val="none" w:sz="0" w:space="0" w:color="auto"/>
        <w:bottom w:val="none" w:sz="0" w:space="0" w:color="auto"/>
        <w:right w:val="none" w:sz="0" w:space="0" w:color="auto"/>
      </w:divBdr>
    </w:div>
    <w:div w:id="702100558">
      <w:bodyDiv w:val="1"/>
      <w:marLeft w:val="0"/>
      <w:marRight w:val="0"/>
      <w:marTop w:val="0"/>
      <w:marBottom w:val="0"/>
      <w:divBdr>
        <w:top w:val="none" w:sz="0" w:space="0" w:color="auto"/>
        <w:left w:val="none" w:sz="0" w:space="0" w:color="auto"/>
        <w:bottom w:val="none" w:sz="0" w:space="0" w:color="auto"/>
        <w:right w:val="none" w:sz="0" w:space="0" w:color="auto"/>
      </w:divBdr>
    </w:div>
    <w:div w:id="727414402">
      <w:bodyDiv w:val="1"/>
      <w:marLeft w:val="0"/>
      <w:marRight w:val="0"/>
      <w:marTop w:val="0"/>
      <w:marBottom w:val="0"/>
      <w:divBdr>
        <w:top w:val="none" w:sz="0" w:space="0" w:color="auto"/>
        <w:left w:val="none" w:sz="0" w:space="0" w:color="auto"/>
        <w:bottom w:val="none" w:sz="0" w:space="0" w:color="auto"/>
        <w:right w:val="none" w:sz="0" w:space="0" w:color="auto"/>
      </w:divBdr>
    </w:div>
    <w:div w:id="786582448">
      <w:bodyDiv w:val="1"/>
      <w:marLeft w:val="0"/>
      <w:marRight w:val="0"/>
      <w:marTop w:val="0"/>
      <w:marBottom w:val="0"/>
      <w:divBdr>
        <w:top w:val="none" w:sz="0" w:space="0" w:color="auto"/>
        <w:left w:val="none" w:sz="0" w:space="0" w:color="auto"/>
        <w:bottom w:val="none" w:sz="0" w:space="0" w:color="auto"/>
        <w:right w:val="none" w:sz="0" w:space="0" w:color="auto"/>
      </w:divBdr>
    </w:div>
    <w:div w:id="816805510">
      <w:bodyDiv w:val="1"/>
      <w:marLeft w:val="0"/>
      <w:marRight w:val="0"/>
      <w:marTop w:val="0"/>
      <w:marBottom w:val="0"/>
      <w:divBdr>
        <w:top w:val="none" w:sz="0" w:space="0" w:color="auto"/>
        <w:left w:val="none" w:sz="0" w:space="0" w:color="auto"/>
        <w:bottom w:val="none" w:sz="0" w:space="0" w:color="auto"/>
        <w:right w:val="none" w:sz="0" w:space="0" w:color="auto"/>
      </w:divBdr>
    </w:div>
    <w:div w:id="823591908">
      <w:bodyDiv w:val="1"/>
      <w:marLeft w:val="0"/>
      <w:marRight w:val="0"/>
      <w:marTop w:val="0"/>
      <w:marBottom w:val="0"/>
      <w:divBdr>
        <w:top w:val="none" w:sz="0" w:space="0" w:color="auto"/>
        <w:left w:val="none" w:sz="0" w:space="0" w:color="auto"/>
        <w:bottom w:val="none" w:sz="0" w:space="0" w:color="auto"/>
        <w:right w:val="none" w:sz="0" w:space="0" w:color="auto"/>
      </w:divBdr>
    </w:div>
    <w:div w:id="851652729">
      <w:bodyDiv w:val="1"/>
      <w:marLeft w:val="0"/>
      <w:marRight w:val="0"/>
      <w:marTop w:val="0"/>
      <w:marBottom w:val="0"/>
      <w:divBdr>
        <w:top w:val="none" w:sz="0" w:space="0" w:color="auto"/>
        <w:left w:val="none" w:sz="0" w:space="0" w:color="auto"/>
        <w:bottom w:val="none" w:sz="0" w:space="0" w:color="auto"/>
        <w:right w:val="none" w:sz="0" w:space="0" w:color="auto"/>
      </w:divBdr>
    </w:div>
    <w:div w:id="852693604">
      <w:bodyDiv w:val="1"/>
      <w:marLeft w:val="0"/>
      <w:marRight w:val="0"/>
      <w:marTop w:val="0"/>
      <w:marBottom w:val="0"/>
      <w:divBdr>
        <w:top w:val="none" w:sz="0" w:space="0" w:color="auto"/>
        <w:left w:val="none" w:sz="0" w:space="0" w:color="auto"/>
        <w:bottom w:val="none" w:sz="0" w:space="0" w:color="auto"/>
        <w:right w:val="none" w:sz="0" w:space="0" w:color="auto"/>
      </w:divBdr>
    </w:div>
    <w:div w:id="887306681">
      <w:bodyDiv w:val="1"/>
      <w:marLeft w:val="0"/>
      <w:marRight w:val="0"/>
      <w:marTop w:val="0"/>
      <w:marBottom w:val="0"/>
      <w:divBdr>
        <w:top w:val="none" w:sz="0" w:space="0" w:color="auto"/>
        <w:left w:val="none" w:sz="0" w:space="0" w:color="auto"/>
        <w:bottom w:val="none" w:sz="0" w:space="0" w:color="auto"/>
        <w:right w:val="none" w:sz="0" w:space="0" w:color="auto"/>
      </w:divBdr>
    </w:div>
    <w:div w:id="891649393">
      <w:bodyDiv w:val="1"/>
      <w:marLeft w:val="0"/>
      <w:marRight w:val="0"/>
      <w:marTop w:val="0"/>
      <w:marBottom w:val="0"/>
      <w:divBdr>
        <w:top w:val="none" w:sz="0" w:space="0" w:color="auto"/>
        <w:left w:val="none" w:sz="0" w:space="0" w:color="auto"/>
        <w:bottom w:val="none" w:sz="0" w:space="0" w:color="auto"/>
        <w:right w:val="none" w:sz="0" w:space="0" w:color="auto"/>
      </w:divBdr>
    </w:div>
    <w:div w:id="915432653">
      <w:bodyDiv w:val="1"/>
      <w:marLeft w:val="0"/>
      <w:marRight w:val="0"/>
      <w:marTop w:val="0"/>
      <w:marBottom w:val="0"/>
      <w:divBdr>
        <w:top w:val="none" w:sz="0" w:space="0" w:color="auto"/>
        <w:left w:val="none" w:sz="0" w:space="0" w:color="auto"/>
        <w:bottom w:val="none" w:sz="0" w:space="0" w:color="auto"/>
        <w:right w:val="none" w:sz="0" w:space="0" w:color="auto"/>
      </w:divBdr>
    </w:div>
    <w:div w:id="920915746">
      <w:bodyDiv w:val="1"/>
      <w:marLeft w:val="0"/>
      <w:marRight w:val="0"/>
      <w:marTop w:val="0"/>
      <w:marBottom w:val="0"/>
      <w:divBdr>
        <w:top w:val="none" w:sz="0" w:space="0" w:color="auto"/>
        <w:left w:val="none" w:sz="0" w:space="0" w:color="auto"/>
        <w:bottom w:val="none" w:sz="0" w:space="0" w:color="auto"/>
        <w:right w:val="none" w:sz="0" w:space="0" w:color="auto"/>
      </w:divBdr>
    </w:div>
    <w:div w:id="954292752">
      <w:bodyDiv w:val="1"/>
      <w:marLeft w:val="0"/>
      <w:marRight w:val="0"/>
      <w:marTop w:val="0"/>
      <w:marBottom w:val="0"/>
      <w:divBdr>
        <w:top w:val="none" w:sz="0" w:space="0" w:color="auto"/>
        <w:left w:val="none" w:sz="0" w:space="0" w:color="auto"/>
        <w:bottom w:val="none" w:sz="0" w:space="0" w:color="auto"/>
        <w:right w:val="none" w:sz="0" w:space="0" w:color="auto"/>
      </w:divBdr>
    </w:div>
    <w:div w:id="1183857431">
      <w:bodyDiv w:val="1"/>
      <w:marLeft w:val="0"/>
      <w:marRight w:val="0"/>
      <w:marTop w:val="0"/>
      <w:marBottom w:val="0"/>
      <w:divBdr>
        <w:top w:val="none" w:sz="0" w:space="0" w:color="auto"/>
        <w:left w:val="none" w:sz="0" w:space="0" w:color="auto"/>
        <w:bottom w:val="none" w:sz="0" w:space="0" w:color="auto"/>
        <w:right w:val="none" w:sz="0" w:space="0" w:color="auto"/>
      </w:divBdr>
    </w:div>
    <w:div w:id="1192914571">
      <w:bodyDiv w:val="1"/>
      <w:marLeft w:val="0"/>
      <w:marRight w:val="0"/>
      <w:marTop w:val="0"/>
      <w:marBottom w:val="0"/>
      <w:divBdr>
        <w:top w:val="none" w:sz="0" w:space="0" w:color="auto"/>
        <w:left w:val="none" w:sz="0" w:space="0" w:color="auto"/>
        <w:bottom w:val="none" w:sz="0" w:space="0" w:color="auto"/>
        <w:right w:val="none" w:sz="0" w:space="0" w:color="auto"/>
      </w:divBdr>
    </w:div>
    <w:div w:id="1302032301">
      <w:bodyDiv w:val="1"/>
      <w:marLeft w:val="0"/>
      <w:marRight w:val="0"/>
      <w:marTop w:val="0"/>
      <w:marBottom w:val="0"/>
      <w:divBdr>
        <w:top w:val="none" w:sz="0" w:space="0" w:color="auto"/>
        <w:left w:val="none" w:sz="0" w:space="0" w:color="auto"/>
        <w:bottom w:val="none" w:sz="0" w:space="0" w:color="auto"/>
        <w:right w:val="none" w:sz="0" w:space="0" w:color="auto"/>
      </w:divBdr>
    </w:div>
    <w:div w:id="1403528623">
      <w:bodyDiv w:val="1"/>
      <w:marLeft w:val="0"/>
      <w:marRight w:val="0"/>
      <w:marTop w:val="0"/>
      <w:marBottom w:val="0"/>
      <w:divBdr>
        <w:top w:val="none" w:sz="0" w:space="0" w:color="auto"/>
        <w:left w:val="none" w:sz="0" w:space="0" w:color="auto"/>
        <w:bottom w:val="none" w:sz="0" w:space="0" w:color="auto"/>
        <w:right w:val="none" w:sz="0" w:space="0" w:color="auto"/>
      </w:divBdr>
    </w:div>
    <w:div w:id="1447697975">
      <w:bodyDiv w:val="1"/>
      <w:marLeft w:val="0"/>
      <w:marRight w:val="0"/>
      <w:marTop w:val="0"/>
      <w:marBottom w:val="0"/>
      <w:divBdr>
        <w:top w:val="none" w:sz="0" w:space="0" w:color="auto"/>
        <w:left w:val="none" w:sz="0" w:space="0" w:color="auto"/>
        <w:bottom w:val="none" w:sz="0" w:space="0" w:color="auto"/>
        <w:right w:val="none" w:sz="0" w:space="0" w:color="auto"/>
      </w:divBdr>
    </w:div>
    <w:div w:id="1449004924">
      <w:bodyDiv w:val="1"/>
      <w:marLeft w:val="0"/>
      <w:marRight w:val="0"/>
      <w:marTop w:val="0"/>
      <w:marBottom w:val="0"/>
      <w:divBdr>
        <w:top w:val="none" w:sz="0" w:space="0" w:color="auto"/>
        <w:left w:val="none" w:sz="0" w:space="0" w:color="auto"/>
        <w:bottom w:val="none" w:sz="0" w:space="0" w:color="auto"/>
        <w:right w:val="none" w:sz="0" w:space="0" w:color="auto"/>
      </w:divBdr>
    </w:div>
    <w:div w:id="1473982215">
      <w:bodyDiv w:val="1"/>
      <w:marLeft w:val="0"/>
      <w:marRight w:val="0"/>
      <w:marTop w:val="0"/>
      <w:marBottom w:val="0"/>
      <w:divBdr>
        <w:top w:val="none" w:sz="0" w:space="0" w:color="auto"/>
        <w:left w:val="none" w:sz="0" w:space="0" w:color="auto"/>
        <w:bottom w:val="none" w:sz="0" w:space="0" w:color="auto"/>
        <w:right w:val="none" w:sz="0" w:space="0" w:color="auto"/>
      </w:divBdr>
    </w:div>
    <w:div w:id="1549564393">
      <w:bodyDiv w:val="1"/>
      <w:marLeft w:val="0"/>
      <w:marRight w:val="0"/>
      <w:marTop w:val="0"/>
      <w:marBottom w:val="0"/>
      <w:divBdr>
        <w:top w:val="none" w:sz="0" w:space="0" w:color="auto"/>
        <w:left w:val="none" w:sz="0" w:space="0" w:color="auto"/>
        <w:bottom w:val="none" w:sz="0" w:space="0" w:color="auto"/>
        <w:right w:val="none" w:sz="0" w:space="0" w:color="auto"/>
      </w:divBdr>
    </w:div>
    <w:div w:id="1640454952">
      <w:bodyDiv w:val="1"/>
      <w:marLeft w:val="0"/>
      <w:marRight w:val="0"/>
      <w:marTop w:val="0"/>
      <w:marBottom w:val="0"/>
      <w:divBdr>
        <w:top w:val="none" w:sz="0" w:space="0" w:color="auto"/>
        <w:left w:val="none" w:sz="0" w:space="0" w:color="auto"/>
        <w:bottom w:val="none" w:sz="0" w:space="0" w:color="auto"/>
        <w:right w:val="none" w:sz="0" w:space="0" w:color="auto"/>
      </w:divBdr>
    </w:div>
    <w:div w:id="1680424446">
      <w:bodyDiv w:val="1"/>
      <w:marLeft w:val="0"/>
      <w:marRight w:val="0"/>
      <w:marTop w:val="0"/>
      <w:marBottom w:val="0"/>
      <w:divBdr>
        <w:top w:val="none" w:sz="0" w:space="0" w:color="auto"/>
        <w:left w:val="none" w:sz="0" w:space="0" w:color="auto"/>
        <w:bottom w:val="none" w:sz="0" w:space="0" w:color="auto"/>
        <w:right w:val="none" w:sz="0" w:space="0" w:color="auto"/>
      </w:divBdr>
    </w:div>
    <w:div w:id="1782453325">
      <w:bodyDiv w:val="1"/>
      <w:marLeft w:val="0"/>
      <w:marRight w:val="0"/>
      <w:marTop w:val="0"/>
      <w:marBottom w:val="0"/>
      <w:divBdr>
        <w:top w:val="none" w:sz="0" w:space="0" w:color="auto"/>
        <w:left w:val="none" w:sz="0" w:space="0" w:color="auto"/>
        <w:bottom w:val="none" w:sz="0" w:space="0" w:color="auto"/>
        <w:right w:val="none" w:sz="0" w:space="0" w:color="auto"/>
      </w:divBdr>
    </w:div>
    <w:div w:id="1795365389">
      <w:bodyDiv w:val="1"/>
      <w:marLeft w:val="0"/>
      <w:marRight w:val="0"/>
      <w:marTop w:val="0"/>
      <w:marBottom w:val="0"/>
      <w:divBdr>
        <w:top w:val="none" w:sz="0" w:space="0" w:color="auto"/>
        <w:left w:val="none" w:sz="0" w:space="0" w:color="auto"/>
        <w:bottom w:val="none" w:sz="0" w:space="0" w:color="auto"/>
        <w:right w:val="none" w:sz="0" w:space="0" w:color="auto"/>
      </w:divBdr>
    </w:div>
    <w:div w:id="1890262414">
      <w:bodyDiv w:val="1"/>
      <w:marLeft w:val="0"/>
      <w:marRight w:val="0"/>
      <w:marTop w:val="0"/>
      <w:marBottom w:val="0"/>
      <w:divBdr>
        <w:top w:val="none" w:sz="0" w:space="0" w:color="auto"/>
        <w:left w:val="none" w:sz="0" w:space="0" w:color="auto"/>
        <w:bottom w:val="none" w:sz="0" w:space="0" w:color="auto"/>
        <w:right w:val="none" w:sz="0" w:space="0" w:color="auto"/>
      </w:divBdr>
    </w:div>
    <w:div w:id="1931691750">
      <w:bodyDiv w:val="1"/>
      <w:marLeft w:val="0"/>
      <w:marRight w:val="0"/>
      <w:marTop w:val="0"/>
      <w:marBottom w:val="0"/>
      <w:divBdr>
        <w:top w:val="none" w:sz="0" w:space="0" w:color="auto"/>
        <w:left w:val="none" w:sz="0" w:space="0" w:color="auto"/>
        <w:bottom w:val="none" w:sz="0" w:space="0" w:color="auto"/>
        <w:right w:val="none" w:sz="0" w:space="0" w:color="auto"/>
      </w:divBdr>
    </w:div>
    <w:div w:id="1994092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Mar16</b:Tag>
    <b:SourceType>JournalArticle</b:SourceType>
    <b:Guid>{C4672901-22E6-4DEF-8328-15819D75BA7B}</b:Guid>
    <b:Author>
      <b:Author>
        <b:NameList>
          <b:Person>
            <b:Last>Caro</b:Last>
            <b:First>Mario</b:First>
            <b:Middle>De</b:Middle>
          </b:Person>
        </b:NameList>
      </b:Author>
    </b:Author>
    <b:Title>utilitarianism and retributivism in Cesare Beccaria</b:Title>
    <b:JournalName>italian law jounal 2 Italian </b:JournalName>
    <b:Year>2016</b:Year>
    <b:Issue>2</b:Issue>
    <b:RefOrder>2</b:RefOrder>
  </b:Source>
  <b:Source>
    <b:Tag>col22</b:Tag>
    <b:SourceType>Report</b:SourceType>
    <b:Guid>{CD6ED94B-A874-4E2C-9F1A-DEF59E028101}</b:Guid>
    <b:Title>Evidence briefing about situational crime prevention interventions</b:Title>
    <b:Year>2022</b:Year>
    <b:Author>
      <b:Author>
        <b:NameList>
          <b:Person>
            <b:Last>policing</b:Last>
            <b:First>college</b:First>
            <b:Middle>of</b:Middle>
          </b:Person>
        </b:NameList>
      </b:Author>
    </b:Author>
    <b:Publisher> neighbourhood crime  </b:Publisher>
    <b:RefOrder>3</b:RefOrder>
  </b:Source>
  <b:Source>
    <b:Tag>Wim13</b:Tag>
    <b:SourceType>JournalArticle</b:SourceType>
    <b:Guid>{B826138E-29D7-459D-980B-30AAA01E17CF}</b:Guid>
    <b:Title>Opportunities for Environmental Crime: A Test of Situational Crime Prevention Theory</b:Title>
    <b:Year>2013</b:Year>
    <b:Author>
      <b:Author>
        <b:NameList>
          <b:Person>
            <b:Last>Wim Huisman</b:Last>
            <b:First>Judith</b:First>
            <b:Middle>van Erp</b:Middle>
          </b:Person>
        </b:NameList>
      </b:Author>
    </b:Author>
    <b:Month>june</b:Month>
    <b:Day>29</b:Day>
    <b:Pages>1178-1200</b:Pages>
    <b:JournalName>The British Journal of Criminology, Volume 53, Issue 6, November 2013, Pages 1178–1200,</b:JournalName>
    <b:Volume>53</b:Volume>
    <b:Issue>6</b:Issue>
    <b:RefOrder>4</b:RefOrder>
  </b:Source>
  <b:Source>
    <b:Tag>Mir14</b:Tag>
    <b:SourceType>ArticleInAPeriodical</b:SourceType>
    <b:Guid>{3858EDA1-1206-4295-B928-CFE20E85E680}</b:Guid>
    <b:Author>
      <b:Author>
        <b:NameList>
          <b:Person>
            <b:Last>Miró</b:Last>
            <b:First>Fernando</b:First>
          </b:Person>
        </b:NameList>
      </b:Author>
    </b:Author>
    <b:Title>Routine Activity Theory</b:Title>
    <b:JournalName>wiley online library</b:JournalName>
    <b:Year>2014</b:Year>
    <b:Month>january</b:Month>
    <b:Day>31</b:Day>
    <b:RefOrder>5</b:RefOrder>
  </b:Source>
  <b:Source>
    <b:Tag>Glo95</b:Tag>
    <b:SourceType>Book</b:SourceType>
    <b:Guid>{085D06E2-4D3E-417D-9C77-94BC7BC656A4}</b:Guid>
    <b:Title>POLICING AND NEIGHBOURHOOD WATCH:</b:Title>
    <b:Year>1995</b:Year>
    <b:Author>
      <b:Author>
        <b:NameList>
          <b:Person>
            <b:Last>Tilley</b:Last>
            <b:First>Gloria</b:First>
            <b:Middle>Laycock &amp; Nick</b:Middle>
          </b:Person>
        </b:NameList>
      </b:Author>
    </b:Author>
    <b:City>london</b:City>
    <b:Publisher>Home Office Police Research Group</b:Publisher>
    <b:RefOrder>6</b:RefOrder>
  </b:Source>
  <b:Source>
    <b:Tag>Hom21</b:Tag>
    <b:SourceType>Report</b:SourceType>
    <b:Guid>{B45A01B3-8E09-4A92-A02B-88A2B0F22C5A}</b:Guid>
    <b:Title>Crime plan to protect victims and make streets safer</b:Title>
    <b:Year>2021</b:Year>
    <b:Publisher>gov.uk</b:Publisher>
    <b:Author>
      <b:Author>
        <b:NameList>
          <b:Person>
            <b:Last>Home Office</b:Last>
            <b:First>Ministry</b:First>
            <b:Middle>of Justice</b:Middle>
          </b:Person>
        </b:NameList>
      </b:Author>
    </b:Author>
    <b:RefOrder>7</b:RefOrder>
  </b:Source>
  <b:Source>
    <b:Tag>wil69</b:Tag>
    <b:SourceType>Book</b:SourceType>
    <b:Guid>{2A56505F-2FBD-4B29-ABFA-85A7EBAB9268}</b:Guid>
    <b:Author>
      <b:Author>
        <b:NameList>
          <b:Person>
            <b:Last>williams</b:Last>
            <b:First>Frank</b:First>
            <b:Middle>p</b:Middle>
          </b:Person>
        </b:NameList>
      </b:Author>
    </b:Author>
    <b:Title>criminology theory selected classic reading</b:Title>
    <b:Year>2010</b:Year>
    <b:Publisher>taylor and francis group</b:Publisher>
    <b:Edition>2nd</b:Edition>
    <b:RefOrder>8</b:RefOrder>
  </b:Source>
  <b:Source>
    <b:Tag>Rob96</b:Tag>
    <b:SourceType>Book</b:SourceType>
    <b:Guid>{A7039BC8-1DA7-4851-A863-6492EEB6CE7F}</b:Guid>
    <b:Author>
      <b:Author>
        <b:NameList>
          <b:Person>
            <b:Last>Lurigio</b:Last>
            <b:First>Robert</b:First>
            <b:Middle>C. Davis &amp; Arthur J.</b:Middle>
          </b:Person>
        </b:NameList>
      </b:Author>
    </b:Author>
    <b:Title>Fighting Back: Neighborhood Antidrug Strategies</b:Title>
    <b:Year>1996</b:Year>
    <b:Publisher>SAGE Publications, Inc.</b:Publisher>
    <b:RefOrder>9</b:RefOrder>
  </b:Source>
  <b:Source>
    <b:Tag>Tar18</b:Tag>
    <b:SourceType>JournalArticle</b:SourceType>
    <b:Guid>{4D8938E2-8D97-46A5-8D64-EC6128B086F2}</b:Guid>
    <b:Author>
      <b:Author>
        <b:NameList>
          <b:Person>
            <b:Last>Farrington</b:Last>
            <b:First>Tara</b:First>
            <b:Middle>Renae McGee and David P.</b:Middle>
          </b:Person>
        </b:NameList>
      </b:Author>
    </b:Author>
    <b:Title>Developmental and life-course explanations of offending</b:Title>
    <b:JournalName>Psychology, Crime &amp; Law</b:JournalName>
    <b:Year>2018</b:Year>
    <b:Pages>625</b:Pages>
    <b:RefOrder>10</b:RefOrder>
  </b:Source>
  <b:Source>
    <b:Tag>pol22</b:Tag>
    <b:SourceType>InternetSite</b:SourceType>
    <b:Guid>{E2BD1B4D-6A87-455A-8CDA-0EB665C4210B}</b:Guid>
    <b:Title>young offenders insitutions</b:Title>
    <b:Year>22</b:Year>
    <b:YearAccessed>22</b:YearAccessed>
    <b:MonthAccessed>april</b:MonthAccessed>
    <b:DayAccessed>18</b:DayAccessed>
    <b:URL>https://www.politics.co.uk/reference/young-offender-institutions/#:~:text=In%202019%20there%20were%20approximately,figure%20of%202%2C807%20in%202001.</b:URL>
    <b:Author>
      <b:Author>
        <b:NameList>
          <b:Person>
            <b:Last>polatics.co.uk</b:Last>
          </b:Person>
        </b:NameList>
      </b:Author>
    </b:Author>
    <b:RefOrder>11</b:RefOrder>
  </b:Source>
  <b:Source>
    <b:Tag>uni19</b:Tag>
    <b:SourceType>InternetSite</b:SourceType>
    <b:Guid>{D77E2E25-5B20-45FA-BFCA-4DD2A413E9EE}</b:Guid>
    <b:Title>E4J University Module Series: Crime Prevention and Criminal Justice</b:Title>
    <b:JournalName>E4J University Module Series: Crime Prevention and Criminal Justice</b:JournalName>
    <b:Year>2019</b:Year>
    <b:Author>
      <b:Author>
        <b:NameList>
          <b:Person>
            <b:Last>crime</b:Last>
            <b:First>united</b:First>
            <b:Middle>nations office on drugs and</b:Middle>
          </b:Person>
        </b:NameList>
      </b:Author>
    </b:Author>
    <b:YearAccessed>22</b:YearAccessed>
    <b:MonthAccessed>april</b:MonthAccessed>
    <b:DayAccessed>18</b:DayAccessed>
    <b:URL>https://www.unodc.org/e4j/zh/crime-prevention-criminal-justice/module-2/key-issues/2a--detailed-explanation-of-tonry-and-farringtons-typology.html#:~:text=Developmental%20crime%20prevention,Farrington%20and%20Welsh%2C%202007).</b:URL>
    <b:RefOrder>12</b:RefOrder>
  </b:Source>
  <b:Source>
    <b:Tag>Moo00</b:Tag>
    <b:SourceType>BookSection</b:SourceType>
    <b:Guid>{4010BA92-671F-4F87-A82D-2C5266BDAFC2}</b:Guid>
    <b:Title>Classicist Criminology: Liberal Explanations of Violence</b:Title>
    <b:Year>2000</b:Year>
    <b:Author>
      <b:Author>
        <b:NameList>
          <b:Person>
            <b:Last>Mooney</b:Last>
            <b:First>J</b:First>
          </b:Person>
        </b:NameList>
      </b:Author>
    </b:Author>
    <b:Pages>13</b:Pages>
    <b:City>london</b:City>
    <b:Publisher>Palgrave Macmillan</b:Publisher>
    <b:RefOrder>13</b:RefOrder>
  </b:Source>
  <b:Source>
    <b:Tag>JMC60</b:Tag>
    <b:SourceType>JournalArticle</b:SourceType>
    <b:Guid>{DDE10B7A-181E-427C-A762-651A474E1EB1}</b:Guid>
    <b:Title>Classicism, Positivism and Social Defense</b:Title>
    <b:Year>1960</b:Year>
    <b:Pages>550</b:Pages>
    <b:Author>
      <b:Author>
        <b:NameList>
          <b:Person>
            <b:Last>Canals</b:Last>
            <b:First>J.</b:First>
            <b:Middle>M.</b:Middle>
          </b:Person>
        </b:NameList>
      </b:Author>
    </b:Author>
    <b:JournalName>Classicism, Positivism and Social Defense</b:JournalName>
    <b:Volume>50</b:Volume>
    <b:RefOrder>14</b:RefOrder>
  </b:Source>
  <b:Source>
    <b:Tag>Bri22</b:Tag>
    <b:SourceType>InternetSite</b:SourceType>
    <b:Guid>{AE7C295E-96CB-459D-8EB9-65EA18C45732}</b:Guid>
    <b:Title>INTRODUCTION TO THE AMERICAN CRIMINAL JUSTICE SYSTEM/Biological and Psychological Positivism</b:Title>
    <b:Year>2022</b:Year>
    <b:YearAccessed>2022</b:YearAccessed>
    <b:MonthAccessed>april</b:MonthAccessed>
    <b:DayAccessed>19</b:DayAccessed>
    <b:URL>https://openoregon.pressbooks.pub/ccj230/chapter/4-7-biological-and-psychological-positivism/</b:URL>
    <b:Author>
      <b:Author>
        <b:NameList>
          <b:Person>
            <b:Last>Fedorek</b:Last>
            <b:First>Brian</b:First>
          </b:Person>
        </b:NameList>
      </b:Author>
    </b:Author>
    <b:RefOrder>15</b:RefOrder>
  </b:Source>
  <b:Source>
    <b:Tag>can16</b:Tag>
    <b:SourceType>DocumentFromInternetSite</b:SourceType>
    <b:Guid>{CF66B1A1-AE90-473D-871C-685A62150E21}</b:Guid>
    <b:Title>safercities</b:Title>
    <b:Year>2016</b:Year>
    <b:YearAccessed>2022</b:YearAccessed>
    <b:MonthAccessed>april</b:MonthAccessed>
    <b:DayAccessed>19</b:DayAccessed>
    <b:URL>http://safercities.ca/wp-content/uploads/2016/07/CMNCP_AB_3_FINAL_JULY8_DIGITAL.pdf</b:URL>
    <b:Author>
      <b:Author>
        <b:NameList>
          <b:Person>
            <b:Last>prevention</b:Last>
            <b:First>canadian</b:First>
            <b:Middle>municipal network pn crime</b:Middle>
          </b:Person>
        </b:NameList>
      </b:Author>
    </b:Author>
    <b:RefOrder>1</b:RefOrder>
  </b:Source>
  <b:Source>
    <b:Tag>col221</b:Tag>
    <b:SourceType>InternetSite</b:SourceType>
    <b:Guid>{D6517AA1-9194-4699-879D-C5E214E4194D}</b:Guid>
    <b:Title>What Works Centre for Crime Reduction</b:Title>
    <b:Year>2022</b:Year>
    <b:YearAccessed>2022</b:YearAccessed>
    <b:MonthAccessed>april</b:MonthAccessed>
    <b:DayAccessed>19</b:DayAccessed>
    <b:URL>https://www.college.police.uk/research/what-works-centre-crime-reduction</b:URL>
    <b:Author>
      <b:Author>
        <b:NameList>
          <b:Person>
            <b:Last>policing</b:Last>
            <b:First>college</b:First>
            <b:Middle>of</b:Middle>
          </b:Person>
        </b:NameList>
      </b:Author>
    </b:Author>
    <b:RefOrder>16</b:RefOrder>
  </b:Source>
  <b:Source>
    <b:Tag>Tam19</b:Tag>
    <b:SourceType>Misc</b:SourceType>
    <b:Guid>{F7A6AFC0-3BEC-48A9-A2AD-EF47DA0DBD68}</b:Guid>
    <b:Title>hot spot policing</b:Title>
    <b:Year>2019</b:Year>
    <b:Author>
      <b:Author>
        <b:NameList>
          <b:Person>
            <b:Last>Tammy Kochel</b:Last>
            <b:First>Seyvan</b:First>
            <b:Middle>Nouri</b:Middle>
          </b:Person>
        </b:NameList>
      </b:Author>
    </b:Author>
    <b:Publisher>Oxford Bibliographies</b:Publisher>
    <b:RefOrder>17</b:RefOrder>
  </b:Source>
  <b:Source>
    <b:Tag>Ari22</b:Tag>
    <b:SourceType>Misc</b:SourceType>
    <b:Guid>{06D68387-DDD0-49FB-AFEF-437E2174766A}</b:Guid>
    <b:Author>
      <b:Author>
        <b:NameList>
          <b:Person>
            <b:Last>university</b:Last>
            <b:First>Arizona</b:First>
            <b:Middle>state</b:Middle>
          </b:Person>
        </b:NameList>
      </b:Author>
    </b:Author>
    <b:Title>Center for Problem-Oriented Policing</b:Title>
    <b:Year>2022</b:Year>
    <b:RefOrder>18</b:RefOrder>
  </b:Source>
  <b:Source>
    <b:Tag>cri22</b:Tag>
    <b:SourceType>InternetSite</b:SourceType>
    <b:Guid>{B30B541C-D169-4AF9-97D6-9DEEFEDDD461}</b:Guid>
    <b:Title>lewisham crime overview</b:Title>
    <b:Year>2022</b:Year>
    <b:Author>
      <b:Author>
        <b:NameList>
          <b:Person>
            <b:Last>rate</b:Last>
            <b:First>crime</b:First>
          </b:Person>
        </b:NameList>
      </b:Author>
    </b:Author>
    <b:YearAccessed>2022</b:YearAccessed>
    <b:MonthAccessed>april</b:MonthAccessed>
    <b:DayAccessed>20</b:DayAccessed>
    <b:URL>https://crimerate.co.uk/london/lewisham#:~:text=The%20overall%20crime%20rate%20in,of%2087%20per%201%2C000%20residents.</b:URL>
    <b:RefOrder>19</b:RefOrder>
  </b:Source>
  <b:Source>
    <b:Tag>lonle</b:Tag>
    <b:SourceType>InternetSite</b:SourceType>
    <b:Guid>{1DB57537-48F6-420C-ADAC-6FA6F7377EBF}</b:Guid>
    <b:Author>
      <b:Author>
        <b:NameList>
          <b:Person>
            <b:Last>councils</b:Last>
            <b:First>london</b:First>
          </b:Person>
        </b:NameList>
      </b:Author>
    </b:Author>
    <b:Title>lewisham violence and vulnerability</b:Title>
    <b:Year>2022</b:Year>
    <b:YearAccessed>2022</b:YearAccessed>
    <b:MonthAccessed>april</b:MonthAccessed>
    <b:DayAccessed>2020</b:DayAccessed>
    <b:URL>https://www.londoncouncils.gov.uk/our-key-themes/crime-and-public-protection/borough-crime-case-studies/lewisham-violence-and</b:URL>
    <b:RefOrder>20</b:RefOrder>
  </b:Source>
</b:Sources>
</file>

<file path=customXml/itemProps1.xml><?xml version="1.0" encoding="utf-8"?>
<ds:datastoreItem xmlns:ds="http://schemas.openxmlformats.org/officeDocument/2006/customXml" ds:itemID="{DF207A1E-F35E-4727-A5FC-53EC6E275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9</Pages>
  <Words>2487</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cherise shade</dc:creator>
  <cp:keywords/>
  <dc:description/>
  <cp:lastModifiedBy>cherise shade</cp:lastModifiedBy>
  <cp:revision>53</cp:revision>
  <dcterms:created xsi:type="dcterms:W3CDTF">2022-04-21T09:13:00Z</dcterms:created>
  <dcterms:modified xsi:type="dcterms:W3CDTF">2022-05-06T18:28:00Z</dcterms:modified>
</cp:coreProperties>
</file>