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158C0" w14:textId="42310D99" w:rsidR="00E454B9" w:rsidRDefault="00E454B9" w:rsidP="00E454B9">
      <w:pPr>
        <w:pStyle w:val="Title"/>
      </w:pPr>
      <w:r>
        <w:t>Problem solving and innovation report</w:t>
      </w:r>
    </w:p>
    <w:p w14:paraId="2A5AAE8B" w14:textId="183438D9" w:rsidR="00E454B9" w:rsidRDefault="00E454B9" w:rsidP="00E454B9">
      <w:r>
        <w:t>Student name: Andrei Vladeanu</w:t>
      </w:r>
      <w:r>
        <w:tab/>
      </w:r>
    </w:p>
    <w:p w14:paraId="174F5BA5" w14:textId="0624AA21" w:rsidR="00E454B9" w:rsidRPr="00E454B9" w:rsidRDefault="00E454B9" w:rsidP="00E454B9">
      <w:r>
        <w:t>Student number: 2432415</w:t>
      </w:r>
    </w:p>
    <w:sdt>
      <w:sdtPr>
        <w:id w:val="-39057677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4CA07D3" w14:textId="34280054" w:rsidR="00E454B9" w:rsidRDefault="00E454B9">
          <w:pPr>
            <w:pStyle w:val="TOCHeading"/>
          </w:pPr>
          <w:r>
            <w:t>Contents</w:t>
          </w:r>
        </w:p>
        <w:p w14:paraId="6F1FB755" w14:textId="3B48F931" w:rsidR="00E454B9" w:rsidRDefault="00E454B9">
          <w:pPr>
            <w:pStyle w:val="TOC1"/>
            <w:tabs>
              <w:tab w:val="right" w:leader="dot" w:pos="9016"/>
            </w:tabs>
            <w:rPr>
              <w:noProof/>
            </w:rPr>
          </w:pPr>
          <w:r>
            <w:fldChar w:fldCharType="begin"/>
          </w:r>
          <w:r>
            <w:instrText xml:space="preserve"> TOC \o "1-3" \h \z \u </w:instrText>
          </w:r>
          <w:r>
            <w:fldChar w:fldCharType="separate"/>
          </w:r>
          <w:hyperlink w:anchor="_Toc215822506" w:history="1">
            <w:r w:rsidRPr="000D37BC">
              <w:rPr>
                <w:rStyle w:val="Hyperlink"/>
                <w:noProof/>
              </w:rPr>
              <w:t>Introduction</w:t>
            </w:r>
            <w:r>
              <w:rPr>
                <w:noProof/>
                <w:webHidden/>
              </w:rPr>
              <w:tab/>
            </w:r>
            <w:r>
              <w:rPr>
                <w:noProof/>
                <w:webHidden/>
              </w:rPr>
              <w:fldChar w:fldCharType="begin"/>
            </w:r>
            <w:r>
              <w:rPr>
                <w:noProof/>
                <w:webHidden/>
              </w:rPr>
              <w:instrText xml:space="preserve"> PAGEREF _Toc215822506 \h </w:instrText>
            </w:r>
            <w:r>
              <w:rPr>
                <w:noProof/>
                <w:webHidden/>
              </w:rPr>
            </w:r>
            <w:r>
              <w:rPr>
                <w:noProof/>
                <w:webHidden/>
              </w:rPr>
              <w:fldChar w:fldCharType="separate"/>
            </w:r>
            <w:r>
              <w:rPr>
                <w:noProof/>
                <w:webHidden/>
              </w:rPr>
              <w:t>1</w:t>
            </w:r>
            <w:r>
              <w:rPr>
                <w:noProof/>
                <w:webHidden/>
              </w:rPr>
              <w:fldChar w:fldCharType="end"/>
            </w:r>
          </w:hyperlink>
        </w:p>
        <w:p w14:paraId="2EC927C0" w14:textId="23073D15" w:rsidR="00E454B9" w:rsidRDefault="00E454B9">
          <w:pPr>
            <w:pStyle w:val="TOC1"/>
            <w:tabs>
              <w:tab w:val="right" w:leader="dot" w:pos="9016"/>
            </w:tabs>
            <w:rPr>
              <w:noProof/>
            </w:rPr>
          </w:pPr>
          <w:hyperlink w:anchor="_Toc215822507" w:history="1">
            <w:r w:rsidRPr="000D37BC">
              <w:rPr>
                <w:rStyle w:val="Hyperlink"/>
                <w:noProof/>
              </w:rPr>
              <w:t>Findings</w:t>
            </w:r>
            <w:r>
              <w:rPr>
                <w:noProof/>
                <w:webHidden/>
              </w:rPr>
              <w:tab/>
            </w:r>
            <w:r>
              <w:rPr>
                <w:noProof/>
                <w:webHidden/>
              </w:rPr>
              <w:fldChar w:fldCharType="begin"/>
            </w:r>
            <w:r>
              <w:rPr>
                <w:noProof/>
                <w:webHidden/>
              </w:rPr>
              <w:instrText xml:space="preserve"> PAGEREF _Toc215822507 \h </w:instrText>
            </w:r>
            <w:r>
              <w:rPr>
                <w:noProof/>
                <w:webHidden/>
              </w:rPr>
            </w:r>
            <w:r>
              <w:rPr>
                <w:noProof/>
                <w:webHidden/>
              </w:rPr>
              <w:fldChar w:fldCharType="separate"/>
            </w:r>
            <w:r>
              <w:rPr>
                <w:noProof/>
                <w:webHidden/>
              </w:rPr>
              <w:t>1</w:t>
            </w:r>
            <w:r>
              <w:rPr>
                <w:noProof/>
                <w:webHidden/>
              </w:rPr>
              <w:fldChar w:fldCharType="end"/>
            </w:r>
          </w:hyperlink>
        </w:p>
        <w:p w14:paraId="7606AB91" w14:textId="26A68D23" w:rsidR="00E454B9" w:rsidRDefault="00E454B9">
          <w:pPr>
            <w:pStyle w:val="TOC1"/>
            <w:tabs>
              <w:tab w:val="right" w:leader="dot" w:pos="9016"/>
            </w:tabs>
            <w:rPr>
              <w:noProof/>
            </w:rPr>
          </w:pPr>
          <w:hyperlink w:anchor="_Toc215822508" w:history="1">
            <w:r w:rsidRPr="000D37BC">
              <w:rPr>
                <w:rStyle w:val="Hyperlink"/>
                <w:noProof/>
              </w:rPr>
              <w:t>Conclusion</w:t>
            </w:r>
            <w:r>
              <w:rPr>
                <w:noProof/>
                <w:webHidden/>
              </w:rPr>
              <w:tab/>
            </w:r>
            <w:r>
              <w:rPr>
                <w:noProof/>
                <w:webHidden/>
              </w:rPr>
              <w:fldChar w:fldCharType="begin"/>
            </w:r>
            <w:r>
              <w:rPr>
                <w:noProof/>
                <w:webHidden/>
              </w:rPr>
              <w:instrText xml:space="preserve"> PAGEREF _Toc215822508 \h </w:instrText>
            </w:r>
            <w:r>
              <w:rPr>
                <w:noProof/>
                <w:webHidden/>
              </w:rPr>
            </w:r>
            <w:r>
              <w:rPr>
                <w:noProof/>
                <w:webHidden/>
              </w:rPr>
              <w:fldChar w:fldCharType="separate"/>
            </w:r>
            <w:r>
              <w:rPr>
                <w:noProof/>
                <w:webHidden/>
              </w:rPr>
              <w:t>1</w:t>
            </w:r>
            <w:r>
              <w:rPr>
                <w:noProof/>
                <w:webHidden/>
              </w:rPr>
              <w:fldChar w:fldCharType="end"/>
            </w:r>
          </w:hyperlink>
        </w:p>
        <w:p w14:paraId="78F0CA11" w14:textId="1EA76E5A" w:rsidR="00E454B9" w:rsidRDefault="00E454B9">
          <w:pPr>
            <w:pStyle w:val="TOC1"/>
            <w:tabs>
              <w:tab w:val="right" w:leader="dot" w:pos="9016"/>
            </w:tabs>
            <w:rPr>
              <w:noProof/>
            </w:rPr>
          </w:pPr>
          <w:hyperlink w:anchor="_Toc215822509" w:history="1">
            <w:r w:rsidRPr="000D37BC">
              <w:rPr>
                <w:rStyle w:val="Hyperlink"/>
                <w:noProof/>
              </w:rPr>
              <w:t>Recommendations</w:t>
            </w:r>
            <w:r>
              <w:rPr>
                <w:noProof/>
                <w:webHidden/>
              </w:rPr>
              <w:tab/>
            </w:r>
            <w:r>
              <w:rPr>
                <w:noProof/>
                <w:webHidden/>
              </w:rPr>
              <w:fldChar w:fldCharType="begin"/>
            </w:r>
            <w:r>
              <w:rPr>
                <w:noProof/>
                <w:webHidden/>
              </w:rPr>
              <w:instrText xml:space="preserve"> PAGEREF _Toc215822509 \h </w:instrText>
            </w:r>
            <w:r>
              <w:rPr>
                <w:noProof/>
                <w:webHidden/>
              </w:rPr>
            </w:r>
            <w:r>
              <w:rPr>
                <w:noProof/>
                <w:webHidden/>
              </w:rPr>
              <w:fldChar w:fldCharType="separate"/>
            </w:r>
            <w:r>
              <w:rPr>
                <w:noProof/>
                <w:webHidden/>
              </w:rPr>
              <w:t>1</w:t>
            </w:r>
            <w:r>
              <w:rPr>
                <w:noProof/>
                <w:webHidden/>
              </w:rPr>
              <w:fldChar w:fldCharType="end"/>
            </w:r>
          </w:hyperlink>
        </w:p>
        <w:p w14:paraId="4884D9B3" w14:textId="180BA485" w:rsidR="00E454B9" w:rsidRDefault="00E454B9">
          <w:pPr>
            <w:pStyle w:val="TOC1"/>
            <w:tabs>
              <w:tab w:val="right" w:leader="dot" w:pos="9016"/>
            </w:tabs>
            <w:rPr>
              <w:noProof/>
            </w:rPr>
          </w:pPr>
          <w:hyperlink w:anchor="_Toc215822510" w:history="1">
            <w:r w:rsidRPr="000D37BC">
              <w:rPr>
                <w:rStyle w:val="Hyperlink"/>
                <w:noProof/>
              </w:rPr>
              <w:t>Refences</w:t>
            </w:r>
            <w:r>
              <w:rPr>
                <w:noProof/>
                <w:webHidden/>
              </w:rPr>
              <w:tab/>
            </w:r>
            <w:r>
              <w:rPr>
                <w:noProof/>
                <w:webHidden/>
              </w:rPr>
              <w:fldChar w:fldCharType="begin"/>
            </w:r>
            <w:r>
              <w:rPr>
                <w:noProof/>
                <w:webHidden/>
              </w:rPr>
              <w:instrText xml:space="preserve"> PAGEREF _Toc215822510 \h </w:instrText>
            </w:r>
            <w:r>
              <w:rPr>
                <w:noProof/>
                <w:webHidden/>
              </w:rPr>
            </w:r>
            <w:r>
              <w:rPr>
                <w:noProof/>
                <w:webHidden/>
              </w:rPr>
              <w:fldChar w:fldCharType="separate"/>
            </w:r>
            <w:r>
              <w:rPr>
                <w:noProof/>
                <w:webHidden/>
              </w:rPr>
              <w:t>1</w:t>
            </w:r>
            <w:r>
              <w:rPr>
                <w:noProof/>
                <w:webHidden/>
              </w:rPr>
              <w:fldChar w:fldCharType="end"/>
            </w:r>
          </w:hyperlink>
        </w:p>
        <w:p w14:paraId="459AF0D6" w14:textId="11B3393E" w:rsidR="00E454B9" w:rsidRDefault="00E454B9">
          <w:r>
            <w:rPr>
              <w:b/>
              <w:bCs/>
              <w:noProof/>
            </w:rPr>
            <w:fldChar w:fldCharType="end"/>
          </w:r>
        </w:p>
      </w:sdtContent>
    </w:sdt>
    <w:p w14:paraId="027175F7" w14:textId="79553E81" w:rsidR="00E454B9" w:rsidRDefault="00E454B9" w:rsidP="00E454B9">
      <w:pPr>
        <w:numPr>
          <w:ilvl w:val="0"/>
          <w:numId w:val="6"/>
        </w:numPr>
      </w:pPr>
    </w:p>
    <w:p w14:paraId="4CAC1C04" w14:textId="5203B9C1" w:rsidR="00E454B9" w:rsidRDefault="00E454B9" w:rsidP="00E454B9">
      <w:pPr>
        <w:pStyle w:val="Heading1"/>
      </w:pPr>
      <w:bookmarkStart w:id="0" w:name="_Toc215822506"/>
      <w:r>
        <w:t>Introduction</w:t>
      </w:r>
      <w:bookmarkEnd w:id="0"/>
    </w:p>
    <w:p w14:paraId="47B60465" w14:textId="3FA36790" w:rsidR="00E454B9" w:rsidRPr="00E454B9" w:rsidRDefault="00E454B9" w:rsidP="00E454B9">
      <w:r w:rsidRPr="00E454B9">
        <w:t>The UK electric vehicle (EV) industry has grown significantly over the past decade, driven by decarbonisation goals, rapid technological innovation, and evolving consumer attitudes. EV registrations continue to rise as manufacturers expand product ranges and as the charging network becomes more comprehensive. However, this growth is accompanied by challenges, including economic uncertainty, supply chain risks, infrastructure inequalities, and increased global competition. The purpose of this report is to critically analyse the external factors shaping the UK EV industry, using strategic tools such as PESTLE and SWOT. The scope includes assessing political, economic, social, technological, legal, and environmental influences alongside strengths, weaknesses, opportunities, and threats. It also explores how innovation supports competitiveness, sustainability, and resilience in the sector.</w:t>
      </w:r>
    </w:p>
    <w:p w14:paraId="5BE443DA" w14:textId="51BDBB9B" w:rsidR="00E454B9" w:rsidRDefault="00E454B9" w:rsidP="00E454B9">
      <w:pPr>
        <w:pStyle w:val="Heading1"/>
      </w:pPr>
      <w:bookmarkStart w:id="1" w:name="_Toc215822507"/>
      <w:r>
        <w:t>Findings</w:t>
      </w:r>
      <w:bookmarkEnd w:id="1"/>
    </w:p>
    <w:p w14:paraId="10E03309" w14:textId="77777777" w:rsidR="00E454B9" w:rsidRPr="00E454B9" w:rsidRDefault="00E454B9" w:rsidP="00E454B9">
      <w:pPr>
        <w:rPr>
          <w:b/>
          <w:bCs/>
        </w:rPr>
      </w:pPr>
      <w:r w:rsidRPr="00E454B9">
        <w:rPr>
          <w:b/>
          <w:bCs/>
        </w:rPr>
        <w:t>2.1 PESTLE Analysis</w:t>
      </w:r>
    </w:p>
    <w:p w14:paraId="0412A116" w14:textId="77777777" w:rsidR="00E454B9" w:rsidRPr="00E454B9" w:rsidRDefault="00E454B9" w:rsidP="00E454B9">
      <w:pPr>
        <w:rPr>
          <w:b/>
          <w:bCs/>
        </w:rPr>
      </w:pPr>
      <w:r w:rsidRPr="00E454B9">
        <w:rPr>
          <w:b/>
          <w:bCs/>
        </w:rPr>
        <w:t>Political</w:t>
      </w:r>
    </w:p>
    <w:p w14:paraId="59BA810A" w14:textId="77777777" w:rsidR="00E454B9" w:rsidRPr="00E454B9" w:rsidRDefault="00E454B9" w:rsidP="00E454B9">
      <w:r w:rsidRPr="00E454B9">
        <w:t xml:space="preserve">The UK government continues to play a central role in EV development through national strategies, subsidies, and regulatory frameworks. The 2024 Zero Emission Vehicle (ZEV) Mandate requires increasing annual sales of zero-emission cars, pushing manufacturers towards electrification (Department for Transport, 2024). However, the extension of the UK’s petrol and diesel phase-out date from 2030 to 2035 has created </w:t>
      </w:r>
      <w:r w:rsidRPr="00E454B9">
        <w:lastRenderedPageBreak/>
        <w:t>uncertainty, potentially slowing investment and consumer commitment (BBC News, 2023). The government’s funding for charging infrastructure remains significant, although regional disparities persist.</w:t>
      </w:r>
    </w:p>
    <w:p w14:paraId="62F53160" w14:textId="77777777" w:rsidR="00E454B9" w:rsidRPr="00E454B9" w:rsidRDefault="00E454B9" w:rsidP="00E454B9">
      <w:pPr>
        <w:rPr>
          <w:b/>
          <w:bCs/>
        </w:rPr>
      </w:pPr>
      <w:r w:rsidRPr="00E454B9">
        <w:rPr>
          <w:b/>
          <w:bCs/>
        </w:rPr>
        <w:t>Economic</w:t>
      </w:r>
    </w:p>
    <w:p w14:paraId="73741A6C" w14:textId="77777777" w:rsidR="00E454B9" w:rsidRPr="00E454B9" w:rsidRDefault="00E454B9" w:rsidP="00E454B9">
      <w:r w:rsidRPr="00E454B9">
        <w:t>Economic pressures influence consumer purchasing power and industry investment levels. Inflation and high interest rates reduce affordability for EV buyers, while high battery material costs affect manufacturers (</w:t>
      </w:r>
      <w:proofErr w:type="spellStart"/>
      <w:r w:rsidRPr="00E454B9">
        <w:t>BloombergNEF</w:t>
      </w:r>
      <w:proofErr w:type="spellEnd"/>
      <w:r w:rsidRPr="00E454B9">
        <w:t>, 2023). Despite this, EV running costs remain lower than those of internal combustion engine vehicles, helping justify long-term ownership (Energy Saving Trust, 2023). The UK’s post-Brexit trading environment further affects production costs due to rules-of-origin requirements for batteries, with potential implications for export competitiveness.</w:t>
      </w:r>
    </w:p>
    <w:p w14:paraId="48268650" w14:textId="77777777" w:rsidR="00E454B9" w:rsidRPr="00E454B9" w:rsidRDefault="00E454B9" w:rsidP="00E454B9">
      <w:pPr>
        <w:rPr>
          <w:b/>
          <w:bCs/>
        </w:rPr>
      </w:pPr>
      <w:r w:rsidRPr="00E454B9">
        <w:rPr>
          <w:b/>
          <w:bCs/>
        </w:rPr>
        <w:t>Social</w:t>
      </w:r>
    </w:p>
    <w:p w14:paraId="08FB8641" w14:textId="77777777" w:rsidR="00E454B9" w:rsidRPr="00E454B9" w:rsidRDefault="00E454B9" w:rsidP="00E454B9">
      <w:r w:rsidRPr="00E454B9">
        <w:t>Social trends indicate growing awareness of climate change and rising acceptance of EVs. Younger demographics increasingly value sustainability, contributing to higher EV adoption rates (YouGov, 2023). Nonetheless, concerns persist regarding charging availability, particularly among households without off-street parking. Public understanding of battery degradation, recycling, and long-term costs also shapes adoption behaviour (National Grid, 2022).</w:t>
      </w:r>
    </w:p>
    <w:p w14:paraId="345A2143" w14:textId="77777777" w:rsidR="00E454B9" w:rsidRPr="00E454B9" w:rsidRDefault="00E454B9" w:rsidP="00E454B9">
      <w:pPr>
        <w:rPr>
          <w:b/>
          <w:bCs/>
        </w:rPr>
      </w:pPr>
      <w:r w:rsidRPr="00E454B9">
        <w:rPr>
          <w:b/>
          <w:bCs/>
        </w:rPr>
        <w:t>Technological</w:t>
      </w:r>
    </w:p>
    <w:p w14:paraId="00BAE348" w14:textId="77777777" w:rsidR="00E454B9" w:rsidRPr="00E454B9" w:rsidRDefault="00E454B9" w:rsidP="00E454B9">
      <w:r w:rsidRPr="00E454B9">
        <w:t>Technological innovation continues to underpin industry competitiveness. Improvements in lithium-ion and emerging solid-state battery technologies have increased energy density, reduced charging times, and improved vehicle range (IEA, 2023). Software advancements enable over-the-air updates, advanced driver assistance, and enhanced energy management. Investment in UK gigafactories aims to strengthen domestic battery manufacturing capacity, although development delays pose a risk to supply chain resilience (Faraday Institution, 2023). Rapid expansion of ultra-fast charging infrastructure supports long-distance travel and fleet reliability.</w:t>
      </w:r>
    </w:p>
    <w:p w14:paraId="1CADEFC4" w14:textId="77777777" w:rsidR="00E454B9" w:rsidRPr="00E454B9" w:rsidRDefault="00E454B9" w:rsidP="00E454B9">
      <w:pPr>
        <w:rPr>
          <w:b/>
          <w:bCs/>
        </w:rPr>
      </w:pPr>
      <w:r w:rsidRPr="00E454B9">
        <w:rPr>
          <w:b/>
          <w:bCs/>
        </w:rPr>
        <w:t>Legal</w:t>
      </w:r>
    </w:p>
    <w:p w14:paraId="57D3E4EE" w14:textId="77777777" w:rsidR="00E454B9" w:rsidRPr="00E454B9" w:rsidRDefault="00E454B9" w:rsidP="00E454B9">
      <w:r w:rsidRPr="00E454B9">
        <w:t>Legal factors include safety standards, emission regulations, and battery recycling requirements. Extended Producer Responsibility (EPR) regulations require manufacturers to handle battery end-of-life processing (DEFRA, 2022). Data protection laws, including GDPR, affect EV manufacturers with increasing reliance on connected vehicle data. Post-Brexit trade agreements influence tariffs on EV components, impacting cost structures.</w:t>
      </w:r>
    </w:p>
    <w:p w14:paraId="770262AD" w14:textId="77777777" w:rsidR="00E454B9" w:rsidRPr="00E454B9" w:rsidRDefault="00E454B9" w:rsidP="00E454B9">
      <w:pPr>
        <w:rPr>
          <w:b/>
          <w:bCs/>
        </w:rPr>
      </w:pPr>
      <w:r w:rsidRPr="00E454B9">
        <w:rPr>
          <w:b/>
          <w:bCs/>
        </w:rPr>
        <w:t>Environmental</w:t>
      </w:r>
    </w:p>
    <w:p w14:paraId="319071B2" w14:textId="77777777" w:rsidR="00E454B9" w:rsidRPr="00E454B9" w:rsidRDefault="00E454B9" w:rsidP="00E454B9">
      <w:r w:rsidRPr="00E454B9">
        <w:lastRenderedPageBreak/>
        <w:t>EV expansion is crucial for reducing the UK’s transport emissions, contributing to net-zero goals. However, environmental concerns remain around battery mineral extraction, production-related emissions, and grid capacity impacts. Growth of renewable energy generation supports cleaner charging, although periods of fossil fuel electricity still reduce environmental performance (National Grid ESO, 2023). Increased attention to battery recycling technologies aims to reduce waste and improve resource circularity.</w:t>
      </w:r>
    </w:p>
    <w:p w14:paraId="0D669468" w14:textId="77777777" w:rsidR="00E454B9" w:rsidRPr="00E454B9" w:rsidRDefault="00E454B9" w:rsidP="00E454B9">
      <w:pPr>
        <w:rPr>
          <w:b/>
          <w:bCs/>
        </w:rPr>
      </w:pPr>
      <w:r w:rsidRPr="00E454B9">
        <w:rPr>
          <w:b/>
          <w:bCs/>
        </w:rPr>
        <w:t>2.2 SWOT Analysis</w:t>
      </w:r>
    </w:p>
    <w:p w14:paraId="33580BFC" w14:textId="77777777" w:rsidR="00E454B9" w:rsidRPr="00E454B9" w:rsidRDefault="00E454B9" w:rsidP="00E454B9">
      <w:pPr>
        <w:rPr>
          <w:b/>
          <w:bCs/>
        </w:rPr>
      </w:pPr>
      <w:r w:rsidRPr="00E454B9">
        <w:rPr>
          <w:b/>
          <w:bCs/>
        </w:rPr>
        <w:t>Strengths</w:t>
      </w:r>
    </w:p>
    <w:p w14:paraId="53D090D9" w14:textId="77777777" w:rsidR="00E454B9" w:rsidRPr="00E454B9" w:rsidRDefault="00E454B9" w:rsidP="00E454B9">
      <w:pPr>
        <w:numPr>
          <w:ilvl w:val="0"/>
          <w:numId w:val="7"/>
        </w:numPr>
      </w:pPr>
      <w:r w:rsidRPr="00E454B9">
        <w:t>Strong government policies supporting EV adoption.</w:t>
      </w:r>
    </w:p>
    <w:p w14:paraId="0351A78F" w14:textId="77777777" w:rsidR="00E454B9" w:rsidRPr="00E454B9" w:rsidRDefault="00E454B9" w:rsidP="00E454B9">
      <w:pPr>
        <w:numPr>
          <w:ilvl w:val="0"/>
          <w:numId w:val="7"/>
        </w:numPr>
      </w:pPr>
      <w:r w:rsidRPr="00E454B9">
        <w:t>Increasing consumer demand for sustainable transport.</w:t>
      </w:r>
    </w:p>
    <w:p w14:paraId="6E95BA71" w14:textId="77777777" w:rsidR="00E454B9" w:rsidRPr="00E454B9" w:rsidRDefault="00E454B9" w:rsidP="00E454B9">
      <w:pPr>
        <w:numPr>
          <w:ilvl w:val="0"/>
          <w:numId w:val="7"/>
        </w:numPr>
      </w:pPr>
      <w:r w:rsidRPr="00E454B9">
        <w:t>Growing availability of EV models across market segments.</w:t>
      </w:r>
    </w:p>
    <w:p w14:paraId="011E6250" w14:textId="77777777" w:rsidR="00E454B9" w:rsidRPr="00E454B9" w:rsidRDefault="00E454B9" w:rsidP="00E454B9">
      <w:pPr>
        <w:numPr>
          <w:ilvl w:val="0"/>
          <w:numId w:val="7"/>
        </w:numPr>
      </w:pPr>
      <w:r w:rsidRPr="00E454B9">
        <w:t>Expanding charging infrastructure and technological capability.</w:t>
      </w:r>
    </w:p>
    <w:p w14:paraId="05AE58C7" w14:textId="77777777" w:rsidR="00E454B9" w:rsidRPr="00E454B9" w:rsidRDefault="00E454B9" w:rsidP="00E454B9">
      <w:pPr>
        <w:rPr>
          <w:b/>
          <w:bCs/>
        </w:rPr>
      </w:pPr>
      <w:r w:rsidRPr="00E454B9">
        <w:rPr>
          <w:b/>
          <w:bCs/>
        </w:rPr>
        <w:t>Weaknesses</w:t>
      </w:r>
    </w:p>
    <w:p w14:paraId="0C90893D" w14:textId="77777777" w:rsidR="00E454B9" w:rsidRPr="00E454B9" w:rsidRDefault="00E454B9" w:rsidP="00E454B9">
      <w:pPr>
        <w:numPr>
          <w:ilvl w:val="0"/>
          <w:numId w:val="8"/>
        </w:numPr>
      </w:pPr>
      <w:r w:rsidRPr="00E454B9">
        <w:t>High upfront cost relative to ICE vehicles.</w:t>
      </w:r>
    </w:p>
    <w:p w14:paraId="1FED97F3" w14:textId="77777777" w:rsidR="00E454B9" w:rsidRPr="00E454B9" w:rsidRDefault="00E454B9" w:rsidP="00E454B9">
      <w:pPr>
        <w:numPr>
          <w:ilvl w:val="0"/>
          <w:numId w:val="8"/>
        </w:numPr>
      </w:pPr>
      <w:r w:rsidRPr="00E454B9">
        <w:t>Dependence on imported batteries and materials.</w:t>
      </w:r>
    </w:p>
    <w:p w14:paraId="78EB14FB" w14:textId="77777777" w:rsidR="00E454B9" w:rsidRPr="00E454B9" w:rsidRDefault="00E454B9" w:rsidP="00E454B9">
      <w:pPr>
        <w:numPr>
          <w:ilvl w:val="0"/>
          <w:numId w:val="8"/>
        </w:numPr>
      </w:pPr>
      <w:r w:rsidRPr="00E454B9">
        <w:t>Unequal charging access across regions.</w:t>
      </w:r>
    </w:p>
    <w:p w14:paraId="6D90CD14" w14:textId="77777777" w:rsidR="00E454B9" w:rsidRPr="00E454B9" w:rsidRDefault="00E454B9" w:rsidP="00E454B9">
      <w:pPr>
        <w:numPr>
          <w:ilvl w:val="0"/>
          <w:numId w:val="8"/>
        </w:numPr>
      </w:pPr>
      <w:r w:rsidRPr="00E454B9">
        <w:t>Public uncertainty regarding battery lifespan and resale values.</w:t>
      </w:r>
    </w:p>
    <w:p w14:paraId="671867AF" w14:textId="77777777" w:rsidR="00E454B9" w:rsidRPr="00E454B9" w:rsidRDefault="00E454B9" w:rsidP="00E454B9">
      <w:pPr>
        <w:rPr>
          <w:b/>
          <w:bCs/>
        </w:rPr>
      </w:pPr>
      <w:r w:rsidRPr="00E454B9">
        <w:rPr>
          <w:b/>
          <w:bCs/>
        </w:rPr>
        <w:t>Opportunities</w:t>
      </w:r>
    </w:p>
    <w:p w14:paraId="2E4E8250" w14:textId="77777777" w:rsidR="00E454B9" w:rsidRPr="00E454B9" w:rsidRDefault="00E454B9" w:rsidP="00E454B9">
      <w:pPr>
        <w:numPr>
          <w:ilvl w:val="0"/>
          <w:numId w:val="9"/>
        </w:numPr>
      </w:pPr>
      <w:r w:rsidRPr="00E454B9">
        <w:t>Development of domestic gigafactories and supply chains.</w:t>
      </w:r>
    </w:p>
    <w:p w14:paraId="14E9F375" w14:textId="77777777" w:rsidR="00E454B9" w:rsidRPr="00E454B9" w:rsidRDefault="00E454B9" w:rsidP="00E454B9">
      <w:pPr>
        <w:numPr>
          <w:ilvl w:val="0"/>
          <w:numId w:val="9"/>
        </w:numPr>
      </w:pPr>
      <w:r w:rsidRPr="00E454B9">
        <w:t>Growth in fleet electrification and corporate sustainability commitments.</w:t>
      </w:r>
    </w:p>
    <w:p w14:paraId="6E2D926A" w14:textId="77777777" w:rsidR="00E454B9" w:rsidRPr="00E454B9" w:rsidRDefault="00E454B9" w:rsidP="00E454B9">
      <w:pPr>
        <w:numPr>
          <w:ilvl w:val="0"/>
          <w:numId w:val="9"/>
        </w:numPr>
      </w:pPr>
      <w:r w:rsidRPr="00E454B9">
        <w:t>Expansion of smart charging, renewable integration, and vehicle-to-grid (V2G) technologies.</w:t>
      </w:r>
    </w:p>
    <w:p w14:paraId="6556CE36" w14:textId="77777777" w:rsidR="00E454B9" w:rsidRPr="00E454B9" w:rsidRDefault="00E454B9" w:rsidP="00E454B9">
      <w:pPr>
        <w:numPr>
          <w:ilvl w:val="0"/>
          <w:numId w:val="9"/>
        </w:numPr>
      </w:pPr>
      <w:r w:rsidRPr="00E454B9">
        <w:t>Emerging business models such as subscriptions and battery leasing.</w:t>
      </w:r>
    </w:p>
    <w:p w14:paraId="4E31E86D" w14:textId="77777777" w:rsidR="00E454B9" w:rsidRPr="00E454B9" w:rsidRDefault="00E454B9" w:rsidP="00E454B9">
      <w:pPr>
        <w:rPr>
          <w:b/>
          <w:bCs/>
        </w:rPr>
      </w:pPr>
      <w:r w:rsidRPr="00E454B9">
        <w:rPr>
          <w:b/>
          <w:bCs/>
        </w:rPr>
        <w:t>Threats</w:t>
      </w:r>
    </w:p>
    <w:p w14:paraId="6BAE6C45" w14:textId="77777777" w:rsidR="00E454B9" w:rsidRPr="00E454B9" w:rsidRDefault="00E454B9" w:rsidP="00E454B9">
      <w:pPr>
        <w:numPr>
          <w:ilvl w:val="0"/>
          <w:numId w:val="10"/>
        </w:numPr>
      </w:pPr>
      <w:r w:rsidRPr="00E454B9">
        <w:t>Global competition from China, the U.S., and EU manufacturers.</w:t>
      </w:r>
    </w:p>
    <w:p w14:paraId="1D7C88A2" w14:textId="77777777" w:rsidR="00E454B9" w:rsidRPr="00E454B9" w:rsidRDefault="00E454B9" w:rsidP="00E454B9">
      <w:pPr>
        <w:numPr>
          <w:ilvl w:val="0"/>
          <w:numId w:val="10"/>
        </w:numPr>
      </w:pPr>
      <w:r w:rsidRPr="00E454B9">
        <w:t>Potential policy rollbacks or reduced subsidies.</w:t>
      </w:r>
    </w:p>
    <w:p w14:paraId="4D92622D" w14:textId="77777777" w:rsidR="00E454B9" w:rsidRPr="00E454B9" w:rsidRDefault="00E454B9" w:rsidP="00E454B9">
      <w:pPr>
        <w:numPr>
          <w:ilvl w:val="0"/>
          <w:numId w:val="10"/>
        </w:numPr>
      </w:pPr>
      <w:r w:rsidRPr="00E454B9">
        <w:t>Supply chain instability and rising material costs.</w:t>
      </w:r>
    </w:p>
    <w:p w14:paraId="03CD4273" w14:textId="77777777" w:rsidR="00E454B9" w:rsidRPr="00E454B9" w:rsidRDefault="00E454B9" w:rsidP="00E454B9">
      <w:pPr>
        <w:numPr>
          <w:ilvl w:val="0"/>
          <w:numId w:val="10"/>
        </w:numPr>
      </w:pPr>
      <w:r w:rsidRPr="00E454B9">
        <w:t>Public backlash due to charging access inequalities.</w:t>
      </w:r>
    </w:p>
    <w:p w14:paraId="747AF10B" w14:textId="77777777" w:rsidR="00E454B9" w:rsidRPr="00E454B9" w:rsidRDefault="00E454B9" w:rsidP="00E454B9">
      <w:pPr>
        <w:rPr>
          <w:b/>
          <w:bCs/>
        </w:rPr>
      </w:pPr>
      <w:r w:rsidRPr="00E454B9">
        <w:rPr>
          <w:b/>
          <w:bCs/>
        </w:rPr>
        <w:t>2.3 Innovation Influences</w:t>
      </w:r>
    </w:p>
    <w:p w14:paraId="2B7E26D6" w14:textId="77777777" w:rsidR="00E454B9" w:rsidRPr="00E454B9" w:rsidRDefault="00E454B9" w:rsidP="00E454B9">
      <w:r w:rsidRPr="00E454B9">
        <w:lastRenderedPageBreak/>
        <w:t xml:space="preserve">Innovation in battery chemistry, power electronics, and software has accelerated EV performance improvements. Solid-state batteries under development promise higher energy density and improved safety, offering major competitive advantages (Toyota Research Institute, 2023). Infrastructure innovation has also advanced rapidly: companies such as </w:t>
      </w:r>
      <w:proofErr w:type="spellStart"/>
      <w:r w:rsidRPr="00E454B9">
        <w:t>Gridserve</w:t>
      </w:r>
      <w:proofErr w:type="spellEnd"/>
      <w:r w:rsidRPr="00E454B9">
        <w:t xml:space="preserve"> and BP Pulse are investing in ultra-rapid charging hubs, reducing range anxiety and improving convenience.</w:t>
      </w:r>
    </w:p>
    <w:p w14:paraId="21A4B2B1" w14:textId="77777777" w:rsidR="00E454B9" w:rsidRPr="00E454B9" w:rsidRDefault="00E454B9" w:rsidP="00E454B9">
      <w:r w:rsidRPr="00E454B9">
        <w:t>Digital innovation also plays a major role. Over-the-air software updates enhance vehicle performance post-purchase, while AI-enabled energy management systems optimise charging patterns. V2G technology enables EVs to act as decentralised energy storage, improving grid stability and reducing consumer energy costs (Innovate UK, 2022). These innovations align with broader sustainability goals and create new revenue opportunities for manufacturers and energy providers.</w:t>
      </w:r>
    </w:p>
    <w:p w14:paraId="4667E6B3" w14:textId="77777777" w:rsidR="00E454B9" w:rsidRPr="00E454B9" w:rsidRDefault="00E454B9" w:rsidP="00E454B9">
      <w:r w:rsidRPr="00E454B9">
        <w:t>Business model innovation enables greater flexibility for consumers. Subscription-based EV access and battery leasing models lower upfront costs, expanding market reach. Car-sharing and mobility-as-a-service (</w:t>
      </w:r>
      <w:proofErr w:type="spellStart"/>
      <w:r w:rsidRPr="00E454B9">
        <w:t>MaaS</w:t>
      </w:r>
      <w:proofErr w:type="spellEnd"/>
      <w:r w:rsidRPr="00E454B9">
        <w:t>) platforms integrate EVs into wider transport systems, supporting urban decarbonisation.</w:t>
      </w:r>
    </w:p>
    <w:p w14:paraId="5D0F5F0A" w14:textId="77777777" w:rsidR="00E454B9" w:rsidRPr="00E454B9" w:rsidRDefault="00E454B9" w:rsidP="00E454B9"/>
    <w:p w14:paraId="41B3D201" w14:textId="01E8D816" w:rsidR="00E454B9" w:rsidRDefault="00E454B9" w:rsidP="00E454B9">
      <w:pPr>
        <w:pStyle w:val="Heading1"/>
      </w:pPr>
      <w:bookmarkStart w:id="2" w:name="_Toc215822508"/>
      <w:r>
        <w:t>Conclusion</w:t>
      </w:r>
      <w:bookmarkEnd w:id="2"/>
    </w:p>
    <w:p w14:paraId="7C5E7951" w14:textId="58D639F4" w:rsidR="00E454B9" w:rsidRPr="00E454B9" w:rsidRDefault="00E454B9" w:rsidP="00E454B9">
      <w:r w:rsidRPr="00E454B9">
        <w:t xml:space="preserve">This report has identified that the UK EV industry is shaped by a diverse set of external factors. Political and legal frameworks create opportunities but also uncertainty, while economic pressures continue to influence consumer affordability. Social attitudes generally support EV </w:t>
      </w:r>
      <w:r w:rsidRPr="00E454B9">
        <w:t>development yet</w:t>
      </w:r>
      <w:r w:rsidRPr="00E454B9">
        <w:t xml:space="preserve"> concerns remain around charging fairness and vehicle costs. Technological innovation drives competitive advantages, but supply chain risks persist. Environmental imperatives position EVs as a core component of the UK’s net-zero strategy, though sustainability challenges remain. Innovation across battery technology, infrastructure, and digital systems supports resilience and enhances future competitiveness.</w:t>
      </w:r>
    </w:p>
    <w:p w14:paraId="13AFB89B" w14:textId="5C37BC03" w:rsidR="00E454B9" w:rsidRDefault="00E454B9" w:rsidP="00E454B9">
      <w:pPr>
        <w:pStyle w:val="Heading1"/>
      </w:pPr>
      <w:bookmarkStart w:id="3" w:name="_Toc215822509"/>
      <w:r>
        <w:t>Recommendations</w:t>
      </w:r>
      <w:bookmarkEnd w:id="3"/>
    </w:p>
    <w:p w14:paraId="0F3D1016" w14:textId="308FE519" w:rsidR="00E454B9" w:rsidRPr="00E454B9" w:rsidRDefault="00E454B9" w:rsidP="00E454B9">
      <w:r>
        <w:t>1</w:t>
      </w:r>
      <w:r w:rsidRPr="00E454B9">
        <w:t xml:space="preserve"> </w:t>
      </w:r>
      <w:r w:rsidRPr="00E454B9">
        <w:rPr>
          <w:b/>
          <w:bCs/>
        </w:rPr>
        <w:t>Strengthen</w:t>
      </w:r>
      <w:r w:rsidRPr="00E454B9">
        <w:rPr>
          <w:b/>
          <w:bCs/>
        </w:rPr>
        <w:t xml:space="preserve"> domestic battery supply chains.</w:t>
      </w:r>
      <w:r w:rsidRPr="00E454B9">
        <w:t xml:space="preserve"> UK EV manufacturers should collaborate with government bodies and investors to accelerate gigafactory development and enhance battery recycling capabilities. This will reduce reliance on imports, lower production costs, and support long-term industry resilience.</w:t>
      </w:r>
    </w:p>
    <w:p w14:paraId="349EE067" w14:textId="0AFAA9D9" w:rsidR="00E454B9" w:rsidRPr="00E454B9" w:rsidRDefault="00E454B9" w:rsidP="00E454B9">
      <w:proofErr w:type="gramStart"/>
      <w:r>
        <w:t>2</w:t>
      </w:r>
      <w:r w:rsidRPr="00E454B9">
        <w:t xml:space="preserve">  </w:t>
      </w:r>
      <w:r w:rsidRPr="00E454B9">
        <w:rPr>
          <w:b/>
          <w:bCs/>
        </w:rPr>
        <w:t>Expand</w:t>
      </w:r>
      <w:proofErr w:type="gramEnd"/>
      <w:r w:rsidRPr="00E454B9">
        <w:rPr>
          <w:b/>
          <w:bCs/>
        </w:rPr>
        <w:t xml:space="preserve"> smart charging and V2G integration.</w:t>
      </w:r>
      <w:r w:rsidRPr="00E454B9">
        <w:t xml:space="preserve"> Companies should partner with energy providers to scale advanced charging solutions that optimise grid stability and reduce </w:t>
      </w:r>
      <w:r w:rsidRPr="00E454B9">
        <w:lastRenderedPageBreak/>
        <w:t>consumer costs. This will improve charging accessibility, enhance environmental benefits, and create new revenue models.</w:t>
      </w:r>
    </w:p>
    <w:p w14:paraId="42BA3079" w14:textId="77777777" w:rsidR="00E454B9" w:rsidRPr="00E454B9" w:rsidRDefault="00E454B9" w:rsidP="00E454B9"/>
    <w:p w14:paraId="4114AEDC" w14:textId="36DF2E61" w:rsidR="00E454B9" w:rsidRDefault="00E454B9" w:rsidP="00E454B9">
      <w:pPr>
        <w:pStyle w:val="Heading1"/>
      </w:pPr>
      <w:bookmarkStart w:id="4" w:name="_Toc215822510"/>
      <w:r>
        <w:t>Refences</w:t>
      </w:r>
      <w:bookmarkEnd w:id="4"/>
    </w:p>
    <w:p w14:paraId="1AC58318" w14:textId="38815019" w:rsidR="00E454B9" w:rsidRPr="00E454B9" w:rsidRDefault="00E454B9" w:rsidP="00E454B9">
      <w:r w:rsidRPr="00E454B9">
        <w:t xml:space="preserve">BBC News (2023) </w:t>
      </w:r>
      <w:r w:rsidRPr="00E454B9">
        <w:rPr>
          <w:i/>
          <w:iCs/>
        </w:rPr>
        <w:t>UK delays petrol car ban to 2035</w:t>
      </w:r>
      <w:r w:rsidRPr="00E454B9">
        <w:t xml:space="preserve">. </w:t>
      </w:r>
      <w:proofErr w:type="spellStart"/>
      <w:r w:rsidRPr="00E454B9">
        <w:t>BloombergNEF</w:t>
      </w:r>
      <w:proofErr w:type="spellEnd"/>
      <w:r w:rsidRPr="00E454B9">
        <w:t xml:space="preserve"> (2023) </w:t>
      </w:r>
      <w:r w:rsidRPr="00E454B9">
        <w:rPr>
          <w:i/>
          <w:iCs/>
        </w:rPr>
        <w:t>Electric Vehicle Outlook 2023</w:t>
      </w:r>
      <w:r w:rsidRPr="00E454B9">
        <w:t xml:space="preserve">. Department for Transport (2024) </w:t>
      </w:r>
      <w:r w:rsidRPr="00E454B9">
        <w:rPr>
          <w:i/>
          <w:iCs/>
        </w:rPr>
        <w:t>Zero Emission Vehicle Mandate Policy Paper</w:t>
      </w:r>
      <w:r w:rsidRPr="00E454B9">
        <w:t xml:space="preserve">. DEFRA (2022) </w:t>
      </w:r>
      <w:r w:rsidRPr="00E454B9">
        <w:rPr>
          <w:i/>
          <w:iCs/>
        </w:rPr>
        <w:t>Extended Producer Responsibility Regulations</w:t>
      </w:r>
      <w:r w:rsidRPr="00E454B9">
        <w:t xml:space="preserve">. Energy Saving Trust (2023) </w:t>
      </w:r>
      <w:r w:rsidRPr="00E454B9">
        <w:rPr>
          <w:i/>
          <w:iCs/>
        </w:rPr>
        <w:t>Electric Vehicles: Cost and Performance Analysis</w:t>
      </w:r>
      <w:r w:rsidRPr="00E454B9">
        <w:t xml:space="preserve">. Faraday Institution (2023) </w:t>
      </w:r>
      <w:r w:rsidRPr="00E454B9">
        <w:rPr>
          <w:i/>
          <w:iCs/>
        </w:rPr>
        <w:t>UK Battery Industrialisation Strategy</w:t>
      </w:r>
      <w:r w:rsidRPr="00E454B9">
        <w:t xml:space="preserve">. </w:t>
      </w:r>
      <w:proofErr w:type="spellStart"/>
      <w:r w:rsidRPr="00E454B9">
        <w:t>Gridserve</w:t>
      </w:r>
      <w:proofErr w:type="spellEnd"/>
      <w:r w:rsidRPr="00E454B9">
        <w:t xml:space="preserve"> (2023) </w:t>
      </w:r>
      <w:r w:rsidRPr="00E454B9">
        <w:rPr>
          <w:i/>
          <w:iCs/>
        </w:rPr>
        <w:t>Charging Infrastructure Report</w:t>
      </w:r>
      <w:r w:rsidRPr="00E454B9">
        <w:t xml:space="preserve">. IEA (2023) </w:t>
      </w:r>
      <w:r w:rsidRPr="00E454B9">
        <w:rPr>
          <w:i/>
          <w:iCs/>
        </w:rPr>
        <w:t>Global EV Outlook 2023</w:t>
      </w:r>
      <w:r w:rsidRPr="00E454B9">
        <w:t xml:space="preserve">. Innovate UK (2022) </w:t>
      </w:r>
      <w:r w:rsidRPr="00E454B9">
        <w:rPr>
          <w:i/>
          <w:iCs/>
        </w:rPr>
        <w:t>Vehicle-to-Grid Innovation Programme</w:t>
      </w:r>
      <w:r w:rsidRPr="00E454B9">
        <w:t xml:space="preserve">. National Grid (2022) </w:t>
      </w:r>
      <w:r w:rsidRPr="00E454B9">
        <w:rPr>
          <w:i/>
          <w:iCs/>
        </w:rPr>
        <w:t>Future Energy Scenarios</w:t>
      </w:r>
      <w:r w:rsidRPr="00E454B9">
        <w:t xml:space="preserve">. National Grid ESO (2023) </w:t>
      </w:r>
      <w:r w:rsidRPr="00E454B9">
        <w:rPr>
          <w:i/>
          <w:iCs/>
        </w:rPr>
        <w:t>Electricity System Outlook</w:t>
      </w:r>
      <w:r w:rsidRPr="00E454B9">
        <w:t xml:space="preserve">. Toyota Research Institute (2023) </w:t>
      </w:r>
      <w:r w:rsidRPr="00E454B9">
        <w:rPr>
          <w:i/>
          <w:iCs/>
        </w:rPr>
        <w:t>Solid-State Battery Innovation</w:t>
      </w:r>
      <w:r w:rsidRPr="00E454B9">
        <w:t xml:space="preserve">. YouGov (2023) </w:t>
      </w:r>
      <w:r w:rsidRPr="00E454B9">
        <w:rPr>
          <w:i/>
          <w:iCs/>
        </w:rPr>
        <w:t>UK Public Attitudes to Electric Vehicles</w:t>
      </w:r>
      <w:r w:rsidRPr="00E454B9">
        <w:t xml:space="preserve">. BP Pulse (2023) </w:t>
      </w:r>
      <w:r w:rsidRPr="00E454B9">
        <w:rPr>
          <w:i/>
          <w:iCs/>
        </w:rPr>
        <w:t>Charging Network Expansion Report</w:t>
      </w:r>
      <w:r w:rsidRPr="00E454B9">
        <w:t xml:space="preserve">. Jaguar Land Rover (2023) </w:t>
      </w:r>
      <w:r w:rsidRPr="00E454B9">
        <w:rPr>
          <w:i/>
          <w:iCs/>
        </w:rPr>
        <w:t>Electrification Strategy Update</w:t>
      </w:r>
      <w:r w:rsidRPr="00E454B9">
        <w:t>.</w:t>
      </w:r>
    </w:p>
    <w:p w14:paraId="2434F498" w14:textId="77777777" w:rsidR="00326127" w:rsidRDefault="00326127"/>
    <w:sectPr w:rsidR="003261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4B2"/>
    <w:multiLevelType w:val="multilevel"/>
    <w:tmpl w:val="AFF4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266E8"/>
    <w:multiLevelType w:val="multilevel"/>
    <w:tmpl w:val="50146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F87FDC"/>
    <w:multiLevelType w:val="multilevel"/>
    <w:tmpl w:val="020E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860631"/>
    <w:multiLevelType w:val="multilevel"/>
    <w:tmpl w:val="7412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262DEF"/>
    <w:multiLevelType w:val="multilevel"/>
    <w:tmpl w:val="CDE6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7C06DD"/>
    <w:multiLevelType w:val="multilevel"/>
    <w:tmpl w:val="11E0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B86B1D"/>
    <w:multiLevelType w:val="multilevel"/>
    <w:tmpl w:val="0CC0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797090"/>
    <w:multiLevelType w:val="multilevel"/>
    <w:tmpl w:val="252A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6E1E14"/>
    <w:multiLevelType w:val="multilevel"/>
    <w:tmpl w:val="51DA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600453"/>
    <w:multiLevelType w:val="multilevel"/>
    <w:tmpl w:val="096A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731983">
    <w:abstractNumId w:val="7"/>
  </w:num>
  <w:num w:numId="2" w16cid:durableId="465322184">
    <w:abstractNumId w:val="4"/>
  </w:num>
  <w:num w:numId="3" w16cid:durableId="1061053034">
    <w:abstractNumId w:val="8"/>
  </w:num>
  <w:num w:numId="4" w16cid:durableId="1320576657">
    <w:abstractNumId w:val="6"/>
  </w:num>
  <w:num w:numId="5" w16cid:durableId="1800219139">
    <w:abstractNumId w:val="1"/>
  </w:num>
  <w:num w:numId="6" w16cid:durableId="1313099815">
    <w:abstractNumId w:val="3"/>
  </w:num>
  <w:num w:numId="7" w16cid:durableId="1692490350">
    <w:abstractNumId w:val="5"/>
  </w:num>
  <w:num w:numId="8" w16cid:durableId="803621712">
    <w:abstractNumId w:val="9"/>
  </w:num>
  <w:num w:numId="9" w16cid:durableId="1592086013">
    <w:abstractNumId w:val="0"/>
  </w:num>
  <w:num w:numId="10" w16cid:durableId="373191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15C"/>
    <w:rsid w:val="00066B6D"/>
    <w:rsid w:val="00326127"/>
    <w:rsid w:val="0097515C"/>
    <w:rsid w:val="00BF25E4"/>
    <w:rsid w:val="00CE508A"/>
    <w:rsid w:val="00E45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B9F79"/>
  <w15:chartTrackingRefBased/>
  <w15:docId w15:val="{D2C48F8B-49C6-46E0-A8E2-F3284CE85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15C"/>
    <w:rPr>
      <w:rFonts w:eastAsiaTheme="majorEastAsia" w:cstheme="majorBidi"/>
      <w:color w:val="272727" w:themeColor="text1" w:themeTint="D8"/>
    </w:rPr>
  </w:style>
  <w:style w:type="paragraph" w:styleId="Title">
    <w:name w:val="Title"/>
    <w:basedOn w:val="Normal"/>
    <w:next w:val="Normal"/>
    <w:link w:val="TitleChar"/>
    <w:uiPriority w:val="10"/>
    <w:qFormat/>
    <w:rsid w:val="00975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15C"/>
    <w:pPr>
      <w:spacing w:before="160"/>
      <w:jc w:val="center"/>
    </w:pPr>
    <w:rPr>
      <w:i/>
      <w:iCs/>
      <w:color w:val="404040" w:themeColor="text1" w:themeTint="BF"/>
    </w:rPr>
  </w:style>
  <w:style w:type="character" w:customStyle="1" w:styleId="QuoteChar">
    <w:name w:val="Quote Char"/>
    <w:basedOn w:val="DefaultParagraphFont"/>
    <w:link w:val="Quote"/>
    <w:uiPriority w:val="29"/>
    <w:rsid w:val="0097515C"/>
    <w:rPr>
      <w:i/>
      <w:iCs/>
      <w:color w:val="404040" w:themeColor="text1" w:themeTint="BF"/>
    </w:rPr>
  </w:style>
  <w:style w:type="paragraph" w:styleId="ListParagraph">
    <w:name w:val="List Paragraph"/>
    <w:basedOn w:val="Normal"/>
    <w:uiPriority w:val="34"/>
    <w:qFormat/>
    <w:rsid w:val="0097515C"/>
    <w:pPr>
      <w:ind w:left="720"/>
      <w:contextualSpacing/>
    </w:pPr>
  </w:style>
  <w:style w:type="character" w:styleId="IntenseEmphasis">
    <w:name w:val="Intense Emphasis"/>
    <w:basedOn w:val="DefaultParagraphFont"/>
    <w:uiPriority w:val="21"/>
    <w:qFormat/>
    <w:rsid w:val="0097515C"/>
    <w:rPr>
      <w:i/>
      <w:iCs/>
      <w:color w:val="0F4761" w:themeColor="accent1" w:themeShade="BF"/>
    </w:rPr>
  </w:style>
  <w:style w:type="paragraph" w:styleId="IntenseQuote">
    <w:name w:val="Intense Quote"/>
    <w:basedOn w:val="Normal"/>
    <w:next w:val="Normal"/>
    <w:link w:val="IntenseQuoteChar"/>
    <w:uiPriority w:val="30"/>
    <w:qFormat/>
    <w:rsid w:val="00975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15C"/>
    <w:rPr>
      <w:i/>
      <w:iCs/>
      <w:color w:val="0F4761" w:themeColor="accent1" w:themeShade="BF"/>
    </w:rPr>
  </w:style>
  <w:style w:type="character" w:styleId="IntenseReference">
    <w:name w:val="Intense Reference"/>
    <w:basedOn w:val="DefaultParagraphFont"/>
    <w:uiPriority w:val="32"/>
    <w:qFormat/>
    <w:rsid w:val="0097515C"/>
    <w:rPr>
      <w:b/>
      <w:bCs/>
      <w:smallCaps/>
      <w:color w:val="0F4761" w:themeColor="accent1" w:themeShade="BF"/>
      <w:spacing w:val="5"/>
    </w:rPr>
  </w:style>
  <w:style w:type="paragraph" w:styleId="TOCHeading">
    <w:name w:val="TOC Heading"/>
    <w:basedOn w:val="Heading1"/>
    <w:next w:val="Normal"/>
    <w:uiPriority w:val="39"/>
    <w:unhideWhenUsed/>
    <w:qFormat/>
    <w:rsid w:val="00E454B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454B9"/>
    <w:pPr>
      <w:spacing w:after="100"/>
    </w:pPr>
  </w:style>
  <w:style w:type="character" w:styleId="Hyperlink">
    <w:name w:val="Hyperlink"/>
    <w:basedOn w:val="DefaultParagraphFont"/>
    <w:uiPriority w:val="99"/>
    <w:unhideWhenUsed/>
    <w:rsid w:val="00E454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80326-8855-40D0-8571-13000C104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1374</Words>
  <Characters>7833</Characters>
  <Application>Microsoft Office Word</Application>
  <DocSecurity>0</DocSecurity>
  <Lines>65</Lines>
  <Paragraphs>18</Paragraphs>
  <ScaleCrop>false</ScaleCrop>
  <Company/>
  <LinksUpToDate>false</LinksUpToDate>
  <CharactersWithSpaces>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Vladeanu (2432415)</dc:creator>
  <cp:keywords/>
  <dc:description/>
  <cp:lastModifiedBy>Andrei Vladeanu (2432415)</cp:lastModifiedBy>
  <cp:revision>2</cp:revision>
  <dcterms:created xsi:type="dcterms:W3CDTF">2025-12-05T10:17:00Z</dcterms:created>
  <dcterms:modified xsi:type="dcterms:W3CDTF">2025-12-05T10:25:00Z</dcterms:modified>
</cp:coreProperties>
</file>