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DC3CF" w14:textId="7BFEC7F8" w:rsidR="006D4C20" w:rsidRDefault="006D4C20" w:rsidP="006D4C20">
      <w:pPr>
        <w:spacing w:after="0" w:line="360" w:lineRule="auto"/>
        <w:jc w:val="center"/>
        <w:rPr>
          <w:rFonts w:ascii="Arial" w:eastAsia="Arial" w:hAnsi="Arial" w:cs="Arial"/>
          <w:b/>
          <w:bCs/>
          <w:sz w:val="28"/>
          <w:szCs w:val="28"/>
          <w:lang w:val="en-IN"/>
        </w:rPr>
      </w:pPr>
      <w:r>
        <w:rPr>
          <w:noProof/>
        </w:rPr>
        <w:drawing>
          <wp:inline distT="114300" distB="114300" distL="114300" distR="114300" wp14:anchorId="125C273B" wp14:editId="7459B29C">
            <wp:extent cx="2357496" cy="852488"/>
            <wp:effectExtent l="152400" t="152400" r="367030" b="36703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7496" cy="8524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38C41D5" w14:textId="38473F22" w:rsidR="00456909" w:rsidRDefault="0DC90D50" w:rsidP="4BBFE524">
      <w:pPr>
        <w:spacing w:after="0" w:line="360" w:lineRule="auto"/>
        <w:jc w:val="center"/>
      </w:pPr>
      <w:r w:rsidRPr="4BBFE524">
        <w:rPr>
          <w:rFonts w:ascii="Arial" w:eastAsia="Arial" w:hAnsi="Arial" w:cs="Arial"/>
          <w:b/>
          <w:bCs/>
          <w:sz w:val="28"/>
          <w:szCs w:val="28"/>
          <w:lang w:val="en-IN"/>
        </w:rPr>
        <w:t xml:space="preserve">Student Name: </w:t>
      </w:r>
      <w:r w:rsidRPr="4BBFE524">
        <w:rPr>
          <w:rFonts w:ascii="Arial" w:eastAsia="Arial" w:hAnsi="Arial" w:cs="Arial"/>
          <w:sz w:val="28"/>
          <w:szCs w:val="28"/>
          <w:lang w:val="en-IN"/>
        </w:rPr>
        <w:t>Asteria Joseph Nyamhanga Wilson</w:t>
      </w:r>
    </w:p>
    <w:p w14:paraId="4C472E9F" w14:textId="50156B21" w:rsidR="00456909" w:rsidRDefault="0DC90D50" w:rsidP="4BBFE524">
      <w:pPr>
        <w:spacing w:after="0" w:line="360" w:lineRule="auto"/>
        <w:jc w:val="center"/>
      </w:pPr>
      <w:r w:rsidRPr="4BBFE524">
        <w:rPr>
          <w:rFonts w:ascii="Arial" w:eastAsia="Arial" w:hAnsi="Arial" w:cs="Arial"/>
          <w:b/>
          <w:bCs/>
          <w:sz w:val="28"/>
          <w:szCs w:val="28"/>
          <w:lang w:val="en-IN"/>
        </w:rPr>
        <w:t>Student Number: 2311121</w:t>
      </w:r>
    </w:p>
    <w:p w14:paraId="6C941B49" w14:textId="44191E7A" w:rsidR="00456909" w:rsidRDefault="0DC90D50" w:rsidP="4BBFE524">
      <w:pPr>
        <w:spacing w:after="0" w:line="360" w:lineRule="auto"/>
        <w:jc w:val="center"/>
      </w:pPr>
      <w:r w:rsidRPr="4BBFE524">
        <w:rPr>
          <w:rFonts w:ascii="Arial" w:eastAsia="Arial" w:hAnsi="Arial" w:cs="Arial"/>
          <w:b/>
          <w:bCs/>
          <w:sz w:val="28"/>
          <w:szCs w:val="28"/>
          <w:lang w:val="en-IN"/>
        </w:rPr>
        <w:t>Lecturer Name Rizwan Nadim</w:t>
      </w:r>
    </w:p>
    <w:p w14:paraId="0C380963" w14:textId="67202D1E" w:rsidR="00456909" w:rsidRDefault="0DC90D50" w:rsidP="4BBFE524">
      <w:pPr>
        <w:spacing w:after="0" w:line="360" w:lineRule="auto"/>
        <w:jc w:val="center"/>
      </w:pPr>
      <w:r w:rsidRPr="4BBFE524">
        <w:rPr>
          <w:rFonts w:ascii="Arial" w:eastAsia="Arial" w:hAnsi="Arial" w:cs="Arial"/>
          <w:sz w:val="28"/>
          <w:szCs w:val="28"/>
        </w:rPr>
        <w:t xml:space="preserve"> </w:t>
      </w:r>
    </w:p>
    <w:p w14:paraId="6B8EA172" w14:textId="12D327A3" w:rsidR="00456909" w:rsidRDefault="0DC90D50" w:rsidP="4BBFE524">
      <w:pPr>
        <w:spacing w:after="0" w:line="360" w:lineRule="auto"/>
        <w:jc w:val="center"/>
      </w:pPr>
      <w:r w:rsidRPr="4BBFE524">
        <w:rPr>
          <w:rFonts w:ascii="Arial" w:eastAsia="Arial" w:hAnsi="Arial" w:cs="Arial"/>
          <w:b/>
          <w:bCs/>
          <w:sz w:val="28"/>
          <w:szCs w:val="28"/>
          <w:lang w:val="en-IN"/>
        </w:rPr>
        <w:t>Module Code:</w:t>
      </w:r>
      <w:r w:rsidRPr="4BBFE524">
        <w:rPr>
          <w:rFonts w:ascii="Arial" w:eastAsia="Arial" w:hAnsi="Arial" w:cs="Arial"/>
          <w:sz w:val="28"/>
          <w:szCs w:val="28"/>
          <w:lang w:val="en-IN"/>
        </w:rPr>
        <w:t xml:space="preserve"> BMHP6027</w:t>
      </w:r>
    </w:p>
    <w:p w14:paraId="2E46C2CF" w14:textId="63ADECBB" w:rsidR="00456909" w:rsidRDefault="0DC90D50" w:rsidP="4BBFE524">
      <w:pPr>
        <w:spacing w:after="0" w:line="360" w:lineRule="auto"/>
        <w:jc w:val="center"/>
      </w:pPr>
      <w:r w:rsidRPr="4BBFE524">
        <w:rPr>
          <w:rFonts w:ascii="Arial" w:eastAsia="Arial" w:hAnsi="Arial" w:cs="Arial"/>
          <w:b/>
          <w:bCs/>
          <w:sz w:val="28"/>
          <w:szCs w:val="28"/>
          <w:lang w:val="en-IN"/>
        </w:rPr>
        <w:t xml:space="preserve">Module Title: </w:t>
      </w:r>
      <w:r w:rsidRPr="4BBFE524">
        <w:rPr>
          <w:rFonts w:ascii="Arial" w:eastAsia="Arial" w:hAnsi="Arial" w:cs="Arial"/>
          <w:sz w:val="28"/>
          <w:szCs w:val="28"/>
          <w:lang w:val="en-IN"/>
        </w:rPr>
        <w:t>Empowering the Older Person</w:t>
      </w:r>
    </w:p>
    <w:p w14:paraId="3884F8D3" w14:textId="2F3A9AE2" w:rsidR="00456909" w:rsidRDefault="0DC90D50" w:rsidP="4BBFE524">
      <w:pPr>
        <w:spacing w:after="0" w:line="360" w:lineRule="auto"/>
        <w:jc w:val="center"/>
      </w:pPr>
      <w:r w:rsidRPr="4BBFE524">
        <w:rPr>
          <w:rFonts w:ascii="Arial" w:eastAsia="Arial" w:hAnsi="Arial" w:cs="Arial"/>
          <w:sz w:val="28"/>
          <w:szCs w:val="28"/>
        </w:rPr>
        <w:t xml:space="preserve"> </w:t>
      </w:r>
    </w:p>
    <w:p w14:paraId="57AE9012" w14:textId="279691A8" w:rsidR="00456909" w:rsidRDefault="0DC90D50" w:rsidP="4BBFE524">
      <w:pPr>
        <w:spacing w:after="0" w:line="360" w:lineRule="auto"/>
        <w:jc w:val="center"/>
      </w:pPr>
      <w:r w:rsidRPr="4BBFE524">
        <w:rPr>
          <w:rFonts w:ascii="Arial" w:eastAsia="Arial" w:hAnsi="Arial" w:cs="Arial"/>
          <w:b/>
          <w:bCs/>
          <w:sz w:val="28"/>
          <w:szCs w:val="28"/>
          <w:lang w:val="en-IN"/>
        </w:rPr>
        <w:t xml:space="preserve">Assignment Title: </w:t>
      </w:r>
      <w:r w:rsidRPr="4BBFE524">
        <w:rPr>
          <w:rFonts w:ascii="Arial" w:eastAsia="Arial" w:hAnsi="Arial" w:cs="Arial"/>
          <w:sz w:val="28"/>
          <w:szCs w:val="28"/>
          <w:lang w:val="en-IN"/>
        </w:rPr>
        <w:t>Component 2: Debate / Discussion</w:t>
      </w:r>
    </w:p>
    <w:p w14:paraId="21A3D97D" w14:textId="50827C96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478DD5C4" w14:textId="2CD7D84F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6FC3F2C7" w14:textId="6B603000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5CA58A21" w14:textId="67427628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6448DBC2" w14:textId="6034B18C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028F3216" w14:textId="669DFBAA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06158ADD" w14:textId="204629AD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0E5C34E9" w14:textId="5852BE40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6BFA1F37" w14:textId="6664F0F1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745F0A40" w14:textId="3D9001C0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0E60FA51" w14:textId="20F38F7A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75BCDC31" w14:textId="56DED1B9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23F225B2" w14:textId="5B0D67E6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3E7BBB5E" w14:textId="57890881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7275F8B7" w14:textId="6128B825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69A63247" w14:textId="41A69168" w:rsidR="00456909" w:rsidRDefault="0DC90D50" w:rsidP="4BBFE524">
      <w:pPr>
        <w:spacing w:line="278" w:lineRule="auto"/>
      </w:pPr>
      <w:r w:rsidRPr="4BBFE524">
        <w:rPr>
          <w:rFonts w:ascii="Times New Roman" w:eastAsia="Times New Roman" w:hAnsi="Times New Roman" w:cs="Times New Roman"/>
        </w:rPr>
        <w:t xml:space="preserve"> </w:t>
      </w:r>
    </w:p>
    <w:p w14:paraId="239B043D" w14:textId="651C62C6" w:rsidR="00456909" w:rsidRDefault="00456909" w:rsidP="4BBFE524">
      <w:pPr>
        <w:pStyle w:val="Heading1"/>
        <w:spacing w:line="278" w:lineRule="auto"/>
        <w:rPr>
          <w:rFonts w:ascii="Aptos Display" w:eastAsia="Aptos Display" w:hAnsi="Aptos Display" w:cs="Aptos Display"/>
        </w:rPr>
      </w:pPr>
    </w:p>
    <w:p w14:paraId="2FFC18E1" w14:textId="04ADEFC4" w:rsidR="00456909" w:rsidRPr="006D4C20" w:rsidRDefault="006D4C20" w:rsidP="4BBFE524">
      <w:pPr>
        <w:pStyle w:val="Heading1"/>
        <w:spacing w:line="278" w:lineRule="auto"/>
        <w:rPr>
          <w:rFonts w:asciiTheme="minorHAnsi" w:eastAsiaTheme="minorEastAsia" w:hAnsiTheme="minorHAnsi" w:cstheme="minorBidi"/>
          <w:b/>
          <w:bCs/>
          <w:sz w:val="22"/>
          <w:szCs w:val="22"/>
          <w:u w:val="single"/>
        </w:rPr>
      </w:pPr>
      <w:r w:rsidRPr="006D4C20">
        <w:rPr>
          <w:rFonts w:asciiTheme="minorHAnsi" w:eastAsiaTheme="minorEastAsia" w:hAnsiTheme="minorHAnsi" w:cstheme="minorBidi"/>
          <w:b/>
          <w:bCs/>
          <w:sz w:val="22"/>
          <w:szCs w:val="22"/>
          <w:u w:val="single"/>
        </w:rPr>
        <w:t>References</w:t>
      </w:r>
    </w:p>
    <w:p w14:paraId="0C1FC668" w14:textId="515A6CB3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09AE4A76" w14:textId="7F37E934" w:rsidR="00456909" w:rsidRDefault="0DC90D50" w:rsidP="4BBFE524">
      <w:pPr>
        <w:spacing w:line="278" w:lineRule="auto"/>
        <w:rPr>
          <w:sz w:val="22"/>
          <w:szCs w:val="22"/>
          <w:lang w:val="en-IN"/>
        </w:rPr>
      </w:pPr>
      <w:r w:rsidRPr="4BBFE524">
        <w:rPr>
          <w:sz w:val="22"/>
          <w:szCs w:val="22"/>
          <w:lang w:val="en-US"/>
        </w:rPr>
        <w:t xml:space="preserve"> </w:t>
      </w:r>
      <w:r w:rsidRPr="4BBFE524">
        <w:rPr>
          <w:sz w:val="22"/>
          <w:szCs w:val="22"/>
          <w:lang w:val="en-IN"/>
        </w:rPr>
        <w:t xml:space="preserve">Anderson, D.M., Charles, K.K., McKelligott, M. and Rees, D. (2022) ‘Safeguarding Consumers Through Minimum Quality Standards: Milk Inspections and Urban Mortality, 1880-1910’, </w:t>
      </w:r>
      <w:r w:rsidRPr="4BBFE524">
        <w:rPr>
          <w:i/>
          <w:iCs/>
          <w:sz w:val="22"/>
          <w:szCs w:val="22"/>
          <w:lang w:val="en-IN"/>
        </w:rPr>
        <w:t>Econstor (Econstor</w:t>
      </w:r>
      <w:proofErr w:type="gramStart"/>
      <w:r w:rsidRPr="4BBFE524">
        <w:rPr>
          <w:i/>
          <w:iCs/>
          <w:sz w:val="22"/>
          <w:szCs w:val="22"/>
          <w:lang w:val="en-IN"/>
        </w:rPr>
        <w:t>)</w:t>
      </w:r>
      <w:r w:rsidRPr="4BBFE524">
        <w:rPr>
          <w:sz w:val="22"/>
          <w:szCs w:val="22"/>
          <w:lang w:val="en-IN"/>
        </w:rPr>
        <w:t xml:space="preserve"> .</w:t>
      </w:r>
      <w:proofErr w:type="gramEnd"/>
      <w:r w:rsidRPr="4BBFE524">
        <w:rPr>
          <w:sz w:val="22"/>
          <w:szCs w:val="22"/>
          <w:lang w:val="en-IN"/>
        </w:rPr>
        <w:t xml:space="preserve"> Available at: </w:t>
      </w:r>
      <w:hyperlink r:id="rId5">
        <w:r w:rsidRPr="4BBFE524">
          <w:rPr>
            <w:rStyle w:val="Hyperlink"/>
            <w:sz w:val="22"/>
            <w:szCs w:val="22"/>
            <w:lang w:val="en-IN"/>
          </w:rPr>
          <w:t>https://doi.org/10.3386/w30063</w:t>
        </w:r>
      </w:hyperlink>
      <w:r w:rsidRPr="4BBFE524">
        <w:rPr>
          <w:sz w:val="22"/>
          <w:szCs w:val="22"/>
          <w:lang w:val="en-IN"/>
        </w:rPr>
        <w:t>.</w:t>
      </w:r>
    </w:p>
    <w:p w14:paraId="1142A780" w14:textId="664529E5" w:rsidR="00456909" w:rsidRDefault="00456909" w:rsidP="4BBFE524">
      <w:pPr>
        <w:spacing w:line="278" w:lineRule="auto"/>
        <w:rPr>
          <w:sz w:val="22"/>
          <w:szCs w:val="22"/>
          <w:lang w:val="en-IN"/>
        </w:rPr>
      </w:pPr>
    </w:p>
    <w:p w14:paraId="6BB92B03" w14:textId="17B02190" w:rsidR="00456909" w:rsidRDefault="0DC90D50" w:rsidP="4BBFE524">
      <w:pPr>
        <w:spacing w:after="0" w:line="360" w:lineRule="auto"/>
        <w:jc w:val="both"/>
        <w:rPr>
          <w:sz w:val="22"/>
          <w:szCs w:val="22"/>
          <w:lang w:val="en-IN"/>
        </w:rPr>
      </w:pPr>
      <w:r w:rsidRPr="4BBFE524">
        <w:rPr>
          <w:sz w:val="22"/>
          <w:szCs w:val="22"/>
          <w:lang w:val="en-IN"/>
        </w:rPr>
        <w:t xml:space="preserve">Busey, T., Sudkamp, L., Taylor, M.K. and White, A. (2022) ‘Stressors in forensic organizations: Risks and solutions’, </w:t>
      </w:r>
      <w:r w:rsidRPr="4BBFE524">
        <w:rPr>
          <w:i/>
          <w:iCs/>
          <w:sz w:val="22"/>
          <w:szCs w:val="22"/>
          <w:lang w:val="en-IN"/>
        </w:rPr>
        <w:t>Forensic Science International: Synergy</w:t>
      </w:r>
      <w:r w:rsidRPr="4BBFE524">
        <w:rPr>
          <w:sz w:val="22"/>
          <w:szCs w:val="22"/>
          <w:lang w:val="en-IN"/>
        </w:rPr>
        <w:t xml:space="preserve">, 4, p. 100198. Available at: </w:t>
      </w:r>
      <w:hyperlink r:id="rId6">
        <w:r w:rsidRPr="4BBFE524">
          <w:rPr>
            <w:rStyle w:val="Hyperlink"/>
            <w:sz w:val="22"/>
            <w:szCs w:val="22"/>
            <w:lang w:val="en-IN"/>
          </w:rPr>
          <w:t>https://doi.org/10.1016/j.fsisyn.2021.100198</w:t>
        </w:r>
      </w:hyperlink>
      <w:r w:rsidRPr="4BBFE524">
        <w:rPr>
          <w:sz w:val="22"/>
          <w:szCs w:val="22"/>
          <w:lang w:val="en-IN"/>
        </w:rPr>
        <w:t>.</w:t>
      </w:r>
    </w:p>
    <w:p w14:paraId="3388FFDD" w14:textId="1D184B5F" w:rsidR="00456909" w:rsidRDefault="00456909" w:rsidP="4BBFE524">
      <w:pPr>
        <w:spacing w:after="0" w:line="360" w:lineRule="auto"/>
        <w:jc w:val="both"/>
        <w:rPr>
          <w:sz w:val="22"/>
          <w:szCs w:val="22"/>
          <w:lang w:val="en-IN"/>
        </w:rPr>
      </w:pPr>
    </w:p>
    <w:p w14:paraId="597B9DB7" w14:textId="7064C893" w:rsidR="00456909" w:rsidRDefault="0DC90D50" w:rsidP="4BBFE524">
      <w:pPr>
        <w:spacing w:after="0" w:line="360" w:lineRule="auto"/>
        <w:jc w:val="both"/>
        <w:rPr>
          <w:sz w:val="22"/>
          <w:szCs w:val="22"/>
          <w:lang w:val="en-IN"/>
        </w:rPr>
      </w:pPr>
      <w:r w:rsidRPr="4BBFE524">
        <w:rPr>
          <w:sz w:val="22"/>
          <w:szCs w:val="22"/>
          <w:lang w:val="en-IN"/>
        </w:rPr>
        <w:t xml:space="preserve">Cho, W., Choi, S. and Choi, H. (2023) ‘Human Resources Analytics for Public Personnel Management: Concepts, Cases, and Caveats’, </w:t>
      </w:r>
      <w:r w:rsidRPr="4BBFE524">
        <w:rPr>
          <w:i/>
          <w:iCs/>
          <w:sz w:val="22"/>
          <w:szCs w:val="22"/>
          <w:lang w:val="en-IN"/>
        </w:rPr>
        <w:t>Administrative Sciences</w:t>
      </w:r>
      <w:r w:rsidRPr="4BBFE524">
        <w:rPr>
          <w:sz w:val="22"/>
          <w:szCs w:val="22"/>
          <w:lang w:val="en-IN"/>
        </w:rPr>
        <w:t xml:space="preserve">, 13(2), p. 41. Available at: </w:t>
      </w:r>
      <w:hyperlink r:id="rId7">
        <w:r w:rsidRPr="4BBFE524">
          <w:rPr>
            <w:rStyle w:val="Hyperlink"/>
            <w:sz w:val="22"/>
            <w:szCs w:val="22"/>
            <w:lang w:val="en-IN"/>
          </w:rPr>
          <w:t>https://doi.org/10.3390/admsci13020041</w:t>
        </w:r>
      </w:hyperlink>
      <w:r w:rsidRPr="4BBFE524">
        <w:rPr>
          <w:sz w:val="22"/>
          <w:szCs w:val="22"/>
          <w:lang w:val="en-IN"/>
        </w:rPr>
        <w:t>.</w:t>
      </w:r>
    </w:p>
    <w:p w14:paraId="7A65281D" w14:textId="4CEBEF63" w:rsidR="00456909" w:rsidRDefault="00456909" w:rsidP="4BBFE524">
      <w:pPr>
        <w:spacing w:after="0" w:line="360" w:lineRule="auto"/>
        <w:jc w:val="both"/>
        <w:rPr>
          <w:sz w:val="22"/>
          <w:szCs w:val="22"/>
          <w:lang w:val="en-IN"/>
        </w:rPr>
      </w:pPr>
    </w:p>
    <w:p w14:paraId="360FCDB3" w14:textId="7F6D22C5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>Darby, J., Roy, G. and McIntyre, S. (</w:t>
      </w:r>
      <w:proofErr w:type="gramStart"/>
      <w:r w:rsidRPr="4BBFE524">
        <w:rPr>
          <w:sz w:val="22"/>
          <w:szCs w:val="22"/>
          <w:lang w:val="en-US"/>
        </w:rPr>
        <w:t>2023) ‘</w:t>
      </w:r>
      <w:proofErr w:type="gramEnd"/>
      <w:r w:rsidRPr="4BBFE524">
        <w:rPr>
          <w:sz w:val="22"/>
          <w:szCs w:val="22"/>
          <w:lang w:val="en-US"/>
        </w:rPr>
        <w:t xml:space="preserve">The Sticking Plasters Aren’t </w:t>
      </w:r>
      <w:proofErr w:type="gramStart"/>
      <w:r w:rsidRPr="4BBFE524">
        <w:rPr>
          <w:sz w:val="22"/>
          <w:szCs w:val="22"/>
          <w:lang w:val="en-US"/>
        </w:rPr>
        <w:t>Working :</w:t>
      </w:r>
      <w:proofErr w:type="gramEnd"/>
      <w:r w:rsidRPr="4BBFE524">
        <w:rPr>
          <w:sz w:val="22"/>
          <w:szCs w:val="22"/>
          <w:lang w:val="en-US"/>
        </w:rPr>
        <w:t xml:space="preserve"> The Ongoing UK Workforce Crisis in Adult Social Care, New Evidence from an Expansive Database of Job </w:t>
      </w:r>
      <w:proofErr w:type="gramStart"/>
      <w:r w:rsidRPr="4BBFE524">
        <w:rPr>
          <w:sz w:val="22"/>
          <w:szCs w:val="22"/>
          <w:lang w:val="en-US"/>
        </w:rPr>
        <w:t>Adverts  -</w:t>
      </w:r>
      <w:proofErr w:type="gramEnd"/>
      <w:r w:rsidRPr="4BBFE524">
        <w:rPr>
          <w:sz w:val="22"/>
          <w:szCs w:val="22"/>
          <w:lang w:val="en-US"/>
        </w:rPr>
        <w:t xml:space="preserve"> Strathprints’, </w:t>
      </w:r>
      <w:r w:rsidRPr="4BBFE524">
        <w:rPr>
          <w:i/>
          <w:iCs/>
          <w:sz w:val="22"/>
          <w:szCs w:val="22"/>
          <w:lang w:val="en-US"/>
        </w:rPr>
        <w:t>Strath.ac.uk</w:t>
      </w:r>
      <w:r w:rsidRPr="4BBFE524">
        <w:rPr>
          <w:sz w:val="22"/>
          <w:szCs w:val="22"/>
          <w:lang w:val="en-US"/>
        </w:rPr>
        <w:t xml:space="preserve"> [Preprint]. Available at: </w:t>
      </w:r>
      <w:hyperlink r:id="rId8">
        <w:r w:rsidRPr="4BBFE524">
          <w:rPr>
            <w:rStyle w:val="Hyperlink"/>
            <w:sz w:val="22"/>
            <w:szCs w:val="22"/>
            <w:lang w:val="en-US"/>
          </w:rPr>
          <w:t>https://strathprints.strath.ac.uk/86030/1/Darby_etal_2023_ongoing_UK_workforce_crisis_in_adult_social_care.pdf</w:t>
        </w:r>
      </w:hyperlink>
      <w:r w:rsidRPr="4BBFE524">
        <w:rPr>
          <w:sz w:val="22"/>
          <w:szCs w:val="22"/>
          <w:lang w:val="en-US"/>
        </w:rPr>
        <w:t>.</w:t>
      </w:r>
    </w:p>
    <w:p w14:paraId="4B9ED9AB" w14:textId="23593A20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1BC33EE2" w14:textId="59DF0CF4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GOV.UK (2025) </w:t>
      </w:r>
      <w:r w:rsidRPr="4BBFE524">
        <w:rPr>
          <w:i/>
          <w:iCs/>
          <w:sz w:val="22"/>
          <w:szCs w:val="22"/>
          <w:lang w:val="en-US"/>
        </w:rPr>
        <w:t>Safeguarding adults, England, 2024 to 2025: statistical commentary</w:t>
      </w:r>
      <w:r w:rsidRPr="4BBFE524">
        <w:rPr>
          <w:sz w:val="22"/>
          <w:szCs w:val="22"/>
          <w:lang w:val="en-US"/>
        </w:rPr>
        <w:t xml:space="preserve">, </w:t>
      </w:r>
      <w:r w:rsidRPr="4BBFE524">
        <w:rPr>
          <w:i/>
          <w:iCs/>
          <w:sz w:val="22"/>
          <w:szCs w:val="22"/>
          <w:lang w:val="en-US"/>
        </w:rPr>
        <w:t>GOV.UK</w:t>
      </w:r>
      <w:r w:rsidRPr="4BBFE524">
        <w:rPr>
          <w:sz w:val="22"/>
          <w:szCs w:val="22"/>
          <w:lang w:val="en-US"/>
        </w:rPr>
        <w:t xml:space="preserve">. Available at: </w:t>
      </w:r>
      <w:hyperlink r:id="rId9">
        <w:r w:rsidRPr="4BBFE524">
          <w:rPr>
            <w:rStyle w:val="Hyperlink"/>
            <w:sz w:val="22"/>
            <w:szCs w:val="22"/>
            <w:lang w:val="en-US"/>
          </w:rPr>
          <w:t>https://www.gov.uk/government/statistics/safeguarding-adults-england-2024-to-2025/safeguarding-adults-england-2024-to-2025-statistical-commentary</w:t>
        </w:r>
      </w:hyperlink>
      <w:r w:rsidRPr="4BBFE524">
        <w:rPr>
          <w:sz w:val="22"/>
          <w:szCs w:val="22"/>
          <w:lang w:val="en-US"/>
        </w:rPr>
        <w:t>.</w:t>
      </w:r>
    </w:p>
    <w:p w14:paraId="1DF70DC5" w14:textId="330B129F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1D53FD14" w14:textId="35F12503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Hamilton, T. (2022) </w:t>
      </w:r>
      <w:r w:rsidRPr="4BBFE524">
        <w:rPr>
          <w:i/>
          <w:iCs/>
          <w:sz w:val="22"/>
          <w:szCs w:val="22"/>
          <w:lang w:val="en-US"/>
        </w:rPr>
        <w:t>A Critical Analysis of Adult Safeguarding Practices in NHS Mental Health Services</w:t>
      </w:r>
      <w:r w:rsidRPr="4BBFE524">
        <w:rPr>
          <w:sz w:val="22"/>
          <w:szCs w:val="22"/>
          <w:lang w:val="en-US"/>
        </w:rPr>
        <w:t xml:space="preserve">, </w:t>
      </w:r>
      <w:r w:rsidRPr="4BBFE524">
        <w:rPr>
          <w:i/>
          <w:iCs/>
          <w:sz w:val="22"/>
          <w:szCs w:val="22"/>
          <w:lang w:val="en-US"/>
        </w:rPr>
        <w:t>eprints.staffs.ac.uk</w:t>
      </w:r>
      <w:r w:rsidRPr="4BBFE524">
        <w:rPr>
          <w:sz w:val="22"/>
          <w:szCs w:val="22"/>
          <w:lang w:val="en-US"/>
        </w:rPr>
        <w:t xml:space="preserve">. Available at: </w:t>
      </w:r>
      <w:hyperlink r:id="rId10">
        <w:r w:rsidRPr="4BBFE524">
          <w:rPr>
            <w:rStyle w:val="Hyperlink"/>
            <w:sz w:val="22"/>
            <w:szCs w:val="22"/>
            <w:lang w:val="en-US"/>
          </w:rPr>
          <w:t>http://eprints.staffs.ac.uk/7401/</w:t>
        </w:r>
      </w:hyperlink>
      <w:r w:rsidRPr="4BBFE524">
        <w:rPr>
          <w:sz w:val="22"/>
          <w:szCs w:val="22"/>
          <w:lang w:val="en-US"/>
        </w:rPr>
        <w:t>.</w:t>
      </w:r>
    </w:p>
    <w:p w14:paraId="388A72CD" w14:textId="4BCD2A0C" w:rsidR="00456909" w:rsidRDefault="0DC90D50" w:rsidP="4BBFE524">
      <w:pPr>
        <w:spacing w:after="0" w:line="360" w:lineRule="auto"/>
        <w:jc w:val="both"/>
        <w:rPr>
          <w:sz w:val="22"/>
          <w:szCs w:val="22"/>
          <w:lang w:val="en-IN"/>
        </w:rPr>
      </w:pPr>
      <w:r w:rsidRPr="4BBFE524">
        <w:rPr>
          <w:sz w:val="22"/>
          <w:szCs w:val="22"/>
          <w:lang w:val="en-IN"/>
        </w:rPr>
        <w:t xml:space="preserve">Holden, S. (2025) ‘e-space’, </w:t>
      </w:r>
      <w:r w:rsidRPr="4BBFE524">
        <w:rPr>
          <w:i/>
          <w:iCs/>
          <w:sz w:val="22"/>
          <w:szCs w:val="22"/>
          <w:lang w:val="en-IN"/>
        </w:rPr>
        <w:t>Mmu.ac.uk</w:t>
      </w:r>
      <w:r w:rsidRPr="4BBFE524">
        <w:rPr>
          <w:sz w:val="22"/>
          <w:szCs w:val="22"/>
          <w:lang w:val="en-IN"/>
        </w:rPr>
        <w:t xml:space="preserve"> [Preprint]. Available at: </w:t>
      </w:r>
      <w:hyperlink r:id="rId11">
        <w:r w:rsidRPr="4BBFE524">
          <w:rPr>
            <w:rStyle w:val="Hyperlink"/>
            <w:sz w:val="22"/>
            <w:szCs w:val="22"/>
            <w:lang w:val="en-IN"/>
          </w:rPr>
          <w:t>https://e-space.mmu.ac.uk/640306/1/Safeguarding_Accountability_in_the_UK_-_Whistleblowing_as_a_Response_to_State_Secrecy_and_Abuse_of_Power.pdf</w:t>
        </w:r>
      </w:hyperlink>
      <w:r w:rsidRPr="4BBFE524">
        <w:rPr>
          <w:sz w:val="22"/>
          <w:szCs w:val="22"/>
          <w:lang w:val="en-IN"/>
        </w:rPr>
        <w:t>.</w:t>
      </w:r>
    </w:p>
    <w:p w14:paraId="291FC8B8" w14:textId="5E450256" w:rsidR="00456909" w:rsidRDefault="00456909" w:rsidP="4BBFE524">
      <w:pPr>
        <w:spacing w:after="0" w:line="360" w:lineRule="auto"/>
        <w:jc w:val="both"/>
        <w:rPr>
          <w:sz w:val="22"/>
          <w:szCs w:val="22"/>
          <w:lang w:val="en-IN"/>
        </w:rPr>
      </w:pPr>
    </w:p>
    <w:p w14:paraId="5F5E05D4" w14:textId="5CBA0984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>Hosseini, M. and Horbach, S.P.J.M. (</w:t>
      </w:r>
      <w:proofErr w:type="gramStart"/>
      <w:r w:rsidRPr="4BBFE524">
        <w:rPr>
          <w:sz w:val="22"/>
          <w:szCs w:val="22"/>
          <w:lang w:val="en-US"/>
        </w:rPr>
        <w:t>2023) ‘</w:t>
      </w:r>
      <w:proofErr w:type="gramEnd"/>
      <w:r w:rsidRPr="4BBFE524">
        <w:rPr>
          <w:sz w:val="22"/>
          <w:szCs w:val="22"/>
          <w:lang w:val="en-US"/>
        </w:rPr>
        <w:t xml:space="preserve">Fighting reviewer fatigue or amplifying bias? Considerations and recommendations for use of ChatGPT and other large language models in scholarly peer review’, </w:t>
      </w:r>
      <w:r w:rsidRPr="4BBFE524">
        <w:rPr>
          <w:i/>
          <w:iCs/>
          <w:sz w:val="22"/>
          <w:szCs w:val="22"/>
          <w:lang w:val="en-US"/>
        </w:rPr>
        <w:t>Research Integrity and Peer Review</w:t>
      </w:r>
      <w:r w:rsidRPr="4BBFE524">
        <w:rPr>
          <w:sz w:val="22"/>
          <w:szCs w:val="22"/>
          <w:lang w:val="en-US"/>
        </w:rPr>
        <w:t xml:space="preserve">, 8(1). Available at: </w:t>
      </w:r>
      <w:hyperlink r:id="rId12">
        <w:r w:rsidRPr="4BBFE524">
          <w:rPr>
            <w:rStyle w:val="Hyperlink"/>
            <w:sz w:val="22"/>
            <w:szCs w:val="22"/>
            <w:lang w:val="en-US"/>
          </w:rPr>
          <w:t>https://doi.org/10.1186/s41073-023-00133-5</w:t>
        </w:r>
      </w:hyperlink>
      <w:r w:rsidRPr="4BBFE524">
        <w:rPr>
          <w:sz w:val="22"/>
          <w:szCs w:val="22"/>
          <w:lang w:val="en-US"/>
        </w:rPr>
        <w:t xml:space="preserve">. </w:t>
      </w:r>
    </w:p>
    <w:p w14:paraId="0A0F63A9" w14:textId="26BDA44C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637276CA" w14:textId="450F03BD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Kay, J. (2022) </w:t>
      </w:r>
      <w:r w:rsidRPr="4BBFE524">
        <w:rPr>
          <w:i/>
          <w:iCs/>
          <w:sz w:val="22"/>
          <w:szCs w:val="22"/>
          <w:lang w:val="en-US"/>
        </w:rPr>
        <w:t>Safeguarding Adults: The impact emotional and unconscious factors have on decision making</w:t>
      </w:r>
      <w:r w:rsidRPr="4BBFE524">
        <w:rPr>
          <w:sz w:val="22"/>
          <w:szCs w:val="22"/>
          <w:lang w:val="en-US"/>
        </w:rPr>
        <w:t xml:space="preserve">. Available at: </w:t>
      </w:r>
      <w:hyperlink r:id="rId13">
        <w:r w:rsidRPr="4BBFE524">
          <w:rPr>
            <w:rStyle w:val="Hyperlink"/>
            <w:sz w:val="22"/>
            <w:szCs w:val="22"/>
            <w:lang w:val="en-US"/>
          </w:rPr>
          <w:t>https://repository.tavistockandportman.ac.uk/2894/1/Kay%20-%20Safeguarding.pdf</w:t>
        </w:r>
      </w:hyperlink>
      <w:r w:rsidRPr="4BBFE524">
        <w:rPr>
          <w:sz w:val="22"/>
          <w:szCs w:val="22"/>
          <w:lang w:val="en-US"/>
        </w:rPr>
        <w:t>.</w:t>
      </w:r>
    </w:p>
    <w:p w14:paraId="0C3B0798" w14:textId="77777777" w:rsidR="006D4C20" w:rsidRDefault="006D4C20" w:rsidP="4BBFE524">
      <w:pPr>
        <w:spacing w:line="278" w:lineRule="auto"/>
        <w:rPr>
          <w:sz w:val="22"/>
          <w:szCs w:val="22"/>
          <w:lang w:val="en-US"/>
        </w:rPr>
      </w:pPr>
    </w:p>
    <w:p w14:paraId="7B811DBB" w14:textId="24D0B55F" w:rsidR="00456909" w:rsidRDefault="0DC90D50" w:rsidP="4BBFE524">
      <w:pPr>
        <w:spacing w:after="0" w:line="360" w:lineRule="auto"/>
        <w:jc w:val="both"/>
        <w:rPr>
          <w:sz w:val="22"/>
          <w:szCs w:val="22"/>
          <w:lang w:val="en-IN"/>
        </w:rPr>
      </w:pPr>
      <w:r w:rsidRPr="4BBFE524">
        <w:rPr>
          <w:sz w:val="22"/>
          <w:szCs w:val="22"/>
          <w:lang w:val="en-IN"/>
        </w:rPr>
        <w:t xml:space="preserve">Khan, H.T.A., Addo, K.M. and Findlay, H. (2024) ‘Public Health Challenges and Responses to the Growing Ageing Populations’, </w:t>
      </w:r>
      <w:r w:rsidRPr="4BBFE524">
        <w:rPr>
          <w:i/>
          <w:iCs/>
          <w:sz w:val="22"/>
          <w:szCs w:val="22"/>
          <w:lang w:val="en-IN"/>
        </w:rPr>
        <w:t>Public Health Challenges</w:t>
      </w:r>
      <w:r w:rsidRPr="4BBFE524">
        <w:rPr>
          <w:sz w:val="22"/>
          <w:szCs w:val="22"/>
          <w:lang w:val="en-IN"/>
        </w:rPr>
        <w:t xml:space="preserve">, 3(3), pp. 1–9. Available at: </w:t>
      </w:r>
      <w:hyperlink r:id="rId14">
        <w:r w:rsidRPr="4BBFE524">
          <w:rPr>
            <w:rStyle w:val="Hyperlink"/>
            <w:sz w:val="22"/>
            <w:szCs w:val="22"/>
            <w:lang w:val="en-IN"/>
          </w:rPr>
          <w:t>https://doi.org/10.1002/puh2.213</w:t>
        </w:r>
      </w:hyperlink>
      <w:r w:rsidRPr="4BBFE524">
        <w:rPr>
          <w:sz w:val="22"/>
          <w:szCs w:val="22"/>
          <w:lang w:val="en-IN"/>
        </w:rPr>
        <w:t>.</w:t>
      </w:r>
    </w:p>
    <w:p w14:paraId="7382127C" w14:textId="464AB333" w:rsidR="00456909" w:rsidRDefault="00456909" w:rsidP="4BBFE524">
      <w:pPr>
        <w:spacing w:after="0" w:line="360" w:lineRule="auto"/>
        <w:jc w:val="both"/>
        <w:rPr>
          <w:sz w:val="22"/>
          <w:szCs w:val="22"/>
          <w:lang w:val="en-IN"/>
        </w:rPr>
      </w:pPr>
    </w:p>
    <w:p w14:paraId="185CC9C8" w14:textId="536537F4" w:rsidR="00456909" w:rsidRDefault="0DC90D50" w:rsidP="4BBFE524">
      <w:pPr>
        <w:spacing w:after="0" w:line="360" w:lineRule="auto"/>
        <w:jc w:val="both"/>
        <w:rPr>
          <w:sz w:val="22"/>
          <w:szCs w:val="22"/>
          <w:lang w:val="en-IN"/>
        </w:rPr>
      </w:pPr>
      <w:r w:rsidRPr="4BBFE524">
        <w:rPr>
          <w:sz w:val="22"/>
          <w:szCs w:val="22"/>
          <w:lang w:val="en-IN"/>
        </w:rPr>
        <w:t xml:space="preserve">Macalister, J. (2022) </w:t>
      </w:r>
      <w:r w:rsidRPr="4BBFE524">
        <w:rPr>
          <w:i/>
          <w:iCs/>
          <w:sz w:val="22"/>
          <w:szCs w:val="22"/>
          <w:lang w:val="en-IN"/>
        </w:rPr>
        <w:t xml:space="preserve">The independent review of children’s social care </w:t>
      </w:r>
      <w:proofErr w:type="gramStart"/>
      <w:r w:rsidRPr="4BBFE524">
        <w:rPr>
          <w:i/>
          <w:iCs/>
          <w:sz w:val="22"/>
          <w:szCs w:val="22"/>
          <w:lang w:val="en-IN"/>
        </w:rPr>
        <w:t>The</w:t>
      </w:r>
      <w:proofErr w:type="gramEnd"/>
      <w:r w:rsidRPr="4BBFE524">
        <w:rPr>
          <w:i/>
          <w:iCs/>
          <w:sz w:val="22"/>
          <w:szCs w:val="22"/>
          <w:lang w:val="en-IN"/>
        </w:rPr>
        <w:t xml:space="preserve"> independent review of children’s social care Final report</w:t>
      </w:r>
      <w:r w:rsidRPr="4BBFE524">
        <w:rPr>
          <w:sz w:val="22"/>
          <w:szCs w:val="22"/>
          <w:lang w:val="en-IN"/>
        </w:rPr>
        <w:t xml:space="preserve">. Available at: </w:t>
      </w:r>
      <w:hyperlink r:id="rId15">
        <w:r w:rsidRPr="4BBFE524">
          <w:rPr>
            <w:rStyle w:val="Hyperlink"/>
            <w:sz w:val="22"/>
            <w:szCs w:val="22"/>
            <w:lang w:val="en-IN"/>
          </w:rPr>
          <w:t>https://www.thefosteringnetwork.org.uk/media/d45b44zp/the-independent-review-of-childrens-social-care-final-report.pdf</w:t>
        </w:r>
      </w:hyperlink>
      <w:r w:rsidRPr="4BBFE524">
        <w:rPr>
          <w:sz w:val="22"/>
          <w:szCs w:val="22"/>
          <w:lang w:val="en-IN"/>
        </w:rPr>
        <w:t>.</w:t>
      </w:r>
    </w:p>
    <w:p w14:paraId="7BE81656" w14:textId="6E790B57" w:rsidR="00456909" w:rsidRDefault="00456909" w:rsidP="4BBFE524">
      <w:pPr>
        <w:spacing w:after="0" w:line="360" w:lineRule="auto"/>
        <w:jc w:val="both"/>
        <w:rPr>
          <w:sz w:val="22"/>
          <w:szCs w:val="22"/>
          <w:lang w:val="en-IN"/>
        </w:rPr>
      </w:pPr>
    </w:p>
    <w:p w14:paraId="75FDF7F8" w14:textId="74A30DB4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McKee, M., Dunnell, K., Anderson, M., Brayne, C., Charlesworth, A., Johnston-Webber, C., Knapp, M., McGuire, A., Newton, J.N., Taylor, D. and Watt, R.G. (2021) ‘The changing health needs of the UK population’, </w:t>
      </w:r>
      <w:r w:rsidRPr="4BBFE524">
        <w:rPr>
          <w:i/>
          <w:iCs/>
          <w:sz w:val="22"/>
          <w:szCs w:val="22"/>
          <w:lang w:val="en-US"/>
        </w:rPr>
        <w:t>The Lancet</w:t>
      </w:r>
      <w:r w:rsidRPr="4BBFE524">
        <w:rPr>
          <w:sz w:val="22"/>
          <w:szCs w:val="22"/>
          <w:lang w:val="en-US"/>
        </w:rPr>
        <w:t>, 397(10288), pp. 1979–1991.</w:t>
      </w:r>
    </w:p>
    <w:p w14:paraId="4BA97D4C" w14:textId="37304D52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2A16159D" w14:textId="53ED97E9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Mellor, D. (2025) </w:t>
      </w:r>
      <w:r w:rsidRPr="4BBFE524">
        <w:rPr>
          <w:i/>
          <w:iCs/>
          <w:sz w:val="22"/>
          <w:szCs w:val="22"/>
          <w:lang w:val="en-US"/>
        </w:rPr>
        <w:t>Safeguarding Adult Review Overview Report: Adult K</w:t>
      </w:r>
      <w:r w:rsidRPr="4BBFE524">
        <w:rPr>
          <w:sz w:val="22"/>
          <w:szCs w:val="22"/>
          <w:lang w:val="en-US"/>
        </w:rPr>
        <w:t xml:space="preserve">. Available at: </w:t>
      </w:r>
      <w:hyperlink r:id="rId16">
        <w:r w:rsidRPr="4BBFE524">
          <w:rPr>
            <w:rStyle w:val="Hyperlink"/>
            <w:sz w:val="22"/>
            <w:szCs w:val="22"/>
            <w:lang w:val="en-US"/>
          </w:rPr>
          <w:t>https://www.lancashiresafeguarding.org.uk/media/19332/adult-k-overview-report-final.pdf</w:t>
        </w:r>
      </w:hyperlink>
      <w:r w:rsidRPr="4BBFE524">
        <w:rPr>
          <w:sz w:val="22"/>
          <w:szCs w:val="22"/>
          <w:lang w:val="en-US"/>
        </w:rPr>
        <w:t xml:space="preserve"> </w:t>
      </w:r>
    </w:p>
    <w:p w14:paraId="17BB2936" w14:textId="6808CFD5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330ADED3" w14:textId="558D2344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Mohammed, A.-R. and Musah, B.I. (2025) ‘Methodological and Ethical Reflections on Researching With Children of Accused Witches in Ghanaian Witches’ Camps’, </w:t>
      </w:r>
      <w:r w:rsidRPr="4BBFE524">
        <w:rPr>
          <w:i/>
          <w:iCs/>
          <w:sz w:val="22"/>
          <w:szCs w:val="22"/>
          <w:lang w:val="en-US"/>
        </w:rPr>
        <w:t>International Journal of Qualitative Methods</w:t>
      </w:r>
      <w:r w:rsidRPr="4BBFE524">
        <w:rPr>
          <w:sz w:val="22"/>
          <w:szCs w:val="22"/>
          <w:lang w:val="en-US"/>
        </w:rPr>
        <w:t xml:space="preserve">, 24. Available at: </w:t>
      </w:r>
      <w:hyperlink r:id="rId17">
        <w:r w:rsidRPr="4BBFE524">
          <w:rPr>
            <w:rStyle w:val="Hyperlink"/>
            <w:sz w:val="22"/>
            <w:szCs w:val="22"/>
            <w:lang w:val="en-US"/>
          </w:rPr>
          <w:t>https://doi.org/10.1177/16094069251383468</w:t>
        </w:r>
      </w:hyperlink>
      <w:r w:rsidRPr="4BBFE524">
        <w:rPr>
          <w:sz w:val="22"/>
          <w:szCs w:val="22"/>
          <w:lang w:val="en-US"/>
        </w:rPr>
        <w:t>.</w:t>
      </w:r>
    </w:p>
    <w:p w14:paraId="1E28EA89" w14:textId="747F90C0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1BE6005C" w14:textId="494D53D1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NHS England (2022) </w:t>
      </w:r>
      <w:r w:rsidRPr="4BBFE524">
        <w:rPr>
          <w:i/>
          <w:iCs/>
          <w:sz w:val="22"/>
          <w:szCs w:val="22"/>
          <w:lang w:val="en-US"/>
        </w:rPr>
        <w:t>Safeguarding children, Young People and Adults at Risk in the NHS Safeguarding Accountability and Assurance Framework</w:t>
      </w:r>
      <w:r w:rsidRPr="4BBFE524">
        <w:rPr>
          <w:sz w:val="22"/>
          <w:szCs w:val="22"/>
          <w:lang w:val="en-US"/>
        </w:rPr>
        <w:t xml:space="preserve">. Available at: </w:t>
      </w:r>
      <w:hyperlink r:id="rId18">
        <w:r w:rsidRPr="4BBFE524">
          <w:rPr>
            <w:rStyle w:val="Hyperlink"/>
            <w:sz w:val="22"/>
            <w:szCs w:val="22"/>
            <w:lang w:val="en-US"/>
          </w:rPr>
          <w:t>https://www.england.nhs.uk/wp-content/uploads/2015/07/B0818_Safeguarding-children-young-people-and-adults-at-risk-in-the-NHS-Safeguarding-accountability-and-assuran.pdf</w:t>
        </w:r>
      </w:hyperlink>
      <w:r w:rsidRPr="4BBFE524">
        <w:rPr>
          <w:sz w:val="22"/>
          <w:szCs w:val="22"/>
          <w:lang w:val="en-US"/>
        </w:rPr>
        <w:t>.</w:t>
      </w:r>
    </w:p>
    <w:p w14:paraId="67E1176D" w14:textId="5686600A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0ED1B5E1" w14:textId="5F979438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Nilsson, A. (2024) ‘Unlocking the impact of the CRPD on Swedish mental health law’, </w:t>
      </w:r>
      <w:r w:rsidRPr="4BBFE524">
        <w:rPr>
          <w:i/>
          <w:iCs/>
          <w:sz w:val="22"/>
          <w:szCs w:val="22"/>
          <w:lang w:val="en-US"/>
        </w:rPr>
        <w:t>International Journal of Law and Psychiatry</w:t>
      </w:r>
      <w:r w:rsidRPr="4BBFE524">
        <w:rPr>
          <w:sz w:val="22"/>
          <w:szCs w:val="22"/>
          <w:lang w:val="en-US"/>
        </w:rPr>
        <w:t xml:space="preserve">, 93, pp. 101966–101966. Available at: </w:t>
      </w:r>
      <w:hyperlink r:id="rId19">
        <w:r w:rsidRPr="4BBFE524">
          <w:rPr>
            <w:rStyle w:val="Hyperlink"/>
            <w:sz w:val="22"/>
            <w:szCs w:val="22"/>
            <w:lang w:val="en-US"/>
          </w:rPr>
          <w:t>https://doi.org/10.1016/j.ijlp.2024.101966</w:t>
        </w:r>
      </w:hyperlink>
      <w:r w:rsidRPr="4BBFE524">
        <w:rPr>
          <w:sz w:val="22"/>
          <w:szCs w:val="22"/>
          <w:lang w:val="en-US"/>
        </w:rPr>
        <w:t>.</w:t>
      </w:r>
    </w:p>
    <w:p w14:paraId="7383FD50" w14:textId="71ABEC9E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117BB07A" w14:textId="5350C9F0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lastRenderedPageBreak/>
        <w:t xml:space="preserve">O’Reardon, M. (2022) ‘Social workers and safeguarding adult reviews (SARs)– an exploration of the stories that are told and the narratives that they hold’, </w:t>
      </w:r>
      <w:r w:rsidRPr="4BBFE524">
        <w:rPr>
          <w:i/>
          <w:iCs/>
          <w:sz w:val="22"/>
          <w:szCs w:val="22"/>
          <w:lang w:val="en-US"/>
        </w:rPr>
        <w:t>The Journal of Adult Protection</w:t>
      </w:r>
      <w:r w:rsidRPr="4BBFE524">
        <w:rPr>
          <w:sz w:val="22"/>
          <w:szCs w:val="22"/>
          <w:lang w:val="en-US"/>
        </w:rPr>
        <w:t xml:space="preserve">  Available at: </w:t>
      </w:r>
      <w:hyperlink r:id="rId20">
        <w:r w:rsidRPr="4BBFE524">
          <w:rPr>
            <w:rStyle w:val="Hyperlink"/>
            <w:sz w:val="22"/>
            <w:szCs w:val="22"/>
            <w:lang w:val="en-US"/>
          </w:rPr>
          <w:t>https://doi.org/10.1108/jap-09-2022-0016</w:t>
        </w:r>
      </w:hyperlink>
      <w:r w:rsidRPr="4BBFE524">
        <w:rPr>
          <w:sz w:val="22"/>
          <w:szCs w:val="22"/>
          <w:lang w:val="en-US"/>
        </w:rPr>
        <w:t>.</w:t>
      </w:r>
    </w:p>
    <w:p w14:paraId="4F7E4AE2" w14:textId="05A709AA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425D1C4F" w14:textId="5B7931C6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Pirro, A.L.P. and Stanley, B. (2022) ‘Forging, Bending, and Breaking: Enacting the “Illiberal Playbook” in Hungary and Poland’, </w:t>
      </w:r>
      <w:r w:rsidRPr="4BBFE524">
        <w:rPr>
          <w:i/>
          <w:iCs/>
          <w:sz w:val="22"/>
          <w:szCs w:val="22"/>
          <w:lang w:val="en-US"/>
        </w:rPr>
        <w:t>Perspectives on Politics</w:t>
      </w:r>
      <w:r w:rsidRPr="4BBFE524">
        <w:rPr>
          <w:sz w:val="22"/>
          <w:szCs w:val="22"/>
          <w:lang w:val="en-US"/>
        </w:rPr>
        <w:t xml:space="preserve">, 20(1), pp. 1–16. Available at: </w:t>
      </w:r>
      <w:hyperlink r:id="rId21">
        <w:r w:rsidRPr="4BBFE524">
          <w:rPr>
            <w:rStyle w:val="Hyperlink"/>
            <w:sz w:val="22"/>
            <w:szCs w:val="22"/>
            <w:lang w:val="en-US"/>
          </w:rPr>
          <w:t>https://doi.org/10.1017/s1537592721001924</w:t>
        </w:r>
      </w:hyperlink>
      <w:r w:rsidRPr="4BBFE524">
        <w:rPr>
          <w:sz w:val="22"/>
          <w:szCs w:val="22"/>
          <w:lang w:val="en-US"/>
        </w:rPr>
        <w:t>.</w:t>
      </w:r>
    </w:p>
    <w:p w14:paraId="530E905F" w14:textId="285C9735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116924E0" w14:textId="0D98197D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Prenzler, T. and Maguire, M. (2022) </w:t>
      </w:r>
      <w:r w:rsidRPr="4BBFE524">
        <w:rPr>
          <w:i/>
          <w:iCs/>
          <w:sz w:val="22"/>
          <w:szCs w:val="22"/>
          <w:lang w:val="en-US"/>
        </w:rPr>
        <w:t>Models of Police Oversight and Complaints Handling Processes Report for the Independent Commission of Inquiry into Queensland Police Service Responses to Domestic and Family Violence</w:t>
      </w:r>
      <w:r w:rsidRPr="4BBFE524">
        <w:rPr>
          <w:sz w:val="22"/>
          <w:szCs w:val="22"/>
          <w:lang w:val="en-US"/>
        </w:rPr>
        <w:t xml:space="preserve">. Available at: </w:t>
      </w:r>
      <w:hyperlink r:id="rId22">
        <w:r w:rsidRPr="4BBFE524">
          <w:rPr>
            <w:rStyle w:val="Hyperlink"/>
            <w:sz w:val="22"/>
            <w:szCs w:val="22"/>
            <w:lang w:val="en-US"/>
          </w:rPr>
          <w:t>https://www.qpsdfvinquiry.qld.gov.au/public-hearings/assets/exhibits/week-4/report-prenzler-and-maguire-term-of-reference-d.pdf</w:t>
        </w:r>
      </w:hyperlink>
      <w:r w:rsidRPr="4BBFE524">
        <w:rPr>
          <w:sz w:val="22"/>
          <w:szCs w:val="22"/>
          <w:lang w:val="en-US"/>
        </w:rPr>
        <w:t>.</w:t>
      </w:r>
    </w:p>
    <w:p w14:paraId="061B3FF7" w14:textId="4E92AEB0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3196305D" w14:textId="36081E66" w:rsidR="00456909" w:rsidRDefault="0DC90D50" w:rsidP="4BBFE524">
      <w:pPr>
        <w:spacing w:line="278" w:lineRule="auto"/>
        <w:rPr>
          <w:sz w:val="22"/>
          <w:szCs w:val="22"/>
          <w:lang w:val="en-US"/>
        </w:rPr>
      </w:pPr>
      <w:r w:rsidRPr="4BBFE524">
        <w:rPr>
          <w:sz w:val="22"/>
          <w:szCs w:val="22"/>
          <w:lang w:val="en-US"/>
        </w:rPr>
        <w:t xml:space="preserve">Service.gov.uk (2024) </w:t>
      </w:r>
      <w:r w:rsidRPr="4BBFE524">
        <w:rPr>
          <w:i/>
          <w:iCs/>
          <w:sz w:val="22"/>
          <w:szCs w:val="22"/>
          <w:lang w:val="en-US"/>
        </w:rPr>
        <w:t>INDEPENDENT SENTENCING REVIEW Independent Sentencing Review Final report and proposals for reform</w:t>
      </w:r>
      <w:r w:rsidRPr="4BBFE524">
        <w:rPr>
          <w:sz w:val="22"/>
          <w:szCs w:val="22"/>
          <w:lang w:val="en-US"/>
        </w:rPr>
        <w:t xml:space="preserve">. Available at: </w:t>
      </w:r>
      <w:hyperlink r:id="rId23">
        <w:r w:rsidRPr="4BBFE524">
          <w:rPr>
            <w:rStyle w:val="Hyperlink"/>
            <w:sz w:val="22"/>
            <w:szCs w:val="22"/>
            <w:lang w:val="en-US"/>
          </w:rPr>
          <w:t>https://assets.publishing.service.gov.uk/media/682d8d995ba51be7c0f45371/independent-sentencing-review-report-part_2.pdf</w:t>
        </w:r>
      </w:hyperlink>
      <w:r w:rsidRPr="4BBFE524">
        <w:rPr>
          <w:sz w:val="22"/>
          <w:szCs w:val="22"/>
          <w:lang w:val="en-US"/>
        </w:rPr>
        <w:t>.</w:t>
      </w:r>
    </w:p>
    <w:p w14:paraId="7BA0E211" w14:textId="6CB7E99B" w:rsidR="00456909" w:rsidRDefault="00456909" w:rsidP="4BBFE524">
      <w:pPr>
        <w:spacing w:line="278" w:lineRule="auto"/>
        <w:rPr>
          <w:sz w:val="22"/>
          <w:szCs w:val="22"/>
          <w:lang w:val="en-US"/>
        </w:rPr>
      </w:pPr>
    </w:p>
    <w:p w14:paraId="618648D2" w14:textId="18693E77" w:rsidR="00456909" w:rsidRDefault="0DC90D50" w:rsidP="4BBFE524">
      <w:pPr>
        <w:spacing w:after="0" w:line="360" w:lineRule="auto"/>
        <w:jc w:val="both"/>
        <w:rPr>
          <w:sz w:val="22"/>
          <w:szCs w:val="22"/>
          <w:lang w:val="en-IN"/>
        </w:rPr>
      </w:pPr>
      <w:r w:rsidRPr="4BBFE524">
        <w:rPr>
          <w:sz w:val="22"/>
          <w:szCs w:val="22"/>
          <w:lang w:val="en-IN"/>
        </w:rPr>
        <w:t xml:space="preserve">Sherwood-Johnson, F., Rummery, K., Lawrence, J., Mackay, K., Ramsay, K. and McGregor, R. (2023) ‘Dangerous care: developing theory to safeguard older adults in caring relationships in the UK’, </w:t>
      </w:r>
      <w:r w:rsidRPr="4BBFE524">
        <w:rPr>
          <w:i/>
          <w:iCs/>
          <w:sz w:val="22"/>
          <w:szCs w:val="22"/>
          <w:lang w:val="en-IN"/>
        </w:rPr>
        <w:t>The Journal of Adult Protection</w:t>
      </w:r>
      <w:r w:rsidRPr="4BBFE524">
        <w:rPr>
          <w:sz w:val="22"/>
          <w:szCs w:val="22"/>
          <w:lang w:val="en-IN"/>
        </w:rPr>
        <w:t xml:space="preserve">, 25(3). Available at: </w:t>
      </w:r>
      <w:hyperlink r:id="rId24">
        <w:r w:rsidRPr="4BBFE524">
          <w:rPr>
            <w:rStyle w:val="Hyperlink"/>
            <w:sz w:val="22"/>
            <w:szCs w:val="22"/>
            <w:lang w:val="en-IN"/>
          </w:rPr>
          <w:t>https://doi.org/10.1108/jap-10-2022-0023</w:t>
        </w:r>
      </w:hyperlink>
      <w:r w:rsidRPr="4BBFE524">
        <w:rPr>
          <w:sz w:val="22"/>
          <w:szCs w:val="22"/>
          <w:lang w:val="en-IN"/>
        </w:rPr>
        <w:t>.</w:t>
      </w:r>
    </w:p>
    <w:p w14:paraId="554CB67B" w14:textId="6B642A70" w:rsidR="00456909" w:rsidRDefault="0DC90D50" w:rsidP="4BBFE524">
      <w:pPr>
        <w:spacing w:line="278" w:lineRule="auto"/>
        <w:rPr>
          <w:sz w:val="22"/>
          <w:szCs w:val="22"/>
        </w:rPr>
      </w:pPr>
      <w:r w:rsidRPr="4BBFE524">
        <w:rPr>
          <w:sz w:val="22"/>
          <w:szCs w:val="22"/>
        </w:rPr>
        <w:t xml:space="preserve"> </w:t>
      </w:r>
    </w:p>
    <w:p w14:paraId="5A86E5AB" w14:textId="57E8A796" w:rsidR="00456909" w:rsidRDefault="00456909" w:rsidP="4BBFE524">
      <w:pPr>
        <w:spacing w:line="278" w:lineRule="auto"/>
        <w:rPr>
          <w:sz w:val="22"/>
          <w:szCs w:val="22"/>
        </w:rPr>
      </w:pPr>
    </w:p>
    <w:p w14:paraId="5E5787A5" w14:textId="5845A673" w:rsidR="00456909" w:rsidRDefault="00456909" w:rsidP="4BBFE524">
      <w:pPr>
        <w:rPr>
          <w:sz w:val="22"/>
          <w:szCs w:val="22"/>
        </w:rPr>
      </w:pPr>
    </w:p>
    <w:sectPr w:rsidR="0045690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6E9617"/>
    <w:rsid w:val="000361C4"/>
    <w:rsid w:val="00170CEA"/>
    <w:rsid w:val="00456909"/>
    <w:rsid w:val="006D4C20"/>
    <w:rsid w:val="0DC90D50"/>
    <w:rsid w:val="0FD58D66"/>
    <w:rsid w:val="2C808398"/>
    <w:rsid w:val="336E9617"/>
    <w:rsid w:val="3BEF06D4"/>
    <w:rsid w:val="4BBFE524"/>
    <w:rsid w:val="4F273C1E"/>
    <w:rsid w:val="50F8E486"/>
    <w:rsid w:val="5632EF0C"/>
    <w:rsid w:val="72A9C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E9617"/>
  <w15:chartTrackingRefBased/>
  <w15:docId w15:val="{AB348B7E-9F20-439E-A7DD-27D66CC4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4BBFE5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4BBFE52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rathprints.strath.ac.uk/86030/1/Darby_etal_2023_ongoing_UK_workforce_crisis_in_adult_social_care.pdf" TargetMode="External"/><Relationship Id="rId13" Type="http://schemas.openxmlformats.org/officeDocument/2006/relationships/hyperlink" Target="https://repository.tavistockandportman.ac.uk/2894/1/Kay%20-%20Safeguarding.pdf" TargetMode="External"/><Relationship Id="rId18" Type="http://schemas.openxmlformats.org/officeDocument/2006/relationships/hyperlink" Target="https://www.england.nhs.uk/wp-content/uploads/2015/07/B0818_Safeguarding-children-young-people-and-adults-at-risk-in-the-NHS-Safeguarding-accountability-and-assuran.pdf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doi.org/10.1017/s1537592721001924" TargetMode="External"/><Relationship Id="rId7" Type="http://schemas.openxmlformats.org/officeDocument/2006/relationships/hyperlink" Target="https://doi.org/10.3390/admsci13020041" TargetMode="External"/><Relationship Id="rId12" Type="http://schemas.openxmlformats.org/officeDocument/2006/relationships/hyperlink" Target="https://doi.org/10.1186/s41073-023-00133-5" TargetMode="External"/><Relationship Id="rId17" Type="http://schemas.openxmlformats.org/officeDocument/2006/relationships/hyperlink" Target="https://doi.org/10.1177/16094069251383468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lancashiresafeguarding.org.uk/media/19332/adult-k-overview-report-final.pdf" TargetMode="External"/><Relationship Id="rId20" Type="http://schemas.openxmlformats.org/officeDocument/2006/relationships/hyperlink" Target="https://doi.org/10.1108/jap-09-2022-0016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16/j.fsisyn.2021.100198" TargetMode="External"/><Relationship Id="rId11" Type="http://schemas.openxmlformats.org/officeDocument/2006/relationships/hyperlink" Target="https://e-space.mmu.ac.uk/640306/1/Safeguarding_Accountability_in_the_UK_-_Whistleblowing_as_a_Response_to_State_Secrecy_and_Abuse_of_Power.pdf" TargetMode="External"/><Relationship Id="rId24" Type="http://schemas.openxmlformats.org/officeDocument/2006/relationships/hyperlink" Target="https://doi.org/10.1108/jap-10-2022-0023" TargetMode="External"/><Relationship Id="rId5" Type="http://schemas.openxmlformats.org/officeDocument/2006/relationships/hyperlink" Target="https://doi.org/10.3386/w30063" TargetMode="External"/><Relationship Id="rId15" Type="http://schemas.openxmlformats.org/officeDocument/2006/relationships/hyperlink" Target="https://www.thefosteringnetwork.org.uk/media/d45b44zp/the-independent-review-of-childrens-social-care-final-report.pdf" TargetMode="External"/><Relationship Id="rId23" Type="http://schemas.openxmlformats.org/officeDocument/2006/relationships/hyperlink" Target="https://assets.publishing.service.gov.uk/media/682d8d995ba51be7c0f45371/independent-sentencing-review-report-part_2.pdf" TargetMode="External"/><Relationship Id="rId10" Type="http://schemas.openxmlformats.org/officeDocument/2006/relationships/hyperlink" Target="http://eprints.staffs.ac.uk/7401/" TargetMode="External"/><Relationship Id="rId19" Type="http://schemas.openxmlformats.org/officeDocument/2006/relationships/hyperlink" Target="https://doi.org/10.1016/j.ijlp.2024.101966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statistics/safeguarding-adults-england-2024-to-2025/safeguarding-adults-england-2024-to-2025-statistical-commentary" TargetMode="External"/><Relationship Id="rId14" Type="http://schemas.openxmlformats.org/officeDocument/2006/relationships/hyperlink" Target="https://doi.org/10.1002/puh2.213" TargetMode="External"/><Relationship Id="rId22" Type="http://schemas.openxmlformats.org/officeDocument/2006/relationships/hyperlink" Target="https://www.qpsdfvinquiry.qld.gov.au/public-hearings/assets/exhibits/week-4/report-prenzler-and-maguire-term-of-reference-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1113</Words>
  <Characters>6349</Characters>
  <Application>Microsoft Office Word</Application>
  <DocSecurity>0</DocSecurity>
  <Lines>52</Lines>
  <Paragraphs>14</Paragraphs>
  <ScaleCrop>false</ScaleCrop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Asteria Joseph Nyamhanga Wilson (2311121)</dc:creator>
  <cp:keywords/>
  <dc:description/>
  <cp:lastModifiedBy>Asteria Joseph Nyamhanga Wilson (2311121)</cp:lastModifiedBy>
  <cp:revision>2</cp:revision>
  <dcterms:created xsi:type="dcterms:W3CDTF">2026-03-13T19:36:00Z</dcterms:created>
  <dcterms:modified xsi:type="dcterms:W3CDTF">2026-03-13T19:36:00Z</dcterms:modified>
</cp:coreProperties>
</file>