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59B96" w14:textId="3471CEA3" w:rsidR="0018088F" w:rsidRDefault="0018088F" w:rsidP="00A57168">
      <w:pPr>
        <w:spacing w:line="480" w:lineRule="auto"/>
        <w:rPr>
          <w:rFonts w:ascii="Arial" w:hAnsi="Arial" w:cs="Arial"/>
          <w:sz w:val="28"/>
          <w:szCs w:val="28"/>
          <w:u w:val="single"/>
          <w:lang w:val="en-US"/>
        </w:rPr>
      </w:pPr>
      <w:r>
        <w:rPr>
          <w:rFonts w:ascii="Arial" w:hAnsi="Arial" w:cs="Arial"/>
          <w:sz w:val="28"/>
          <w:szCs w:val="28"/>
          <w:lang w:val="en-US"/>
        </w:rPr>
        <w:t xml:space="preserve">                                         </w:t>
      </w:r>
      <w:r w:rsidRPr="0018088F">
        <w:rPr>
          <w:rFonts w:ascii="Arial" w:hAnsi="Arial" w:cs="Arial"/>
          <w:sz w:val="28"/>
          <w:szCs w:val="28"/>
          <w:u w:val="single"/>
          <w:lang w:val="en-US"/>
        </w:rPr>
        <w:t>Equitable Remedies</w:t>
      </w:r>
      <w:r>
        <w:rPr>
          <w:rFonts w:ascii="Arial" w:hAnsi="Arial" w:cs="Arial"/>
          <w:sz w:val="28"/>
          <w:szCs w:val="28"/>
          <w:lang w:val="en-US"/>
        </w:rPr>
        <w:t xml:space="preserve">                         </w:t>
      </w:r>
      <w:r w:rsidRPr="0018088F">
        <w:rPr>
          <w:rFonts w:ascii="Arial" w:hAnsi="Arial" w:cs="Arial"/>
          <w:sz w:val="28"/>
          <w:szCs w:val="28"/>
          <w:u w:val="single"/>
          <w:lang w:val="en-US"/>
        </w:rPr>
        <w:t>Assignment 1</w:t>
      </w:r>
    </w:p>
    <w:p w14:paraId="1824596E" w14:textId="157B1DE7" w:rsidR="00701CCE" w:rsidRDefault="0006433B" w:rsidP="00A57168">
      <w:pPr>
        <w:spacing w:line="480" w:lineRule="auto"/>
        <w:rPr>
          <w:rFonts w:ascii="Arial" w:hAnsi="Arial" w:cs="Arial"/>
          <w:lang w:val="en-US"/>
        </w:rPr>
      </w:pPr>
      <w:r>
        <w:rPr>
          <w:rFonts w:ascii="Arial" w:hAnsi="Arial" w:cs="Arial"/>
          <w:lang w:val="en-US"/>
        </w:rPr>
        <w:tab/>
        <w:t>Injunctions are court orders commonly used to instruct a person or persons to cease doing some specific act or, in rare instances, to perform an act</w:t>
      </w:r>
      <w:r w:rsidR="00BF60AF">
        <w:rPr>
          <w:rFonts w:ascii="Arial" w:hAnsi="Arial" w:cs="Arial"/>
          <w:lang w:val="en-US"/>
        </w:rPr>
        <w:t xml:space="preserve"> (Walker Morris, 2015)</w:t>
      </w:r>
      <w:r>
        <w:rPr>
          <w:rFonts w:ascii="Arial" w:hAnsi="Arial" w:cs="Arial"/>
          <w:lang w:val="en-US"/>
        </w:rPr>
        <w:t>. As equitable remedies were created to compensate for the inadequacy of damages in common law, injunctions are subject to discretion and will be used only where damages are insufficient</w:t>
      </w:r>
      <w:r w:rsidR="00A90EBE">
        <w:rPr>
          <w:rFonts w:ascii="Arial" w:hAnsi="Arial" w:cs="Arial"/>
          <w:lang w:val="en-US"/>
        </w:rPr>
        <w:t xml:space="preserve"> in common law (Watt, 2021, p.482)</w:t>
      </w:r>
      <w:r w:rsidR="00CA0284">
        <w:rPr>
          <w:rFonts w:ascii="Arial" w:hAnsi="Arial" w:cs="Arial"/>
          <w:lang w:val="en-US"/>
        </w:rPr>
        <w:t>.</w:t>
      </w:r>
      <w:r w:rsidR="00A90EBE">
        <w:rPr>
          <w:rFonts w:ascii="Arial" w:hAnsi="Arial" w:cs="Arial"/>
          <w:lang w:val="en-US"/>
        </w:rPr>
        <w:t xml:space="preserve"> In the case of</w:t>
      </w:r>
      <w:r w:rsidR="00024C1B">
        <w:rPr>
          <w:rFonts w:ascii="Arial" w:hAnsi="Arial" w:cs="Arial"/>
          <w:lang w:val="en-US"/>
        </w:rPr>
        <w:t xml:space="preserve"> </w:t>
      </w:r>
      <w:r w:rsidR="00024C1B">
        <w:rPr>
          <w:rFonts w:ascii="Arial" w:hAnsi="Arial" w:cs="Arial"/>
          <w:i/>
          <w:iCs/>
          <w:lang w:val="en-US"/>
        </w:rPr>
        <w:t xml:space="preserve">‘American Cyanamid Co v Ethicon Ltd’ </w:t>
      </w:r>
      <w:r w:rsidR="00024C1B">
        <w:rPr>
          <w:rFonts w:ascii="Arial" w:hAnsi="Arial" w:cs="Arial"/>
          <w:lang w:val="en-US"/>
        </w:rPr>
        <w:t xml:space="preserve">(1975), Lord Diplock emphasized that if by any means </w:t>
      </w:r>
      <w:r w:rsidR="00CA02E1">
        <w:rPr>
          <w:rFonts w:ascii="Arial" w:hAnsi="Arial" w:cs="Arial"/>
          <w:lang w:val="en-US"/>
        </w:rPr>
        <w:t>damages recoverable in common law is sufficient remedy and the defending party can pay them, then no injunction would be necessary with respect to the applicant’s claim.</w:t>
      </w:r>
      <w:r w:rsidR="002A4AA3">
        <w:rPr>
          <w:rFonts w:ascii="Arial" w:hAnsi="Arial" w:cs="Arial"/>
          <w:lang w:val="en-US"/>
        </w:rPr>
        <w:t xml:space="preserve"> </w:t>
      </w:r>
      <w:r w:rsidR="00511399">
        <w:rPr>
          <w:rFonts w:ascii="Arial" w:hAnsi="Arial" w:cs="Arial"/>
          <w:lang w:val="en-US"/>
        </w:rPr>
        <w:t>On the other hand, a defendant will be subject to punishments such as fines or imprisonment if they fail to comply with an injunction ordered against them as expressed by Murray (2020).</w:t>
      </w:r>
      <w:r w:rsidR="002D4287">
        <w:rPr>
          <w:rFonts w:ascii="Arial" w:hAnsi="Arial" w:cs="Arial"/>
          <w:lang w:val="en-US"/>
        </w:rPr>
        <w:t xml:space="preserve"> Importantly,</w:t>
      </w:r>
      <w:r w:rsidR="002A4AA3">
        <w:rPr>
          <w:rFonts w:ascii="Arial" w:hAnsi="Arial" w:cs="Arial"/>
          <w:lang w:val="en-US"/>
        </w:rPr>
        <w:t xml:space="preserve"> </w:t>
      </w:r>
      <w:r w:rsidR="002D4287">
        <w:rPr>
          <w:rFonts w:ascii="Arial" w:hAnsi="Arial" w:cs="Arial"/>
          <w:lang w:val="en-US"/>
        </w:rPr>
        <w:t>i</w:t>
      </w:r>
      <w:r w:rsidR="00CA02E1">
        <w:rPr>
          <w:rFonts w:ascii="Arial" w:hAnsi="Arial" w:cs="Arial"/>
          <w:lang w:val="en-US"/>
        </w:rPr>
        <w:t>t could be argued that</w:t>
      </w:r>
      <w:r w:rsidR="00511399">
        <w:rPr>
          <w:rFonts w:ascii="Arial" w:hAnsi="Arial" w:cs="Arial"/>
          <w:lang w:val="en-US"/>
        </w:rPr>
        <w:t xml:space="preserve"> guidelines such as observing rather damages in common law would be appropriate or not, are created to minimize</w:t>
      </w:r>
      <w:r w:rsidR="002D4287">
        <w:rPr>
          <w:rFonts w:ascii="Arial" w:hAnsi="Arial" w:cs="Arial"/>
          <w:lang w:val="en-US"/>
        </w:rPr>
        <w:t xml:space="preserve"> </w:t>
      </w:r>
      <w:r w:rsidR="002D4287">
        <w:rPr>
          <w:rFonts w:ascii="Arial" w:hAnsi="Arial" w:cs="Arial"/>
          <w:lang w:val="en-US"/>
        </w:rPr>
        <w:t>unnecessary expenses and punishment</w:t>
      </w:r>
      <w:r w:rsidR="002D4287">
        <w:rPr>
          <w:rFonts w:ascii="Arial" w:hAnsi="Arial" w:cs="Arial"/>
          <w:lang w:val="en-US"/>
        </w:rPr>
        <w:t xml:space="preserve">s </w:t>
      </w:r>
      <w:r w:rsidR="00CA02E1">
        <w:rPr>
          <w:rFonts w:ascii="Arial" w:hAnsi="Arial" w:cs="Arial"/>
          <w:lang w:val="en-US"/>
        </w:rPr>
        <w:t>due to the effects that an injunction</w:t>
      </w:r>
      <w:r w:rsidR="002D4287">
        <w:rPr>
          <w:rFonts w:ascii="Arial" w:hAnsi="Arial" w:cs="Arial"/>
          <w:lang w:val="en-US"/>
        </w:rPr>
        <w:t xml:space="preserve"> can have</w:t>
      </w:r>
      <w:r w:rsidR="00CA02E1">
        <w:rPr>
          <w:rFonts w:ascii="Arial" w:hAnsi="Arial" w:cs="Arial"/>
          <w:lang w:val="en-US"/>
        </w:rPr>
        <w:t xml:space="preserve"> </w:t>
      </w:r>
      <w:r w:rsidR="002D4287">
        <w:rPr>
          <w:rFonts w:ascii="Arial" w:hAnsi="Arial" w:cs="Arial"/>
          <w:lang w:val="en-US"/>
        </w:rPr>
        <w:t xml:space="preserve">towards </w:t>
      </w:r>
      <w:r w:rsidR="00CA02E1">
        <w:rPr>
          <w:rFonts w:ascii="Arial" w:hAnsi="Arial" w:cs="Arial"/>
          <w:lang w:val="en-US"/>
        </w:rPr>
        <w:t>defendant</w:t>
      </w:r>
      <w:r w:rsidR="00C3028D">
        <w:rPr>
          <w:rFonts w:ascii="Arial" w:hAnsi="Arial" w:cs="Arial"/>
          <w:lang w:val="en-US"/>
        </w:rPr>
        <w:t>s as observed by Navneet (2019)</w:t>
      </w:r>
      <w:r w:rsidR="002D4287">
        <w:rPr>
          <w:rFonts w:ascii="Arial" w:hAnsi="Arial" w:cs="Arial"/>
          <w:lang w:val="en-US"/>
        </w:rPr>
        <w:t>.</w:t>
      </w:r>
      <w:r w:rsidR="00C74D40">
        <w:rPr>
          <w:rFonts w:ascii="Arial" w:hAnsi="Arial" w:cs="Arial"/>
          <w:lang w:val="en-US"/>
        </w:rPr>
        <w:t xml:space="preserve"> </w:t>
      </w:r>
      <w:r w:rsidR="000E3991">
        <w:rPr>
          <w:rFonts w:ascii="Arial" w:hAnsi="Arial" w:cs="Arial"/>
          <w:lang w:val="en-US"/>
        </w:rPr>
        <w:t>Although</w:t>
      </w:r>
      <w:r w:rsidR="00C74D40">
        <w:rPr>
          <w:rFonts w:ascii="Arial" w:hAnsi="Arial" w:cs="Arial"/>
          <w:lang w:val="en-US"/>
        </w:rPr>
        <w:t xml:space="preserve"> an injunct</w:t>
      </w:r>
      <w:r w:rsidR="000E3991">
        <w:rPr>
          <w:rFonts w:ascii="Arial" w:hAnsi="Arial" w:cs="Arial"/>
          <w:lang w:val="en-US"/>
        </w:rPr>
        <w:t>ion is beneficial to the claimant in various</w:t>
      </w:r>
      <w:r w:rsidR="00615BFD">
        <w:rPr>
          <w:rFonts w:ascii="Arial" w:hAnsi="Arial" w:cs="Arial"/>
          <w:lang w:val="en-US"/>
        </w:rPr>
        <w:t xml:space="preserve"> ways</w:t>
      </w:r>
      <w:r w:rsidR="000E3991">
        <w:rPr>
          <w:rFonts w:ascii="Arial" w:hAnsi="Arial" w:cs="Arial"/>
          <w:lang w:val="en-US"/>
        </w:rPr>
        <w:t xml:space="preserve"> such </w:t>
      </w:r>
      <w:r w:rsidR="00D2009A">
        <w:rPr>
          <w:rFonts w:ascii="Arial" w:hAnsi="Arial" w:cs="Arial"/>
          <w:lang w:val="en-US"/>
        </w:rPr>
        <w:t xml:space="preserve">as </w:t>
      </w:r>
      <w:r w:rsidR="000E3991">
        <w:rPr>
          <w:rFonts w:ascii="Arial" w:hAnsi="Arial" w:cs="Arial"/>
          <w:lang w:val="en-US"/>
        </w:rPr>
        <w:t xml:space="preserve">preventing irreparable harm, it is a difficult action to acquire as seen in the case of </w:t>
      </w:r>
      <w:r w:rsidR="000E3991">
        <w:rPr>
          <w:rFonts w:ascii="Arial" w:hAnsi="Arial" w:cs="Arial"/>
          <w:i/>
          <w:iCs/>
          <w:lang w:val="en-US"/>
        </w:rPr>
        <w:t xml:space="preserve">‘American Cyanamid Co v Ethicon Ltd’ </w:t>
      </w:r>
      <w:r w:rsidR="000E3991">
        <w:rPr>
          <w:rFonts w:ascii="Arial" w:hAnsi="Arial" w:cs="Arial"/>
          <w:lang w:val="en-US"/>
        </w:rPr>
        <w:t>(1975); In this case, the following guidelines were suggested to consider whether an injunction should</w:t>
      </w:r>
      <w:r w:rsidR="008C69C6">
        <w:rPr>
          <w:rFonts w:ascii="Arial" w:hAnsi="Arial" w:cs="Arial"/>
          <w:lang w:val="en-US"/>
        </w:rPr>
        <w:t xml:space="preserve"> be</w:t>
      </w:r>
      <w:r w:rsidR="000E3991">
        <w:rPr>
          <w:rFonts w:ascii="Arial" w:hAnsi="Arial" w:cs="Arial"/>
          <w:lang w:val="en-US"/>
        </w:rPr>
        <w:t xml:space="preserve"> granted:1) Whether there is an arguable or serious case, 2) Whether damages will be adequate </w:t>
      </w:r>
      <w:r w:rsidR="0001299C">
        <w:rPr>
          <w:rFonts w:ascii="Arial" w:hAnsi="Arial" w:cs="Arial"/>
          <w:lang w:val="en-US"/>
        </w:rPr>
        <w:t xml:space="preserve">remedy for the applicant, 3) ‘Balance of convenience’ (who will suffer the most between the parties), and/or 4) </w:t>
      </w:r>
      <w:r w:rsidR="008C69C6">
        <w:rPr>
          <w:rFonts w:ascii="Arial" w:hAnsi="Arial" w:cs="Arial"/>
          <w:lang w:val="en-US"/>
        </w:rPr>
        <w:t>Whether the ‘status quo’ ought-to be kept alive.</w:t>
      </w:r>
      <w:r w:rsidR="00D2009A">
        <w:rPr>
          <w:rFonts w:ascii="Arial" w:hAnsi="Arial" w:cs="Arial"/>
          <w:lang w:val="en-US"/>
        </w:rPr>
        <w:t xml:space="preserve"> As an example, </w:t>
      </w:r>
      <w:r w:rsidR="00F61FD2">
        <w:rPr>
          <w:rFonts w:ascii="Arial" w:hAnsi="Arial" w:cs="Arial"/>
          <w:lang w:val="en-US"/>
        </w:rPr>
        <w:t xml:space="preserve">the claimant in </w:t>
      </w:r>
      <w:r w:rsidR="00F61FD2">
        <w:rPr>
          <w:rFonts w:ascii="Arial" w:hAnsi="Arial" w:cs="Arial"/>
          <w:i/>
          <w:iCs/>
          <w:lang w:val="en-US"/>
        </w:rPr>
        <w:t xml:space="preserve">‘Day v Brownrigg’ </w:t>
      </w:r>
      <w:r w:rsidR="00F61FD2">
        <w:rPr>
          <w:rFonts w:ascii="Arial" w:hAnsi="Arial" w:cs="Arial"/>
          <w:lang w:val="en-US"/>
        </w:rPr>
        <w:t xml:space="preserve">(1878) was refused an injunction for preventing his neighbor from naming his house </w:t>
      </w:r>
      <w:r w:rsidR="00F61FD2">
        <w:rPr>
          <w:rFonts w:ascii="Arial" w:hAnsi="Arial" w:cs="Arial"/>
          <w:lang w:val="en-US"/>
        </w:rPr>
        <w:lastRenderedPageBreak/>
        <w:t xml:space="preserve">‘Ashford Lodge’ (same name as his house) because there was no infringement of the claimant’s right by the defendant for naming his </w:t>
      </w:r>
      <w:r w:rsidR="003645F1">
        <w:rPr>
          <w:rFonts w:ascii="Arial" w:hAnsi="Arial" w:cs="Arial"/>
          <w:lang w:val="en-US"/>
        </w:rPr>
        <w:t xml:space="preserve">house </w:t>
      </w:r>
      <w:r w:rsidR="00F61FD2">
        <w:rPr>
          <w:rFonts w:ascii="Arial" w:hAnsi="Arial" w:cs="Arial"/>
          <w:lang w:val="en-US"/>
        </w:rPr>
        <w:t xml:space="preserve">that way according to the court. </w:t>
      </w:r>
      <w:r w:rsidR="00C955B7">
        <w:rPr>
          <w:rFonts w:ascii="Arial" w:hAnsi="Arial" w:cs="Arial"/>
          <w:lang w:val="en-US"/>
        </w:rPr>
        <w:t>Furthermore, depending on the urgency of an applicant, an injunction may be produced at the final hearing of a dispute (final injunctions) or before a hearing, which is known as an interim injunction (Watt, 2021,</w:t>
      </w:r>
      <w:r w:rsidR="00615BFD">
        <w:rPr>
          <w:rFonts w:ascii="Arial" w:hAnsi="Arial" w:cs="Arial"/>
          <w:lang w:val="en-US"/>
        </w:rPr>
        <w:t xml:space="preserve"> p. 483)</w:t>
      </w:r>
      <w:r w:rsidR="00C955B7">
        <w:rPr>
          <w:rFonts w:ascii="Arial" w:hAnsi="Arial" w:cs="Arial"/>
          <w:lang w:val="en-US"/>
        </w:rPr>
        <w:t>.</w:t>
      </w:r>
      <w:r w:rsidR="007A4EF3">
        <w:rPr>
          <w:rFonts w:ascii="Arial" w:hAnsi="Arial" w:cs="Arial"/>
          <w:lang w:val="en-US"/>
        </w:rPr>
        <w:t xml:space="preserve"> </w:t>
      </w:r>
      <w:r w:rsidR="005203B9">
        <w:rPr>
          <w:rFonts w:ascii="Arial" w:hAnsi="Arial" w:cs="Arial"/>
          <w:lang w:val="en-US"/>
        </w:rPr>
        <w:t>In particular, P</w:t>
      </w:r>
      <w:r w:rsidR="007A4EF3">
        <w:rPr>
          <w:rFonts w:ascii="Arial" w:hAnsi="Arial" w:cs="Arial"/>
          <w:lang w:val="en-US"/>
        </w:rPr>
        <w:t xml:space="preserve">art 25 of the CPR (Civil Procedure </w:t>
      </w:r>
      <w:r w:rsidR="007A4EF3">
        <w:rPr>
          <w:rFonts w:ascii="Arial" w:hAnsi="Arial" w:cs="Arial"/>
          <w:lang w:val="en-US"/>
        </w:rPr>
        <w:t>Rules) deals</w:t>
      </w:r>
      <w:r w:rsidR="007A4EF3">
        <w:rPr>
          <w:rFonts w:ascii="Arial" w:hAnsi="Arial" w:cs="Arial"/>
          <w:lang w:val="en-US"/>
        </w:rPr>
        <w:t xml:space="preserve"> with interim </w:t>
      </w:r>
      <w:r w:rsidR="009653D7">
        <w:rPr>
          <w:rFonts w:ascii="Arial" w:hAnsi="Arial" w:cs="Arial"/>
          <w:lang w:val="en-US"/>
        </w:rPr>
        <w:t>injunctions</w:t>
      </w:r>
      <w:r w:rsidR="007A4EF3">
        <w:rPr>
          <w:rFonts w:ascii="Arial" w:hAnsi="Arial" w:cs="Arial"/>
          <w:lang w:val="en-US"/>
        </w:rPr>
        <w:t xml:space="preserve"> and i</w:t>
      </w:r>
      <w:r w:rsidR="007A4EF3">
        <w:rPr>
          <w:rFonts w:ascii="Arial" w:hAnsi="Arial" w:cs="Arial"/>
          <w:lang w:val="en-US"/>
        </w:rPr>
        <w:t>t is responsible for the simplification of terms such as: interlocutory injunctions to “interim injunctions”, ‘Mareva Injunction</w:t>
      </w:r>
      <w:r w:rsidR="007A4EF3">
        <w:rPr>
          <w:rFonts w:ascii="Arial" w:hAnsi="Arial" w:cs="Arial"/>
          <w:lang w:val="en-US"/>
        </w:rPr>
        <w:t>’</w:t>
      </w:r>
      <w:r w:rsidR="007A4EF3">
        <w:rPr>
          <w:rFonts w:ascii="Arial" w:hAnsi="Arial" w:cs="Arial"/>
          <w:lang w:val="en-US"/>
        </w:rPr>
        <w:t xml:space="preserve"> to freezing order, and </w:t>
      </w:r>
      <w:r w:rsidR="007A4EF3">
        <w:rPr>
          <w:rFonts w:ascii="Arial" w:hAnsi="Arial" w:cs="Arial"/>
          <w:lang w:val="en-US"/>
        </w:rPr>
        <w:t>‘</w:t>
      </w:r>
      <w:r w:rsidR="007A4EF3">
        <w:rPr>
          <w:rFonts w:ascii="Arial" w:hAnsi="Arial" w:cs="Arial"/>
          <w:lang w:val="en-US"/>
        </w:rPr>
        <w:t xml:space="preserve">Anton Piller </w:t>
      </w:r>
      <w:r w:rsidR="007A4EF3">
        <w:rPr>
          <w:rFonts w:ascii="Arial" w:hAnsi="Arial" w:cs="Arial"/>
          <w:lang w:val="en-US"/>
        </w:rPr>
        <w:t>Order’ to</w:t>
      </w:r>
      <w:r w:rsidR="007A4EF3">
        <w:rPr>
          <w:rFonts w:ascii="Arial" w:hAnsi="Arial" w:cs="Arial"/>
          <w:lang w:val="en-US"/>
        </w:rPr>
        <w:t xml:space="preserve"> search order</w:t>
      </w:r>
      <w:r w:rsidR="007A4EF3">
        <w:rPr>
          <w:rFonts w:ascii="Arial" w:hAnsi="Arial" w:cs="Arial"/>
          <w:lang w:val="en-US"/>
        </w:rPr>
        <w:t xml:space="preserve"> </w:t>
      </w:r>
      <w:r w:rsidR="005203B9">
        <w:rPr>
          <w:rFonts w:ascii="Arial" w:hAnsi="Arial" w:cs="Arial"/>
          <w:lang w:val="en-US"/>
        </w:rPr>
        <w:t>(</w:t>
      </w:r>
      <w:proofErr w:type="spellStart"/>
      <w:r w:rsidR="005203B9">
        <w:rPr>
          <w:rFonts w:ascii="Arial" w:hAnsi="Arial" w:cs="Arial"/>
          <w:lang w:val="en-US"/>
        </w:rPr>
        <w:t>Neenan</w:t>
      </w:r>
      <w:proofErr w:type="spellEnd"/>
      <w:r w:rsidR="005203B9">
        <w:rPr>
          <w:rFonts w:ascii="Arial" w:hAnsi="Arial" w:cs="Arial"/>
          <w:lang w:val="en-US"/>
        </w:rPr>
        <w:t xml:space="preserve">, 2015, p. 6). </w:t>
      </w:r>
      <w:r w:rsidR="005C24BA">
        <w:rPr>
          <w:rFonts w:ascii="Arial" w:hAnsi="Arial" w:cs="Arial"/>
          <w:lang w:val="en-US"/>
        </w:rPr>
        <w:t>It should be noted</w:t>
      </w:r>
      <w:r w:rsidR="0091460F">
        <w:rPr>
          <w:rFonts w:ascii="Arial" w:hAnsi="Arial" w:cs="Arial"/>
          <w:lang w:val="en-US"/>
        </w:rPr>
        <w:t xml:space="preserve">, </w:t>
      </w:r>
      <w:r w:rsidR="005C24BA">
        <w:rPr>
          <w:rFonts w:ascii="Arial" w:hAnsi="Arial" w:cs="Arial"/>
          <w:lang w:val="en-US"/>
        </w:rPr>
        <w:t xml:space="preserve">that </w:t>
      </w:r>
      <w:r w:rsidR="005203B9">
        <w:rPr>
          <w:rFonts w:ascii="Arial" w:hAnsi="Arial" w:cs="Arial"/>
          <w:lang w:val="en-US"/>
        </w:rPr>
        <w:t>Interim injunction</w:t>
      </w:r>
      <w:r w:rsidR="005C24BA">
        <w:rPr>
          <w:rFonts w:ascii="Arial" w:hAnsi="Arial" w:cs="Arial"/>
          <w:lang w:val="en-US"/>
        </w:rPr>
        <w:t>s</w:t>
      </w:r>
      <w:r w:rsidR="005203B9">
        <w:rPr>
          <w:rFonts w:ascii="Arial" w:hAnsi="Arial" w:cs="Arial"/>
          <w:lang w:val="en-US"/>
        </w:rPr>
        <w:t xml:space="preserve"> </w:t>
      </w:r>
      <w:r w:rsidR="005C24BA">
        <w:rPr>
          <w:rFonts w:ascii="Arial" w:hAnsi="Arial" w:cs="Arial"/>
          <w:lang w:val="en-US"/>
        </w:rPr>
        <w:t>are</w:t>
      </w:r>
      <w:r w:rsidR="005203B9">
        <w:rPr>
          <w:rFonts w:ascii="Arial" w:hAnsi="Arial" w:cs="Arial"/>
          <w:lang w:val="en-US"/>
        </w:rPr>
        <w:t xml:space="preserve"> </w:t>
      </w:r>
      <w:r w:rsidR="005203B9">
        <w:rPr>
          <w:rFonts w:ascii="Arial" w:hAnsi="Arial" w:cs="Arial"/>
          <w:lang w:val="en-US"/>
        </w:rPr>
        <w:t xml:space="preserve">considered </w:t>
      </w:r>
      <w:r w:rsidR="005203B9">
        <w:rPr>
          <w:rFonts w:ascii="Arial" w:hAnsi="Arial" w:cs="Arial"/>
          <w:lang w:val="en-US"/>
        </w:rPr>
        <w:t>a</w:t>
      </w:r>
      <w:r w:rsidR="00644BF4">
        <w:rPr>
          <w:rFonts w:ascii="Arial" w:hAnsi="Arial" w:cs="Arial"/>
          <w:lang w:val="en-US"/>
        </w:rPr>
        <w:t>s a</w:t>
      </w:r>
      <w:r w:rsidR="005203B9">
        <w:rPr>
          <w:rFonts w:ascii="Arial" w:hAnsi="Arial" w:cs="Arial"/>
          <w:lang w:val="en-US"/>
        </w:rPr>
        <w:t xml:space="preserve"> provisional measure before trial in a legal proceeding</w:t>
      </w:r>
      <w:r w:rsidR="005203B9">
        <w:rPr>
          <w:rFonts w:ascii="Arial" w:hAnsi="Arial" w:cs="Arial"/>
          <w:lang w:val="en-US"/>
        </w:rPr>
        <w:t xml:space="preserve"> with the objective of supporting</w:t>
      </w:r>
      <w:r w:rsidR="005203B9">
        <w:rPr>
          <w:rFonts w:ascii="Arial" w:hAnsi="Arial" w:cs="Arial"/>
          <w:lang w:val="en-US"/>
        </w:rPr>
        <w:t xml:space="preserve"> the status quo of </w:t>
      </w:r>
      <w:r w:rsidR="005C24BA">
        <w:rPr>
          <w:rFonts w:ascii="Arial" w:hAnsi="Arial" w:cs="Arial"/>
          <w:lang w:val="en-US"/>
        </w:rPr>
        <w:t>a</w:t>
      </w:r>
      <w:r w:rsidR="005203B9">
        <w:rPr>
          <w:rFonts w:ascii="Arial" w:hAnsi="Arial" w:cs="Arial"/>
          <w:lang w:val="en-US"/>
        </w:rPr>
        <w:t xml:space="preserve"> case</w:t>
      </w:r>
      <w:r w:rsidR="003166A3">
        <w:rPr>
          <w:rFonts w:ascii="Arial" w:hAnsi="Arial" w:cs="Arial"/>
          <w:lang w:val="en-US"/>
        </w:rPr>
        <w:t xml:space="preserve"> (Matthews, 1988, p. 164)</w:t>
      </w:r>
      <w:r w:rsidR="005203B9">
        <w:rPr>
          <w:rFonts w:ascii="Arial" w:hAnsi="Arial" w:cs="Arial"/>
          <w:lang w:val="en-US"/>
        </w:rPr>
        <w:t>.</w:t>
      </w:r>
      <w:r w:rsidR="005C24BA">
        <w:rPr>
          <w:rFonts w:ascii="Arial" w:hAnsi="Arial" w:cs="Arial"/>
          <w:lang w:val="en-US"/>
        </w:rPr>
        <w:t xml:space="preserve"> Indeed, interim injunctions (Interlocutory) is known to be an equitable remedy made available to make certain that no irreparable harm happens to the rights of parties prior to the final hearing</w:t>
      </w:r>
      <w:r w:rsidR="00BB4728">
        <w:rPr>
          <w:rFonts w:ascii="Arial" w:hAnsi="Arial" w:cs="Arial"/>
          <w:lang w:val="en-US"/>
        </w:rPr>
        <w:t xml:space="preserve"> as well as to maintain the potency of any decision in the final action (Gray, 1981, p. 307). </w:t>
      </w:r>
      <w:r w:rsidR="00592198">
        <w:rPr>
          <w:rFonts w:ascii="Arial" w:hAnsi="Arial" w:cs="Arial"/>
          <w:lang w:val="en-US"/>
        </w:rPr>
        <w:t>Certainly, the court recognizes that specific injunctions that are granted and prohibitory in nature may cause damages to the respondent (</w:t>
      </w:r>
      <w:r w:rsidR="00644BF4">
        <w:rPr>
          <w:rFonts w:ascii="Arial" w:hAnsi="Arial" w:cs="Arial"/>
          <w:lang w:val="en-US"/>
        </w:rPr>
        <w:t>i.e.,</w:t>
      </w:r>
      <w:r w:rsidR="00592198">
        <w:rPr>
          <w:rFonts w:ascii="Arial" w:hAnsi="Arial" w:cs="Arial"/>
          <w:lang w:val="en-US"/>
        </w:rPr>
        <w:t xml:space="preserve"> in a business context), hence why they impose an undertaking on the applicant to pay any damages occurring as a result of the injunction</w:t>
      </w:r>
      <w:r w:rsidR="00685617">
        <w:rPr>
          <w:rFonts w:ascii="Arial" w:hAnsi="Arial" w:cs="Arial"/>
          <w:lang w:val="en-US"/>
        </w:rPr>
        <w:t xml:space="preserve"> as observed by Garg (2021).</w:t>
      </w:r>
      <w:r w:rsidR="00A25882">
        <w:rPr>
          <w:rFonts w:ascii="Arial" w:hAnsi="Arial" w:cs="Arial"/>
          <w:lang w:val="en-US"/>
        </w:rPr>
        <w:t xml:space="preserve"> However, this requirement may lead applicants to run the risk and </w:t>
      </w:r>
      <w:r w:rsidR="00D2707D">
        <w:rPr>
          <w:rFonts w:ascii="Arial" w:hAnsi="Arial" w:cs="Arial"/>
          <w:lang w:val="en-US"/>
        </w:rPr>
        <w:t xml:space="preserve">delay </w:t>
      </w:r>
      <w:r w:rsidR="00A25882">
        <w:rPr>
          <w:rFonts w:ascii="Arial" w:hAnsi="Arial" w:cs="Arial"/>
          <w:lang w:val="en-US"/>
        </w:rPr>
        <w:t>seeking action to propose an injunction due to sparse earnings which will equally affect them if they lose their case</w:t>
      </w:r>
      <w:r w:rsidR="00644BF4">
        <w:rPr>
          <w:rFonts w:ascii="Arial" w:hAnsi="Arial" w:cs="Arial"/>
          <w:lang w:val="en-US"/>
        </w:rPr>
        <w:t xml:space="preserve"> </w:t>
      </w:r>
      <w:r w:rsidR="00A25882">
        <w:rPr>
          <w:rFonts w:ascii="Arial" w:hAnsi="Arial" w:cs="Arial"/>
          <w:lang w:val="en-US"/>
        </w:rPr>
        <w:t xml:space="preserve">(Damages) </w:t>
      </w:r>
      <w:r w:rsidR="00644BF4">
        <w:rPr>
          <w:rFonts w:ascii="Arial" w:hAnsi="Arial" w:cs="Arial"/>
          <w:lang w:val="en-US"/>
        </w:rPr>
        <w:t xml:space="preserve">as illustrated in the case of </w:t>
      </w:r>
      <w:r w:rsidR="00644BF4">
        <w:rPr>
          <w:rFonts w:ascii="Arial" w:hAnsi="Arial" w:cs="Arial"/>
          <w:i/>
          <w:iCs/>
          <w:lang w:val="en-US"/>
        </w:rPr>
        <w:t xml:space="preserve">‘Mortimer v Bailey’ </w:t>
      </w:r>
      <w:r w:rsidR="00644BF4">
        <w:rPr>
          <w:rFonts w:ascii="Arial" w:hAnsi="Arial" w:cs="Arial"/>
          <w:lang w:val="en-US"/>
        </w:rPr>
        <w:t>(2005).</w:t>
      </w:r>
      <w:r w:rsidR="00A25882">
        <w:rPr>
          <w:rFonts w:ascii="Arial" w:hAnsi="Arial" w:cs="Arial"/>
          <w:lang w:val="en-US"/>
        </w:rPr>
        <w:t xml:space="preserve"> </w:t>
      </w:r>
      <w:r w:rsidR="009707A4">
        <w:rPr>
          <w:rFonts w:ascii="Arial" w:hAnsi="Arial" w:cs="Arial"/>
          <w:lang w:val="en-US"/>
        </w:rPr>
        <w:t xml:space="preserve">The court attempts to balance the interest of the claimants and defendants by holding strict guidelines towards any applicant’s claim (American </w:t>
      </w:r>
      <w:proofErr w:type="spellStart"/>
      <w:r w:rsidR="009707A4">
        <w:rPr>
          <w:rFonts w:ascii="Arial" w:hAnsi="Arial" w:cs="Arial"/>
          <w:lang w:val="en-US"/>
        </w:rPr>
        <w:t>Cyananid</w:t>
      </w:r>
      <w:proofErr w:type="spellEnd"/>
      <w:r w:rsidR="009707A4">
        <w:rPr>
          <w:rFonts w:ascii="Arial" w:hAnsi="Arial" w:cs="Arial"/>
          <w:lang w:val="en-US"/>
        </w:rPr>
        <w:t xml:space="preserve"> case) to ensure that injunctions are not granted without reserve but with priority where common </w:t>
      </w:r>
      <w:r w:rsidR="009707A4">
        <w:rPr>
          <w:rFonts w:ascii="Arial" w:hAnsi="Arial" w:cs="Arial"/>
          <w:lang w:val="en-US"/>
        </w:rPr>
        <w:lastRenderedPageBreak/>
        <w:t xml:space="preserve">law remedy would be inadequate (Watt, 2021, p. 486). </w:t>
      </w:r>
      <w:r w:rsidR="00D2707D">
        <w:rPr>
          <w:rFonts w:ascii="Arial" w:hAnsi="Arial" w:cs="Arial"/>
          <w:lang w:val="en-US"/>
        </w:rPr>
        <w:t>Ultimately, i</w:t>
      </w:r>
      <w:r w:rsidR="006170E3">
        <w:rPr>
          <w:rFonts w:ascii="Arial" w:hAnsi="Arial" w:cs="Arial"/>
          <w:lang w:val="en-US"/>
        </w:rPr>
        <w:t xml:space="preserve">nterim injunctions may be available in various forms but the key types that will be observed below are </w:t>
      </w:r>
      <w:r w:rsidR="00762A6C">
        <w:rPr>
          <w:rFonts w:ascii="Arial" w:hAnsi="Arial" w:cs="Arial"/>
          <w:lang w:val="en-US"/>
        </w:rPr>
        <w:t>s</w:t>
      </w:r>
      <w:r w:rsidR="006170E3">
        <w:rPr>
          <w:rFonts w:ascii="Arial" w:hAnsi="Arial" w:cs="Arial"/>
          <w:lang w:val="en-US"/>
        </w:rPr>
        <w:t xml:space="preserve">earch </w:t>
      </w:r>
      <w:r w:rsidR="00762A6C">
        <w:rPr>
          <w:rFonts w:ascii="Arial" w:hAnsi="Arial" w:cs="Arial"/>
          <w:lang w:val="en-US"/>
        </w:rPr>
        <w:t>o</w:t>
      </w:r>
      <w:r w:rsidR="006170E3">
        <w:rPr>
          <w:rFonts w:ascii="Arial" w:hAnsi="Arial" w:cs="Arial"/>
          <w:lang w:val="en-US"/>
        </w:rPr>
        <w:t xml:space="preserve">rder and </w:t>
      </w:r>
      <w:r w:rsidR="00762A6C">
        <w:rPr>
          <w:rFonts w:ascii="Arial" w:hAnsi="Arial" w:cs="Arial"/>
          <w:lang w:val="en-US"/>
        </w:rPr>
        <w:t>f</w:t>
      </w:r>
      <w:r w:rsidR="006170E3">
        <w:rPr>
          <w:rFonts w:ascii="Arial" w:hAnsi="Arial" w:cs="Arial"/>
          <w:lang w:val="en-US"/>
        </w:rPr>
        <w:t xml:space="preserve">reezing </w:t>
      </w:r>
      <w:r w:rsidR="00762A6C">
        <w:rPr>
          <w:rFonts w:ascii="Arial" w:hAnsi="Arial" w:cs="Arial"/>
          <w:lang w:val="en-US"/>
        </w:rPr>
        <w:t>o</w:t>
      </w:r>
      <w:r w:rsidR="006170E3">
        <w:rPr>
          <w:rFonts w:ascii="Arial" w:hAnsi="Arial" w:cs="Arial"/>
          <w:lang w:val="en-US"/>
        </w:rPr>
        <w:t xml:space="preserve">rder </w:t>
      </w:r>
      <w:r w:rsidR="0084202B">
        <w:rPr>
          <w:rFonts w:ascii="Arial" w:hAnsi="Arial" w:cs="Arial"/>
          <w:lang w:val="en-US"/>
        </w:rPr>
        <w:t>together with the factors that the</w:t>
      </w:r>
      <w:r w:rsidR="00701CCE">
        <w:rPr>
          <w:rFonts w:ascii="Arial" w:hAnsi="Arial" w:cs="Arial"/>
          <w:lang w:val="en-US"/>
        </w:rPr>
        <w:t xml:space="preserve"> </w:t>
      </w:r>
      <w:r w:rsidR="00762A6C">
        <w:rPr>
          <w:rFonts w:ascii="Arial" w:hAnsi="Arial" w:cs="Arial"/>
          <w:lang w:val="en-US"/>
        </w:rPr>
        <w:t>courts</w:t>
      </w:r>
      <w:r w:rsidR="0084202B">
        <w:rPr>
          <w:rFonts w:ascii="Arial" w:hAnsi="Arial" w:cs="Arial"/>
          <w:lang w:val="en-US"/>
        </w:rPr>
        <w:t xml:space="preserve"> use to </w:t>
      </w:r>
      <w:r w:rsidR="00762A6C">
        <w:rPr>
          <w:rFonts w:ascii="Arial" w:hAnsi="Arial" w:cs="Arial"/>
          <w:lang w:val="en-US"/>
        </w:rPr>
        <w:t>attempt</w:t>
      </w:r>
      <w:r w:rsidR="0084202B">
        <w:rPr>
          <w:rFonts w:ascii="Arial" w:hAnsi="Arial" w:cs="Arial"/>
          <w:lang w:val="en-US"/>
        </w:rPr>
        <w:t xml:space="preserve"> </w:t>
      </w:r>
      <w:r w:rsidR="00762A6C">
        <w:rPr>
          <w:rFonts w:ascii="Arial" w:hAnsi="Arial" w:cs="Arial"/>
          <w:lang w:val="en-US"/>
        </w:rPr>
        <w:t>to balance the interest of the claimant and the defendant when granting both</w:t>
      </w:r>
      <w:r w:rsidR="009653D7">
        <w:rPr>
          <w:rFonts w:ascii="Arial" w:hAnsi="Arial" w:cs="Arial"/>
          <w:lang w:val="en-US"/>
        </w:rPr>
        <w:t xml:space="preserve"> remedies</w:t>
      </w:r>
      <w:r w:rsidR="00762A6C">
        <w:rPr>
          <w:rFonts w:ascii="Arial" w:hAnsi="Arial" w:cs="Arial"/>
          <w:lang w:val="en-US"/>
        </w:rPr>
        <w:t xml:space="preserve">. </w:t>
      </w:r>
      <w:r w:rsidR="009707A4">
        <w:rPr>
          <w:rFonts w:ascii="Arial" w:hAnsi="Arial" w:cs="Arial"/>
          <w:lang w:val="en-US"/>
        </w:rPr>
        <w:t xml:space="preserve"> </w:t>
      </w:r>
    </w:p>
    <w:p w14:paraId="1BDC1356" w14:textId="4952AD71" w:rsidR="00687DE4" w:rsidRDefault="0084202B" w:rsidP="00A57168">
      <w:pPr>
        <w:spacing w:line="480" w:lineRule="auto"/>
        <w:rPr>
          <w:rFonts w:ascii="Arial" w:hAnsi="Arial" w:cs="Arial"/>
          <w:lang w:val="en-US"/>
        </w:rPr>
      </w:pPr>
      <w:r>
        <w:rPr>
          <w:rFonts w:ascii="Arial" w:hAnsi="Arial" w:cs="Arial"/>
          <w:lang w:val="en-US"/>
        </w:rPr>
        <w:tab/>
      </w:r>
      <w:r w:rsidR="00A371FC">
        <w:rPr>
          <w:rFonts w:ascii="Arial" w:hAnsi="Arial" w:cs="Arial"/>
          <w:lang w:val="en-US"/>
        </w:rPr>
        <w:t xml:space="preserve">Freezing order is </w:t>
      </w:r>
      <w:r w:rsidR="00482FA7">
        <w:rPr>
          <w:rFonts w:ascii="Arial" w:hAnsi="Arial" w:cs="Arial"/>
          <w:lang w:val="en-US"/>
        </w:rPr>
        <w:t>described as a</w:t>
      </w:r>
      <w:r w:rsidR="00A371FC">
        <w:rPr>
          <w:rFonts w:ascii="Arial" w:hAnsi="Arial" w:cs="Arial"/>
          <w:lang w:val="en-US"/>
        </w:rPr>
        <w:t xml:space="preserve"> prohibitory interim injunction which function is to stop the defendant from disposing or dealing with his/her assets until </w:t>
      </w:r>
      <w:r w:rsidR="00482FA7">
        <w:rPr>
          <w:rFonts w:ascii="Arial" w:hAnsi="Arial" w:cs="Arial"/>
          <w:lang w:val="en-US"/>
        </w:rPr>
        <w:t xml:space="preserve">a final judgement has been acquired or satisfied according to </w:t>
      </w:r>
      <w:proofErr w:type="spellStart"/>
      <w:r w:rsidR="00482FA7">
        <w:rPr>
          <w:rFonts w:ascii="Arial" w:hAnsi="Arial" w:cs="Arial"/>
          <w:lang w:val="en-US"/>
        </w:rPr>
        <w:t>Hext</w:t>
      </w:r>
      <w:proofErr w:type="spellEnd"/>
      <w:r w:rsidR="00482FA7">
        <w:rPr>
          <w:rFonts w:ascii="Arial" w:hAnsi="Arial" w:cs="Arial"/>
          <w:lang w:val="en-US"/>
        </w:rPr>
        <w:t xml:space="preserve"> and </w:t>
      </w:r>
      <w:proofErr w:type="spellStart"/>
      <w:r w:rsidR="00482FA7">
        <w:rPr>
          <w:rFonts w:ascii="Arial" w:hAnsi="Arial" w:cs="Arial"/>
          <w:lang w:val="en-US"/>
        </w:rPr>
        <w:t>Saoul</w:t>
      </w:r>
      <w:proofErr w:type="spellEnd"/>
      <w:r w:rsidR="00482FA7">
        <w:rPr>
          <w:rFonts w:ascii="Arial" w:hAnsi="Arial" w:cs="Arial"/>
          <w:lang w:val="en-US"/>
        </w:rPr>
        <w:t xml:space="preserve"> (2020). Undoubtedly,</w:t>
      </w:r>
      <w:r w:rsidR="00405051">
        <w:rPr>
          <w:rFonts w:ascii="Arial" w:hAnsi="Arial" w:cs="Arial"/>
          <w:lang w:val="en-US"/>
        </w:rPr>
        <w:t xml:space="preserve"> freezing order protects</w:t>
      </w:r>
      <w:r w:rsidR="00482FA7">
        <w:rPr>
          <w:rFonts w:ascii="Arial" w:hAnsi="Arial" w:cs="Arial"/>
          <w:lang w:val="en-US"/>
        </w:rPr>
        <w:t xml:space="preserve"> the claimant as it deters the possibility of assets being used to defeat the claim of an applicant or</w:t>
      </w:r>
      <w:r w:rsidR="00E82621">
        <w:rPr>
          <w:rFonts w:ascii="Arial" w:hAnsi="Arial" w:cs="Arial"/>
          <w:lang w:val="en-US"/>
        </w:rPr>
        <w:t xml:space="preserve"> to</w:t>
      </w:r>
      <w:r w:rsidR="00482FA7">
        <w:rPr>
          <w:rFonts w:ascii="Arial" w:hAnsi="Arial" w:cs="Arial"/>
          <w:lang w:val="en-US"/>
        </w:rPr>
        <w:t xml:space="preserve"> prevent potential claims from arising</w:t>
      </w:r>
      <w:r w:rsidR="00405051">
        <w:rPr>
          <w:rFonts w:ascii="Arial" w:hAnsi="Arial" w:cs="Arial"/>
          <w:lang w:val="en-US"/>
        </w:rPr>
        <w:t xml:space="preserve"> (Capper, 2005, p. 26)</w:t>
      </w:r>
      <w:r w:rsidR="00482FA7">
        <w:rPr>
          <w:rFonts w:ascii="Arial" w:hAnsi="Arial" w:cs="Arial"/>
          <w:lang w:val="en-US"/>
        </w:rPr>
        <w:t>.</w:t>
      </w:r>
      <w:r w:rsidR="00405051">
        <w:rPr>
          <w:rFonts w:ascii="Arial" w:hAnsi="Arial" w:cs="Arial"/>
          <w:lang w:val="en-US"/>
        </w:rPr>
        <w:t xml:space="preserve"> </w:t>
      </w:r>
      <w:r w:rsidR="0035790A">
        <w:rPr>
          <w:rFonts w:ascii="Arial" w:hAnsi="Arial" w:cs="Arial"/>
          <w:lang w:val="en-US"/>
        </w:rPr>
        <w:t xml:space="preserve">In spite of providing </w:t>
      </w:r>
      <w:r w:rsidR="009653D7">
        <w:rPr>
          <w:rFonts w:ascii="Arial" w:hAnsi="Arial" w:cs="Arial"/>
          <w:lang w:val="en-US"/>
        </w:rPr>
        <w:t>claimants</w:t>
      </w:r>
      <w:r w:rsidR="0035790A">
        <w:rPr>
          <w:rFonts w:ascii="Arial" w:hAnsi="Arial" w:cs="Arial"/>
          <w:lang w:val="en-US"/>
        </w:rPr>
        <w:t xml:space="preserve"> with the power to freeze a defendant’s assets, it should be noted that the ownership of assets does not change in this difficulty, as this would be </w:t>
      </w:r>
      <w:r w:rsidR="00A8675E">
        <w:rPr>
          <w:rFonts w:ascii="Arial" w:hAnsi="Arial" w:cs="Arial"/>
          <w:lang w:val="en-US"/>
        </w:rPr>
        <w:t>scandalous</w:t>
      </w:r>
      <w:r w:rsidR="0035790A">
        <w:rPr>
          <w:rFonts w:ascii="Arial" w:hAnsi="Arial" w:cs="Arial"/>
          <w:lang w:val="en-US"/>
        </w:rPr>
        <w:t>,</w:t>
      </w:r>
      <w:r w:rsidR="00A8675E">
        <w:rPr>
          <w:rFonts w:ascii="Arial" w:hAnsi="Arial" w:cs="Arial"/>
          <w:lang w:val="en-US"/>
        </w:rPr>
        <w:t xml:space="preserve"> only the</w:t>
      </w:r>
      <w:r w:rsidR="0035790A">
        <w:rPr>
          <w:rFonts w:ascii="Arial" w:hAnsi="Arial" w:cs="Arial"/>
          <w:lang w:val="en-US"/>
        </w:rPr>
        <w:t xml:space="preserve"> right to use the assets is </w:t>
      </w:r>
      <w:r w:rsidR="00A8675E">
        <w:rPr>
          <w:rFonts w:ascii="Arial" w:hAnsi="Arial" w:cs="Arial"/>
          <w:lang w:val="en-US"/>
        </w:rPr>
        <w:t>taken</w:t>
      </w:r>
      <w:r w:rsidR="0035790A">
        <w:rPr>
          <w:rFonts w:ascii="Arial" w:hAnsi="Arial" w:cs="Arial"/>
          <w:lang w:val="en-US"/>
        </w:rPr>
        <w:t xml:space="preserve"> away according to Lord Bingham in the case of </w:t>
      </w:r>
      <w:r w:rsidR="0035790A">
        <w:rPr>
          <w:rFonts w:ascii="Arial" w:hAnsi="Arial" w:cs="Arial"/>
          <w:i/>
          <w:iCs/>
          <w:lang w:val="en-US"/>
        </w:rPr>
        <w:t>‘Customs and Excise Commissioners v Barclays Bank plc’ (</w:t>
      </w:r>
      <w:r w:rsidR="0035790A">
        <w:rPr>
          <w:rFonts w:ascii="Arial" w:hAnsi="Arial" w:cs="Arial"/>
          <w:lang w:val="en-US"/>
        </w:rPr>
        <w:t>2006).</w:t>
      </w:r>
      <w:r w:rsidR="00235848">
        <w:rPr>
          <w:rFonts w:ascii="Arial" w:hAnsi="Arial" w:cs="Arial"/>
          <w:lang w:val="en-US"/>
        </w:rPr>
        <w:t xml:space="preserve"> Certainly, the defendant is potentially affected by this protection in numerous ways (i.e., Reputation) but namely, </w:t>
      </w:r>
      <w:r w:rsidR="00A56AA9">
        <w:rPr>
          <w:rFonts w:ascii="Arial" w:hAnsi="Arial" w:cs="Arial"/>
          <w:lang w:val="en-US"/>
        </w:rPr>
        <w:t xml:space="preserve">the obligation to contest a freezing order is </w:t>
      </w:r>
      <w:r w:rsidR="002864A8">
        <w:rPr>
          <w:rFonts w:ascii="Arial" w:hAnsi="Arial" w:cs="Arial"/>
          <w:lang w:val="en-US"/>
        </w:rPr>
        <w:t>infrequent</w:t>
      </w:r>
      <w:r w:rsidR="00A56AA9">
        <w:rPr>
          <w:rFonts w:ascii="Arial" w:hAnsi="Arial" w:cs="Arial"/>
          <w:lang w:val="en-US"/>
        </w:rPr>
        <w:t xml:space="preserve"> and </w:t>
      </w:r>
      <w:r w:rsidR="002864A8">
        <w:rPr>
          <w:rFonts w:ascii="Arial" w:hAnsi="Arial" w:cs="Arial"/>
          <w:lang w:val="en-US"/>
        </w:rPr>
        <w:t xml:space="preserve">yet </w:t>
      </w:r>
      <w:r w:rsidR="00A56AA9">
        <w:rPr>
          <w:rFonts w:ascii="Arial" w:hAnsi="Arial" w:cs="Arial"/>
          <w:lang w:val="en-US"/>
        </w:rPr>
        <w:t>a defendant may care to have the order discharged if they feel it is undeserved</w:t>
      </w:r>
      <w:r w:rsidR="001C6731">
        <w:rPr>
          <w:rFonts w:ascii="Arial" w:hAnsi="Arial" w:cs="Arial"/>
          <w:lang w:val="en-US"/>
        </w:rPr>
        <w:t xml:space="preserve"> in order to balance interest between the parties</w:t>
      </w:r>
      <w:r w:rsidR="00A56AA9">
        <w:rPr>
          <w:rFonts w:ascii="Arial" w:hAnsi="Arial" w:cs="Arial"/>
          <w:lang w:val="en-US"/>
        </w:rPr>
        <w:t xml:space="preserve"> as seen in the case of </w:t>
      </w:r>
      <w:r w:rsidR="00A56AA9">
        <w:rPr>
          <w:rFonts w:ascii="Arial" w:hAnsi="Arial" w:cs="Arial"/>
          <w:i/>
          <w:iCs/>
          <w:lang w:val="en-US"/>
        </w:rPr>
        <w:t>‘Mareva Compania Naviera SA v International Bulkcarriers SA’</w:t>
      </w:r>
      <w:r w:rsidR="00A56AA9">
        <w:rPr>
          <w:rFonts w:ascii="Arial" w:hAnsi="Arial" w:cs="Arial"/>
          <w:lang w:val="en-US"/>
        </w:rPr>
        <w:t xml:space="preserve"> (1975).</w:t>
      </w:r>
      <w:r w:rsidR="002864A8">
        <w:rPr>
          <w:rFonts w:ascii="Arial" w:hAnsi="Arial" w:cs="Arial"/>
          <w:lang w:val="en-US"/>
        </w:rPr>
        <w:t xml:space="preserve"> </w:t>
      </w:r>
      <w:r w:rsidR="006368E5">
        <w:rPr>
          <w:rFonts w:ascii="Arial" w:hAnsi="Arial" w:cs="Arial"/>
          <w:lang w:val="en-US"/>
        </w:rPr>
        <w:t xml:space="preserve">The case of </w:t>
      </w:r>
      <w:r w:rsidR="006368E5">
        <w:rPr>
          <w:rFonts w:ascii="Arial" w:hAnsi="Arial" w:cs="Arial"/>
          <w:i/>
          <w:iCs/>
          <w:lang w:val="en-US"/>
        </w:rPr>
        <w:t xml:space="preserve">‘Mareva Compania Naviera SA v International Bulkcarriers SA’ </w:t>
      </w:r>
      <w:r w:rsidR="006368E5">
        <w:rPr>
          <w:rFonts w:ascii="Arial" w:hAnsi="Arial" w:cs="Arial"/>
          <w:lang w:val="en-US"/>
        </w:rPr>
        <w:t xml:space="preserve">(1975) </w:t>
      </w:r>
      <w:r w:rsidR="00C40DA8">
        <w:rPr>
          <w:rFonts w:ascii="Arial" w:hAnsi="Arial" w:cs="Arial"/>
          <w:lang w:val="en-US"/>
        </w:rPr>
        <w:t xml:space="preserve">clearly illustrate the use of a freezing order injunction in favor of the claimant as the court granted an injunction for the purpose of ensuring that the defendant does not dissipate a certain sum of money in their London bank which was owed to the applicant. </w:t>
      </w:r>
      <w:r w:rsidR="008E0325">
        <w:rPr>
          <w:rFonts w:ascii="Arial" w:hAnsi="Arial" w:cs="Arial"/>
          <w:lang w:val="en-US"/>
        </w:rPr>
        <w:t xml:space="preserve">In addition, the freezing order injunction is subject to certain requirements before being granted which is </w:t>
      </w:r>
      <w:r w:rsidR="008E0325">
        <w:rPr>
          <w:rFonts w:ascii="Arial" w:hAnsi="Arial" w:cs="Arial"/>
          <w:lang w:val="en-US"/>
        </w:rPr>
        <w:lastRenderedPageBreak/>
        <w:t xml:space="preserve">largely established to create a balance between the interest of the claimant and </w:t>
      </w:r>
      <w:r w:rsidR="001C6731">
        <w:rPr>
          <w:rFonts w:ascii="Arial" w:hAnsi="Arial" w:cs="Arial"/>
          <w:lang w:val="en-US"/>
        </w:rPr>
        <w:t>defendant:</w:t>
      </w:r>
      <w:r w:rsidR="000B3B89">
        <w:rPr>
          <w:rFonts w:ascii="Arial" w:hAnsi="Arial" w:cs="Arial"/>
          <w:lang w:val="en-US"/>
        </w:rPr>
        <w:t xml:space="preserve"> 1) </w:t>
      </w:r>
      <w:r w:rsidR="001C6731">
        <w:rPr>
          <w:rFonts w:ascii="Arial" w:hAnsi="Arial" w:cs="Arial"/>
          <w:lang w:val="en-US"/>
        </w:rPr>
        <w:t xml:space="preserve">Freezing order interim injunctions will not be granted </w:t>
      </w:r>
      <w:r w:rsidR="000B3B89">
        <w:rPr>
          <w:rFonts w:ascii="Arial" w:hAnsi="Arial" w:cs="Arial"/>
          <w:lang w:val="en-US"/>
        </w:rPr>
        <w:t>except if the claimant provides, or undertakes to issue, interpretable substantive proceedings; 2) An applicant must demonstrate a strong case; 3) An applicant must prove that the defendant has assets in</w:t>
      </w:r>
      <w:r w:rsidR="00CC78A9">
        <w:rPr>
          <w:rFonts w:ascii="Arial" w:hAnsi="Arial" w:cs="Arial"/>
          <w:lang w:val="en-US"/>
        </w:rPr>
        <w:t xml:space="preserve"> the</w:t>
      </w:r>
      <w:r w:rsidR="000B3B89">
        <w:rPr>
          <w:rFonts w:ascii="Arial" w:hAnsi="Arial" w:cs="Arial"/>
          <w:lang w:val="en-US"/>
        </w:rPr>
        <w:t xml:space="preserve"> jurisdiction (If not, Worldwide freezing order is available); 4) The applicant must show that the defendant’s assets are likely to be </w:t>
      </w:r>
      <w:r w:rsidR="00F218AD">
        <w:rPr>
          <w:rFonts w:ascii="Arial" w:hAnsi="Arial" w:cs="Arial"/>
          <w:lang w:val="en-US"/>
        </w:rPr>
        <w:t>removed, dissipated or destroyed (McLachlan, 1987, p. 675).</w:t>
      </w:r>
      <w:r w:rsidR="002B4092">
        <w:rPr>
          <w:rFonts w:ascii="Arial" w:hAnsi="Arial" w:cs="Arial"/>
          <w:lang w:val="en-US"/>
        </w:rPr>
        <w:t xml:space="preserve"> For instance, in the case of </w:t>
      </w:r>
      <w:r w:rsidR="002B4092">
        <w:rPr>
          <w:rFonts w:ascii="Arial" w:hAnsi="Arial" w:cs="Arial"/>
          <w:i/>
          <w:iCs/>
          <w:lang w:val="en-US"/>
        </w:rPr>
        <w:t xml:space="preserve">‘Third Chandris Shipping Corp v Unimarine SA’ </w:t>
      </w:r>
      <w:r w:rsidR="002B4092">
        <w:rPr>
          <w:rFonts w:ascii="Arial" w:hAnsi="Arial" w:cs="Arial"/>
          <w:lang w:val="en-US"/>
        </w:rPr>
        <w:t>(1979),</w:t>
      </w:r>
      <w:r w:rsidR="002B4092">
        <w:rPr>
          <w:rFonts w:ascii="Arial" w:hAnsi="Arial" w:cs="Arial"/>
          <w:i/>
          <w:iCs/>
          <w:lang w:val="en-US"/>
        </w:rPr>
        <w:t xml:space="preserve"> </w:t>
      </w:r>
      <w:r w:rsidR="002B4092">
        <w:rPr>
          <w:rFonts w:ascii="Arial" w:hAnsi="Arial" w:cs="Arial"/>
          <w:lang w:val="en-US"/>
        </w:rPr>
        <w:t>the defendant’s appeal against a freezing order was denied by the</w:t>
      </w:r>
      <w:r w:rsidR="00550F88">
        <w:rPr>
          <w:rFonts w:ascii="Arial" w:hAnsi="Arial" w:cs="Arial"/>
          <w:lang w:val="en-US"/>
        </w:rPr>
        <w:t xml:space="preserve"> </w:t>
      </w:r>
      <w:r w:rsidR="002B4092">
        <w:rPr>
          <w:rFonts w:ascii="Arial" w:hAnsi="Arial" w:cs="Arial"/>
          <w:lang w:val="en-US"/>
        </w:rPr>
        <w:t>court because it was expressed that even though the defendant’s assets (Bank account) were overdrawn, they were however proof of ‘having assets in the jurisdiction</w:t>
      </w:r>
      <w:r w:rsidR="00550F88">
        <w:rPr>
          <w:rFonts w:ascii="Arial" w:hAnsi="Arial" w:cs="Arial"/>
          <w:lang w:val="en-US"/>
        </w:rPr>
        <w:t>’, which</w:t>
      </w:r>
      <w:r w:rsidR="002B4092">
        <w:rPr>
          <w:rFonts w:ascii="Arial" w:hAnsi="Arial" w:cs="Arial"/>
          <w:lang w:val="en-US"/>
        </w:rPr>
        <w:t xml:space="preserve"> influenced the judges’ acceptance of an injunction.</w:t>
      </w:r>
      <w:r w:rsidR="00550F88">
        <w:rPr>
          <w:rFonts w:ascii="Arial" w:hAnsi="Arial" w:cs="Arial"/>
          <w:lang w:val="en-US"/>
        </w:rPr>
        <w:t xml:space="preserve"> </w:t>
      </w:r>
      <w:r w:rsidR="00720D5F">
        <w:rPr>
          <w:rFonts w:ascii="Arial" w:hAnsi="Arial" w:cs="Arial"/>
          <w:lang w:val="en-US"/>
        </w:rPr>
        <w:t>Importantly, t</w:t>
      </w:r>
      <w:r w:rsidR="002B4092">
        <w:rPr>
          <w:rFonts w:ascii="Arial" w:hAnsi="Arial" w:cs="Arial"/>
          <w:lang w:val="en-US"/>
        </w:rPr>
        <w:t>he court realizes that the</w:t>
      </w:r>
      <w:r w:rsidR="000952F4">
        <w:rPr>
          <w:rFonts w:ascii="Arial" w:hAnsi="Arial" w:cs="Arial"/>
          <w:lang w:val="en-US"/>
        </w:rPr>
        <w:t>se requirements</w:t>
      </w:r>
      <w:r w:rsidR="002B4092">
        <w:rPr>
          <w:rFonts w:ascii="Arial" w:hAnsi="Arial" w:cs="Arial"/>
          <w:lang w:val="en-US"/>
        </w:rPr>
        <w:t xml:space="preserve"> may not apply perfectly to every situation and so therefore uses these guidelines as</w:t>
      </w:r>
      <w:r w:rsidR="00DF1AEA">
        <w:rPr>
          <w:rFonts w:ascii="Arial" w:hAnsi="Arial" w:cs="Arial"/>
          <w:lang w:val="en-US"/>
        </w:rPr>
        <w:t xml:space="preserve"> just</w:t>
      </w:r>
      <w:r w:rsidR="002B4092">
        <w:rPr>
          <w:rFonts w:ascii="Arial" w:hAnsi="Arial" w:cs="Arial"/>
          <w:lang w:val="en-US"/>
        </w:rPr>
        <w:t xml:space="preserve"> a starting</w:t>
      </w:r>
      <w:r w:rsidR="00DF1AEA">
        <w:rPr>
          <w:rFonts w:ascii="Arial" w:hAnsi="Arial" w:cs="Arial"/>
          <w:lang w:val="en-US"/>
        </w:rPr>
        <w:t xml:space="preserve"> point</w:t>
      </w:r>
      <w:r w:rsidR="002B4092">
        <w:rPr>
          <w:rFonts w:ascii="Arial" w:hAnsi="Arial" w:cs="Arial"/>
          <w:lang w:val="en-US"/>
        </w:rPr>
        <w:t xml:space="preserve"> before making decisions</w:t>
      </w:r>
      <w:r w:rsidR="00DF1AEA">
        <w:rPr>
          <w:rFonts w:ascii="Arial" w:hAnsi="Arial" w:cs="Arial"/>
          <w:lang w:val="en-US"/>
        </w:rPr>
        <w:t xml:space="preserve"> which </w:t>
      </w:r>
      <w:r w:rsidR="00550F88">
        <w:rPr>
          <w:rFonts w:ascii="Arial" w:hAnsi="Arial" w:cs="Arial"/>
          <w:lang w:val="en-US"/>
        </w:rPr>
        <w:t>balanc</w:t>
      </w:r>
      <w:r w:rsidR="00DF1AEA">
        <w:rPr>
          <w:rFonts w:ascii="Arial" w:hAnsi="Arial" w:cs="Arial"/>
          <w:lang w:val="en-US"/>
        </w:rPr>
        <w:t>es</w:t>
      </w:r>
      <w:r w:rsidR="00550F88">
        <w:rPr>
          <w:rFonts w:ascii="Arial" w:hAnsi="Arial" w:cs="Arial"/>
          <w:lang w:val="en-US"/>
        </w:rPr>
        <w:t xml:space="preserve"> </w:t>
      </w:r>
      <w:r w:rsidR="00DF1AEA">
        <w:rPr>
          <w:rFonts w:ascii="Arial" w:hAnsi="Arial" w:cs="Arial"/>
          <w:lang w:val="en-US"/>
        </w:rPr>
        <w:t>interest from both parties depending on the facts (Watt, 2021, p. 492)</w:t>
      </w:r>
      <w:r w:rsidR="002B4092">
        <w:rPr>
          <w:rFonts w:ascii="Arial" w:hAnsi="Arial" w:cs="Arial"/>
          <w:lang w:val="en-US"/>
        </w:rPr>
        <w:t xml:space="preserve">. </w:t>
      </w:r>
      <w:r w:rsidR="00930F34">
        <w:rPr>
          <w:rFonts w:ascii="Arial" w:hAnsi="Arial" w:cs="Arial"/>
          <w:lang w:val="en-US"/>
        </w:rPr>
        <w:t>Th</w:t>
      </w:r>
      <w:r w:rsidR="00720D5F">
        <w:rPr>
          <w:rFonts w:ascii="Arial" w:hAnsi="Arial" w:cs="Arial"/>
          <w:lang w:val="en-US"/>
        </w:rPr>
        <w:t>us</w:t>
      </w:r>
      <w:r w:rsidR="00930F34">
        <w:rPr>
          <w:rFonts w:ascii="Arial" w:hAnsi="Arial" w:cs="Arial"/>
          <w:lang w:val="en-US"/>
        </w:rPr>
        <w:t>,</w:t>
      </w:r>
      <w:r w:rsidR="00720D5F">
        <w:rPr>
          <w:rFonts w:ascii="Arial" w:hAnsi="Arial" w:cs="Arial"/>
          <w:lang w:val="en-US"/>
        </w:rPr>
        <w:t xml:space="preserve"> the court will not hesitate to reject any claims that are indifferent while limiting the application of a freezing order as seen </w:t>
      </w:r>
      <w:r w:rsidR="00930F34">
        <w:rPr>
          <w:rFonts w:ascii="Arial" w:hAnsi="Arial" w:cs="Arial"/>
          <w:lang w:val="en-US"/>
        </w:rPr>
        <w:t xml:space="preserve">in the case of </w:t>
      </w:r>
      <w:r w:rsidR="00930F34">
        <w:rPr>
          <w:rFonts w:ascii="Arial" w:hAnsi="Arial" w:cs="Arial"/>
          <w:i/>
          <w:iCs/>
          <w:lang w:val="en-US"/>
        </w:rPr>
        <w:t xml:space="preserve">‘Fourie v Le Roux’ </w:t>
      </w:r>
      <w:r w:rsidR="00930F34">
        <w:rPr>
          <w:rFonts w:ascii="Arial" w:hAnsi="Arial" w:cs="Arial"/>
          <w:lang w:val="en-US"/>
        </w:rPr>
        <w:t>(2007)</w:t>
      </w:r>
      <w:r w:rsidR="00720D5F">
        <w:rPr>
          <w:rFonts w:ascii="Arial" w:hAnsi="Arial" w:cs="Arial"/>
          <w:lang w:val="en-US"/>
        </w:rPr>
        <w:t>, where a</w:t>
      </w:r>
      <w:r w:rsidR="00930F34">
        <w:rPr>
          <w:rFonts w:ascii="Arial" w:hAnsi="Arial" w:cs="Arial"/>
          <w:lang w:val="en-US"/>
        </w:rPr>
        <w:t xml:space="preserve"> freezing order was refused because the applicant had not even made clear what action he was going to bring which was relevant to the freezing order. </w:t>
      </w:r>
      <w:r w:rsidR="000952F4">
        <w:rPr>
          <w:rFonts w:ascii="Arial" w:hAnsi="Arial" w:cs="Arial"/>
          <w:lang w:val="en-US"/>
        </w:rPr>
        <w:t xml:space="preserve">In the case of </w:t>
      </w:r>
      <w:r w:rsidR="000952F4">
        <w:rPr>
          <w:rFonts w:ascii="Arial" w:hAnsi="Arial" w:cs="Arial"/>
          <w:i/>
          <w:iCs/>
          <w:lang w:val="en-US"/>
        </w:rPr>
        <w:t>‘</w:t>
      </w:r>
      <w:r w:rsidR="00C00F95">
        <w:rPr>
          <w:rFonts w:ascii="Arial" w:hAnsi="Arial" w:cs="Arial"/>
          <w:i/>
          <w:iCs/>
          <w:lang w:val="en-US"/>
        </w:rPr>
        <w:t xml:space="preserve">Independent Trustee Services Ltd v GP Noble Trustees Ltd’ </w:t>
      </w:r>
      <w:r w:rsidR="00C00F95">
        <w:rPr>
          <w:rFonts w:ascii="Arial" w:hAnsi="Arial" w:cs="Arial"/>
          <w:lang w:val="en-US"/>
        </w:rPr>
        <w:t>(2009)</w:t>
      </w:r>
      <w:r w:rsidR="000952F4">
        <w:rPr>
          <w:rFonts w:ascii="Arial" w:hAnsi="Arial" w:cs="Arial"/>
          <w:lang w:val="en-US"/>
        </w:rPr>
        <w:t>,</w:t>
      </w:r>
      <w:r w:rsidR="00C00F95">
        <w:rPr>
          <w:rFonts w:ascii="Arial" w:hAnsi="Arial" w:cs="Arial"/>
          <w:lang w:val="en-US"/>
        </w:rPr>
        <w:t xml:space="preserve"> the respondent’s company made a without notice application </w:t>
      </w:r>
      <w:r w:rsidR="00C00F95">
        <w:rPr>
          <w:rFonts w:ascii="Arial" w:hAnsi="Arial" w:cs="Arial"/>
          <w:lang w:val="en-US"/>
        </w:rPr>
        <w:t xml:space="preserve">for a freezing order against the claimant, </w:t>
      </w:r>
      <w:r w:rsidR="002B5D95">
        <w:rPr>
          <w:rFonts w:ascii="Arial" w:hAnsi="Arial" w:cs="Arial"/>
          <w:lang w:val="en-US"/>
        </w:rPr>
        <w:t xml:space="preserve">when the applicant brought a claim to vary the injunction, it was agreed that </w:t>
      </w:r>
      <w:r w:rsidR="00C00F95">
        <w:rPr>
          <w:rFonts w:ascii="Arial" w:hAnsi="Arial" w:cs="Arial"/>
          <w:lang w:val="en-US"/>
        </w:rPr>
        <w:t>a balance had to be established between authorizing the applicant to spend money which</w:t>
      </w:r>
      <w:r w:rsidR="002B5D95">
        <w:rPr>
          <w:rFonts w:ascii="Arial" w:hAnsi="Arial" w:cs="Arial"/>
          <w:lang w:val="en-US"/>
        </w:rPr>
        <w:t xml:space="preserve"> might</w:t>
      </w:r>
      <w:r w:rsidR="00C00F95">
        <w:rPr>
          <w:rFonts w:ascii="Arial" w:hAnsi="Arial" w:cs="Arial"/>
          <w:lang w:val="en-US"/>
        </w:rPr>
        <w:t xml:space="preserve"> </w:t>
      </w:r>
      <w:r w:rsidR="002B5D95">
        <w:rPr>
          <w:rFonts w:ascii="Arial" w:hAnsi="Arial" w:cs="Arial"/>
          <w:lang w:val="en-US"/>
        </w:rPr>
        <w:t>belong to</w:t>
      </w:r>
      <w:r w:rsidR="00C00F95">
        <w:rPr>
          <w:rFonts w:ascii="Arial" w:hAnsi="Arial" w:cs="Arial"/>
          <w:lang w:val="en-US"/>
        </w:rPr>
        <w:t xml:space="preserve"> the respondent</w:t>
      </w:r>
      <w:r w:rsidR="002B5D95">
        <w:rPr>
          <w:rFonts w:ascii="Arial" w:hAnsi="Arial" w:cs="Arial"/>
          <w:lang w:val="en-US"/>
        </w:rPr>
        <w:t xml:space="preserve"> therefore refusing </w:t>
      </w:r>
      <w:r w:rsidR="00921C8B">
        <w:rPr>
          <w:rFonts w:ascii="Arial" w:hAnsi="Arial" w:cs="Arial"/>
          <w:lang w:val="en-US"/>
        </w:rPr>
        <w:t>the respondent</w:t>
      </w:r>
      <w:r w:rsidR="002B5D95">
        <w:rPr>
          <w:rFonts w:ascii="Arial" w:hAnsi="Arial" w:cs="Arial"/>
          <w:lang w:val="en-US"/>
        </w:rPr>
        <w:t xml:space="preserve"> the right to </w:t>
      </w:r>
      <w:r w:rsidR="002B5D95">
        <w:rPr>
          <w:rFonts w:ascii="Arial" w:hAnsi="Arial" w:cs="Arial"/>
          <w:lang w:val="en-US"/>
        </w:rPr>
        <w:lastRenderedPageBreak/>
        <w:t>spend the funds</w:t>
      </w:r>
      <w:r w:rsidR="00921C8B">
        <w:rPr>
          <w:rFonts w:ascii="Arial" w:hAnsi="Arial" w:cs="Arial"/>
          <w:lang w:val="en-US"/>
        </w:rPr>
        <w:t xml:space="preserve"> or to allow the applicant to use their funds to vary the injunction</w:t>
      </w:r>
      <w:r w:rsidR="002B5D95">
        <w:rPr>
          <w:rFonts w:ascii="Arial" w:hAnsi="Arial" w:cs="Arial"/>
          <w:lang w:val="en-US"/>
        </w:rPr>
        <w:t xml:space="preserve">; </w:t>
      </w:r>
      <w:r w:rsidR="00921C8B">
        <w:rPr>
          <w:rFonts w:ascii="Arial" w:hAnsi="Arial" w:cs="Arial"/>
          <w:lang w:val="en-US"/>
        </w:rPr>
        <w:t>T</w:t>
      </w:r>
      <w:r w:rsidR="002B5D95">
        <w:rPr>
          <w:rFonts w:ascii="Arial" w:hAnsi="Arial" w:cs="Arial"/>
          <w:lang w:val="en-US"/>
        </w:rPr>
        <w:t>he court expressed that the respondent had a rational proprietary action</w:t>
      </w:r>
      <w:r w:rsidR="00921C8B">
        <w:rPr>
          <w:rFonts w:ascii="Arial" w:hAnsi="Arial" w:cs="Arial"/>
          <w:lang w:val="en-US"/>
        </w:rPr>
        <w:t xml:space="preserve"> (good arguable case)</w:t>
      </w:r>
      <w:r w:rsidR="002B5D95">
        <w:rPr>
          <w:rFonts w:ascii="Arial" w:hAnsi="Arial" w:cs="Arial"/>
          <w:lang w:val="en-US"/>
        </w:rPr>
        <w:t xml:space="preserve"> to the funds so therefore the claimant’s application was refused</w:t>
      </w:r>
      <w:r w:rsidR="00921C8B">
        <w:rPr>
          <w:rFonts w:ascii="Arial" w:hAnsi="Arial" w:cs="Arial"/>
          <w:lang w:val="en-US"/>
        </w:rPr>
        <w:t xml:space="preserve"> on this basis</w:t>
      </w:r>
      <w:r w:rsidR="002B5D95">
        <w:rPr>
          <w:rFonts w:ascii="Arial" w:hAnsi="Arial" w:cs="Arial"/>
          <w:lang w:val="en-US"/>
        </w:rPr>
        <w:t>.</w:t>
      </w:r>
      <w:r w:rsidR="00921C8B">
        <w:rPr>
          <w:rFonts w:ascii="Arial" w:hAnsi="Arial" w:cs="Arial"/>
          <w:lang w:val="en-US"/>
        </w:rPr>
        <w:t xml:space="preserve"> </w:t>
      </w:r>
      <w:r w:rsidR="00877CA3">
        <w:rPr>
          <w:rFonts w:ascii="Arial" w:hAnsi="Arial" w:cs="Arial"/>
          <w:lang w:val="en-US"/>
        </w:rPr>
        <w:t xml:space="preserve">Additionally, Beatson LJ emphasized the significance of balancing the interest of the </w:t>
      </w:r>
      <w:r w:rsidR="005145C1">
        <w:rPr>
          <w:rFonts w:ascii="Arial" w:hAnsi="Arial" w:cs="Arial"/>
          <w:lang w:val="en-US"/>
        </w:rPr>
        <w:t>d</w:t>
      </w:r>
      <w:r w:rsidR="00877CA3">
        <w:rPr>
          <w:rFonts w:ascii="Arial" w:hAnsi="Arial" w:cs="Arial"/>
          <w:lang w:val="en-US"/>
        </w:rPr>
        <w:t xml:space="preserve">efendant and </w:t>
      </w:r>
      <w:r w:rsidR="005145C1">
        <w:rPr>
          <w:rFonts w:ascii="Arial" w:hAnsi="Arial" w:cs="Arial"/>
          <w:lang w:val="en-US"/>
        </w:rPr>
        <w:t>c</w:t>
      </w:r>
      <w:r w:rsidR="00877CA3">
        <w:rPr>
          <w:rFonts w:ascii="Arial" w:hAnsi="Arial" w:cs="Arial"/>
          <w:lang w:val="en-US"/>
        </w:rPr>
        <w:t xml:space="preserve">laimant in a Freezing order dispute by identifying three guiding principles to regulate the grant of an injunction: Firstly, the enforcement </w:t>
      </w:r>
      <w:r w:rsidR="00E82621">
        <w:rPr>
          <w:rFonts w:ascii="Arial" w:hAnsi="Arial" w:cs="Arial"/>
          <w:lang w:val="en-US"/>
        </w:rPr>
        <w:t>principle, which purpose is to deter the defendant from dissipating or disposing any property which might be the subject of the enforcement</w:t>
      </w:r>
      <w:r w:rsidR="00877CA3">
        <w:rPr>
          <w:rFonts w:ascii="Arial" w:hAnsi="Arial" w:cs="Arial"/>
          <w:lang w:val="en-US"/>
        </w:rPr>
        <w:t xml:space="preserve"> </w:t>
      </w:r>
      <w:r w:rsidR="00E82621">
        <w:rPr>
          <w:rFonts w:ascii="Arial" w:hAnsi="Arial" w:cs="Arial"/>
          <w:lang w:val="en-US"/>
        </w:rPr>
        <w:t>if the applicant wins the case; Secondly, the flexibility principle, which makes clear that freezing order should be operated in a flexible and adjustable manner so as to handle new circumstances and new ways adopted by modern operators who try to rebel against court orders; And thirdly, the strict construction principle, which states that the terms of the injunction ‘should be clear and unequivocal, and should be strictly construed’ (Watt, 2021, p. 492).</w:t>
      </w:r>
      <w:r w:rsidR="00CC78A9">
        <w:rPr>
          <w:rFonts w:ascii="Arial" w:hAnsi="Arial" w:cs="Arial"/>
          <w:lang w:val="en-US"/>
        </w:rPr>
        <w:t xml:space="preserve"> Clearly, it is not sufficient for the applicant of a freezing order to prove the respondent has assets, the court will always take into account the defendant’s actions on the merits of the case when deciding whether there is evidence for an attempt to dissipate assets, but if an applicant fails to establish the risk of the assets being dissipated then the freezing order will be discharged as observed by Gherson (2021).</w:t>
      </w:r>
      <w:r w:rsidR="005145C1">
        <w:rPr>
          <w:rFonts w:ascii="Arial" w:hAnsi="Arial" w:cs="Arial"/>
          <w:lang w:val="en-US"/>
        </w:rPr>
        <w:t xml:space="preserve"> Likewise, as it seems logical for freezing orders to be normally requested by applicants on ex parte (without notice),</w:t>
      </w:r>
      <w:r w:rsidR="00687DE4">
        <w:rPr>
          <w:rFonts w:ascii="Arial" w:hAnsi="Arial" w:cs="Arial"/>
          <w:lang w:val="en-US"/>
        </w:rPr>
        <w:t xml:space="preserve"> a</w:t>
      </w:r>
      <w:r w:rsidR="005145C1">
        <w:rPr>
          <w:rFonts w:ascii="Arial" w:hAnsi="Arial" w:cs="Arial"/>
          <w:lang w:val="en-US"/>
        </w:rPr>
        <w:t xml:space="preserve"> claimant is under the duty to precisely and explicitly disclose all information facts to the court judging the application for the order together with any facts that might unfavorably </w:t>
      </w:r>
      <w:r w:rsidR="00DE496B">
        <w:rPr>
          <w:rFonts w:ascii="Arial" w:hAnsi="Arial" w:cs="Arial"/>
          <w:lang w:val="en-US"/>
        </w:rPr>
        <w:t>affect</w:t>
      </w:r>
      <w:r w:rsidR="005145C1">
        <w:rPr>
          <w:rFonts w:ascii="Arial" w:hAnsi="Arial" w:cs="Arial"/>
          <w:lang w:val="en-US"/>
        </w:rPr>
        <w:t xml:space="preserve"> the applicant’s claim according to Gherson (2021).</w:t>
      </w:r>
      <w:r w:rsidR="005A1141">
        <w:rPr>
          <w:rFonts w:ascii="Arial" w:hAnsi="Arial" w:cs="Arial"/>
          <w:lang w:val="en-US"/>
        </w:rPr>
        <w:t xml:space="preserve"> </w:t>
      </w:r>
      <w:r w:rsidR="00DE496B">
        <w:rPr>
          <w:rFonts w:ascii="Arial" w:hAnsi="Arial" w:cs="Arial"/>
          <w:lang w:val="en-US"/>
        </w:rPr>
        <w:t xml:space="preserve">Although the jurisdiction of the freezing order has been made flexible over the years, it was presumably viewed that it </w:t>
      </w:r>
      <w:r w:rsidR="00DE496B">
        <w:rPr>
          <w:rFonts w:ascii="Arial" w:hAnsi="Arial" w:cs="Arial"/>
          <w:lang w:val="en-US"/>
        </w:rPr>
        <w:lastRenderedPageBreak/>
        <w:t xml:space="preserve">could not operate against assets located outside England and Wales (Andrews, 1989, p. 199). The case of </w:t>
      </w:r>
      <w:r w:rsidR="00DE496B">
        <w:rPr>
          <w:rFonts w:ascii="Arial" w:hAnsi="Arial" w:cs="Arial"/>
          <w:i/>
          <w:iCs/>
          <w:lang w:val="en-US"/>
        </w:rPr>
        <w:t>‘</w:t>
      </w:r>
      <w:r w:rsidR="00C758AC">
        <w:rPr>
          <w:rFonts w:ascii="Arial" w:hAnsi="Arial" w:cs="Arial"/>
          <w:i/>
          <w:iCs/>
          <w:lang w:val="en-US"/>
        </w:rPr>
        <w:t xml:space="preserve">Derby &amp; Co Ltd v Weldon’ </w:t>
      </w:r>
      <w:r w:rsidR="00C758AC">
        <w:rPr>
          <w:rFonts w:ascii="Arial" w:hAnsi="Arial" w:cs="Arial"/>
          <w:lang w:val="en-US"/>
        </w:rPr>
        <w:t>(1990)</w:t>
      </w:r>
      <w:r w:rsidR="00DE496B">
        <w:rPr>
          <w:rFonts w:ascii="Arial" w:hAnsi="Arial" w:cs="Arial"/>
          <w:lang w:val="en-US"/>
        </w:rPr>
        <w:t xml:space="preserve"> </w:t>
      </w:r>
      <w:r w:rsidR="00C758AC">
        <w:rPr>
          <w:rFonts w:ascii="Arial" w:hAnsi="Arial" w:cs="Arial"/>
          <w:lang w:val="en-US"/>
        </w:rPr>
        <w:t>proves that p</w:t>
      </w:r>
      <w:r w:rsidR="00DE496B">
        <w:rPr>
          <w:rFonts w:ascii="Arial" w:hAnsi="Arial" w:cs="Arial"/>
          <w:lang w:val="en-US"/>
        </w:rPr>
        <w:t>roceedings in a freezing order case may not be defeated on the mere fact that the defendant’s assets subject to the order is based outside the English court</w:t>
      </w:r>
      <w:r w:rsidR="00C758AC">
        <w:rPr>
          <w:rFonts w:ascii="Arial" w:hAnsi="Arial" w:cs="Arial"/>
          <w:lang w:val="en-US"/>
        </w:rPr>
        <w:t xml:space="preserve"> jurisdiction. It should be noted, that the worldwide freezing order is </w:t>
      </w:r>
      <w:r w:rsidR="00DC768E">
        <w:rPr>
          <w:rFonts w:ascii="Arial" w:hAnsi="Arial" w:cs="Arial"/>
          <w:lang w:val="en-US"/>
        </w:rPr>
        <w:t xml:space="preserve">precisely a mechanism used to adapt to the changing world of modern technology and </w:t>
      </w:r>
      <w:r w:rsidR="00EB7F4E">
        <w:rPr>
          <w:rFonts w:ascii="Arial" w:hAnsi="Arial" w:cs="Arial"/>
          <w:lang w:val="en-US"/>
        </w:rPr>
        <w:t xml:space="preserve">because it operates ‘in </w:t>
      </w:r>
      <w:proofErr w:type="spellStart"/>
      <w:r w:rsidR="00EB7F4E">
        <w:rPr>
          <w:rFonts w:ascii="Arial" w:hAnsi="Arial" w:cs="Arial"/>
          <w:lang w:val="en-US"/>
        </w:rPr>
        <w:t>personam</w:t>
      </w:r>
      <w:proofErr w:type="spellEnd"/>
      <w:r w:rsidR="00EB7F4E">
        <w:rPr>
          <w:rFonts w:ascii="Arial" w:hAnsi="Arial" w:cs="Arial"/>
          <w:lang w:val="en-US"/>
        </w:rPr>
        <w:t>’</w:t>
      </w:r>
      <w:r w:rsidR="00E77D8D">
        <w:rPr>
          <w:rFonts w:ascii="Arial" w:hAnsi="Arial" w:cs="Arial"/>
          <w:lang w:val="en-US"/>
        </w:rPr>
        <w:t xml:space="preserve"> (against any person)</w:t>
      </w:r>
      <w:r w:rsidR="00684B58">
        <w:rPr>
          <w:rFonts w:ascii="Arial" w:hAnsi="Arial" w:cs="Arial"/>
          <w:lang w:val="en-US"/>
        </w:rPr>
        <w:t xml:space="preserve">, a freezing injunction </w:t>
      </w:r>
      <w:r w:rsidR="00F530AB">
        <w:rPr>
          <w:rFonts w:ascii="Arial" w:hAnsi="Arial" w:cs="Arial"/>
          <w:lang w:val="en-US"/>
        </w:rPr>
        <w:t xml:space="preserve">could be granted </w:t>
      </w:r>
      <w:r w:rsidR="00E77D8D">
        <w:rPr>
          <w:rFonts w:ascii="Arial" w:hAnsi="Arial" w:cs="Arial"/>
          <w:lang w:val="en-US"/>
        </w:rPr>
        <w:t xml:space="preserve">in relation to foreign assets as long as it complies with principles from international law </w:t>
      </w:r>
      <w:r w:rsidR="00520940">
        <w:rPr>
          <w:rFonts w:ascii="Arial" w:hAnsi="Arial" w:cs="Arial"/>
          <w:lang w:val="en-US"/>
        </w:rPr>
        <w:t xml:space="preserve">(Merrett, 2007, p. 497). </w:t>
      </w:r>
    </w:p>
    <w:p w14:paraId="3CA7148E" w14:textId="77777777" w:rsidR="00252BF3" w:rsidRDefault="00687DE4" w:rsidP="00687DE4">
      <w:pPr>
        <w:spacing w:line="480" w:lineRule="auto"/>
        <w:rPr>
          <w:rFonts w:ascii="Arial" w:hAnsi="Arial" w:cs="Arial"/>
          <w:lang w:val="en-US"/>
        </w:rPr>
      </w:pPr>
      <w:r>
        <w:rPr>
          <w:rFonts w:ascii="Arial" w:hAnsi="Arial" w:cs="Arial"/>
          <w:lang w:val="en-US"/>
        </w:rPr>
        <w:tab/>
      </w:r>
      <w:r>
        <w:rPr>
          <w:rFonts w:ascii="Arial" w:hAnsi="Arial" w:cs="Arial"/>
          <w:lang w:val="en-US"/>
        </w:rPr>
        <w:t>It is commonly expressed that a search order is perhaps the harshest order the court can make against a defendant</w:t>
      </w:r>
      <w:r w:rsidR="00C917CD">
        <w:rPr>
          <w:rFonts w:ascii="Arial" w:hAnsi="Arial" w:cs="Arial"/>
          <w:lang w:val="en-US"/>
        </w:rPr>
        <w:t>, l</w:t>
      </w:r>
      <w:r>
        <w:rPr>
          <w:rFonts w:ascii="Arial" w:hAnsi="Arial" w:cs="Arial"/>
          <w:lang w:val="en-US"/>
        </w:rPr>
        <w:t>argely because it demands the defendant to permit the claimant to search the defendant’s premises</w:t>
      </w:r>
      <w:r w:rsidR="00C917CD">
        <w:rPr>
          <w:rFonts w:ascii="Arial" w:hAnsi="Arial" w:cs="Arial"/>
          <w:lang w:val="en-US"/>
        </w:rPr>
        <w:t xml:space="preserve"> and take any object or document</w:t>
      </w:r>
      <w:r>
        <w:rPr>
          <w:rFonts w:ascii="Arial" w:hAnsi="Arial" w:cs="Arial"/>
          <w:lang w:val="en-US"/>
        </w:rPr>
        <w:t xml:space="preserve"> </w:t>
      </w:r>
      <w:r w:rsidR="00C917CD">
        <w:rPr>
          <w:rFonts w:ascii="Arial" w:hAnsi="Arial" w:cs="Arial"/>
          <w:lang w:val="en-US"/>
        </w:rPr>
        <w:t xml:space="preserve">which will be needed as </w:t>
      </w:r>
      <w:r>
        <w:rPr>
          <w:rFonts w:ascii="Arial" w:hAnsi="Arial" w:cs="Arial"/>
          <w:lang w:val="en-US"/>
        </w:rPr>
        <w:t xml:space="preserve">evidence </w:t>
      </w:r>
      <w:r w:rsidR="00C917CD">
        <w:rPr>
          <w:rFonts w:ascii="Arial" w:hAnsi="Arial" w:cs="Arial"/>
          <w:lang w:val="en-US"/>
        </w:rPr>
        <w:t>to prove a legal claim (Beachcroft, 2020)</w:t>
      </w:r>
      <w:r>
        <w:rPr>
          <w:rFonts w:ascii="Arial" w:hAnsi="Arial" w:cs="Arial"/>
          <w:lang w:val="en-US"/>
        </w:rPr>
        <w:t>.</w:t>
      </w:r>
      <w:r w:rsidR="00C917CD">
        <w:rPr>
          <w:rFonts w:ascii="Arial" w:hAnsi="Arial" w:cs="Arial"/>
          <w:lang w:val="en-US"/>
        </w:rPr>
        <w:t xml:space="preserve"> In </w:t>
      </w:r>
      <w:r w:rsidR="001D575E">
        <w:rPr>
          <w:rFonts w:ascii="Arial" w:hAnsi="Arial" w:cs="Arial"/>
          <w:lang w:val="en-US"/>
        </w:rPr>
        <w:t>general,</w:t>
      </w:r>
      <w:r w:rsidR="00C917CD">
        <w:rPr>
          <w:rFonts w:ascii="Arial" w:hAnsi="Arial" w:cs="Arial"/>
          <w:lang w:val="en-US"/>
        </w:rPr>
        <w:t xml:space="preserve"> a search order is not done by force but the defendant is </w:t>
      </w:r>
      <w:r w:rsidR="001D575E">
        <w:rPr>
          <w:rFonts w:ascii="Arial" w:hAnsi="Arial" w:cs="Arial"/>
          <w:lang w:val="en-US"/>
        </w:rPr>
        <w:t xml:space="preserve">required to give his consent to be searched and they are subject to imprisonment for contempt of court if they refuse (Watt, 2021, p.489). </w:t>
      </w:r>
      <w:r w:rsidR="00D7533E">
        <w:rPr>
          <w:rFonts w:ascii="Arial" w:hAnsi="Arial" w:cs="Arial"/>
          <w:lang w:val="en-US"/>
        </w:rPr>
        <w:t xml:space="preserve">Furthermore, the overall aim of a search order is to conserve evidence or property </w:t>
      </w:r>
      <w:r w:rsidR="00EA3120">
        <w:rPr>
          <w:rFonts w:ascii="Arial" w:hAnsi="Arial" w:cs="Arial"/>
          <w:lang w:val="en-US"/>
        </w:rPr>
        <w:t>which the respondent was most likely going to destroy before trial</w:t>
      </w:r>
      <w:r w:rsidR="00D7533E">
        <w:rPr>
          <w:rFonts w:ascii="Arial" w:hAnsi="Arial" w:cs="Arial"/>
          <w:lang w:val="en-US"/>
        </w:rPr>
        <w:t xml:space="preserve"> (Brodies, 2021). </w:t>
      </w:r>
      <w:r w:rsidR="00EA3120">
        <w:rPr>
          <w:rFonts w:ascii="Arial" w:hAnsi="Arial" w:cs="Arial"/>
          <w:lang w:val="en-US"/>
        </w:rPr>
        <w:t xml:space="preserve">After the </w:t>
      </w:r>
      <w:r w:rsidR="006933F3">
        <w:rPr>
          <w:rFonts w:ascii="Arial" w:hAnsi="Arial" w:cs="Arial"/>
          <w:lang w:val="en-US"/>
        </w:rPr>
        <w:t>court’s</w:t>
      </w:r>
      <w:r w:rsidR="00EA3120">
        <w:rPr>
          <w:rFonts w:ascii="Arial" w:hAnsi="Arial" w:cs="Arial"/>
          <w:lang w:val="en-US"/>
        </w:rPr>
        <w:t xml:space="preserve"> decision in </w:t>
      </w:r>
      <w:r w:rsidR="00EA3120">
        <w:rPr>
          <w:rFonts w:ascii="Arial" w:hAnsi="Arial" w:cs="Arial"/>
          <w:i/>
          <w:iCs/>
          <w:lang w:val="en-US"/>
        </w:rPr>
        <w:t>‘Anton Piller KG</w:t>
      </w:r>
      <w:r w:rsidR="00051AF9">
        <w:rPr>
          <w:rFonts w:ascii="Arial" w:hAnsi="Arial" w:cs="Arial"/>
          <w:i/>
          <w:iCs/>
          <w:lang w:val="en-US"/>
        </w:rPr>
        <w:t xml:space="preserve"> v</w:t>
      </w:r>
      <w:r w:rsidR="00EA3120">
        <w:rPr>
          <w:rFonts w:ascii="Arial" w:hAnsi="Arial" w:cs="Arial"/>
          <w:i/>
          <w:iCs/>
          <w:lang w:val="en-US"/>
        </w:rPr>
        <w:t xml:space="preserve"> Manufacturing Processes Ltd’ </w:t>
      </w:r>
      <w:r w:rsidR="00EA3120">
        <w:rPr>
          <w:rFonts w:ascii="Arial" w:hAnsi="Arial" w:cs="Arial"/>
          <w:lang w:val="en-US"/>
        </w:rPr>
        <w:t>(1976), the Civil Procedure Act (CPR) 1997</w:t>
      </w:r>
      <w:r w:rsidR="00AD1DDA">
        <w:rPr>
          <w:rFonts w:ascii="Arial" w:hAnsi="Arial" w:cs="Arial"/>
          <w:lang w:val="en-US"/>
        </w:rPr>
        <w:t xml:space="preserve"> (S7)</w:t>
      </w:r>
      <w:r w:rsidR="00EA3120">
        <w:rPr>
          <w:rFonts w:ascii="Arial" w:hAnsi="Arial" w:cs="Arial"/>
          <w:lang w:val="en-US"/>
        </w:rPr>
        <w:t xml:space="preserve"> issued that in the presence of any current or proposed claims the judges might grant an order for the motive of securing 1) </w:t>
      </w:r>
      <w:r w:rsidR="00AD1DDA">
        <w:rPr>
          <w:rFonts w:ascii="Arial" w:hAnsi="Arial" w:cs="Arial"/>
          <w:lang w:val="en-US"/>
        </w:rPr>
        <w:t xml:space="preserve">the protection of evidence which is or might be applicable, or 2) the conservation of property which is or might be the topic matter of the action or as to which any query arises or might arise in the proceedings. </w:t>
      </w:r>
      <w:r w:rsidR="001962F6">
        <w:rPr>
          <w:rFonts w:ascii="Arial" w:hAnsi="Arial" w:cs="Arial"/>
          <w:lang w:val="en-US"/>
        </w:rPr>
        <w:t xml:space="preserve">Consequently, the defendant is vulnerable under a search order as the order instructs any person to allow </w:t>
      </w:r>
      <w:r w:rsidR="001962F6">
        <w:rPr>
          <w:rFonts w:ascii="Arial" w:hAnsi="Arial" w:cs="Arial"/>
          <w:lang w:val="en-US"/>
        </w:rPr>
        <w:lastRenderedPageBreak/>
        <w:t xml:space="preserve">any person labelled in the order to enter properties in England and Wales, and permits the individual to abide by the following directions while on the premises so far as the order may permit : 1) To conduct a search for or check for anything described in the order; 2) </w:t>
      </w:r>
      <w:r w:rsidR="005F7D4A">
        <w:rPr>
          <w:rFonts w:ascii="Arial" w:hAnsi="Arial" w:cs="Arial"/>
          <w:lang w:val="en-US"/>
        </w:rPr>
        <w:t xml:space="preserve">To gather or obtain a copy, sample, photos or any other record of anything so reported; and 3) To keep for safety anything reported in the order (McLachlan, 1987, p. 678). </w:t>
      </w:r>
    </w:p>
    <w:p w14:paraId="66B96239" w14:textId="16872DA3" w:rsidR="00EA3120" w:rsidRDefault="005F7D4A" w:rsidP="00252BF3">
      <w:pPr>
        <w:spacing w:line="480" w:lineRule="auto"/>
        <w:ind w:firstLine="720"/>
        <w:rPr>
          <w:rFonts w:ascii="Arial" w:hAnsi="Arial" w:cs="Arial"/>
          <w:lang w:val="en-US"/>
        </w:rPr>
      </w:pPr>
      <w:r>
        <w:rPr>
          <w:rFonts w:ascii="Arial" w:hAnsi="Arial" w:cs="Arial"/>
          <w:lang w:val="en-US"/>
        </w:rPr>
        <w:t xml:space="preserve">As a search order is considered a severe action, it will be granted scarcely and decisions taken by the courts will be discretionary while also guided by the facts of previous cases in order to balance the interest between the claimants and the defendants (Watt, 2021, p. 489). </w:t>
      </w:r>
      <w:r w:rsidR="009A0A8A">
        <w:rPr>
          <w:rFonts w:ascii="Arial" w:hAnsi="Arial" w:cs="Arial"/>
          <w:lang w:val="en-US"/>
        </w:rPr>
        <w:t xml:space="preserve">Certainly, the law </w:t>
      </w:r>
      <w:r w:rsidR="00496F98">
        <w:rPr>
          <w:rFonts w:ascii="Arial" w:hAnsi="Arial" w:cs="Arial"/>
          <w:lang w:val="en-US"/>
        </w:rPr>
        <w:t xml:space="preserve">acknowledged in the </w:t>
      </w:r>
      <w:r w:rsidR="009A0A8A">
        <w:rPr>
          <w:rFonts w:ascii="Arial" w:hAnsi="Arial" w:cs="Arial"/>
          <w:lang w:val="en-US"/>
        </w:rPr>
        <w:t xml:space="preserve">case of </w:t>
      </w:r>
      <w:r w:rsidR="009A0A8A">
        <w:rPr>
          <w:rFonts w:ascii="Arial" w:hAnsi="Arial" w:cs="Arial"/>
          <w:i/>
          <w:iCs/>
          <w:lang w:val="en-US"/>
        </w:rPr>
        <w:t xml:space="preserve">‘Anton Piller KG v Manufacturing Processes Ltd’ </w:t>
      </w:r>
      <w:r w:rsidR="009A0A8A">
        <w:rPr>
          <w:rFonts w:ascii="Arial" w:hAnsi="Arial" w:cs="Arial"/>
          <w:lang w:val="en-US"/>
        </w:rPr>
        <w:t>(1976)</w:t>
      </w:r>
      <w:r w:rsidR="00496F98">
        <w:rPr>
          <w:rFonts w:ascii="Arial" w:hAnsi="Arial" w:cs="Arial"/>
          <w:lang w:val="en-US"/>
        </w:rPr>
        <w:t xml:space="preserve"> </w:t>
      </w:r>
      <w:r w:rsidR="009A0A8A">
        <w:rPr>
          <w:rFonts w:ascii="Arial" w:hAnsi="Arial" w:cs="Arial"/>
          <w:lang w:val="en-US"/>
        </w:rPr>
        <w:t>that because such an order can be granted without notice (ex parte), the applicant is under a duty to behave carefully and with complete respect for the defendant’s rights.</w:t>
      </w:r>
      <w:r w:rsidR="00496F98">
        <w:rPr>
          <w:rFonts w:ascii="Arial" w:hAnsi="Arial" w:cs="Arial"/>
          <w:lang w:val="en-US"/>
        </w:rPr>
        <w:t xml:space="preserve"> As a result, the law provided the court with the following factors as general preconditions to grant an order: Firstly, the applicant must have an extremely </w:t>
      </w:r>
      <w:r w:rsidR="00CE6D99">
        <w:rPr>
          <w:rFonts w:ascii="Arial" w:hAnsi="Arial" w:cs="Arial"/>
          <w:lang w:val="en-US"/>
        </w:rPr>
        <w:t xml:space="preserve">strong prima facie action against the defendant; Secondly, there must be probability of serious damage to the </w:t>
      </w:r>
      <w:r w:rsidR="00051AF9">
        <w:rPr>
          <w:rFonts w:ascii="Arial" w:hAnsi="Arial" w:cs="Arial"/>
          <w:lang w:val="en-US"/>
        </w:rPr>
        <w:t>applicant</w:t>
      </w:r>
      <w:r w:rsidR="00CE6D99">
        <w:rPr>
          <w:rFonts w:ascii="Arial" w:hAnsi="Arial" w:cs="Arial"/>
          <w:lang w:val="en-US"/>
        </w:rPr>
        <w:t xml:space="preserve"> if the order is rejected; Thirdly, there must be pure proof that the defendant is in possession of the target asset in question; and Fourthly, there must be a clear threat that the defendant will conceal, dispose or destroy the target asset as </w:t>
      </w:r>
      <w:r w:rsidR="008445EF">
        <w:rPr>
          <w:rFonts w:ascii="Arial" w:hAnsi="Arial" w:cs="Arial"/>
          <w:lang w:val="en-US"/>
        </w:rPr>
        <w:t xml:space="preserve">stated by Alain (2011). </w:t>
      </w:r>
      <w:r w:rsidR="00051AF9">
        <w:rPr>
          <w:rFonts w:ascii="Arial" w:hAnsi="Arial" w:cs="Arial"/>
          <w:lang w:val="en-US"/>
        </w:rPr>
        <w:t>In particular, the last factor is challenging to establish for applicants but the court</w:t>
      </w:r>
      <w:r w:rsidR="00252BF3">
        <w:rPr>
          <w:rFonts w:ascii="Arial" w:hAnsi="Arial" w:cs="Arial"/>
          <w:lang w:val="en-US"/>
        </w:rPr>
        <w:t>’s</w:t>
      </w:r>
      <w:r w:rsidR="00051AF9">
        <w:rPr>
          <w:rFonts w:ascii="Arial" w:hAnsi="Arial" w:cs="Arial"/>
          <w:lang w:val="en-US"/>
        </w:rPr>
        <w:t xml:space="preserve"> reason for including this factor is because certainly it would be unnecessary to grant a search order in a situation where the defendant would have gladly given up his assets in an ordinary order as expressed by the court in the case of </w:t>
      </w:r>
      <w:r w:rsidR="00051AF9">
        <w:rPr>
          <w:rFonts w:ascii="Arial" w:hAnsi="Arial" w:cs="Arial"/>
          <w:i/>
          <w:iCs/>
          <w:lang w:val="en-US"/>
        </w:rPr>
        <w:t xml:space="preserve">‘Lock International plc v </w:t>
      </w:r>
      <w:r w:rsidR="00051AF9">
        <w:rPr>
          <w:rFonts w:ascii="Arial" w:hAnsi="Arial" w:cs="Arial"/>
          <w:i/>
          <w:iCs/>
          <w:lang w:val="en-US"/>
        </w:rPr>
        <w:lastRenderedPageBreak/>
        <w:t xml:space="preserve">Beswick’ </w:t>
      </w:r>
      <w:r w:rsidR="00051AF9" w:rsidRPr="00051AF9">
        <w:rPr>
          <w:rFonts w:ascii="Arial" w:hAnsi="Arial" w:cs="Arial"/>
          <w:lang w:val="en-US"/>
        </w:rPr>
        <w:t>(1989)</w:t>
      </w:r>
      <w:r w:rsidR="00051AF9">
        <w:rPr>
          <w:rFonts w:ascii="Arial" w:hAnsi="Arial" w:cs="Arial"/>
          <w:lang w:val="en-US"/>
        </w:rPr>
        <w:t xml:space="preserve">. </w:t>
      </w:r>
      <w:r w:rsidR="00061A22">
        <w:rPr>
          <w:rFonts w:ascii="Arial" w:hAnsi="Arial" w:cs="Arial"/>
          <w:lang w:val="en-US"/>
        </w:rPr>
        <w:t>Likewise</w:t>
      </w:r>
      <w:r w:rsidR="000A26DB">
        <w:rPr>
          <w:rFonts w:ascii="Arial" w:hAnsi="Arial" w:cs="Arial"/>
          <w:lang w:val="en-US"/>
        </w:rPr>
        <w:t>,</w:t>
      </w:r>
      <w:r w:rsidR="00061A22">
        <w:rPr>
          <w:rFonts w:ascii="Arial" w:hAnsi="Arial" w:cs="Arial"/>
          <w:lang w:val="en-US"/>
        </w:rPr>
        <w:t xml:space="preserve"> the court attempt to balance the interest of the claimant and defendant in a search order can be observed in the case </w:t>
      </w:r>
      <w:r w:rsidR="00D90A33">
        <w:rPr>
          <w:rFonts w:ascii="Arial" w:hAnsi="Arial" w:cs="Arial"/>
          <w:lang w:val="en-US"/>
        </w:rPr>
        <w:t xml:space="preserve">of </w:t>
      </w:r>
      <w:r w:rsidR="00061A22">
        <w:rPr>
          <w:rFonts w:ascii="Arial" w:hAnsi="Arial" w:cs="Arial"/>
          <w:i/>
          <w:iCs/>
          <w:lang w:val="en-US"/>
        </w:rPr>
        <w:t xml:space="preserve">‘Rank Film Distributors Ltd v Video Information Centre’ </w:t>
      </w:r>
      <w:r w:rsidR="00061A22">
        <w:rPr>
          <w:rFonts w:ascii="Arial" w:hAnsi="Arial" w:cs="Arial"/>
          <w:lang w:val="en-US"/>
        </w:rPr>
        <w:t>(1982)</w:t>
      </w:r>
      <w:r w:rsidR="00061A22">
        <w:rPr>
          <w:rFonts w:ascii="Arial" w:hAnsi="Arial" w:cs="Arial"/>
          <w:lang w:val="en-US"/>
        </w:rPr>
        <w:t xml:space="preserve">, where </w:t>
      </w:r>
      <w:r w:rsidR="000A26DB">
        <w:rPr>
          <w:rFonts w:ascii="Arial" w:hAnsi="Arial" w:cs="Arial"/>
          <w:lang w:val="en-US"/>
        </w:rPr>
        <w:t>the court refused to grant the claimant a search order</w:t>
      </w:r>
      <w:r w:rsidR="00061A22">
        <w:rPr>
          <w:rFonts w:ascii="Arial" w:hAnsi="Arial" w:cs="Arial"/>
          <w:lang w:val="en-US"/>
        </w:rPr>
        <w:t xml:space="preserve"> </w:t>
      </w:r>
      <w:r w:rsidR="000A26DB">
        <w:rPr>
          <w:rFonts w:ascii="Arial" w:hAnsi="Arial" w:cs="Arial"/>
          <w:lang w:val="en-US"/>
        </w:rPr>
        <w:t>because their order would require the defendant to disclose information which might have put them at risk of self-incrimination in a criminal lawsuit, therefore the case was not deemed to be a prima facie action.</w:t>
      </w:r>
      <w:r w:rsidR="00061A22">
        <w:rPr>
          <w:rFonts w:ascii="Arial" w:hAnsi="Arial" w:cs="Arial"/>
          <w:lang w:val="en-US"/>
        </w:rPr>
        <w:t xml:space="preserve"> In addition, the applicant of a search order is obliged not to use force on the defendant and an order for aggravated damages may be ordered against the applicant by the court </w:t>
      </w:r>
      <w:r w:rsidR="00347A63">
        <w:rPr>
          <w:rFonts w:ascii="Arial" w:hAnsi="Arial" w:cs="Arial"/>
          <w:lang w:val="en-US"/>
        </w:rPr>
        <w:t xml:space="preserve">if this is breached </w:t>
      </w:r>
      <w:r w:rsidR="00347A63">
        <w:rPr>
          <w:rFonts w:ascii="Arial" w:hAnsi="Arial" w:cs="Arial"/>
          <w:lang w:val="en-US"/>
        </w:rPr>
        <w:t xml:space="preserve">(Watt, 2021, p. 490). Nevertheless, search order </w:t>
      </w:r>
      <w:r w:rsidR="00252BF3">
        <w:rPr>
          <w:rFonts w:ascii="Arial" w:hAnsi="Arial" w:cs="Arial"/>
          <w:lang w:val="en-US"/>
        </w:rPr>
        <w:t>has</w:t>
      </w:r>
      <w:r w:rsidR="00347A63">
        <w:rPr>
          <w:rFonts w:ascii="Arial" w:hAnsi="Arial" w:cs="Arial"/>
          <w:lang w:val="en-US"/>
        </w:rPr>
        <w:t xml:space="preserve"> a reputation for being most useful in </w:t>
      </w:r>
      <w:r w:rsidR="006933F3">
        <w:rPr>
          <w:rFonts w:ascii="Arial" w:hAnsi="Arial" w:cs="Arial"/>
          <w:lang w:val="en-US"/>
        </w:rPr>
        <w:t>dealing with claims of rumored audio and video piracy, but even in such circumstances, if there is</w:t>
      </w:r>
      <w:r w:rsidR="00D90A33">
        <w:rPr>
          <w:rFonts w:ascii="Arial" w:hAnsi="Arial" w:cs="Arial"/>
          <w:lang w:val="en-US"/>
        </w:rPr>
        <w:t xml:space="preserve"> a</w:t>
      </w:r>
      <w:r w:rsidR="006933F3">
        <w:rPr>
          <w:rFonts w:ascii="Arial" w:hAnsi="Arial" w:cs="Arial"/>
          <w:lang w:val="en-US"/>
        </w:rPr>
        <w:t xml:space="preserve"> disagreement towards the proper ownership of certain materials like alleged pirate tapes, then </w:t>
      </w:r>
      <w:r w:rsidR="00D90A33">
        <w:rPr>
          <w:rFonts w:ascii="Arial" w:hAnsi="Arial" w:cs="Arial"/>
          <w:lang w:val="en-US"/>
        </w:rPr>
        <w:t xml:space="preserve">the material </w:t>
      </w:r>
      <w:r w:rsidR="006933F3">
        <w:rPr>
          <w:rFonts w:ascii="Arial" w:hAnsi="Arial" w:cs="Arial"/>
          <w:lang w:val="en-US"/>
        </w:rPr>
        <w:t xml:space="preserve">should not be seized by the applicant as seen in the case of </w:t>
      </w:r>
      <w:r w:rsidR="006933F3">
        <w:rPr>
          <w:rFonts w:ascii="Arial" w:hAnsi="Arial" w:cs="Arial"/>
          <w:i/>
          <w:iCs/>
          <w:lang w:val="en-US"/>
        </w:rPr>
        <w:t>‘Columbia Picture Industries Inc v Robinson’</w:t>
      </w:r>
      <w:r w:rsidR="006933F3">
        <w:rPr>
          <w:rFonts w:ascii="Arial" w:hAnsi="Arial" w:cs="Arial"/>
          <w:lang w:val="en-US"/>
        </w:rPr>
        <w:t xml:space="preserve"> (1987). </w:t>
      </w:r>
    </w:p>
    <w:p w14:paraId="4625F7A1" w14:textId="3999BCBF" w:rsidR="00D90A33" w:rsidRPr="000A26DB" w:rsidRDefault="00D90A33" w:rsidP="00D90A33">
      <w:pPr>
        <w:spacing w:line="480" w:lineRule="auto"/>
        <w:rPr>
          <w:rFonts w:ascii="Arial" w:hAnsi="Arial" w:cs="Arial"/>
          <w:lang w:val="en-US"/>
        </w:rPr>
      </w:pPr>
      <w:r>
        <w:rPr>
          <w:rFonts w:ascii="Arial" w:hAnsi="Arial" w:cs="Arial"/>
          <w:lang w:val="en-US"/>
        </w:rPr>
        <w:tab/>
      </w:r>
    </w:p>
    <w:p w14:paraId="476F6FEE" w14:textId="77777777" w:rsidR="00EA3120" w:rsidRDefault="00EA3120" w:rsidP="00687DE4">
      <w:pPr>
        <w:spacing w:line="480" w:lineRule="auto"/>
        <w:rPr>
          <w:rFonts w:ascii="Arial" w:hAnsi="Arial" w:cs="Arial"/>
          <w:lang w:val="en-US"/>
        </w:rPr>
      </w:pPr>
    </w:p>
    <w:p w14:paraId="59D8CCA1" w14:textId="77777777" w:rsidR="00EA3120" w:rsidRDefault="00EA3120" w:rsidP="00687DE4">
      <w:pPr>
        <w:spacing w:line="480" w:lineRule="auto"/>
        <w:rPr>
          <w:rFonts w:ascii="Arial" w:hAnsi="Arial" w:cs="Arial"/>
          <w:lang w:val="en-US"/>
        </w:rPr>
      </w:pPr>
    </w:p>
    <w:p w14:paraId="43E855A2" w14:textId="77777777" w:rsidR="00EA3120" w:rsidRDefault="00EA3120" w:rsidP="00687DE4">
      <w:pPr>
        <w:spacing w:line="480" w:lineRule="auto"/>
        <w:rPr>
          <w:rFonts w:ascii="Arial" w:hAnsi="Arial" w:cs="Arial"/>
          <w:lang w:val="en-US"/>
        </w:rPr>
      </w:pPr>
    </w:p>
    <w:p w14:paraId="71CA4925" w14:textId="6D2F1FEA" w:rsidR="00687DE4" w:rsidRDefault="00D7533E" w:rsidP="00687DE4">
      <w:pPr>
        <w:spacing w:line="480" w:lineRule="auto"/>
        <w:rPr>
          <w:rFonts w:ascii="Arial" w:hAnsi="Arial" w:cs="Arial"/>
          <w:lang w:val="en-US"/>
        </w:rPr>
      </w:pPr>
      <w:r>
        <w:rPr>
          <w:rFonts w:ascii="Arial" w:hAnsi="Arial" w:cs="Arial"/>
          <w:lang w:val="en-US"/>
        </w:rPr>
        <w:t xml:space="preserve"> </w:t>
      </w:r>
      <w:r w:rsidR="001D575E">
        <w:rPr>
          <w:rFonts w:ascii="Arial" w:hAnsi="Arial" w:cs="Arial"/>
          <w:lang w:val="en-US"/>
        </w:rPr>
        <w:t xml:space="preserve">Search order function is </w:t>
      </w:r>
      <w:proofErr w:type="gramStart"/>
      <w:r w:rsidR="001D575E">
        <w:rPr>
          <w:rFonts w:ascii="Arial" w:hAnsi="Arial" w:cs="Arial"/>
          <w:lang w:val="en-US"/>
        </w:rPr>
        <w:t xml:space="preserve">to </w:t>
      </w:r>
      <w:r w:rsidR="00687DE4">
        <w:rPr>
          <w:rFonts w:ascii="Arial" w:hAnsi="Arial" w:cs="Arial"/>
          <w:lang w:val="en-US"/>
        </w:rPr>
        <w:t xml:space="preserve"> What</w:t>
      </w:r>
      <w:proofErr w:type="gramEnd"/>
      <w:r w:rsidR="00687DE4">
        <w:rPr>
          <w:rFonts w:ascii="Arial" w:hAnsi="Arial" w:cs="Arial"/>
          <w:lang w:val="en-US"/>
        </w:rPr>
        <w:t xml:space="preserve"> power this gives to the claimant (it appears) can observed in the ……. Which is why judges in case laws such ___ including the CPR (Civil Procedure Rule 23) have developed multiple safeguards for defendants…. Some of these include: </w:t>
      </w:r>
      <w:proofErr w:type="spellStart"/>
      <w:r w:rsidR="00687DE4">
        <w:rPr>
          <w:rFonts w:ascii="Arial" w:hAnsi="Arial" w:cs="Arial"/>
          <w:lang w:val="en-US"/>
        </w:rPr>
        <w:t>i</w:t>
      </w:r>
      <w:proofErr w:type="spellEnd"/>
      <w:r w:rsidR="00687DE4">
        <w:rPr>
          <w:rFonts w:ascii="Arial" w:hAnsi="Arial" w:cs="Arial"/>
          <w:lang w:val="en-US"/>
        </w:rPr>
        <w:t xml:space="preserve">) The Cl has a duty to make full and frank disclosure and provide an undertaking in damages; ii) An independent solicitor must be appointed to supervise and report on the execution of the search. Nonetheless, the court places certain </w:t>
      </w:r>
      <w:r w:rsidR="00687DE4">
        <w:rPr>
          <w:rFonts w:ascii="Arial" w:hAnsi="Arial" w:cs="Arial"/>
          <w:lang w:val="en-US"/>
        </w:rPr>
        <w:lastRenderedPageBreak/>
        <w:t xml:space="preserve">guidelines in favor of the defendant and expectations on the applicant of a search order due to the burden this action has on the defendant in favor of the defendant because of the burden a search places on the defendant. If applicants do not comply with these </w:t>
      </w:r>
      <w:proofErr w:type="gramStart"/>
      <w:r w:rsidR="00687DE4">
        <w:rPr>
          <w:rFonts w:ascii="Arial" w:hAnsi="Arial" w:cs="Arial"/>
          <w:lang w:val="en-US"/>
        </w:rPr>
        <w:t>safeguards</w:t>
      </w:r>
      <w:proofErr w:type="gramEnd"/>
      <w:r w:rsidR="00687DE4">
        <w:rPr>
          <w:rFonts w:ascii="Arial" w:hAnsi="Arial" w:cs="Arial"/>
          <w:lang w:val="en-US"/>
        </w:rPr>
        <w:t xml:space="preserve"> then the claimant will be held liable to the respondent for damages. If a cl describes a particular item or information on an order they intend to acquire, it will be immaterial for them to </w:t>
      </w:r>
      <w:proofErr w:type="spellStart"/>
      <w:r w:rsidR="00687DE4">
        <w:rPr>
          <w:rFonts w:ascii="Arial" w:hAnsi="Arial" w:cs="Arial"/>
          <w:lang w:val="en-US"/>
        </w:rPr>
        <w:t>posses</w:t>
      </w:r>
      <w:proofErr w:type="spellEnd"/>
      <w:r w:rsidR="00687DE4">
        <w:rPr>
          <w:rFonts w:ascii="Arial" w:hAnsi="Arial" w:cs="Arial"/>
          <w:lang w:val="en-US"/>
        </w:rPr>
        <w:t xml:space="preserve"> a different item once they have been allowed to enter the defendant’s premise as they are only permitted to search for what is ‘clearly’ within the scope of the order. </w:t>
      </w:r>
    </w:p>
    <w:p w14:paraId="03D4AF3B" w14:textId="7864F584" w:rsidR="00687DE4" w:rsidRPr="00930F34" w:rsidRDefault="00687DE4" w:rsidP="00A57168">
      <w:pPr>
        <w:spacing w:line="480" w:lineRule="auto"/>
        <w:rPr>
          <w:rFonts w:ascii="Arial" w:hAnsi="Arial" w:cs="Arial"/>
          <w:lang w:val="en-US"/>
        </w:rPr>
      </w:pPr>
    </w:p>
    <w:p w14:paraId="2C78C99D" w14:textId="77777777" w:rsidR="00A56AA9" w:rsidRDefault="00A56AA9" w:rsidP="00A57168">
      <w:pPr>
        <w:spacing w:line="480" w:lineRule="auto"/>
        <w:rPr>
          <w:rFonts w:ascii="Arial" w:hAnsi="Arial" w:cs="Arial"/>
          <w:lang w:val="en-US"/>
        </w:rPr>
      </w:pPr>
    </w:p>
    <w:p w14:paraId="72844FB9" w14:textId="77777777" w:rsidR="0084202B" w:rsidRDefault="0084202B" w:rsidP="00A57168">
      <w:pPr>
        <w:spacing w:line="480" w:lineRule="auto"/>
        <w:rPr>
          <w:rFonts w:ascii="Arial" w:hAnsi="Arial" w:cs="Arial"/>
          <w:lang w:val="en-US"/>
        </w:rPr>
      </w:pPr>
    </w:p>
    <w:p w14:paraId="7B9746DB" w14:textId="0AA84308" w:rsidR="00701CCE" w:rsidRDefault="00701CCE" w:rsidP="00A57168">
      <w:pPr>
        <w:spacing w:line="480" w:lineRule="auto"/>
        <w:rPr>
          <w:rFonts w:ascii="Arial" w:hAnsi="Arial" w:cs="Arial"/>
          <w:lang w:val="en-US"/>
        </w:rPr>
      </w:pPr>
      <w:r>
        <w:rPr>
          <w:rFonts w:ascii="Arial" w:hAnsi="Arial" w:cs="Arial"/>
          <w:lang w:val="en-US"/>
        </w:rPr>
        <w:tab/>
      </w:r>
    </w:p>
    <w:p w14:paraId="5E35845B" w14:textId="77777777" w:rsidR="00701CCE" w:rsidRDefault="00701CCE" w:rsidP="00A57168">
      <w:pPr>
        <w:spacing w:line="480" w:lineRule="auto"/>
        <w:rPr>
          <w:rFonts w:ascii="Arial" w:hAnsi="Arial" w:cs="Arial"/>
          <w:lang w:val="en-US"/>
        </w:rPr>
      </w:pPr>
    </w:p>
    <w:p w14:paraId="38E47DA0" w14:textId="77777777" w:rsidR="00701CCE" w:rsidRDefault="00701CCE" w:rsidP="00A57168">
      <w:pPr>
        <w:spacing w:line="480" w:lineRule="auto"/>
        <w:rPr>
          <w:rFonts w:ascii="Arial" w:hAnsi="Arial" w:cs="Arial"/>
          <w:lang w:val="en-US"/>
        </w:rPr>
      </w:pPr>
    </w:p>
    <w:p w14:paraId="686627EC" w14:textId="0F75332D" w:rsidR="00616C3D" w:rsidRPr="005203B9" w:rsidRDefault="005203B9" w:rsidP="00A57168">
      <w:pPr>
        <w:spacing w:line="480" w:lineRule="auto"/>
        <w:rPr>
          <w:rFonts w:ascii="Arial" w:hAnsi="Arial" w:cs="Arial"/>
          <w:color w:val="FF0000"/>
          <w:lang w:val="en-US"/>
        </w:rPr>
      </w:pPr>
      <w:r>
        <w:rPr>
          <w:rFonts w:ascii="Arial" w:hAnsi="Arial" w:cs="Arial"/>
          <w:lang w:val="en-US"/>
        </w:rPr>
        <w:t>.</w:t>
      </w:r>
      <w:r w:rsidR="003166A3">
        <w:rPr>
          <w:rFonts w:ascii="Arial" w:hAnsi="Arial" w:cs="Arial"/>
          <w:lang w:val="en-US"/>
        </w:rPr>
        <w:t xml:space="preserve"> </w:t>
      </w:r>
      <w:r w:rsidR="005F5222">
        <w:rPr>
          <w:rFonts w:ascii="Arial" w:hAnsi="Arial" w:cs="Arial"/>
          <w:lang w:val="en-US"/>
        </w:rPr>
        <w:t xml:space="preserve"> </w:t>
      </w:r>
      <w:r w:rsidR="001C214C" w:rsidRPr="005203B9">
        <w:rPr>
          <w:rFonts w:ascii="Arial" w:hAnsi="Arial" w:cs="Arial"/>
          <w:color w:val="FF0000"/>
          <w:lang w:val="en-US"/>
        </w:rPr>
        <w:t>To be granted, Claimants must demonstrate that a right requires protection or has been infringed. It should be noted</w:t>
      </w:r>
      <w:r w:rsidR="00613B41" w:rsidRPr="005203B9">
        <w:rPr>
          <w:rFonts w:ascii="Arial" w:hAnsi="Arial" w:cs="Arial"/>
          <w:color w:val="FF0000"/>
          <w:lang w:val="en-US"/>
        </w:rPr>
        <w:t xml:space="preserve">, that because of the serious effect an injunction has on a defendant, it will not be granted if the infringement is insignificant and also for other trivia matters as seen in the case of </w:t>
      </w:r>
      <w:r w:rsidR="00613B41" w:rsidRPr="005203B9">
        <w:rPr>
          <w:rFonts w:ascii="Arial" w:hAnsi="Arial" w:cs="Arial"/>
          <w:i/>
          <w:iCs/>
          <w:color w:val="FF0000"/>
          <w:lang w:val="en-US"/>
        </w:rPr>
        <w:t xml:space="preserve">‘Armstrong v Sheppard and Short’ </w:t>
      </w:r>
      <w:r w:rsidR="00613B41" w:rsidRPr="005203B9">
        <w:rPr>
          <w:rFonts w:ascii="Arial" w:hAnsi="Arial" w:cs="Arial"/>
          <w:color w:val="FF0000"/>
          <w:lang w:val="en-US"/>
        </w:rPr>
        <w:t xml:space="preserve">(1959). </w:t>
      </w:r>
    </w:p>
    <w:p w14:paraId="3EFA2D06" w14:textId="77777777" w:rsidR="0006433B" w:rsidRDefault="0006433B" w:rsidP="00A57168">
      <w:pPr>
        <w:spacing w:line="480" w:lineRule="auto"/>
        <w:rPr>
          <w:rFonts w:ascii="Arial" w:hAnsi="Arial" w:cs="Arial"/>
          <w:lang w:val="en-US"/>
        </w:rPr>
      </w:pPr>
    </w:p>
    <w:p w14:paraId="341E3060" w14:textId="77777777" w:rsidR="0006433B" w:rsidRDefault="0006433B" w:rsidP="00A57168">
      <w:pPr>
        <w:spacing w:line="480" w:lineRule="auto"/>
        <w:rPr>
          <w:rFonts w:ascii="Arial" w:hAnsi="Arial" w:cs="Arial"/>
          <w:lang w:val="en-US"/>
        </w:rPr>
      </w:pPr>
    </w:p>
    <w:p w14:paraId="07D74204" w14:textId="77777777" w:rsidR="00A57168" w:rsidRPr="0018088F" w:rsidRDefault="00A57168" w:rsidP="00A57168">
      <w:pPr>
        <w:spacing w:line="480" w:lineRule="auto"/>
        <w:ind w:firstLine="720"/>
        <w:rPr>
          <w:rFonts w:ascii="Arial" w:hAnsi="Arial" w:cs="Arial"/>
          <w:lang w:val="en-US"/>
        </w:rPr>
      </w:pPr>
    </w:p>
    <w:sectPr w:rsidR="00A57168" w:rsidRPr="0018088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88F"/>
    <w:rsid w:val="0001299C"/>
    <w:rsid w:val="00024C1B"/>
    <w:rsid w:val="00051AF9"/>
    <w:rsid w:val="00061A22"/>
    <w:rsid w:val="0006433B"/>
    <w:rsid w:val="000952F4"/>
    <w:rsid w:val="000A26DB"/>
    <w:rsid w:val="000B3B89"/>
    <w:rsid w:val="000E3991"/>
    <w:rsid w:val="0018088F"/>
    <w:rsid w:val="00182DD5"/>
    <w:rsid w:val="001962F6"/>
    <w:rsid w:val="001C214C"/>
    <w:rsid w:val="001C6731"/>
    <w:rsid w:val="001D575E"/>
    <w:rsid w:val="0021106B"/>
    <w:rsid w:val="00235848"/>
    <w:rsid w:val="00252BF3"/>
    <w:rsid w:val="002864A8"/>
    <w:rsid w:val="00290E2F"/>
    <w:rsid w:val="002A4AA3"/>
    <w:rsid w:val="002B4092"/>
    <w:rsid w:val="002B5D95"/>
    <w:rsid w:val="002D4287"/>
    <w:rsid w:val="003166A3"/>
    <w:rsid w:val="00347A63"/>
    <w:rsid w:val="00350412"/>
    <w:rsid w:val="0035790A"/>
    <w:rsid w:val="003645F1"/>
    <w:rsid w:val="00405051"/>
    <w:rsid w:val="00482FA7"/>
    <w:rsid w:val="00496F98"/>
    <w:rsid w:val="004D2991"/>
    <w:rsid w:val="00511399"/>
    <w:rsid w:val="005145C1"/>
    <w:rsid w:val="005203B9"/>
    <w:rsid w:val="00520940"/>
    <w:rsid w:val="005509CE"/>
    <w:rsid w:val="00550F88"/>
    <w:rsid w:val="00567B4D"/>
    <w:rsid w:val="00592198"/>
    <w:rsid w:val="005A1141"/>
    <w:rsid w:val="005C24BA"/>
    <w:rsid w:val="005F5222"/>
    <w:rsid w:val="005F6C4E"/>
    <w:rsid w:val="005F7D4A"/>
    <w:rsid w:val="00613B41"/>
    <w:rsid w:val="00615BFD"/>
    <w:rsid w:val="00616C3D"/>
    <w:rsid w:val="006170E3"/>
    <w:rsid w:val="006368E5"/>
    <w:rsid w:val="00644BF4"/>
    <w:rsid w:val="00684B58"/>
    <w:rsid w:val="00685617"/>
    <w:rsid w:val="00687DE4"/>
    <w:rsid w:val="006933F3"/>
    <w:rsid w:val="00701CCE"/>
    <w:rsid w:val="00720D5F"/>
    <w:rsid w:val="00762A6C"/>
    <w:rsid w:val="00766CD3"/>
    <w:rsid w:val="007A4EF3"/>
    <w:rsid w:val="00840544"/>
    <w:rsid w:val="0084202B"/>
    <w:rsid w:val="008445EF"/>
    <w:rsid w:val="00877CA3"/>
    <w:rsid w:val="008C69C6"/>
    <w:rsid w:val="008E0325"/>
    <w:rsid w:val="0091460F"/>
    <w:rsid w:val="00921C8B"/>
    <w:rsid w:val="00930F34"/>
    <w:rsid w:val="009653D7"/>
    <w:rsid w:val="009707A4"/>
    <w:rsid w:val="009A0A8A"/>
    <w:rsid w:val="00A25458"/>
    <w:rsid w:val="00A25882"/>
    <w:rsid w:val="00A371FC"/>
    <w:rsid w:val="00A56AA9"/>
    <w:rsid w:val="00A57168"/>
    <w:rsid w:val="00A8675E"/>
    <w:rsid w:val="00A90EBE"/>
    <w:rsid w:val="00AD1DDA"/>
    <w:rsid w:val="00B60D43"/>
    <w:rsid w:val="00BB4728"/>
    <w:rsid w:val="00BF60AF"/>
    <w:rsid w:val="00C00F95"/>
    <w:rsid w:val="00C07190"/>
    <w:rsid w:val="00C11AB5"/>
    <w:rsid w:val="00C244C4"/>
    <w:rsid w:val="00C3028D"/>
    <w:rsid w:val="00C40DA8"/>
    <w:rsid w:val="00C72324"/>
    <w:rsid w:val="00C74D40"/>
    <w:rsid w:val="00C758AC"/>
    <w:rsid w:val="00C917CD"/>
    <w:rsid w:val="00C955B7"/>
    <w:rsid w:val="00CA0284"/>
    <w:rsid w:val="00CA02E1"/>
    <w:rsid w:val="00CC78A9"/>
    <w:rsid w:val="00CE6D99"/>
    <w:rsid w:val="00D2009A"/>
    <w:rsid w:val="00D2707D"/>
    <w:rsid w:val="00D7533E"/>
    <w:rsid w:val="00D851E4"/>
    <w:rsid w:val="00D90A33"/>
    <w:rsid w:val="00DC768E"/>
    <w:rsid w:val="00DE496B"/>
    <w:rsid w:val="00DF1AEA"/>
    <w:rsid w:val="00E77D8D"/>
    <w:rsid w:val="00E82621"/>
    <w:rsid w:val="00E916F0"/>
    <w:rsid w:val="00EA3120"/>
    <w:rsid w:val="00EB7F4E"/>
    <w:rsid w:val="00F218AD"/>
    <w:rsid w:val="00F33E44"/>
    <w:rsid w:val="00F530AB"/>
    <w:rsid w:val="00F61FD2"/>
  </w:rsids>
  <m:mathPr>
    <m:mathFont m:val="Cambria Math"/>
    <m:brkBin m:val="before"/>
    <m:brkBinSub m:val="--"/>
    <m:smallFrac m:val="0"/>
    <m:dispDef/>
    <m:lMargin m:val="0"/>
    <m:rMargin m:val="0"/>
    <m:defJc m:val="centerGroup"/>
    <m:wrapIndent m:val="1440"/>
    <m:intLim m:val="subSup"/>
    <m:naryLim m:val="undOvr"/>
  </m:mathPr>
  <w:themeFontLang w:val="en-G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07EF9"/>
  <w15:chartTrackingRefBased/>
  <w15:docId w15:val="{FD2022D2-D626-0846-B646-A93E1A26E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1713</TotalTime>
  <Pages>9</Pages>
  <Words>2436</Words>
  <Characters>13887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sekou guilavogui</dc:creator>
  <cp:keywords/>
  <dc:description/>
  <cp:lastModifiedBy>sekou guilavogui</cp:lastModifiedBy>
  <cp:revision>5</cp:revision>
  <dcterms:created xsi:type="dcterms:W3CDTF">2021-10-13T10:24:00Z</dcterms:created>
  <dcterms:modified xsi:type="dcterms:W3CDTF">2021-10-23T11:43:00Z</dcterms:modified>
</cp:coreProperties>
</file>