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after="240"/>
        <w:ind w:left="600" w:leftChars="250" w:right="600" w:rightChars="250"/>
        <w:jc w:val="center"/>
        <w:rPr>
          <w:rFonts w:cs="Times New Roman"/>
          <w:b/>
          <w:bCs/>
          <w:sz w:val="28"/>
          <w:szCs w:val="28"/>
        </w:rPr>
      </w:pPr>
      <w:r>
        <w:rPr>
          <w:rFonts w:hint="eastAsia" w:cs="Times New Roman"/>
          <w:b/>
          <w:bCs/>
          <w:sz w:val="28"/>
          <w:szCs w:val="28"/>
        </w:rPr>
        <w:t xml:space="preserve"> </w:t>
      </w:r>
      <w:r>
        <w:rPr>
          <w:rFonts w:cs="Times New Roman"/>
          <w:b/>
          <w:bCs/>
          <w:sz w:val="28"/>
          <w:szCs w:val="28"/>
        </w:rPr>
        <w:t>University of Wales Trinity Saint David</w:t>
      </w:r>
    </w:p>
    <w:p>
      <w:pPr>
        <w:autoSpaceDE w:val="0"/>
        <w:autoSpaceDN w:val="0"/>
        <w:adjustRightInd w:val="0"/>
        <w:spacing w:after="240"/>
        <w:ind w:left="600" w:leftChars="250" w:right="600" w:rightChars="250"/>
        <w:jc w:val="center"/>
        <w:rPr>
          <w:rFonts w:cs="Times New Roman"/>
          <w:b/>
          <w:bCs/>
          <w:sz w:val="28"/>
          <w:szCs w:val="28"/>
        </w:rPr>
      </w:pPr>
    </w:p>
    <w:p>
      <w:pPr>
        <w:autoSpaceDE w:val="0"/>
        <w:autoSpaceDN w:val="0"/>
        <w:adjustRightInd w:val="0"/>
        <w:spacing w:after="240"/>
        <w:ind w:left="250" w:right="600" w:rightChars="250"/>
        <w:jc w:val="center"/>
        <w:rPr>
          <w:rFonts w:cs="Times New Roman"/>
          <w:b/>
          <w:sz w:val="28"/>
          <w:szCs w:val="28"/>
        </w:rPr>
      </w:pPr>
    </w:p>
    <w:p>
      <w:pPr>
        <w:autoSpaceDE w:val="0"/>
        <w:autoSpaceDN w:val="0"/>
        <w:adjustRightInd w:val="0"/>
        <w:spacing w:after="240"/>
        <w:ind w:left="600" w:leftChars="250" w:right="600" w:rightChars="250"/>
        <w:jc w:val="center"/>
        <w:rPr>
          <w:rFonts w:cs="Times New Roman"/>
          <w:b/>
          <w:bCs/>
          <w:sz w:val="28"/>
          <w:szCs w:val="28"/>
        </w:rPr>
      </w:pPr>
      <w:bookmarkStart w:id="208" w:name="_GoBack"/>
      <w:bookmarkEnd w:id="208"/>
      <w:r>
        <w:rPr>
          <w:rFonts w:cs="Times New Roman"/>
          <w:b/>
          <w:bCs/>
          <w:sz w:val="28"/>
          <w:szCs w:val="28"/>
        </w:rPr>
        <w:t>Corporate Governance and Social Responsibility</w:t>
      </w:r>
    </w:p>
    <w:p>
      <w:pPr>
        <w:autoSpaceDE w:val="0"/>
        <w:autoSpaceDN w:val="0"/>
        <w:adjustRightInd w:val="0"/>
        <w:spacing w:after="240"/>
        <w:ind w:left="600" w:leftChars="250" w:right="600" w:rightChars="250"/>
        <w:jc w:val="center"/>
        <w:rPr>
          <w:rFonts w:cs="Times New Roman"/>
          <w:b/>
          <w:bCs/>
          <w:sz w:val="28"/>
          <w:szCs w:val="28"/>
        </w:rPr>
      </w:pPr>
      <w:r>
        <w:rPr>
          <w:rFonts w:cs="Times New Roman"/>
          <w:b/>
          <w:bCs/>
          <w:sz w:val="28"/>
          <w:szCs w:val="28"/>
        </w:rPr>
        <w:t>Governance &amp; Philanthropy</w:t>
      </w:r>
    </w:p>
    <w:p>
      <w:pPr>
        <w:autoSpaceDE w:val="0"/>
        <w:autoSpaceDN w:val="0"/>
        <w:adjustRightInd w:val="0"/>
        <w:spacing w:after="240"/>
        <w:ind w:left="600" w:leftChars="250" w:right="600" w:rightChars="250"/>
        <w:jc w:val="center"/>
        <w:rPr>
          <w:rFonts w:hint="default" w:cs="Times New Roman" w:eastAsiaTheme="minorEastAsia"/>
          <w:b/>
          <w:bCs/>
          <w:sz w:val="28"/>
          <w:szCs w:val="28"/>
          <w:lang w:val="en-US" w:eastAsia="zh-CN"/>
        </w:rPr>
      </w:pPr>
      <w:r>
        <w:rPr>
          <w:rFonts w:cs="Times New Roman"/>
          <w:b/>
          <w:bCs/>
          <w:sz w:val="28"/>
          <w:szCs w:val="28"/>
        </w:rPr>
        <w:t>Student name:</w:t>
      </w:r>
      <w:r>
        <w:rPr>
          <w:rFonts w:hint="eastAsia" w:cs="Times New Roman"/>
          <w:b/>
          <w:bCs/>
          <w:sz w:val="28"/>
          <w:szCs w:val="28"/>
          <w:lang w:val="en-US" w:eastAsia="zh-CN"/>
        </w:rPr>
        <w:t xml:space="preserve"> Chen guangyuan</w:t>
      </w:r>
    </w:p>
    <w:p>
      <w:pPr>
        <w:pStyle w:val="11"/>
        <w:ind w:right="600" w:rightChars="250"/>
        <w:rPr>
          <w:rFonts w:hint="default" w:eastAsiaTheme="minorEastAsia"/>
          <w:b w:val="0"/>
          <w:sz w:val="56"/>
          <w:szCs w:val="56"/>
          <w:lang w:val="en-US" w:eastAsia="zh-CN"/>
        </w:rPr>
        <w:sectPr>
          <w:footerReference r:id="rId3" w:type="default"/>
          <w:footerReference r:id="rId4" w:type="even"/>
          <w:pgSz w:w="11900" w:h="16840"/>
          <w:pgMar w:top="1418" w:right="1418" w:bottom="1418" w:left="1418" w:header="851" w:footer="992" w:gutter="0"/>
          <w:cols w:space="425" w:num="1"/>
          <w:docGrid w:type="lines" w:linePitch="312" w:charSpace="0"/>
        </w:sectPr>
      </w:pPr>
    </w:p>
    <w:sdt>
      <w:sdtPr>
        <w:rPr>
          <w:rFonts w:ascii="Times New Roman" w:hAnsi="Times New Roman" w:cs="Times New Roman" w:eastAsiaTheme="minorEastAsia"/>
          <w:b w:val="0"/>
          <w:bCs w:val="0"/>
          <w:color w:val="auto"/>
          <w:kern w:val="2"/>
          <w:sz w:val="24"/>
          <w:szCs w:val="24"/>
          <w:lang w:val="zh-CN"/>
        </w:rPr>
        <w:id w:val="1956672008"/>
        <w:docPartObj>
          <w:docPartGallery w:val="Table of Contents"/>
          <w:docPartUnique/>
        </w:docPartObj>
      </w:sdtPr>
      <w:sdtEndPr>
        <w:rPr>
          <w:rFonts w:ascii="Times New Roman" w:hAnsi="Times New Roman" w:cs="Times New Roman" w:eastAsiaTheme="minorEastAsia"/>
          <w:b w:val="0"/>
          <w:bCs w:val="0"/>
          <w:color w:val="auto"/>
          <w:kern w:val="2"/>
          <w:sz w:val="24"/>
          <w:szCs w:val="24"/>
          <w:lang w:val="en-US"/>
        </w:rPr>
      </w:sdtEndPr>
      <w:sdtContent>
        <w:p>
          <w:pPr>
            <w:pStyle w:val="22"/>
            <w:spacing w:line="360" w:lineRule="auto"/>
            <w:jc w:val="center"/>
            <w:rPr>
              <w:rFonts w:ascii="Times New Roman" w:hAnsi="Times New Roman" w:cs="Times New Roman"/>
              <w:color w:val="auto"/>
            </w:rPr>
          </w:pPr>
          <w:r>
            <w:rPr>
              <w:rFonts w:ascii="Times New Roman" w:hAnsi="Times New Roman" w:cs="Times New Roman"/>
              <w:color w:val="auto"/>
              <w:lang w:val="zh-CN"/>
            </w:rPr>
            <w:t>Table of Cotents</w:t>
          </w:r>
        </w:p>
        <w:p>
          <w:pPr>
            <w:pStyle w:val="11"/>
            <w:tabs>
              <w:tab w:val="right" w:leader="dot" w:pos="8290"/>
            </w:tabs>
            <w:rPr>
              <w:rFonts w:ascii="Times New Roman" w:hAnsi="Times New Roman" w:cs="Times New Roman"/>
              <w:b w:val="0"/>
            </w:rPr>
          </w:pPr>
          <w:r>
            <w:rPr>
              <w:rFonts w:ascii="Times New Roman" w:hAnsi="Times New Roman" w:cs="Times New Roman"/>
              <w:b w:val="0"/>
            </w:rPr>
            <w:fldChar w:fldCharType="begin"/>
          </w:r>
          <w:r>
            <w:rPr>
              <w:rFonts w:ascii="Times New Roman" w:hAnsi="Times New Roman" w:cs="Times New Roman"/>
              <w:b w:val="0"/>
            </w:rPr>
            <w:instrText xml:space="preserve">TOC \o "1-3" \h \z \u</w:instrText>
          </w:r>
          <w:r>
            <w:rPr>
              <w:rFonts w:ascii="Times New Roman" w:hAnsi="Times New Roman" w:cs="Times New Roman"/>
              <w:b w:val="0"/>
            </w:rPr>
            <w:fldChar w:fldCharType="separate"/>
          </w:r>
          <w:r>
            <w:rPr>
              <w:rFonts w:ascii="Times New Roman" w:hAnsi="Times New Roman" w:cs="Times New Roman"/>
              <w:b w:val="0"/>
            </w:rPr>
            <w:t>1. Introduction</w:t>
          </w:r>
          <w:r>
            <w:rPr>
              <w:rFonts w:ascii="Times New Roman" w:hAnsi="Times New Roman" w:cs="Times New Roman"/>
              <w:b w:val="0"/>
            </w:rPr>
            <w:tab/>
          </w:r>
          <w:r>
            <w:rPr>
              <w:rFonts w:ascii="Times New Roman" w:hAnsi="Times New Roman" w:cs="Times New Roman"/>
              <w:b w:val="0"/>
            </w:rPr>
            <w:fldChar w:fldCharType="begin"/>
          </w:r>
          <w:r>
            <w:rPr>
              <w:rFonts w:ascii="Times New Roman" w:hAnsi="Times New Roman" w:cs="Times New Roman"/>
              <w:b w:val="0"/>
            </w:rPr>
            <w:instrText xml:space="preserve"> PAGEREF _Toc418163266 \h </w:instrText>
          </w:r>
          <w:r>
            <w:rPr>
              <w:rFonts w:ascii="Times New Roman" w:hAnsi="Times New Roman" w:cs="Times New Roman"/>
              <w:b w:val="0"/>
            </w:rPr>
            <w:fldChar w:fldCharType="separate"/>
          </w:r>
          <w:r>
            <w:rPr>
              <w:rFonts w:ascii="Times New Roman" w:hAnsi="Times New Roman" w:cs="Times New Roman"/>
              <w:b w:val="0"/>
            </w:rPr>
            <w:t>3</w:t>
          </w:r>
          <w:r>
            <w:rPr>
              <w:rFonts w:ascii="Times New Roman" w:hAnsi="Times New Roman" w:cs="Times New Roman"/>
              <w:b w:val="0"/>
            </w:rPr>
            <w:fldChar w:fldCharType="end"/>
          </w:r>
        </w:p>
        <w:p>
          <w:pPr>
            <w:pStyle w:val="11"/>
            <w:tabs>
              <w:tab w:val="right" w:leader="dot" w:pos="8290"/>
            </w:tabs>
            <w:rPr>
              <w:rFonts w:ascii="Times New Roman" w:hAnsi="Times New Roman" w:cs="Times New Roman"/>
              <w:b w:val="0"/>
            </w:rPr>
          </w:pPr>
          <w:r>
            <w:rPr>
              <w:rFonts w:ascii="Times New Roman" w:hAnsi="Times New Roman" w:cs="Times New Roman"/>
              <w:b w:val="0"/>
            </w:rPr>
            <w:t>2. Various stakeholders’ interests</w:t>
          </w:r>
          <w:r>
            <w:rPr>
              <w:rFonts w:ascii="Times New Roman" w:hAnsi="Times New Roman" w:cs="Times New Roman"/>
              <w:b w:val="0"/>
            </w:rPr>
            <w:tab/>
          </w:r>
          <w:r>
            <w:rPr>
              <w:rFonts w:ascii="Times New Roman" w:hAnsi="Times New Roman" w:cs="Times New Roman"/>
              <w:b w:val="0"/>
            </w:rPr>
            <w:fldChar w:fldCharType="begin"/>
          </w:r>
          <w:r>
            <w:rPr>
              <w:rFonts w:ascii="Times New Roman" w:hAnsi="Times New Roman" w:cs="Times New Roman"/>
              <w:b w:val="0"/>
            </w:rPr>
            <w:instrText xml:space="preserve"> PAGEREF _Toc418163267 \h </w:instrText>
          </w:r>
          <w:r>
            <w:rPr>
              <w:rFonts w:ascii="Times New Roman" w:hAnsi="Times New Roman" w:cs="Times New Roman"/>
              <w:b w:val="0"/>
            </w:rPr>
            <w:fldChar w:fldCharType="separate"/>
          </w:r>
          <w:r>
            <w:rPr>
              <w:rFonts w:ascii="Times New Roman" w:hAnsi="Times New Roman" w:cs="Times New Roman"/>
              <w:b w:val="0"/>
            </w:rPr>
            <w:t>3</w:t>
          </w:r>
          <w:r>
            <w:rPr>
              <w:rFonts w:ascii="Times New Roman" w:hAnsi="Times New Roman" w:cs="Times New Roman"/>
              <w:b w:val="0"/>
            </w:rPr>
            <w:fldChar w:fldCharType="end"/>
          </w:r>
        </w:p>
        <w:p>
          <w:pPr>
            <w:pStyle w:val="11"/>
            <w:tabs>
              <w:tab w:val="right" w:leader="dot" w:pos="8290"/>
            </w:tabs>
            <w:rPr>
              <w:rFonts w:ascii="Times New Roman" w:hAnsi="Times New Roman" w:cs="Times New Roman"/>
              <w:b w:val="0"/>
            </w:rPr>
          </w:pPr>
          <w:r>
            <w:rPr>
              <w:rFonts w:ascii="Times New Roman" w:hAnsi="Times New Roman" w:cs="Times New Roman"/>
              <w:b w:val="0"/>
            </w:rPr>
            <w:t>3. Corporate governance</w:t>
          </w:r>
          <w:r>
            <w:rPr>
              <w:rFonts w:ascii="Times New Roman" w:hAnsi="Times New Roman" w:cs="Times New Roman"/>
              <w:b w:val="0"/>
            </w:rPr>
            <w:tab/>
          </w:r>
          <w:r>
            <w:rPr>
              <w:rFonts w:ascii="Times New Roman" w:hAnsi="Times New Roman" w:cs="Times New Roman"/>
              <w:b w:val="0"/>
            </w:rPr>
            <w:fldChar w:fldCharType="begin"/>
          </w:r>
          <w:r>
            <w:rPr>
              <w:rFonts w:ascii="Times New Roman" w:hAnsi="Times New Roman" w:cs="Times New Roman"/>
              <w:b w:val="0"/>
            </w:rPr>
            <w:instrText xml:space="preserve"> PAGEREF _Toc418163268 \h </w:instrText>
          </w:r>
          <w:r>
            <w:rPr>
              <w:rFonts w:ascii="Times New Roman" w:hAnsi="Times New Roman" w:cs="Times New Roman"/>
              <w:b w:val="0"/>
            </w:rPr>
            <w:fldChar w:fldCharType="separate"/>
          </w:r>
          <w:r>
            <w:rPr>
              <w:rFonts w:ascii="Times New Roman" w:hAnsi="Times New Roman" w:cs="Times New Roman"/>
              <w:b w:val="0"/>
            </w:rPr>
            <w:t>4</w:t>
          </w:r>
          <w:r>
            <w:rPr>
              <w:rFonts w:ascii="Times New Roman" w:hAnsi="Times New Roman" w:cs="Times New Roman"/>
              <w:b w:val="0"/>
            </w:rPr>
            <w:fldChar w:fldCharType="end"/>
          </w:r>
        </w:p>
        <w:p>
          <w:pPr>
            <w:pStyle w:val="14"/>
            <w:rPr>
              <w:sz w:val="24"/>
              <w:szCs w:val="24"/>
            </w:rPr>
          </w:pPr>
          <w:r>
            <w:t>3.1Evaluation of key governance practice in the time of Rockefeller &amp; Carnegie</w:t>
          </w:r>
          <w:r>
            <w:tab/>
          </w:r>
          <w:r>
            <w:fldChar w:fldCharType="begin"/>
          </w:r>
          <w:r>
            <w:instrText xml:space="preserve"> PAGEREF _Toc418163269 \h </w:instrText>
          </w:r>
          <w:r>
            <w:fldChar w:fldCharType="separate"/>
          </w:r>
          <w:r>
            <w:t>4</w:t>
          </w:r>
          <w:r>
            <w:fldChar w:fldCharType="end"/>
          </w:r>
        </w:p>
        <w:p>
          <w:pPr>
            <w:pStyle w:val="7"/>
            <w:tabs>
              <w:tab w:val="right" w:leader="dot" w:pos="8290"/>
            </w:tabs>
            <w:rPr>
              <w:rFonts w:ascii="Times New Roman" w:hAnsi="Times New Roman" w:cs="Times New Roman"/>
              <w:sz w:val="24"/>
              <w:szCs w:val="24"/>
            </w:rPr>
          </w:pPr>
          <w:r>
            <w:rPr>
              <w:rFonts w:ascii="Times New Roman" w:hAnsi="Times New Roman" w:cs="Times New Roman"/>
            </w:rPr>
            <w:t>3.11 Key governance practice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_Toc418163270 \h </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p>
        <w:p>
          <w:pPr>
            <w:pStyle w:val="7"/>
            <w:tabs>
              <w:tab w:val="right" w:leader="dot" w:pos="8290"/>
            </w:tabs>
            <w:rPr>
              <w:rFonts w:ascii="Times New Roman" w:hAnsi="Times New Roman" w:cs="Times New Roman"/>
              <w:sz w:val="24"/>
              <w:szCs w:val="24"/>
            </w:rPr>
          </w:pPr>
          <w:r>
            <w:rPr>
              <w:rFonts w:ascii="Times New Roman" w:hAnsi="Times New Roman" w:cs="Times New Roman"/>
            </w:rPr>
            <w:t>3.12 Corporate governance system under questioned</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_Toc418163271 \h </w:instrText>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p>
        <w:p>
          <w:pPr>
            <w:pStyle w:val="14"/>
            <w:rPr>
              <w:sz w:val="24"/>
              <w:szCs w:val="24"/>
            </w:rPr>
          </w:pPr>
          <w:r>
            <w:t>3.2 Modern governance rules</w:t>
          </w:r>
          <w:r>
            <w:tab/>
          </w:r>
          <w:r>
            <w:fldChar w:fldCharType="begin"/>
          </w:r>
          <w:r>
            <w:instrText xml:space="preserve"> PAGEREF _Toc418163272 \h </w:instrText>
          </w:r>
          <w:r>
            <w:fldChar w:fldCharType="separate"/>
          </w:r>
          <w:r>
            <w:t>6</w:t>
          </w:r>
          <w:r>
            <w:fldChar w:fldCharType="end"/>
          </w:r>
        </w:p>
        <w:p>
          <w:pPr>
            <w:pStyle w:val="11"/>
            <w:tabs>
              <w:tab w:val="right" w:leader="dot" w:pos="8290"/>
            </w:tabs>
            <w:rPr>
              <w:rFonts w:ascii="Times New Roman" w:hAnsi="Times New Roman" w:cs="Times New Roman"/>
              <w:b w:val="0"/>
            </w:rPr>
          </w:pPr>
          <w:r>
            <w:rPr>
              <w:rFonts w:ascii="Times New Roman" w:hAnsi="Times New Roman" w:cs="Times New Roman"/>
              <w:b w:val="0"/>
            </w:rPr>
            <w:t>4. Robber Barons &amp; Captains of Industry &amp; Philanthropist</w:t>
          </w:r>
          <w:r>
            <w:rPr>
              <w:rFonts w:ascii="Times New Roman" w:hAnsi="Times New Roman" w:cs="Times New Roman"/>
              <w:b w:val="0"/>
            </w:rPr>
            <w:tab/>
          </w:r>
          <w:r>
            <w:rPr>
              <w:rFonts w:ascii="Times New Roman" w:hAnsi="Times New Roman" w:cs="Times New Roman"/>
              <w:b w:val="0"/>
            </w:rPr>
            <w:fldChar w:fldCharType="begin"/>
          </w:r>
          <w:r>
            <w:rPr>
              <w:rFonts w:ascii="Times New Roman" w:hAnsi="Times New Roman" w:cs="Times New Roman"/>
              <w:b w:val="0"/>
            </w:rPr>
            <w:instrText xml:space="preserve"> PAGEREF _Toc418163273 \h </w:instrText>
          </w:r>
          <w:r>
            <w:rPr>
              <w:rFonts w:ascii="Times New Roman" w:hAnsi="Times New Roman" w:cs="Times New Roman"/>
              <w:b w:val="0"/>
            </w:rPr>
            <w:fldChar w:fldCharType="separate"/>
          </w:r>
          <w:r>
            <w:rPr>
              <w:rFonts w:ascii="Times New Roman" w:hAnsi="Times New Roman" w:cs="Times New Roman"/>
              <w:b w:val="0"/>
            </w:rPr>
            <w:t>6</w:t>
          </w:r>
          <w:r>
            <w:rPr>
              <w:rFonts w:ascii="Times New Roman" w:hAnsi="Times New Roman" w:cs="Times New Roman"/>
              <w:b w:val="0"/>
            </w:rPr>
            <w:fldChar w:fldCharType="end"/>
          </w:r>
        </w:p>
        <w:p>
          <w:pPr>
            <w:pStyle w:val="11"/>
            <w:tabs>
              <w:tab w:val="right" w:leader="dot" w:pos="8290"/>
            </w:tabs>
            <w:rPr>
              <w:rFonts w:ascii="Times New Roman" w:hAnsi="Times New Roman" w:cs="Times New Roman"/>
              <w:b w:val="0"/>
            </w:rPr>
          </w:pPr>
          <w:r>
            <w:rPr>
              <w:rFonts w:ascii="Times New Roman" w:hAnsi="Times New Roman" w:cs="Times New Roman"/>
              <w:b w:val="0"/>
            </w:rPr>
            <w:t>5. Philanthropic activity</w:t>
          </w:r>
          <w:r>
            <w:rPr>
              <w:rFonts w:ascii="Times New Roman" w:hAnsi="Times New Roman" w:cs="Times New Roman"/>
              <w:b w:val="0"/>
            </w:rPr>
            <w:tab/>
          </w:r>
          <w:r>
            <w:rPr>
              <w:rFonts w:ascii="Times New Roman" w:hAnsi="Times New Roman" w:cs="Times New Roman"/>
              <w:b w:val="0"/>
            </w:rPr>
            <w:fldChar w:fldCharType="begin"/>
          </w:r>
          <w:r>
            <w:rPr>
              <w:rFonts w:ascii="Times New Roman" w:hAnsi="Times New Roman" w:cs="Times New Roman"/>
              <w:b w:val="0"/>
            </w:rPr>
            <w:instrText xml:space="preserve"> PAGEREF _Toc418163274 \h </w:instrText>
          </w:r>
          <w:r>
            <w:rPr>
              <w:rFonts w:ascii="Times New Roman" w:hAnsi="Times New Roman" w:cs="Times New Roman"/>
              <w:b w:val="0"/>
            </w:rPr>
            <w:fldChar w:fldCharType="separate"/>
          </w:r>
          <w:r>
            <w:rPr>
              <w:rFonts w:ascii="Times New Roman" w:hAnsi="Times New Roman" w:cs="Times New Roman"/>
              <w:b w:val="0"/>
            </w:rPr>
            <w:t>7</w:t>
          </w:r>
          <w:r>
            <w:rPr>
              <w:rFonts w:ascii="Times New Roman" w:hAnsi="Times New Roman" w:cs="Times New Roman"/>
              <w:b w:val="0"/>
            </w:rPr>
            <w:fldChar w:fldCharType="end"/>
          </w:r>
        </w:p>
        <w:p>
          <w:pPr>
            <w:pStyle w:val="14"/>
            <w:rPr>
              <w:sz w:val="24"/>
              <w:szCs w:val="24"/>
            </w:rPr>
          </w:pPr>
          <w:r>
            <w:t>5.1 Definition of philanthropic activity</w:t>
          </w:r>
          <w:r>
            <w:tab/>
          </w:r>
          <w:r>
            <w:fldChar w:fldCharType="begin"/>
          </w:r>
          <w:r>
            <w:instrText xml:space="preserve"> PAGEREF _Toc418163275 \h </w:instrText>
          </w:r>
          <w:r>
            <w:fldChar w:fldCharType="separate"/>
          </w:r>
          <w:r>
            <w:t>7</w:t>
          </w:r>
          <w:r>
            <w:fldChar w:fldCharType="end"/>
          </w:r>
        </w:p>
        <w:p>
          <w:pPr>
            <w:pStyle w:val="14"/>
            <w:rPr>
              <w:sz w:val="24"/>
              <w:szCs w:val="24"/>
            </w:rPr>
          </w:pPr>
          <w:r>
            <w:t>5.2 Merits of philanthropic activities for business in the 21st Century</w:t>
          </w:r>
          <w:r>
            <w:tab/>
          </w:r>
          <w:r>
            <w:fldChar w:fldCharType="begin"/>
          </w:r>
          <w:r>
            <w:instrText xml:space="preserve"> PAGEREF _Toc418163276 \h </w:instrText>
          </w:r>
          <w:r>
            <w:fldChar w:fldCharType="separate"/>
          </w:r>
          <w:r>
            <w:t>7</w:t>
          </w:r>
          <w:r>
            <w:fldChar w:fldCharType="end"/>
          </w:r>
        </w:p>
        <w:p>
          <w:pPr>
            <w:pStyle w:val="11"/>
            <w:tabs>
              <w:tab w:val="right" w:leader="dot" w:pos="8290"/>
            </w:tabs>
            <w:rPr>
              <w:rFonts w:ascii="Times New Roman" w:hAnsi="Times New Roman" w:cs="Times New Roman"/>
              <w:b w:val="0"/>
            </w:rPr>
          </w:pPr>
          <w:r>
            <w:rPr>
              <w:rFonts w:ascii="Times New Roman" w:hAnsi="Times New Roman" w:cs="Times New Roman"/>
              <w:b w:val="0"/>
            </w:rPr>
            <w:t>6. Oxfam</w:t>
          </w:r>
          <w:r>
            <w:rPr>
              <w:rFonts w:ascii="Times New Roman" w:hAnsi="Times New Roman" w:cs="Times New Roman"/>
              <w:b w:val="0"/>
            </w:rPr>
            <w:tab/>
          </w:r>
          <w:r>
            <w:rPr>
              <w:rFonts w:ascii="Times New Roman" w:hAnsi="Times New Roman" w:cs="Times New Roman"/>
              <w:b w:val="0"/>
            </w:rPr>
            <w:fldChar w:fldCharType="begin"/>
          </w:r>
          <w:r>
            <w:rPr>
              <w:rFonts w:ascii="Times New Roman" w:hAnsi="Times New Roman" w:cs="Times New Roman"/>
              <w:b w:val="0"/>
            </w:rPr>
            <w:instrText xml:space="preserve"> PAGEREF _Toc418163277 \h </w:instrText>
          </w:r>
          <w:r>
            <w:rPr>
              <w:rFonts w:ascii="Times New Roman" w:hAnsi="Times New Roman" w:cs="Times New Roman"/>
              <w:b w:val="0"/>
            </w:rPr>
            <w:fldChar w:fldCharType="separate"/>
          </w:r>
          <w:r>
            <w:rPr>
              <w:rFonts w:ascii="Times New Roman" w:hAnsi="Times New Roman" w:cs="Times New Roman"/>
              <w:b w:val="0"/>
            </w:rPr>
            <w:t>8</w:t>
          </w:r>
          <w:r>
            <w:rPr>
              <w:rFonts w:ascii="Times New Roman" w:hAnsi="Times New Roman" w:cs="Times New Roman"/>
              <w:b w:val="0"/>
            </w:rPr>
            <w:fldChar w:fldCharType="end"/>
          </w:r>
        </w:p>
        <w:p>
          <w:pPr>
            <w:pStyle w:val="14"/>
            <w:rPr>
              <w:sz w:val="24"/>
              <w:szCs w:val="24"/>
            </w:rPr>
          </w:pPr>
          <w:r>
            <w:t>6.1 Scandal of Oxfam</w:t>
          </w:r>
          <w:r>
            <w:tab/>
          </w:r>
          <w:r>
            <w:fldChar w:fldCharType="begin"/>
          </w:r>
          <w:r>
            <w:instrText xml:space="preserve"> PAGEREF _Toc418163278 \h </w:instrText>
          </w:r>
          <w:r>
            <w:fldChar w:fldCharType="separate"/>
          </w:r>
          <w:r>
            <w:t>9</w:t>
          </w:r>
          <w:r>
            <w:fldChar w:fldCharType="end"/>
          </w:r>
        </w:p>
        <w:p>
          <w:pPr>
            <w:pStyle w:val="14"/>
            <w:rPr>
              <w:sz w:val="24"/>
              <w:szCs w:val="24"/>
            </w:rPr>
          </w:pPr>
          <w:r>
            <w:t>6.2 Precautionary measures</w:t>
          </w:r>
          <w:r>
            <w:tab/>
          </w:r>
          <w:r>
            <w:fldChar w:fldCharType="begin"/>
          </w:r>
          <w:r>
            <w:instrText xml:space="preserve"> PAGEREF _Toc418163279 \h </w:instrText>
          </w:r>
          <w:r>
            <w:fldChar w:fldCharType="separate"/>
          </w:r>
          <w:r>
            <w:t>9</w:t>
          </w:r>
          <w:r>
            <w:fldChar w:fldCharType="end"/>
          </w:r>
        </w:p>
        <w:p>
          <w:pPr>
            <w:pStyle w:val="11"/>
            <w:tabs>
              <w:tab w:val="right" w:leader="dot" w:pos="8290"/>
            </w:tabs>
            <w:rPr>
              <w:rFonts w:ascii="Times New Roman" w:hAnsi="Times New Roman" w:cs="Times New Roman"/>
              <w:b w:val="0"/>
            </w:rPr>
          </w:pPr>
          <w:r>
            <w:rPr>
              <w:rFonts w:ascii="Times New Roman" w:hAnsi="Times New Roman" w:cs="Times New Roman"/>
              <w:b w:val="0"/>
            </w:rPr>
            <w:t>7. Conclusion</w:t>
          </w:r>
          <w:r>
            <w:rPr>
              <w:rFonts w:ascii="Times New Roman" w:hAnsi="Times New Roman" w:cs="Times New Roman"/>
              <w:b w:val="0"/>
            </w:rPr>
            <w:tab/>
          </w:r>
          <w:r>
            <w:rPr>
              <w:rFonts w:ascii="Times New Roman" w:hAnsi="Times New Roman" w:cs="Times New Roman"/>
              <w:b w:val="0"/>
            </w:rPr>
            <w:fldChar w:fldCharType="begin"/>
          </w:r>
          <w:r>
            <w:rPr>
              <w:rFonts w:ascii="Times New Roman" w:hAnsi="Times New Roman" w:cs="Times New Roman"/>
              <w:b w:val="0"/>
            </w:rPr>
            <w:instrText xml:space="preserve"> PAGEREF _Toc418163280 \h </w:instrText>
          </w:r>
          <w:r>
            <w:rPr>
              <w:rFonts w:ascii="Times New Roman" w:hAnsi="Times New Roman" w:cs="Times New Roman"/>
              <w:b w:val="0"/>
            </w:rPr>
            <w:fldChar w:fldCharType="separate"/>
          </w:r>
          <w:r>
            <w:rPr>
              <w:rFonts w:ascii="Times New Roman" w:hAnsi="Times New Roman" w:cs="Times New Roman"/>
              <w:b w:val="0"/>
            </w:rPr>
            <w:t>10</w:t>
          </w:r>
          <w:r>
            <w:rPr>
              <w:rFonts w:ascii="Times New Roman" w:hAnsi="Times New Roman" w:cs="Times New Roman"/>
              <w:b w:val="0"/>
            </w:rPr>
            <w:fldChar w:fldCharType="end"/>
          </w:r>
        </w:p>
        <w:p>
          <w:pPr>
            <w:pStyle w:val="11"/>
            <w:tabs>
              <w:tab w:val="right" w:leader="dot" w:pos="8290"/>
            </w:tabs>
            <w:rPr>
              <w:rFonts w:ascii="Times New Roman" w:hAnsi="Times New Roman" w:cs="Times New Roman"/>
              <w:b w:val="0"/>
            </w:rPr>
          </w:pPr>
          <w:r>
            <w:rPr>
              <w:rFonts w:ascii="Times New Roman" w:hAnsi="Times New Roman" w:cs="Times New Roman"/>
              <w:b w:val="0"/>
            </w:rPr>
            <w:t>References</w:t>
          </w:r>
          <w:r>
            <w:rPr>
              <w:rFonts w:ascii="Times New Roman" w:hAnsi="Times New Roman" w:cs="Times New Roman"/>
              <w:b w:val="0"/>
            </w:rPr>
            <w:tab/>
          </w:r>
          <w:r>
            <w:rPr>
              <w:rFonts w:ascii="Times New Roman" w:hAnsi="Times New Roman" w:cs="Times New Roman"/>
              <w:b w:val="0"/>
            </w:rPr>
            <w:fldChar w:fldCharType="begin"/>
          </w:r>
          <w:r>
            <w:rPr>
              <w:rFonts w:ascii="Times New Roman" w:hAnsi="Times New Roman" w:cs="Times New Roman"/>
              <w:b w:val="0"/>
            </w:rPr>
            <w:instrText xml:space="preserve"> PAGEREF _Toc418163281 \h </w:instrText>
          </w:r>
          <w:r>
            <w:rPr>
              <w:rFonts w:ascii="Times New Roman" w:hAnsi="Times New Roman" w:cs="Times New Roman"/>
              <w:b w:val="0"/>
            </w:rPr>
            <w:fldChar w:fldCharType="separate"/>
          </w:r>
          <w:r>
            <w:rPr>
              <w:rFonts w:ascii="Times New Roman" w:hAnsi="Times New Roman" w:cs="Times New Roman"/>
              <w:b w:val="0"/>
            </w:rPr>
            <w:t>11</w:t>
          </w:r>
          <w:r>
            <w:rPr>
              <w:rFonts w:ascii="Times New Roman" w:hAnsi="Times New Roman" w:cs="Times New Roman"/>
              <w:b w:val="0"/>
            </w:rPr>
            <w:fldChar w:fldCharType="end"/>
          </w:r>
        </w:p>
        <w:p>
          <w:pPr>
            <w:rPr>
              <w:rFonts w:cs="Times New Roman"/>
            </w:rPr>
          </w:pPr>
          <w:r>
            <w:rPr>
              <w:rFonts w:cs="Times New Roman"/>
              <w:bCs/>
            </w:rPr>
            <w:fldChar w:fldCharType="end"/>
          </w:r>
        </w:p>
      </w:sdtContent>
    </w:sdt>
    <w:p>
      <w:pPr>
        <w:pStyle w:val="2"/>
      </w:pPr>
    </w:p>
    <w:p>
      <w:bookmarkStart w:id="0" w:name="_Toc418163266"/>
    </w:p>
    <w:p/>
    <w:p/>
    <w:p/>
    <w:p/>
    <w:p>
      <w:pPr>
        <w:pStyle w:val="2"/>
      </w:pPr>
      <w:r>
        <w:t>1. Introduction</w:t>
      </w:r>
      <w:bookmarkEnd w:id="0"/>
    </w:p>
    <w:p>
      <w:r>
        <w:t xml:space="preserve">John Davison </w:t>
      </w:r>
      <w:bookmarkStart w:id="1" w:name="OLE_LINK161"/>
      <w:bookmarkStart w:id="2" w:name="OLE_LINK160"/>
      <w:r>
        <w:t>Rockefeller</w:t>
      </w:r>
      <w:bookmarkEnd w:id="1"/>
      <w:bookmarkEnd w:id="2"/>
      <w:r>
        <w:t xml:space="preserve"> was an American oil industry business magnate. Andrew Carnegie was an industrialist in the steel industry. They were both famous philanthropist in their times. This essay aims at exploring how corporate governance and philanthropy work on enterprises. It will firstly make a brief state of various stakeholders’ interests. Then key governance practice in the time of Rockefeller and Carnegie will be evaluated and modern governance rules in controlling organizations further discussed. </w:t>
      </w:r>
      <w:r>
        <w:rPr>
          <w:rFonts w:hint="eastAsia"/>
        </w:rPr>
        <w:t xml:space="preserve">After the </w:t>
      </w:r>
      <w:r>
        <w:t>view about judge whether Rockefeller and Carnegie is Robber Barons, Captains of Industry or Philanthropist</w:t>
      </w:r>
      <w:r>
        <w:rPr>
          <w:rFonts w:hint="eastAsia"/>
        </w:rPr>
        <w:t xml:space="preserve"> </w:t>
      </w:r>
      <w:r>
        <w:t>be</w:t>
      </w:r>
      <w:r>
        <w:rPr>
          <w:rFonts w:hint="eastAsia"/>
        </w:rPr>
        <w:t>ing</w:t>
      </w:r>
      <w:r>
        <w:t xml:space="preserve"> explained</w:t>
      </w:r>
      <w:r>
        <w:rPr>
          <w:rFonts w:hint="eastAsia"/>
        </w:rPr>
        <w:t xml:space="preserve">, </w:t>
      </w:r>
      <w:r>
        <w:t xml:space="preserve">philanthropic activities and its merits for business </w:t>
      </w:r>
      <w:r>
        <w:rPr>
          <w:rFonts w:hint="eastAsia"/>
        </w:rPr>
        <w:t xml:space="preserve">will be </w:t>
      </w:r>
      <w:r>
        <w:t xml:space="preserve">analyzed. </w:t>
      </w:r>
      <w:r>
        <w:rPr>
          <w:rFonts w:hint="eastAsia"/>
        </w:rPr>
        <w:t xml:space="preserve">Finally, </w:t>
      </w:r>
      <w:r>
        <w:t>the scandal dilemma Oxfam confront</w:t>
      </w:r>
      <w:r>
        <w:rPr>
          <w:rFonts w:hint="eastAsia"/>
        </w:rPr>
        <w:t>ing</w:t>
      </w:r>
      <w:r>
        <w:t xml:space="preserve"> and the </w:t>
      </w:r>
      <w:r>
        <w:rPr>
          <w:rFonts w:hint="eastAsia"/>
        </w:rPr>
        <w:t>p</w:t>
      </w:r>
      <w:r>
        <w:t>recautionary measures will be illustrated.</w:t>
      </w:r>
    </w:p>
    <w:p>
      <w:pPr>
        <w:pStyle w:val="2"/>
      </w:pPr>
      <w:bookmarkStart w:id="3" w:name="_Toc418163267"/>
      <w:r>
        <w:t>2. Various stakeholders’ interests</w:t>
      </w:r>
      <w:bookmarkEnd w:id="3"/>
    </w:p>
    <w:p>
      <w:bookmarkStart w:id="4" w:name="OLE_LINK166"/>
      <w:bookmarkStart w:id="5" w:name="OLE_LINK167"/>
      <w:r>
        <w:t xml:space="preserve">Delmas </w:t>
      </w:r>
      <w:r>
        <w:rPr>
          <w:rFonts w:hint="eastAsia"/>
        </w:rPr>
        <w:t>and</w:t>
      </w:r>
      <w:r>
        <w:t xml:space="preserve"> Toffel (2010) state that stakeholders</w:t>
      </w:r>
      <w:bookmarkEnd w:id="4"/>
      <w:bookmarkEnd w:id="5"/>
      <w:r>
        <w:t xml:space="preserve"> are individuals, groups and parties that have possibilities in affected by or throwing effects on the company. They can generally be divided into </w:t>
      </w:r>
      <w:bookmarkStart w:id="6" w:name="OLE_LINK14"/>
      <w:bookmarkStart w:id="7" w:name="OLE_LINK13"/>
      <w:r>
        <w:t xml:space="preserve">primary </w:t>
      </w:r>
      <w:bookmarkEnd w:id="6"/>
      <w:bookmarkEnd w:id="7"/>
      <w:r>
        <w:t xml:space="preserve">and </w:t>
      </w:r>
      <w:bookmarkStart w:id="8" w:name="OLE_LINK16"/>
      <w:bookmarkStart w:id="9" w:name="OLE_LINK15"/>
      <w:r>
        <w:t xml:space="preserve">secondary </w:t>
      </w:r>
      <w:bookmarkEnd w:id="8"/>
      <w:bookmarkEnd w:id="9"/>
      <w:r>
        <w:t xml:space="preserve">stakeholders, which are distinguished in affected straightly and indirectly. Typical stakeholders include </w:t>
      </w:r>
      <w:bookmarkStart w:id="10" w:name="OLE_LINK20"/>
      <w:bookmarkStart w:id="11" w:name="OLE_LINK19"/>
      <w:r>
        <w:t>shareholders</w:t>
      </w:r>
      <w:bookmarkEnd w:id="10"/>
      <w:bookmarkEnd w:id="11"/>
      <w:r>
        <w:t xml:space="preserve">, employees, customers, suppliers, and investors. Shareholders’ interests are reflected in profit and share price growth. Employees’ have their stake in salary, job security and welfare provided by enterprises. Customers’ interests are in the products </w:t>
      </w:r>
      <w:bookmarkStart w:id="12" w:name="OLE_LINK18"/>
      <w:bookmarkStart w:id="13" w:name="OLE_LINK17"/>
      <w:r>
        <w:t>with respect</w:t>
      </w:r>
      <w:bookmarkEnd w:id="12"/>
      <w:bookmarkEnd w:id="13"/>
      <w:r>
        <w:t xml:space="preserve"> to reliable quality, product availability and service. Suppliers have their stake in the inurement of contracts and on time payment. Investors’ interests are in expecting funding returns. </w:t>
      </w:r>
    </w:p>
    <w:p>
      <w:pPr>
        <w:pStyle w:val="2"/>
      </w:pPr>
      <w:bookmarkStart w:id="14" w:name="_Toc418163268"/>
      <w:r>
        <w:t xml:space="preserve">3. </w:t>
      </w:r>
      <w:bookmarkStart w:id="15" w:name="OLE_LINK41"/>
      <w:bookmarkStart w:id="16" w:name="OLE_LINK151"/>
      <w:bookmarkStart w:id="17" w:name="OLE_LINK39"/>
      <w:bookmarkStart w:id="18" w:name="OLE_LINK5"/>
      <w:bookmarkStart w:id="19" w:name="OLE_LINK31"/>
      <w:bookmarkStart w:id="20" w:name="OLE_LINK165"/>
      <w:bookmarkStart w:id="21" w:name="OLE_LINK32"/>
      <w:r>
        <w:t>Corporate governance</w:t>
      </w:r>
      <w:bookmarkEnd w:id="14"/>
      <w:bookmarkEnd w:id="15"/>
      <w:bookmarkEnd w:id="16"/>
      <w:bookmarkEnd w:id="17"/>
      <w:bookmarkEnd w:id="18"/>
      <w:bookmarkEnd w:id="19"/>
      <w:bookmarkEnd w:id="20"/>
      <w:bookmarkEnd w:id="21"/>
    </w:p>
    <w:p>
      <w:bookmarkStart w:id="22" w:name="OLE_LINK2"/>
      <w:bookmarkStart w:id="23" w:name="OLE_LINK1"/>
      <w:bookmarkStart w:id="24" w:name="OLE_LINK170"/>
      <w:r>
        <w:t>Corporate governance</w:t>
      </w:r>
      <w:bookmarkEnd w:id="22"/>
      <w:bookmarkEnd w:id="23"/>
      <w:bookmarkEnd w:id="24"/>
      <w:r>
        <w:t xml:space="preserve"> is a framework of rules and practices to manage accountability, fairness, and transparency so as to balance their interests in all aspects. It specifically encompasses the collection of controls, policies, and resolutions, which is majorly forced and influenced by the firm’s board of directors (Bebchuk </w:t>
      </w:r>
      <w:r>
        <w:rPr>
          <w:rFonts w:hint="eastAsia"/>
        </w:rPr>
        <w:t>and</w:t>
      </w:r>
      <w:r>
        <w:t xml:space="preserve"> Ferrell, 2009). Whether the corporate governance performs good or not directly impacts on a company’s financial health by how much reliability, integrity or obligation it demonstrates. </w:t>
      </w:r>
    </w:p>
    <w:p>
      <w:pPr>
        <w:pStyle w:val="3"/>
        <w:rPr>
          <w:szCs w:val="24"/>
        </w:rPr>
      </w:pPr>
      <w:bookmarkStart w:id="25" w:name="_Toc418163269"/>
      <w:r>
        <w:rPr>
          <w:szCs w:val="24"/>
        </w:rPr>
        <w:t>3.1</w:t>
      </w:r>
      <w:bookmarkStart w:id="26" w:name="OLE_LINK157"/>
      <w:bookmarkStart w:id="27" w:name="OLE_LINK154"/>
      <w:bookmarkStart w:id="28" w:name="OLE_LINK153"/>
      <w:bookmarkStart w:id="29" w:name="OLE_LINK155"/>
      <w:bookmarkStart w:id="30" w:name="OLE_LINK156"/>
      <w:r>
        <w:rPr>
          <w:szCs w:val="24"/>
        </w:rPr>
        <w:t xml:space="preserve">Evaluation of </w:t>
      </w:r>
      <w:bookmarkStart w:id="31" w:name="OLE_LINK21"/>
      <w:bookmarkStart w:id="32" w:name="OLE_LINK25"/>
      <w:bookmarkStart w:id="33" w:name="OLE_LINK22"/>
      <w:bookmarkStart w:id="34" w:name="OLE_LINK37"/>
      <w:bookmarkStart w:id="35" w:name="OLE_LINK38"/>
      <w:bookmarkStart w:id="36" w:name="OLE_LINK40"/>
      <w:r>
        <w:rPr>
          <w:szCs w:val="24"/>
        </w:rPr>
        <w:t>key governance practice</w:t>
      </w:r>
      <w:bookmarkEnd w:id="31"/>
      <w:bookmarkEnd w:id="32"/>
      <w:bookmarkEnd w:id="33"/>
      <w:r>
        <w:rPr>
          <w:szCs w:val="24"/>
        </w:rPr>
        <w:t xml:space="preserve"> in the time of Rockefeller &amp; Carnegie</w:t>
      </w:r>
      <w:bookmarkEnd w:id="25"/>
      <w:bookmarkEnd w:id="26"/>
      <w:bookmarkEnd w:id="27"/>
      <w:bookmarkEnd w:id="28"/>
      <w:bookmarkEnd w:id="34"/>
      <w:bookmarkEnd w:id="35"/>
      <w:bookmarkEnd w:id="36"/>
    </w:p>
    <w:bookmarkEnd w:id="29"/>
    <w:bookmarkEnd w:id="30"/>
    <w:p>
      <w:pPr>
        <w:pStyle w:val="4"/>
      </w:pPr>
      <w:bookmarkStart w:id="37" w:name="_Toc418163270"/>
      <w:r>
        <w:t>3.11 Key governance practice</w:t>
      </w:r>
      <w:bookmarkEnd w:id="37"/>
    </w:p>
    <w:p>
      <w:pPr>
        <w:rPr>
          <w:rFonts w:cs="Times New Roman"/>
        </w:rPr>
      </w:pPr>
      <w:r>
        <w:rPr>
          <w:rFonts w:cs="Times New Roman"/>
        </w:rPr>
        <w:t>At the very beginning, corporate governance was an object merely shown in the United States.</w:t>
      </w:r>
      <w:r>
        <w:rPr>
          <w:rFonts w:hint="eastAsia" w:eastAsia="宋体" w:cs="Times New Roman"/>
        </w:rPr>
        <w:t xml:space="preserve"> I</w:t>
      </w:r>
      <w:r>
        <w:rPr>
          <w:rFonts w:cs="Times New Roman"/>
        </w:rPr>
        <w:t xml:space="preserve">ssues of existing corporate </w:t>
      </w:r>
      <w:bookmarkStart w:id="38" w:name="OLE_LINK11"/>
      <w:bookmarkStart w:id="39" w:name="OLE_LINK10"/>
      <w:bookmarkStart w:id="40" w:name="OLE_LINK12"/>
      <w:r>
        <w:rPr>
          <w:rFonts w:cs="Times New Roman"/>
        </w:rPr>
        <w:t>governance</w:t>
      </w:r>
      <w:bookmarkEnd w:id="38"/>
      <w:bookmarkEnd w:id="39"/>
      <w:bookmarkEnd w:id="40"/>
      <w:r>
        <w:rPr>
          <w:rFonts w:cs="Times New Roman"/>
        </w:rPr>
        <w:t xml:space="preserve"> are able to dating back to the early 19</w:t>
      </w:r>
      <w:r>
        <w:rPr>
          <w:rFonts w:cs="Times New Roman"/>
          <w:vertAlign w:val="superscript"/>
        </w:rPr>
        <w:t>th</w:t>
      </w:r>
      <w:r>
        <w:rPr>
          <w:rFonts w:cs="Times New Roman"/>
        </w:rPr>
        <w:t xml:space="preserve"> century. </w:t>
      </w:r>
      <w:r>
        <w:rPr>
          <w:rFonts w:hint="eastAsia" w:eastAsia="宋体" w:cs="Times New Roman"/>
        </w:rPr>
        <w:t>G</w:t>
      </w:r>
      <w:r>
        <w:rPr>
          <w:rFonts w:cs="Times New Roman"/>
        </w:rPr>
        <w:t>overnance practice in t</w:t>
      </w:r>
      <w:r>
        <w:rPr>
          <w:rFonts w:cs="Times New Roman"/>
          <w:kern w:val="0"/>
        </w:rPr>
        <w:t xml:space="preserve">he time of </w:t>
      </w:r>
      <w:bookmarkStart w:id="41" w:name="OLE_LINK9"/>
      <w:bookmarkStart w:id="42" w:name="OLE_LINK8"/>
      <w:r>
        <w:rPr>
          <w:rFonts w:cs="Times New Roman"/>
          <w:kern w:val="0"/>
        </w:rPr>
        <w:t>John D Rockefeller and Andrew Carnegie</w:t>
      </w:r>
      <w:bookmarkEnd w:id="41"/>
      <w:bookmarkEnd w:id="42"/>
      <w:r>
        <w:rPr>
          <w:rFonts w:cs="Times New Roman"/>
        </w:rPr>
        <w:t xml:space="preserve"> was questioned on account of corporate failures, which resulted in raising public concerns in the dimensions of services and responsibility. The constraining force derived from governance to balance the authority between </w:t>
      </w:r>
      <w:bookmarkStart w:id="43" w:name="OLE_LINK26"/>
      <w:bookmarkStart w:id="44" w:name="OLE_LINK27"/>
      <w:r>
        <w:rPr>
          <w:rFonts w:cs="Times New Roman"/>
        </w:rPr>
        <w:t>board directors, executives</w:t>
      </w:r>
      <w:bookmarkEnd w:id="43"/>
      <w:bookmarkEnd w:id="44"/>
      <w:r>
        <w:rPr>
          <w:rFonts w:cs="Times New Roman"/>
        </w:rPr>
        <w:t xml:space="preserve"> and shareholders, which is the key governance practice, commonly demonstrated less than satisfactory</w:t>
      </w:r>
      <w:r>
        <w:rPr>
          <w:rFonts w:hint="eastAsia" w:eastAsia="宋体" w:cs="Times New Roman"/>
        </w:rPr>
        <w:t xml:space="preserve"> (</w:t>
      </w:r>
      <w:r>
        <w:rPr>
          <w:rFonts w:cs="Times New Roman"/>
        </w:rPr>
        <w:t>Hilt</w:t>
      </w:r>
      <w:r>
        <w:rPr>
          <w:rFonts w:hint="eastAsia" w:eastAsia="宋体" w:cs="Times New Roman"/>
        </w:rPr>
        <w:t xml:space="preserve">, </w:t>
      </w:r>
      <w:r>
        <w:rPr>
          <w:rFonts w:cs="Times New Roman"/>
        </w:rPr>
        <w:t xml:space="preserve">2008). That was supposed to be the primary cause seen corporate failures. The contradictions and circumstances could be further explained in the respective interests that stakeholders were holding in. </w:t>
      </w:r>
    </w:p>
    <w:p>
      <w:pPr>
        <w:pStyle w:val="4"/>
      </w:pPr>
      <w:bookmarkStart w:id="45" w:name="_Toc418163271"/>
      <w:r>
        <w:t>3.12</w:t>
      </w:r>
      <w:r>
        <w:rPr>
          <w:rFonts w:hint="eastAsia"/>
        </w:rPr>
        <w:t xml:space="preserve"> </w:t>
      </w:r>
      <w:r>
        <w:t>Corporate governance system under questioned</w:t>
      </w:r>
      <w:bookmarkEnd w:id="45"/>
    </w:p>
    <w:p>
      <w:pPr>
        <w:rPr>
          <w:rFonts w:cs="Times New Roman"/>
          <w:b/>
          <w:bCs/>
        </w:rPr>
      </w:pPr>
      <w:bookmarkStart w:id="46" w:name="OLE_LINK24"/>
      <w:bookmarkStart w:id="47" w:name="OLE_LINK23"/>
      <w:r>
        <w:rPr>
          <w:rFonts w:cs="Times New Roman"/>
          <w:b/>
          <w:bCs/>
        </w:rPr>
        <w:t>Manager</w:t>
      </w:r>
      <w:bookmarkEnd w:id="46"/>
      <w:bookmarkEnd w:id="47"/>
      <w:r>
        <w:rPr>
          <w:rFonts w:cs="Times New Roman"/>
          <w:b/>
          <w:bCs/>
        </w:rPr>
        <w:t xml:space="preserve">s and </w:t>
      </w:r>
      <w:bookmarkStart w:id="48" w:name="OLE_LINK36"/>
      <w:bookmarkStart w:id="49" w:name="OLE_LINK46"/>
      <w:r>
        <w:rPr>
          <w:rFonts w:cs="Times New Roman"/>
          <w:b/>
          <w:bCs/>
        </w:rPr>
        <w:t>shareholder</w:t>
      </w:r>
      <w:bookmarkEnd w:id="48"/>
      <w:bookmarkEnd w:id="49"/>
      <w:r>
        <w:rPr>
          <w:rFonts w:cs="Times New Roman"/>
          <w:b/>
          <w:bCs/>
        </w:rPr>
        <w:t>s</w:t>
      </w:r>
    </w:p>
    <w:p>
      <w:r>
        <w:t xml:space="preserve">In governance system, </w:t>
      </w:r>
      <w:bookmarkStart w:id="50" w:name="OLE_LINK175"/>
      <w:bookmarkStart w:id="51" w:name="OLE_LINK176"/>
      <w:r>
        <w:t>business managers</w:t>
      </w:r>
      <w:bookmarkEnd w:id="50"/>
      <w:bookmarkEnd w:id="51"/>
      <w:r>
        <w:t xml:space="preserve"> express a more complicated identification. They are members of stakeholders and simultaneously involved in the responsibility taken for other stakeholders such as employees, clients and investors (Soobaroyen </w:t>
      </w:r>
      <w:r>
        <w:rPr>
          <w:rFonts w:hint="eastAsia"/>
        </w:rPr>
        <w:t>and</w:t>
      </w:r>
      <w:r>
        <w:t xml:space="preserve"> Sheik</w:t>
      </w:r>
      <w:r>
        <w:rPr>
          <w:rFonts w:ascii="System Font Regular" w:hAnsi="System Font Regular" w:cs="System Font Regular"/>
        </w:rPr>
        <w:t>‐</w:t>
      </w:r>
      <w:r>
        <w:t xml:space="preserve">Ellahi, 2008). </w:t>
      </w:r>
      <w:bookmarkStart w:id="52" w:name="OLE_LINK179"/>
      <w:bookmarkStart w:id="53" w:name="OLE_LINK180"/>
      <w:r>
        <w:t>Shareholders</w:t>
      </w:r>
      <w:bookmarkEnd w:id="52"/>
      <w:bookmarkEnd w:id="53"/>
      <w:r>
        <w:t xml:space="preserve"> refer to individuals, groups, or organizations that own shares in an enterprise and obtain profits based on their shares (Gilson, 2006). Temporal evidence and theory available indicated that decision-making power as well as other incentives might induce managers to concentrate personal interests rather than being accountable for the overall stakeholders. They took advantage of managerial conveniences to misuse the investment that they dealt with at the expense of shareholder (Russ, 2009). This was referred as the answer to the matter of why investors then part with their money instead of putting all the eggs into one basket, as previously illustrated situation was familiar at that time.</w:t>
      </w:r>
    </w:p>
    <w:p>
      <w:pPr>
        <w:rPr>
          <w:rFonts w:cs="Times New Roman"/>
        </w:rPr>
      </w:pPr>
    </w:p>
    <w:p>
      <w:pPr>
        <w:rPr>
          <w:rFonts w:cs="Times New Roman"/>
        </w:rPr>
      </w:pPr>
      <w:bookmarkStart w:id="54" w:name="OLE_LINK33"/>
      <w:bookmarkStart w:id="55" w:name="OLE_LINK28"/>
      <w:bookmarkStart w:id="56" w:name="OLE_LINK48"/>
      <w:bookmarkStart w:id="57" w:name="OLE_LINK47"/>
      <w:r>
        <w:rPr>
          <w:rFonts w:cs="Times New Roman"/>
          <w:b/>
          <w:bCs/>
        </w:rPr>
        <w:t>Board director</w:t>
      </w:r>
      <w:bookmarkEnd w:id="54"/>
      <w:bookmarkEnd w:id="55"/>
      <w:r>
        <w:rPr>
          <w:rFonts w:cs="Times New Roman"/>
          <w:b/>
          <w:bCs/>
        </w:rPr>
        <w:t>s</w:t>
      </w:r>
      <w:bookmarkEnd w:id="56"/>
      <w:bookmarkEnd w:id="57"/>
      <w:r>
        <w:rPr>
          <w:rFonts w:cs="Times New Roman"/>
          <w:b/>
          <w:bCs/>
        </w:rPr>
        <w:t xml:space="preserve"> and </w:t>
      </w:r>
      <w:bookmarkStart w:id="58" w:name="OLE_LINK35"/>
      <w:bookmarkStart w:id="59" w:name="OLE_LINK34"/>
      <w:bookmarkStart w:id="60" w:name="OLE_LINK49"/>
      <w:r>
        <w:rPr>
          <w:rFonts w:cs="Times New Roman"/>
          <w:b/>
          <w:bCs/>
        </w:rPr>
        <w:t>executives</w:t>
      </w:r>
      <w:bookmarkEnd w:id="58"/>
      <w:bookmarkEnd w:id="59"/>
      <w:bookmarkEnd w:id="60"/>
      <w:bookmarkStart w:id="61" w:name="OLE_LINK183"/>
      <w:bookmarkStart w:id="62" w:name="OLE_LINK184"/>
    </w:p>
    <w:p>
      <w:r>
        <w:t>Board directors</w:t>
      </w:r>
      <w:bookmarkEnd w:id="61"/>
      <w:bookmarkEnd w:id="62"/>
      <w:r>
        <w:t xml:space="preserve"> are representatives elected by a company’s shareholders to maintain their interests and ensure that the whole operation is under their control (Andres </w:t>
      </w:r>
      <w:r>
        <w:rPr>
          <w:rFonts w:hint="eastAsia"/>
        </w:rPr>
        <w:t>and</w:t>
      </w:r>
      <w:r>
        <w:t xml:space="preserve"> Vallelado, 2008). Business </w:t>
      </w:r>
      <w:bookmarkStart w:id="63" w:name="OLE_LINK188"/>
      <w:bookmarkStart w:id="64" w:name="OLE_LINK187"/>
      <w:r>
        <w:t>executives</w:t>
      </w:r>
      <w:bookmarkEnd w:id="63"/>
      <w:bookmarkEnd w:id="64"/>
      <w:r>
        <w:t xml:space="preserve"> are people who have the authority to manage affairs and take responsibility for an organization (Kang et al., 2006). In a historical perspective, the board of directors had not acquired completely controls in </w:t>
      </w:r>
      <w:bookmarkStart w:id="65" w:name="OLE_LINK50"/>
      <w:bookmarkStart w:id="66" w:name="OLE_LINK51"/>
      <w:r>
        <w:t>corporate governance</w:t>
      </w:r>
      <w:bookmarkEnd w:id="65"/>
      <w:bookmarkEnd w:id="66"/>
      <w:r>
        <w:t xml:space="preserve">. It turned out that transparency of company’s financial condition that exposed to other constituent part members lost its credit. As for the aspect of executives, they performed less foresight in the economic itself and utilized assets of company as their own. Those issues mentioned showed up as the early episode of corporate governance’s applying, which were improved as system designed more sound. </w:t>
      </w:r>
    </w:p>
    <w:p>
      <w:pPr>
        <w:pStyle w:val="3"/>
      </w:pPr>
      <w:bookmarkStart w:id="67" w:name="_Toc418163272"/>
      <w:r>
        <w:t xml:space="preserve">3.2 </w:t>
      </w:r>
      <w:bookmarkStart w:id="68" w:name="OLE_LINK53"/>
      <w:bookmarkStart w:id="69" w:name="OLE_LINK52"/>
      <w:bookmarkStart w:id="70" w:name="OLE_LINK159"/>
      <w:bookmarkStart w:id="71" w:name="OLE_LINK158"/>
      <w:bookmarkStart w:id="72" w:name="OLE_LINK44"/>
      <w:bookmarkStart w:id="73" w:name="OLE_LINK45"/>
      <w:r>
        <w:t xml:space="preserve">Modern </w:t>
      </w:r>
      <w:bookmarkStart w:id="74" w:name="OLE_LINK30"/>
      <w:bookmarkStart w:id="75" w:name="OLE_LINK29"/>
      <w:bookmarkStart w:id="76" w:name="OLE_LINK66"/>
      <w:bookmarkStart w:id="77" w:name="OLE_LINK67"/>
      <w:r>
        <w:t>governance</w:t>
      </w:r>
      <w:bookmarkEnd w:id="68"/>
      <w:bookmarkEnd w:id="69"/>
      <w:bookmarkEnd w:id="74"/>
      <w:bookmarkEnd w:id="75"/>
      <w:r>
        <w:t xml:space="preserve"> rules</w:t>
      </w:r>
      <w:bookmarkEnd w:id="67"/>
      <w:bookmarkEnd w:id="70"/>
      <w:bookmarkEnd w:id="71"/>
      <w:r>
        <w:t xml:space="preserve"> </w:t>
      </w:r>
      <w:bookmarkEnd w:id="72"/>
      <w:bookmarkEnd w:id="73"/>
      <w:bookmarkEnd w:id="76"/>
      <w:bookmarkEnd w:id="77"/>
    </w:p>
    <w:p>
      <w:bookmarkStart w:id="78" w:name="OLE_LINK189"/>
      <w:bookmarkStart w:id="79" w:name="OLE_LINK92"/>
      <w:bookmarkStart w:id="80" w:name="OLE_LINK93"/>
      <w:bookmarkStart w:id="81" w:name="OLE_LINK59"/>
      <w:bookmarkStart w:id="82" w:name="OLE_LINK54"/>
      <w:bookmarkStart w:id="83" w:name="OLE_LINK58"/>
      <w:bookmarkStart w:id="84" w:name="OLE_LINK55"/>
      <w:r>
        <w:t>Governance rules</w:t>
      </w:r>
      <w:bookmarkEnd w:id="78"/>
      <w:bookmarkEnd w:id="79"/>
      <w:bookmarkEnd w:id="80"/>
      <w:r>
        <w:t xml:space="preserve"> clarify the functions of all the divisions by formulating who has the power to make decisions and what obligations should be taken between each other (Chhaochharia </w:t>
      </w:r>
      <w:r>
        <w:rPr>
          <w:rFonts w:hint="eastAsia"/>
        </w:rPr>
        <w:t>and</w:t>
      </w:r>
      <w:r>
        <w:t xml:space="preserve"> Grinstein, 2007). Enforcing rules supports good and effective governance. It is impractical to expect members of teams even the leaders to use their self-consciousness doing the things they due to. Rules are necessary to be enforced to carry out their own obligations，and they provide tackling standard to solve problems that encountered such as who has the power to manage and how to handle disputes. All in all, the routine issues that would occur can find corresponding solutions effectively. Thus how effective and important the governance rules acts can be seen.</w:t>
      </w:r>
    </w:p>
    <w:p/>
    <w:p>
      <w:bookmarkStart w:id="85" w:name="OLE_LINK65"/>
      <w:bookmarkStart w:id="86" w:name="OLE_LINK64"/>
      <w:r>
        <w:rPr>
          <w:lang w:val="en-GB"/>
        </w:rPr>
        <w:t>Governance rules</w:t>
      </w:r>
      <w:bookmarkEnd w:id="85"/>
      <w:bookmarkEnd w:id="86"/>
      <w:r>
        <w:t xml:space="preserve"> </w:t>
      </w:r>
      <w:bookmarkStart w:id="87" w:name="OLE_LINK61"/>
      <w:bookmarkStart w:id="88" w:name="OLE_LINK60"/>
      <w:r>
        <w:t xml:space="preserve">are blessings </w:t>
      </w:r>
      <w:r>
        <w:rPr>
          <w:lang w:val="en-GB"/>
        </w:rPr>
        <w:t>to</w:t>
      </w:r>
      <w:bookmarkEnd w:id="87"/>
      <w:bookmarkEnd w:id="88"/>
      <w:r>
        <w:rPr>
          <w:lang w:val="en-GB"/>
        </w:rPr>
        <w:t xml:space="preserve"> organisations and their </w:t>
      </w:r>
      <w:bookmarkStart w:id="89" w:name="OLE_LINK62"/>
      <w:bookmarkStart w:id="90" w:name="OLE_LINK63"/>
      <w:r>
        <w:rPr>
          <w:lang w:val="en-GB"/>
        </w:rPr>
        <w:t>stakeholders</w:t>
      </w:r>
      <w:bookmarkEnd w:id="89"/>
      <w:bookmarkEnd w:id="90"/>
      <w:r>
        <w:rPr>
          <w:lang w:val="en-GB"/>
        </w:rPr>
        <w:t xml:space="preserve">. </w:t>
      </w:r>
      <w:r>
        <w:t xml:space="preserve">As governance rules demonstrate to be the inurement of good corporate governance, which embodies immense force in modern times’ competitive business environment. It in some degree dominates how organizations sustainably operate by providing an effective framework. </w:t>
      </w:r>
    </w:p>
    <w:bookmarkEnd w:id="81"/>
    <w:bookmarkEnd w:id="82"/>
    <w:bookmarkEnd w:id="83"/>
    <w:bookmarkEnd w:id="84"/>
    <w:p>
      <w:pPr>
        <w:pStyle w:val="2"/>
      </w:pPr>
      <w:bookmarkStart w:id="91" w:name="_Toc418163273"/>
      <w:r>
        <w:t xml:space="preserve">4. </w:t>
      </w:r>
      <w:bookmarkStart w:id="92" w:name="OLE_LINK117"/>
      <w:bookmarkStart w:id="93" w:name="OLE_LINK192"/>
      <w:bookmarkStart w:id="94" w:name="OLE_LINK116"/>
      <w:bookmarkStart w:id="95" w:name="OLE_LINK124"/>
      <w:bookmarkStart w:id="96" w:name="OLE_LINK123"/>
      <w:bookmarkStart w:id="97" w:name="OLE_LINK164"/>
      <w:bookmarkStart w:id="98" w:name="OLE_LINK7"/>
      <w:bookmarkStart w:id="99" w:name="OLE_LINK6"/>
      <w:bookmarkStart w:id="100" w:name="OLE_LINK163"/>
      <w:bookmarkStart w:id="101" w:name="OLE_LINK162"/>
      <w:r>
        <w:t>Robber Barons</w:t>
      </w:r>
      <w:bookmarkEnd w:id="92"/>
      <w:bookmarkEnd w:id="93"/>
      <w:bookmarkEnd w:id="94"/>
      <w:bookmarkStart w:id="102" w:name="OLE_LINK120"/>
      <w:bookmarkStart w:id="103" w:name="OLE_LINK119"/>
      <w:bookmarkStart w:id="104" w:name="OLE_LINK118"/>
      <w:r>
        <w:t xml:space="preserve"> &amp; Captains of Industry</w:t>
      </w:r>
      <w:bookmarkEnd w:id="95"/>
      <w:bookmarkEnd w:id="96"/>
      <w:bookmarkEnd w:id="102"/>
      <w:bookmarkEnd w:id="103"/>
      <w:bookmarkEnd w:id="104"/>
      <w:r>
        <w:t xml:space="preserve"> &amp; </w:t>
      </w:r>
      <w:bookmarkStart w:id="105" w:name="OLE_LINK43"/>
      <w:bookmarkStart w:id="106" w:name="OLE_LINK122"/>
      <w:bookmarkStart w:id="107" w:name="OLE_LINK121"/>
      <w:bookmarkStart w:id="108" w:name="OLE_LINK42"/>
      <w:bookmarkStart w:id="109" w:name="OLE_LINK125"/>
      <w:r>
        <w:t>Philanthropist</w:t>
      </w:r>
      <w:bookmarkEnd w:id="91"/>
      <w:bookmarkEnd w:id="97"/>
      <w:bookmarkEnd w:id="98"/>
      <w:bookmarkEnd w:id="99"/>
      <w:bookmarkEnd w:id="105"/>
      <w:bookmarkEnd w:id="106"/>
      <w:bookmarkEnd w:id="107"/>
      <w:bookmarkEnd w:id="108"/>
      <w:bookmarkEnd w:id="109"/>
      <w:r>
        <w:t xml:space="preserve"> </w:t>
      </w:r>
      <w:bookmarkEnd w:id="100"/>
      <w:bookmarkEnd w:id="101"/>
    </w:p>
    <w:p>
      <w:r>
        <w:t>Robber Barons represent the businessmen who use immoral manners to seize assets</w:t>
      </w:r>
      <w:r>
        <w:rPr>
          <w:rFonts w:hint="eastAsia"/>
        </w:rPr>
        <w:t>. This concept</w:t>
      </w:r>
      <w:r>
        <w:t xml:space="preserve"> is originally </w:t>
      </w:r>
      <w:r>
        <w:rPr>
          <w:rFonts w:hint="eastAsia"/>
        </w:rPr>
        <w:t>utilized</w:t>
      </w:r>
      <w:r>
        <w:t xml:space="preserve"> in late 19th-century America (Nourzhanov, 2005). Captains of Industry emerged in the same period with Robber Barons, with sharp contrast formed. It refers to business leaders whose methods of accumulating treasures conduce to the whole country (Dixon, 2002). </w:t>
      </w:r>
      <w:bookmarkStart w:id="110" w:name="OLE_LINK195"/>
      <w:bookmarkStart w:id="111" w:name="OLE_LINK196"/>
      <w:r>
        <w:t>Philanthropist</w:t>
      </w:r>
      <w:bookmarkEnd w:id="110"/>
      <w:bookmarkEnd w:id="111"/>
      <w:r>
        <w:t xml:space="preserve"> is individual who are willing to donate personal resource to people in need (Lancet, 2002). Using any word of them to describe John D Rockefeller </w:t>
      </w:r>
      <w:r>
        <w:rPr>
          <w:rFonts w:hint="eastAsia"/>
        </w:rPr>
        <w:t>or</w:t>
      </w:r>
      <w:r>
        <w:t xml:space="preserve"> </w:t>
      </w:r>
      <w:bookmarkStart w:id="112" w:name="OLE_LINK149"/>
      <w:bookmarkStart w:id="113" w:name="OLE_LINK150"/>
      <w:r>
        <w:t>Andrew Carnegie</w:t>
      </w:r>
      <w:bookmarkEnd w:id="112"/>
      <w:bookmarkEnd w:id="113"/>
      <w:r>
        <w:t xml:space="preserve"> appears to be in the one-sided perspective. In their assets gathered period, they may act the role of Robber Barons and Captains of Industry by exploiting staffs’ labor and helping booming temporal industry. Nevertheless, they are simultaneously regarded as Philanthropist. Historical materials show that</w:t>
      </w:r>
      <w:bookmarkStart w:id="114" w:name="OLE_LINK127"/>
      <w:bookmarkStart w:id="115" w:name="OLE_LINK126"/>
      <w:r>
        <w:rPr>
          <w:rFonts w:hint="eastAsia" w:eastAsia="宋体"/>
        </w:rPr>
        <w:t xml:space="preserve"> </w:t>
      </w:r>
      <w:r>
        <w:t xml:space="preserve">Rockefeller donated more than half a billion </w:t>
      </w:r>
      <w:bookmarkStart w:id="116" w:name="OLE_LINK132"/>
      <w:bookmarkStart w:id="117" w:name="OLE_LINK131"/>
      <w:r>
        <w:t>dollars</w:t>
      </w:r>
      <w:bookmarkEnd w:id="116"/>
      <w:bookmarkEnd w:id="117"/>
      <w:r>
        <w:t xml:space="preserve"> and Carnegie donated more than 350 million dollars in their life</w:t>
      </w:r>
      <w:r>
        <w:rPr>
          <w:rFonts w:hint="eastAsia" w:eastAsia="宋体"/>
        </w:rPr>
        <w:t xml:space="preserve"> (Nurse, 2006)</w:t>
      </w:r>
      <w:r>
        <w:t xml:space="preserve">. As later generations express different judgments over them, their merits and faults shall be viewed critically. </w:t>
      </w:r>
      <w:bookmarkEnd w:id="114"/>
      <w:bookmarkEnd w:id="115"/>
    </w:p>
    <w:p>
      <w:pPr>
        <w:pStyle w:val="2"/>
      </w:pPr>
      <w:bookmarkStart w:id="118" w:name="_Toc418163274"/>
      <w:r>
        <w:t xml:space="preserve">5. </w:t>
      </w:r>
      <w:bookmarkStart w:id="119" w:name="OLE_LINK77"/>
      <w:bookmarkStart w:id="120" w:name="OLE_LINK78"/>
      <w:bookmarkStart w:id="121" w:name="OLE_LINK70"/>
      <w:bookmarkStart w:id="122" w:name="OLE_LINK201"/>
      <w:bookmarkStart w:id="123" w:name="OLE_LINK202"/>
      <w:bookmarkStart w:id="124" w:name="OLE_LINK100"/>
      <w:bookmarkStart w:id="125" w:name="OLE_LINK99"/>
      <w:r>
        <w:t>Philanthropic</w:t>
      </w:r>
      <w:bookmarkEnd w:id="119"/>
      <w:bookmarkEnd w:id="120"/>
      <w:r>
        <w:t xml:space="preserve"> activit</w:t>
      </w:r>
      <w:bookmarkEnd w:id="121"/>
      <w:r>
        <w:t>y</w:t>
      </w:r>
      <w:bookmarkEnd w:id="118"/>
      <w:bookmarkEnd w:id="122"/>
      <w:bookmarkEnd w:id="123"/>
    </w:p>
    <w:p>
      <w:pPr>
        <w:pStyle w:val="3"/>
      </w:pPr>
      <w:bookmarkStart w:id="126" w:name="_Toc418163275"/>
      <w:r>
        <w:rPr>
          <w:rFonts w:eastAsiaTheme="minorEastAsia"/>
        </w:rPr>
        <w:t>5.1 Definition of philanthropic activity</w:t>
      </w:r>
      <w:bookmarkEnd w:id="126"/>
      <w:r>
        <w:tab/>
      </w:r>
      <w:bookmarkEnd w:id="124"/>
      <w:bookmarkEnd w:id="125"/>
    </w:p>
    <w:p>
      <w:pPr>
        <w:tabs>
          <w:tab w:val="right" w:pos="8300"/>
        </w:tabs>
        <w:rPr>
          <w:rFonts w:cs="Times New Roman"/>
        </w:rPr>
      </w:pPr>
      <w:bookmarkStart w:id="127" w:name="OLE_LINK76"/>
      <w:bookmarkStart w:id="128" w:name="OLE_LINK68"/>
      <w:bookmarkStart w:id="129" w:name="OLE_LINK75"/>
      <w:bookmarkStart w:id="130" w:name="OLE_LINK79"/>
      <w:bookmarkStart w:id="131" w:name="OLE_LINK69"/>
      <w:bookmarkStart w:id="132" w:name="OLE_LINK200"/>
      <w:bookmarkStart w:id="133" w:name="OLE_LINK199"/>
      <w:r>
        <w:rPr>
          <w:rFonts w:cs="Times New Roman"/>
        </w:rPr>
        <w:t>Philanthrop</w:t>
      </w:r>
      <w:bookmarkEnd w:id="127"/>
      <w:bookmarkEnd w:id="128"/>
      <w:bookmarkEnd w:id="129"/>
      <w:bookmarkEnd w:id="130"/>
      <w:bookmarkEnd w:id="131"/>
      <w:r>
        <w:rPr>
          <w:rFonts w:cs="Times New Roman"/>
        </w:rPr>
        <w:t>ic activity</w:t>
      </w:r>
      <w:bookmarkEnd w:id="132"/>
      <w:bookmarkEnd w:id="133"/>
      <w:r>
        <w:rPr>
          <w:rFonts w:cs="Times New Roman"/>
        </w:rPr>
        <w:t xml:space="preserve"> is widely defined as action deriving from humanitarianism that individual or organization takes to preventing and solving social problems in the origin level. This is where </w:t>
      </w:r>
      <w:bookmarkStart w:id="134" w:name="OLE_LINK57"/>
      <w:bookmarkStart w:id="135" w:name="OLE_LINK56"/>
      <w:r>
        <w:rPr>
          <w:rFonts w:cs="Times New Roman"/>
        </w:rPr>
        <w:t>philanthropy</w:t>
      </w:r>
      <w:bookmarkEnd w:id="134"/>
      <w:bookmarkEnd w:id="135"/>
      <w:r>
        <w:rPr>
          <w:rFonts w:cs="Times New Roman"/>
        </w:rPr>
        <w:t xml:space="preserve"> differs from charity. Charity is on the purpose to realizing salvation of people who has already suffered from social problems, while Philanthropy aims to empowering people the ability to avoiding suffering (Menon </w:t>
      </w:r>
      <w:r>
        <w:rPr>
          <w:rFonts w:hint="eastAsia" w:cs="Times New Roman"/>
        </w:rPr>
        <w:t xml:space="preserve">and </w:t>
      </w:r>
      <w:r>
        <w:rPr>
          <w:rFonts w:cs="Times New Roman"/>
        </w:rPr>
        <w:t xml:space="preserve">Kahn, 2003). For instance, giving money to the unemployed groups is charity, however persons who accept the salvage money would be caught in difficult times again. </w:t>
      </w:r>
      <w:bookmarkStart w:id="136" w:name="OLE_LINK74"/>
      <w:bookmarkStart w:id="137" w:name="OLE_LINK73"/>
      <w:r>
        <w:rPr>
          <w:rFonts w:cs="Times New Roman"/>
        </w:rPr>
        <w:t>Disparate</w:t>
      </w:r>
      <w:bookmarkEnd w:id="136"/>
      <w:bookmarkEnd w:id="137"/>
      <w:r>
        <w:rPr>
          <w:rFonts w:cs="Times New Roman"/>
        </w:rPr>
        <w:t xml:space="preserve"> from this, philanthropy is about offering more employment opportunity and initiating persons the skills to make a living on their own.</w:t>
      </w:r>
    </w:p>
    <w:p>
      <w:pPr>
        <w:pStyle w:val="3"/>
      </w:pPr>
      <w:bookmarkStart w:id="138" w:name="_Toc418163276"/>
      <w:r>
        <w:t xml:space="preserve">5.2 </w:t>
      </w:r>
      <w:bookmarkStart w:id="139" w:name="OLE_LINK83"/>
      <w:bookmarkStart w:id="140" w:name="OLE_LINK82"/>
      <w:r>
        <w:t xml:space="preserve">Merits of </w:t>
      </w:r>
      <w:bookmarkStart w:id="141" w:name="OLE_LINK152"/>
      <w:bookmarkStart w:id="142" w:name="OLE_LINK81"/>
      <w:bookmarkStart w:id="143" w:name="OLE_LINK80"/>
      <w:bookmarkStart w:id="144" w:name="OLE_LINK71"/>
      <w:bookmarkStart w:id="145" w:name="OLE_LINK72"/>
      <w:bookmarkStart w:id="146" w:name="OLE_LINK90"/>
      <w:r>
        <w:t>philanthropic</w:t>
      </w:r>
      <w:bookmarkEnd w:id="141"/>
      <w:bookmarkEnd w:id="142"/>
      <w:bookmarkEnd w:id="143"/>
      <w:r>
        <w:t xml:space="preserve"> activities</w:t>
      </w:r>
      <w:bookmarkEnd w:id="144"/>
      <w:bookmarkEnd w:id="145"/>
      <w:bookmarkEnd w:id="146"/>
      <w:r>
        <w:t xml:space="preserve"> for business in the 21st Century</w:t>
      </w:r>
      <w:bookmarkEnd w:id="138"/>
      <w:bookmarkEnd w:id="139"/>
      <w:bookmarkEnd w:id="140"/>
    </w:p>
    <w:p>
      <w:r>
        <w:rPr>
          <w:rFonts w:hint="eastAsia"/>
        </w:rPr>
        <w:t>P</w:t>
      </w:r>
      <w:r>
        <w:t xml:space="preserve">hilanthropic activities have globally earned an unprecedented concentration in current times even more than products in some cases, as enterprises’ public trust did not perform well (Porter </w:t>
      </w:r>
      <w:r>
        <w:rPr>
          <w:rFonts w:hint="eastAsia"/>
        </w:rPr>
        <w:t>and</w:t>
      </w:r>
      <w:r>
        <w:t xml:space="preserve"> Kramer, 2002). Most firms regard what they can transport to people in the world as more importance. </w:t>
      </w:r>
      <w:bookmarkStart w:id="147" w:name="OLE_LINK108"/>
      <w:bookmarkStart w:id="148" w:name="OLE_LINK109"/>
      <w:r>
        <w:t>Philanthropic</w:t>
      </w:r>
      <w:bookmarkEnd w:id="147"/>
      <w:bookmarkEnd w:id="148"/>
      <w:r>
        <w:t xml:space="preserve"> activities for business in the 21st Century are undoubtedly created great values no matter in tangible or intangible aspects. </w:t>
      </w:r>
      <w:bookmarkStart w:id="149" w:name="OLE_LINK98"/>
      <w:bookmarkStart w:id="150" w:name="OLE_LINK101"/>
    </w:p>
    <w:p/>
    <w:p>
      <w:pPr>
        <w:rPr>
          <w:rFonts w:cs="Times New Roman"/>
          <w:b/>
          <w:bCs/>
        </w:rPr>
      </w:pPr>
      <w:r>
        <w:rPr>
          <w:rFonts w:cs="Times New Roman"/>
          <w:b/>
          <w:bCs/>
        </w:rPr>
        <w:t>Company reputation</w:t>
      </w:r>
      <w:bookmarkEnd w:id="149"/>
      <w:bookmarkEnd w:id="150"/>
      <w:r>
        <w:rPr>
          <w:rFonts w:cs="Times New Roman"/>
          <w:b/>
          <w:bCs/>
        </w:rPr>
        <w:t xml:space="preserve"> and </w:t>
      </w:r>
      <w:bookmarkStart w:id="151" w:name="OLE_LINK106"/>
      <w:bookmarkStart w:id="152" w:name="OLE_LINK107"/>
      <w:r>
        <w:rPr>
          <w:rFonts w:cs="Times New Roman"/>
          <w:b/>
          <w:bCs/>
        </w:rPr>
        <w:t>product awareness</w:t>
      </w:r>
      <w:bookmarkEnd w:id="151"/>
      <w:bookmarkEnd w:id="152"/>
    </w:p>
    <w:p>
      <w:r>
        <w:t xml:space="preserve">Company reputation and band awareness are broadly deemed to be two of the key merits that develop through actions of philanthropy. Klein </w:t>
      </w:r>
      <w:r>
        <w:rPr>
          <w:rFonts w:hint="eastAsia"/>
        </w:rPr>
        <w:t>and</w:t>
      </w:r>
      <w:r>
        <w:t xml:space="preserve"> Plessis (2005) stated that, corporate social responsibility is basic footstone to realize the core brand values. Philanthropic activities present a positive social responsibility in front of the publics, simultaneously making people impressed of its brand and product. Firms that conduct philanthropy do far more than making profits, with regards to taking what they earn from the society back to communities. Through donating and bringing benefits to local communities, the firm is supposed to win citizens’ big crush on its brand.</w:t>
      </w:r>
      <w:bookmarkStart w:id="153" w:name="OLE_LINK102"/>
      <w:bookmarkStart w:id="154" w:name="OLE_LINK103"/>
    </w:p>
    <w:p/>
    <w:p>
      <w:pPr>
        <w:rPr>
          <w:rFonts w:cs="Times New Roman"/>
        </w:rPr>
      </w:pPr>
      <w:r>
        <w:rPr>
          <w:rFonts w:cs="Times New Roman"/>
          <w:b/>
          <w:bCs/>
        </w:rPr>
        <w:t>Employees’ stronger sense of belonging</w:t>
      </w:r>
      <w:bookmarkEnd w:id="153"/>
      <w:bookmarkEnd w:id="154"/>
      <w:r>
        <w:rPr>
          <w:rFonts w:cs="Times New Roman"/>
        </w:rPr>
        <w:t xml:space="preserve"> </w:t>
      </w:r>
    </w:p>
    <w:p>
      <w:bookmarkStart w:id="155" w:name="OLE_LINK84"/>
      <w:bookmarkStart w:id="156" w:name="OLE_LINK85"/>
      <w:r>
        <w:t xml:space="preserve">When people see the power the company delivers and benefits the world that covers their endeavors as a part, it makes a remarkable difference in their mind. </w:t>
      </w:r>
      <w:bookmarkStart w:id="157" w:name="OLE_LINK111"/>
      <w:bookmarkStart w:id="158" w:name="OLE_LINK110"/>
      <w:r>
        <w:t>Philanthrop</w:t>
      </w:r>
      <w:bookmarkEnd w:id="155"/>
      <w:bookmarkEnd w:id="156"/>
      <w:r>
        <w:t>ic activities</w:t>
      </w:r>
      <w:bookmarkEnd w:id="157"/>
      <w:bookmarkEnd w:id="158"/>
      <w:r>
        <w:t xml:space="preserve"> involving employees contribute to establishing their deeper reliance and stronger sense of belonging over the company, which could drive a better manifestation in engaged force and productivity (Bekkers </w:t>
      </w:r>
      <w:r>
        <w:rPr>
          <w:rFonts w:hint="eastAsia"/>
        </w:rPr>
        <w:t>and</w:t>
      </w:r>
      <w:r>
        <w:t xml:space="preserve"> Wiepking, 2010). As company obtains social accountability and reputation through philanthropy, intensifier emotional connections are created among relationships between employees and company. In additions, they can help develop a more sustainable employment relationship to keep the enterprise talents.</w:t>
      </w:r>
    </w:p>
    <w:p>
      <w:pPr>
        <w:tabs>
          <w:tab w:val="left" w:pos="5677"/>
        </w:tabs>
        <w:rPr>
          <w:rFonts w:cs="Times New Roman"/>
        </w:rPr>
      </w:pPr>
    </w:p>
    <w:p>
      <w:pPr>
        <w:tabs>
          <w:tab w:val="left" w:pos="5677"/>
        </w:tabs>
        <w:rPr>
          <w:rFonts w:cs="Times New Roman"/>
          <w:b/>
          <w:bCs/>
        </w:rPr>
      </w:pPr>
      <w:bookmarkStart w:id="159" w:name="OLE_LINK104"/>
      <w:bookmarkStart w:id="160" w:name="OLE_LINK105"/>
      <w:r>
        <w:rPr>
          <w:rFonts w:cs="Times New Roman"/>
          <w:b/>
          <w:bCs/>
        </w:rPr>
        <w:t>Tax privilege</w:t>
      </w:r>
    </w:p>
    <w:bookmarkEnd w:id="159"/>
    <w:bookmarkEnd w:id="160"/>
    <w:p>
      <w:r>
        <w:t>Tax privilege is considered to be the most substantial merit when comes to corporate philanthropic activities. Laws and regulations stipulate that corporate philanthropy for some certain organizations as listed in the approved 501c3 would offer tax deductions (Seifert et al., 2003). Although companies should not do donating with the expectation and aim to seek for financial benefits returned, as a matter of fact, helping organizations by donating does come with economic savings.</w:t>
      </w:r>
      <w:bookmarkStart w:id="161" w:name="OLE_LINK136"/>
      <w:bookmarkStart w:id="162" w:name="OLE_LINK135"/>
    </w:p>
    <w:p>
      <w:pPr>
        <w:pStyle w:val="2"/>
      </w:pPr>
      <w:bookmarkStart w:id="163" w:name="_Toc418163277"/>
      <w:r>
        <w:t>6.</w:t>
      </w:r>
      <w:bookmarkStart w:id="164" w:name="OLE_LINK214"/>
      <w:bookmarkStart w:id="165" w:name="OLE_LINK213"/>
      <w:r>
        <w:rPr>
          <w:rFonts w:hint="eastAsia"/>
        </w:rPr>
        <w:t xml:space="preserve"> </w:t>
      </w:r>
      <w:r>
        <w:t>Oxfam</w:t>
      </w:r>
      <w:bookmarkEnd w:id="163"/>
    </w:p>
    <w:bookmarkEnd w:id="161"/>
    <w:bookmarkEnd w:id="162"/>
    <w:bookmarkEnd w:id="164"/>
    <w:bookmarkEnd w:id="165"/>
    <w:p>
      <w:r>
        <w:t>Reputations are hard to obtain maybe costing few years, but only one night to lose. This is the best description of Oxfam. It is a global organization aiming at ending the injustices and aiding poverty, founded in 1942 (Watson, 2001). However, a scandal easily destroyed the reputation of Oxfam even with impacts on charitable system as its identification of international charity.</w:t>
      </w:r>
    </w:p>
    <w:p>
      <w:pPr>
        <w:pStyle w:val="3"/>
      </w:pPr>
      <w:bookmarkStart w:id="166" w:name="_Toc418163278"/>
      <w:r>
        <w:t>6.1 Scandal of Oxfam</w:t>
      </w:r>
      <w:bookmarkEnd w:id="166"/>
      <w:r>
        <w:t xml:space="preserve"> </w:t>
      </w:r>
    </w:p>
    <w:p>
      <w:pPr>
        <w:tabs>
          <w:tab w:val="left" w:pos="6796"/>
        </w:tabs>
        <w:rPr>
          <w:rFonts w:cs="Times New Roman"/>
        </w:rPr>
      </w:pPr>
      <w:r>
        <w:rPr>
          <w:rFonts w:cs="Times New Roman"/>
        </w:rPr>
        <w:t>The international philanthropy industry has experienced a huge trust and moral crisis. After a strong earthquake that killed 200,000 people in Haiti in 2010, Oxfam, an internationally renowned charity organization that assisted in disaster relief in Haiti, organized a group to call local women to consume sexual service, among them there are underage girls. The money is paid by charitable donations (</w:t>
      </w:r>
      <w:r>
        <w:rPr>
          <w:rFonts w:cs="Times New Roman"/>
          <w:kern w:val="0"/>
        </w:rPr>
        <w:t>Lancet, 2018)</w:t>
      </w:r>
      <w:r>
        <w:rPr>
          <w:rFonts w:cs="Times New Roman"/>
        </w:rPr>
        <w:t>. Since the sexual scandal exposed, wide anger was caused. Oxfam disappoints the public at the expense of losing 7,000 donors and corporate donors suspending donating actions. The event totally ruined people’s confidence in charitable institutions.</w:t>
      </w:r>
    </w:p>
    <w:p>
      <w:pPr>
        <w:pStyle w:val="3"/>
      </w:pPr>
      <w:bookmarkStart w:id="167" w:name="_Toc418163279"/>
      <w:r>
        <w:t xml:space="preserve">6.2 </w:t>
      </w:r>
      <w:bookmarkStart w:id="168" w:name="OLE_LINK87"/>
      <w:bookmarkStart w:id="169" w:name="OLE_LINK86"/>
      <w:r>
        <w:t>Precautionary measures</w:t>
      </w:r>
      <w:bookmarkEnd w:id="167"/>
      <w:bookmarkEnd w:id="168"/>
      <w:bookmarkEnd w:id="169"/>
    </w:p>
    <w:p>
      <w:pPr>
        <w:tabs>
          <w:tab w:val="left" w:pos="6796"/>
        </w:tabs>
        <w:rPr>
          <w:rFonts w:cs="Times New Roman"/>
          <w:b/>
          <w:bCs/>
        </w:rPr>
      </w:pPr>
      <w:bookmarkStart w:id="170" w:name="OLE_LINK140"/>
      <w:bookmarkStart w:id="171" w:name="OLE_LINK141"/>
      <w:r>
        <w:rPr>
          <w:rFonts w:cs="Times New Roman"/>
          <w:b/>
          <w:bCs/>
        </w:rPr>
        <w:t>Reinforcement on</w:t>
      </w:r>
      <w:bookmarkEnd w:id="170"/>
      <w:bookmarkEnd w:id="171"/>
      <w:r>
        <w:rPr>
          <w:rFonts w:cs="Times New Roman"/>
          <w:b/>
          <w:bCs/>
        </w:rPr>
        <w:t xml:space="preserve"> management</w:t>
      </w:r>
    </w:p>
    <w:p>
      <w:pPr>
        <w:rPr>
          <w:rFonts w:cs="Times New Roman"/>
        </w:rPr>
      </w:pPr>
      <w:r>
        <w:t xml:space="preserve">To prevent scandal like previously mentioned, it is advisable to strengthen the supervision system and clear punishment severe system, specifically to the responsible person (Ashforth </w:t>
      </w:r>
      <w:r>
        <w:rPr>
          <w:rFonts w:hint="eastAsia"/>
        </w:rPr>
        <w:t>and</w:t>
      </w:r>
      <w:r>
        <w:t xml:space="preserve"> Anand, 2003). Traditionally, people think that it is enough to engage in charity only with love, and ignore emphasizing their professionalism and ability. However, management exactly matters. Large institutions such as Oxfam have the same problems, and one of the reasons that result in scandals occurring may attribute to loopholes in employee selection, recruitment, training and assessment. The staffs who work in charity are ordinary people, </w:t>
      </w:r>
      <w:r>
        <w:rPr>
          <w:rFonts w:hint="eastAsia"/>
        </w:rPr>
        <w:t>who also</w:t>
      </w:r>
      <w:r>
        <w:t xml:space="preserve"> have the desires and shortcomings</w:t>
      </w:r>
      <w:r>
        <w:rPr>
          <w:rFonts w:hint="eastAsia"/>
        </w:rPr>
        <w:t xml:space="preserve"> of humanity</w:t>
      </w:r>
      <w:r>
        <w:t>. Moreover</w:t>
      </w:r>
      <w:r>
        <w:rPr>
          <w:rFonts w:hint="eastAsia"/>
        </w:rPr>
        <w:t xml:space="preserve">, </w:t>
      </w:r>
      <w:r>
        <w:t xml:space="preserve">their </w:t>
      </w:r>
      <w:r>
        <w:rPr>
          <w:rFonts w:hint="eastAsia"/>
        </w:rPr>
        <w:t xml:space="preserve">daily </w:t>
      </w:r>
      <w:r>
        <w:t xml:space="preserve">work is to deal with money, </w:t>
      </w:r>
      <w:r>
        <w:rPr>
          <w:rFonts w:hint="eastAsia"/>
        </w:rPr>
        <w:t>as a matter fact</w:t>
      </w:r>
      <w:r>
        <w:t>, ethical</w:t>
      </w:r>
      <w:r>
        <w:rPr>
          <w:rFonts w:hint="eastAsia"/>
        </w:rPr>
        <w:t xml:space="preserve"> requirements and ability of self-control for them</w:t>
      </w:r>
      <w:r>
        <w:t xml:space="preserve"> is </w:t>
      </w:r>
      <w:r>
        <w:rPr>
          <w:rFonts w:hint="eastAsia"/>
        </w:rPr>
        <w:t>supposed</w:t>
      </w:r>
      <w:r>
        <w:t xml:space="preserve"> </w:t>
      </w:r>
      <w:r>
        <w:rPr>
          <w:rFonts w:hint="eastAsia"/>
        </w:rPr>
        <w:t>to be more outstanding</w:t>
      </w:r>
      <w:r>
        <w:t xml:space="preserve"> than </w:t>
      </w:r>
      <w:r>
        <w:rPr>
          <w:rFonts w:hint="eastAsia"/>
        </w:rPr>
        <w:t>average person</w:t>
      </w:r>
      <w:r>
        <w:t>. It can be seen that charities should raise the moral threshold when employing</w:t>
      </w:r>
      <w:r>
        <w:rPr>
          <w:rFonts w:hint="eastAsia"/>
        </w:rPr>
        <w:t xml:space="preserve"> and </w:t>
      </w:r>
      <w:r>
        <w:t>selecting staff</w:t>
      </w:r>
      <w:r>
        <w:rPr>
          <w:rFonts w:hint="eastAsia"/>
        </w:rPr>
        <w:t>s. T</w:t>
      </w:r>
      <w:r>
        <w:t>he staff training and assessment system</w:t>
      </w:r>
      <w:r>
        <w:rPr>
          <w:rFonts w:hint="eastAsia"/>
        </w:rPr>
        <w:t xml:space="preserve"> </w:t>
      </w:r>
      <w:r>
        <w:t xml:space="preserve">should </w:t>
      </w:r>
      <w:r>
        <w:rPr>
          <w:rFonts w:hint="eastAsia"/>
        </w:rPr>
        <w:t xml:space="preserve">be </w:t>
      </w:r>
      <w:r>
        <w:t>strengthen</w:t>
      </w:r>
      <w:r>
        <w:rPr>
          <w:rFonts w:hint="eastAsia"/>
        </w:rPr>
        <w:t>ed as well</w:t>
      </w:r>
      <w:r>
        <w:t>.</w:t>
      </w:r>
    </w:p>
    <w:p>
      <w:pPr>
        <w:tabs>
          <w:tab w:val="left" w:pos="6796"/>
        </w:tabs>
        <w:rPr>
          <w:rFonts w:cs="Times New Roman"/>
          <w:b/>
          <w:bCs/>
        </w:rPr>
      </w:pPr>
    </w:p>
    <w:p>
      <w:pPr>
        <w:tabs>
          <w:tab w:val="left" w:pos="6796"/>
        </w:tabs>
        <w:rPr>
          <w:rFonts w:cs="Times New Roman"/>
        </w:rPr>
      </w:pPr>
      <w:r>
        <w:rPr>
          <w:rFonts w:cs="Times New Roman"/>
          <w:b/>
          <w:bCs/>
        </w:rPr>
        <w:t xml:space="preserve">Reinforcement on </w:t>
      </w:r>
      <w:bookmarkStart w:id="172" w:name="OLE_LINK146"/>
      <w:bookmarkStart w:id="173" w:name="OLE_LINK145"/>
      <w:bookmarkStart w:id="174" w:name="OLE_LINK143"/>
      <w:bookmarkStart w:id="175" w:name="OLE_LINK144"/>
      <w:r>
        <w:rPr>
          <w:rFonts w:cs="Times New Roman"/>
          <w:b/>
          <w:bCs/>
        </w:rPr>
        <w:t>financial transparency</w:t>
      </w:r>
      <w:bookmarkEnd w:id="172"/>
      <w:bookmarkEnd w:id="173"/>
      <w:r>
        <w:rPr>
          <w:rFonts w:cs="Times New Roman"/>
          <w:b/>
          <w:bCs/>
        </w:rPr>
        <w:t xml:space="preserve"> </w:t>
      </w:r>
      <w:bookmarkEnd w:id="174"/>
      <w:bookmarkEnd w:id="175"/>
      <w:r>
        <w:rPr>
          <w:rFonts w:cs="Times New Roman"/>
        </w:rPr>
        <w:t xml:space="preserve"> </w:t>
      </w:r>
    </w:p>
    <w:p>
      <w:r>
        <w:t xml:space="preserve">Rabl </w:t>
      </w:r>
      <w:r>
        <w:rPr>
          <w:rFonts w:hint="eastAsia"/>
        </w:rPr>
        <w:t>and</w:t>
      </w:r>
      <w:r>
        <w:t xml:space="preserve"> Kühlmann</w:t>
      </w:r>
      <w:r>
        <w:rPr>
          <w:rFonts w:hint="eastAsia"/>
        </w:rPr>
        <w:t xml:space="preserve"> argue that </w:t>
      </w:r>
      <w:r>
        <w:t>financial transparency means regularly present explicit disclosures about organizations’ financial condition and details. Financial dominance is typically a breeding ground for corruption</w:t>
      </w:r>
      <w:r>
        <w:rPr>
          <w:rFonts w:hint="eastAsia"/>
        </w:rPr>
        <w:t>.</w:t>
      </w:r>
      <w:r>
        <w:t xml:space="preserve"> It is important to prevent charitable corruption by allowing donors to witness the changes that their donations bring to vulnerable groups, thereby ensuring that the fund is transparent, effective, and </w:t>
      </w:r>
      <w:r>
        <w:rPr>
          <w:rFonts w:hint="eastAsia"/>
        </w:rPr>
        <w:t xml:space="preserve">then </w:t>
      </w:r>
      <w:r>
        <w:t xml:space="preserve">attracting more </w:t>
      </w:r>
      <w:r>
        <w:rPr>
          <w:rFonts w:hint="eastAsia"/>
        </w:rPr>
        <w:t>donating funds (</w:t>
      </w:r>
      <w:r>
        <w:rPr>
          <w:rFonts w:cs="Times New Roman"/>
        </w:rPr>
        <w:t>Milinski</w:t>
      </w:r>
      <w:r>
        <w:rPr>
          <w:rFonts w:hint="eastAsia" w:cs="Times New Roman"/>
        </w:rPr>
        <w:t xml:space="preserve"> et al., 2002)</w:t>
      </w:r>
      <w:r>
        <w:t>.</w:t>
      </w:r>
      <w:r>
        <w:rPr>
          <w:rFonts w:hint="eastAsia"/>
        </w:rPr>
        <w:t xml:space="preserve"> </w:t>
      </w:r>
      <w:r>
        <w:t>In the Oxfam sexual scandal, embezzl</w:t>
      </w:r>
      <w:r>
        <w:rPr>
          <w:rFonts w:hint="eastAsia"/>
        </w:rPr>
        <w:t>ing</w:t>
      </w:r>
      <w:r>
        <w:t xml:space="preserve"> donation funds that should be </w:t>
      </w:r>
      <w:r>
        <w:rPr>
          <w:rFonts w:hint="eastAsia"/>
        </w:rPr>
        <w:t>used for</w:t>
      </w:r>
      <w:r>
        <w:t xml:space="preserve"> assisting to call sexual service demonstrate to be the </w:t>
      </w:r>
      <w:r>
        <w:rPr>
          <w:rFonts w:hint="eastAsia"/>
        </w:rPr>
        <w:t>very</w:t>
      </w:r>
      <w:r>
        <w:t xml:space="preserve"> point inflaming anger. It may be wise to implement the regulation of building up a public supervised channel for charitable organizations, with every donating detail open to donators encompassing where the funds is donated and how much is the donating sum. This method helps the public regain the confidence over charities. Moreover, the donators can figure out how their money aiding people, which endow donating action itself more significance.</w:t>
      </w:r>
    </w:p>
    <w:p>
      <w:pPr>
        <w:pStyle w:val="2"/>
        <w:numPr>
          <w:ilvl w:val="0"/>
          <w:numId w:val="1"/>
        </w:numPr>
      </w:pPr>
      <w:bookmarkStart w:id="176" w:name="_Toc418163280"/>
      <w:r>
        <w:t>Conclusion</w:t>
      </w:r>
      <w:bookmarkEnd w:id="176"/>
    </w:p>
    <w:p>
      <w:pPr>
        <w:tabs>
          <w:tab w:val="left" w:pos="6796"/>
        </w:tabs>
        <w:rPr>
          <w:rFonts w:cs="Times New Roman"/>
        </w:rPr>
      </w:pPr>
      <w:r>
        <w:rPr>
          <w:rFonts w:cs="Times New Roman"/>
        </w:rPr>
        <w:t xml:space="preserve">Firstly, </w:t>
      </w:r>
      <w:r>
        <w:rPr>
          <w:rFonts w:hint="eastAsia" w:cs="Times New Roman"/>
        </w:rPr>
        <w:t xml:space="preserve">various stakeholders have their own </w:t>
      </w:r>
      <w:r>
        <w:rPr>
          <w:rFonts w:cs="Times New Roman"/>
        </w:rPr>
        <w:t>interests that</w:t>
      </w:r>
      <w:r>
        <w:rPr>
          <w:rFonts w:hint="eastAsia" w:cs="Times New Roman"/>
        </w:rPr>
        <w:t xml:space="preserve"> may come into contradictions. Good corporate governance contributes to balancing them. Key governance issues in the time of Rockefeller and Carnegie mostly are personal interest pursued excessively. The condition gains improvement later as the governance system developed to ensure interests of parties. Secondly, rules are the most effective manner to realize good corporate governance, which benefit both organizations and stakeholders. Merits of philanthropic activities for firms are reflected in </w:t>
      </w:r>
      <w:r>
        <w:rPr>
          <w:rFonts w:cs="Times New Roman"/>
        </w:rPr>
        <w:t>the dimensions of company reputation, product awareness</w:t>
      </w:r>
      <w:r>
        <w:rPr>
          <w:rFonts w:cs="Times New Roman"/>
          <w:kern w:val="0"/>
        </w:rPr>
        <w:t xml:space="preserve">, employees’ stronger sense of belonging and </w:t>
      </w:r>
      <w:r>
        <w:rPr>
          <w:rFonts w:cs="Times New Roman"/>
        </w:rPr>
        <w:t xml:space="preserve">tax privilege. </w:t>
      </w:r>
      <w:r>
        <w:rPr>
          <w:rFonts w:hint="eastAsia" w:cs="Times New Roman"/>
        </w:rPr>
        <w:t>Finally</w:t>
      </w:r>
      <w:r>
        <w:rPr>
          <w:rFonts w:cs="Times New Roman"/>
        </w:rPr>
        <w:t>, the</w:t>
      </w:r>
      <w:r>
        <w:rPr>
          <w:rFonts w:hint="eastAsia" w:cs="Times New Roman"/>
        </w:rPr>
        <w:t xml:space="preserve"> bad reputation of Oxfam could have been prevented by r</w:t>
      </w:r>
      <w:r>
        <w:rPr>
          <w:rFonts w:cs="Times New Roman"/>
        </w:rPr>
        <w:t>einforcement on management</w:t>
      </w:r>
      <w:r>
        <w:rPr>
          <w:rFonts w:hint="eastAsia" w:cs="Times New Roman"/>
        </w:rPr>
        <w:t xml:space="preserve"> and </w:t>
      </w:r>
      <w:r>
        <w:rPr>
          <w:rFonts w:cs="Times New Roman"/>
        </w:rPr>
        <w:t>financial transparency</w:t>
      </w:r>
      <w:r>
        <w:rPr>
          <w:rFonts w:hint="eastAsia" w:cs="Times New Roman"/>
        </w:rPr>
        <w:t>.</w:t>
      </w:r>
    </w:p>
    <w:p>
      <w:pPr>
        <w:tabs>
          <w:tab w:val="left" w:pos="5677"/>
        </w:tabs>
        <w:rPr>
          <w:rFonts w:cs="Times New Roman"/>
        </w:rPr>
      </w:pPr>
    </w:p>
    <w:p>
      <w:pPr>
        <w:tabs>
          <w:tab w:val="left" w:pos="6796"/>
        </w:tabs>
        <w:rPr>
          <w:rFonts w:cs="Times New Roman"/>
        </w:rPr>
      </w:pPr>
    </w:p>
    <w:p>
      <w:pPr>
        <w:pStyle w:val="2"/>
      </w:pPr>
      <w:bookmarkStart w:id="177" w:name="_Toc418163281"/>
    </w:p>
    <w:p>
      <w:pPr>
        <w:pStyle w:val="2"/>
      </w:pPr>
    </w:p>
    <w:p/>
    <w:p>
      <w:pPr>
        <w:pStyle w:val="2"/>
      </w:pPr>
      <w:r>
        <w:t>References</w:t>
      </w:r>
      <w:bookmarkEnd w:id="177"/>
    </w:p>
    <w:p>
      <w:pPr>
        <w:tabs>
          <w:tab w:val="left" w:pos="6796"/>
        </w:tabs>
        <w:rPr>
          <w:rFonts w:cs="Times New Roman"/>
        </w:rPr>
      </w:pPr>
      <w:bookmarkStart w:id="178" w:name="OLE_LINK186"/>
      <w:bookmarkStart w:id="179" w:name="OLE_LINK185"/>
      <w:r>
        <w:rPr>
          <w:rFonts w:cs="Times New Roman"/>
        </w:rPr>
        <w:t>Andres, P. D., &amp; Vallelado</w:t>
      </w:r>
      <w:bookmarkEnd w:id="178"/>
      <w:bookmarkEnd w:id="179"/>
      <w:r>
        <w:rPr>
          <w:rFonts w:cs="Times New Roman"/>
        </w:rPr>
        <w:t>, E. (2008). Corporate governance in banking: the role of the board of directors. </w:t>
      </w:r>
      <w:r>
        <w:rPr>
          <w:rFonts w:cs="Times New Roman"/>
          <w:i/>
          <w:iCs/>
        </w:rPr>
        <w:t>Journal of Banking &amp; Finance,</w:t>
      </w:r>
      <w:r>
        <w:rPr>
          <w:rFonts w:cs="Times New Roman"/>
        </w:rPr>
        <w:t> </w:t>
      </w:r>
      <w:r>
        <w:rPr>
          <w:rFonts w:cs="Times New Roman"/>
          <w:i/>
          <w:iCs/>
        </w:rPr>
        <w:t>32</w:t>
      </w:r>
      <w:r>
        <w:rPr>
          <w:rFonts w:cs="Times New Roman"/>
        </w:rPr>
        <w:t>(12), 0-2580.</w:t>
      </w:r>
    </w:p>
    <w:p>
      <w:pPr>
        <w:tabs>
          <w:tab w:val="left" w:pos="6796"/>
        </w:tabs>
        <w:rPr>
          <w:rFonts w:cs="Times New Roman"/>
        </w:rPr>
      </w:pPr>
    </w:p>
    <w:p>
      <w:pPr>
        <w:tabs>
          <w:tab w:val="left" w:pos="6796"/>
        </w:tabs>
        <w:rPr>
          <w:rFonts w:cs="Times New Roman"/>
        </w:rPr>
      </w:pPr>
      <w:r>
        <w:rPr>
          <w:rFonts w:cs="Times New Roman"/>
        </w:rPr>
        <w:t xml:space="preserve">Ashforth, B. E., &amp; Anand, V. (2003). </w:t>
      </w:r>
      <w:r>
        <w:rPr>
          <w:rFonts w:cs="Times New Roman"/>
          <w:iCs/>
        </w:rPr>
        <w:t>The normalization of corruption in organizations</w:t>
      </w:r>
      <w:r>
        <w:rPr>
          <w:rFonts w:cs="Times New Roman"/>
        </w:rPr>
        <w:t>. </w:t>
      </w:r>
      <w:r>
        <w:rPr>
          <w:rFonts w:cs="Times New Roman"/>
          <w:i/>
        </w:rPr>
        <w:t>Research in Organizational Behavior,</w:t>
      </w:r>
      <w:r>
        <w:rPr>
          <w:rFonts w:cs="Times New Roman"/>
        </w:rPr>
        <w:t> 25(19), 1-52.</w:t>
      </w:r>
    </w:p>
    <w:p>
      <w:pPr>
        <w:tabs>
          <w:tab w:val="left" w:pos="6796"/>
        </w:tabs>
        <w:rPr>
          <w:rFonts w:cs="Times New Roman"/>
        </w:rPr>
      </w:pPr>
    </w:p>
    <w:p>
      <w:pPr>
        <w:tabs>
          <w:tab w:val="left" w:pos="6796"/>
        </w:tabs>
        <w:rPr>
          <w:rFonts w:cs="Times New Roman"/>
        </w:rPr>
      </w:pPr>
      <w:bookmarkStart w:id="180" w:name="OLE_LINK171"/>
      <w:bookmarkStart w:id="181" w:name="OLE_LINK172"/>
      <w:r>
        <w:rPr>
          <w:rFonts w:cs="Times New Roman"/>
        </w:rPr>
        <w:t>Bebchuk, L., Cohen, A., &amp; Ferrell</w:t>
      </w:r>
      <w:bookmarkEnd w:id="180"/>
      <w:bookmarkEnd w:id="181"/>
      <w:r>
        <w:rPr>
          <w:rFonts w:cs="Times New Roman"/>
        </w:rPr>
        <w:t>, A. (2009). What matters in corporate governance?. </w:t>
      </w:r>
      <w:r>
        <w:rPr>
          <w:rFonts w:cs="Times New Roman"/>
          <w:i/>
          <w:iCs/>
        </w:rPr>
        <w:t>Review of Financial Studies,</w:t>
      </w:r>
      <w:r>
        <w:rPr>
          <w:rFonts w:cs="Times New Roman"/>
        </w:rPr>
        <w:t> </w:t>
      </w:r>
      <w:r>
        <w:rPr>
          <w:rFonts w:cs="Times New Roman"/>
          <w:i/>
          <w:iCs/>
        </w:rPr>
        <w:t>22</w:t>
      </w:r>
      <w:r>
        <w:rPr>
          <w:rFonts w:cs="Times New Roman"/>
        </w:rPr>
        <w:t>(2), 783-827.</w:t>
      </w:r>
    </w:p>
    <w:p>
      <w:pPr>
        <w:tabs>
          <w:tab w:val="left" w:pos="6796"/>
        </w:tabs>
        <w:rPr>
          <w:rFonts w:cs="Times New Roman"/>
        </w:rPr>
      </w:pPr>
    </w:p>
    <w:p>
      <w:pPr>
        <w:tabs>
          <w:tab w:val="left" w:pos="6796"/>
        </w:tabs>
        <w:rPr>
          <w:rFonts w:cs="Times New Roman"/>
        </w:rPr>
      </w:pPr>
      <w:bookmarkStart w:id="182" w:name="OLE_LINK211"/>
      <w:bookmarkStart w:id="183" w:name="OLE_LINK212"/>
      <w:r>
        <w:rPr>
          <w:rFonts w:cs="Times New Roman"/>
        </w:rPr>
        <w:t>Bekkers, R., &amp; Wiepking</w:t>
      </w:r>
      <w:bookmarkEnd w:id="182"/>
      <w:bookmarkEnd w:id="183"/>
      <w:r>
        <w:rPr>
          <w:rFonts w:cs="Times New Roman"/>
        </w:rPr>
        <w:t>, P. (2010). A literature review of empirical studies of philanthropy. </w:t>
      </w:r>
      <w:r>
        <w:rPr>
          <w:rFonts w:cs="Times New Roman"/>
          <w:i/>
          <w:iCs/>
        </w:rPr>
        <w:t>Nonprofit &amp; Voluntary Sector Quarterly,</w:t>
      </w:r>
      <w:r>
        <w:rPr>
          <w:rFonts w:cs="Times New Roman"/>
        </w:rPr>
        <w:t> </w:t>
      </w:r>
      <w:r>
        <w:rPr>
          <w:rFonts w:cs="Times New Roman"/>
          <w:i/>
          <w:iCs/>
        </w:rPr>
        <w:t>40</w:t>
      </w:r>
      <w:r>
        <w:rPr>
          <w:rFonts w:cs="Times New Roman"/>
        </w:rPr>
        <w:t>(5), 924-973.</w:t>
      </w:r>
    </w:p>
    <w:p>
      <w:pPr>
        <w:tabs>
          <w:tab w:val="left" w:pos="6796"/>
        </w:tabs>
        <w:rPr>
          <w:rFonts w:cs="Times New Roman"/>
        </w:rPr>
      </w:pPr>
    </w:p>
    <w:p>
      <w:pPr>
        <w:tabs>
          <w:tab w:val="left" w:pos="6796"/>
        </w:tabs>
        <w:rPr>
          <w:rFonts w:cs="Times New Roman"/>
        </w:rPr>
      </w:pPr>
      <w:bookmarkStart w:id="184" w:name="OLE_LINK190"/>
      <w:bookmarkStart w:id="185" w:name="OLE_LINK191"/>
      <w:r>
        <w:rPr>
          <w:rFonts w:cs="Times New Roman"/>
        </w:rPr>
        <w:t>Chhaochharia, V., &amp; Grinstein</w:t>
      </w:r>
      <w:bookmarkEnd w:id="184"/>
      <w:bookmarkEnd w:id="185"/>
      <w:r>
        <w:rPr>
          <w:rFonts w:cs="Times New Roman"/>
        </w:rPr>
        <w:t>, Y. (2007). Corporate governance and firm value: the impact of the 2002 governance rules. </w:t>
      </w:r>
      <w:r>
        <w:rPr>
          <w:rFonts w:cs="Times New Roman"/>
          <w:i/>
          <w:iCs/>
        </w:rPr>
        <w:t>Journal of Finance,62</w:t>
      </w:r>
      <w:r>
        <w:rPr>
          <w:rFonts w:cs="Times New Roman"/>
        </w:rPr>
        <w:t>(4), 1789–1825.</w:t>
      </w:r>
    </w:p>
    <w:p>
      <w:pPr>
        <w:tabs>
          <w:tab w:val="left" w:pos="6796"/>
        </w:tabs>
        <w:rPr>
          <w:rFonts w:cs="Times New Roman"/>
        </w:rPr>
      </w:pPr>
    </w:p>
    <w:p>
      <w:pPr>
        <w:tabs>
          <w:tab w:val="left" w:pos="6796"/>
        </w:tabs>
        <w:rPr>
          <w:rFonts w:cs="Times New Roman"/>
        </w:rPr>
      </w:pPr>
      <w:bookmarkStart w:id="186" w:name="OLE_LINK168"/>
      <w:bookmarkStart w:id="187" w:name="OLE_LINK169"/>
      <w:r>
        <w:rPr>
          <w:rFonts w:cs="Times New Roman"/>
        </w:rPr>
        <w:t>Delmas, M., &amp; Toffel</w:t>
      </w:r>
      <w:bookmarkEnd w:id="186"/>
      <w:bookmarkEnd w:id="187"/>
      <w:r>
        <w:rPr>
          <w:rFonts w:cs="Times New Roman"/>
        </w:rPr>
        <w:t>, M. W. (2010). Stakeholders and environmental management practices: an institutional framework. </w:t>
      </w:r>
      <w:r>
        <w:rPr>
          <w:rFonts w:cs="Times New Roman"/>
          <w:i/>
          <w:iCs/>
        </w:rPr>
        <w:t>Business Strategy &amp; the Environment,</w:t>
      </w:r>
      <w:r>
        <w:rPr>
          <w:rFonts w:cs="Times New Roman"/>
        </w:rPr>
        <w:t> </w:t>
      </w:r>
      <w:r>
        <w:rPr>
          <w:rFonts w:cs="Times New Roman"/>
          <w:i/>
          <w:iCs/>
        </w:rPr>
        <w:t>13</w:t>
      </w:r>
      <w:r>
        <w:rPr>
          <w:rFonts w:cs="Times New Roman"/>
        </w:rPr>
        <w:t>(4), 209-222.</w:t>
      </w:r>
    </w:p>
    <w:p>
      <w:pPr>
        <w:tabs>
          <w:tab w:val="left" w:pos="6796"/>
        </w:tabs>
        <w:rPr>
          <w:rFonts w:cs="Times New Roman"/>
        </w:rPr>
      </w:pPr>
    </w:p>
    <w:p>
      <w:pPr>
        <w:tabs>
          <w:tab w:val="left" w:pos="6796"/>
        </w:tabs>
        <w:rPr>
          <w:rFonts w:cs="Times New Roman"/>
        </w:rPr>
      </w:pPr>
      <w:bookmarkStart w:id="188" w:name="OLE_LINK193"/>
      <w:bookmarkStart w:id="189" w:name="OLE_LINK194"/>
      <w:r>
        <w:rPr>
          <w:rFonts w:cs="Times New Roman"/>
        </w:rPr>
        <w:t>Dixon</w:t>
      </w:r>
      <w:bookmarkEnd w:id="188"/>
      <w:bookmarkEnd w:id="189"/>
      <w:r>
        <w:rPr>
          <w:rFonts w:cs="Times New Roman"/>
        </w:rPr>
        <w:t>, R. (2002). Retrospectives: captains of industry. </w:t>
      </w:r>
      <w:r>
        <w:rPr>
          <w:rFonts w:cs="Times New Roman"/>
          <w:i/>
          <w:iCs/>
        </w:rPr>
        <w:t>Journal of Economic Perspectives,</w:t>
      </w:r>
      <w:r>
        <w:rPr>
          <w:rFonts w:cs="Times New Roman"/>
        </w:rPr>
        <w:t> </w:t>
      </w:r>
      <w:r>
        <w:rPr>
          <w:rFonts w:cs="Times New Roman"/>
          <w:i/>
          <w:iCs/>
        </w:rPr>
        <w:t>16</w:t>
      </w:r>
      <w:r>
        <w:rPr>
          <w:rFonts w:cs="Times New Roman"/>
        </w:rPr>
        <w:t>(2), 197-206.</w:t>
      </w:r>
    </w:p>
    <w:p>
      <w:pPr>
        <w:tabs>
          <w:tab w:val="left" w:pos="6796"/>
        </w:tabs>
        <w:rPr>
          <w:rFonts w:cs="Times New Roman"/>
        </w:rPr>
      </w:pPr>
    </w:p>
    <w:p>
      <w:pPr>
        <w:tabs>
          <w:tab w:val="left" w:pos="6796"/>
        </w:tabs>
        <w:rPr>
          <w:rFonts w:cs="Times New Roman"/>
        </w:rPr>
      </w:pPr>
      <w:bookmarkStart w:id="190" w:name="OLE_LINK173"/>
      <w:bookmarkStart w:id="191" w:name="OLE_LINK174"/>
      <w:r>
        <w:rPr>
          <w:rFonts w:cs="Times New Roman"/>
        </w:rPr>
        <w:t>Hilt</w:t>
      </w:r>
      <w:bookmarkEnd w:id="190"/>
      <w:bookmarkEnd w:id="191"/>
      <w:r>
        <w:rPr>
          <w:rFonts w:cs="Times New Roman"/>
        </w:rPr>
        <w:t>, E. (2008). When did ownership separate from control? corporate governance in the early nineteenth century. </w:t>
      </w:r>
      <w:r>
        <w:rPr>
          <w:rFonts w:cs="Times New Roman"/>
          <w:i/>
          <w:iCs/>
        </w:rPr>
        <w:t>Journal of Economic History,68</w:t>
      </w:r>
      <w:r>
        <w:rPr>
          <w:rFonts w:cs="Times New Roman"/>
        </w:rPr>
        <w:t>(3), 645-685.</w:t>
      </w:r>
    </w:p>
    <w:p>
      <w:pPr>
        <w:tabs>
          <w:tab w:val="left" w:pos="6796"/>
        </w:tabs>
        <w:rPr>
          <w:rFonts w:cs="Times New Roman"/>
        </w:rPr>
      </w:pPr>
    </w:p>
    <w:p>
      <w:pPr>
        <w:tabs>
          <w:tab w:val="left" w:pos="6796"/>
        </w:tabs>
        <w:rPr>
          <w:rFonts w:cs="Times New Roman"/>
        </w:rPr>
      </w:pPr>
      <w:bookmarkStart w:id="192" w:name="OLE_LINK181"/>
      <w:bookmarkStart w:id="193" w:name="OLE_LINK182"/>
      <w:r>
        <w:rPr>
          <w:rFonts w:cs="Times New Roman"/>
        </w:rPr>
        <w:t>Gilson</w:t>
      </w:r>
      <w:bookmarkEnd w:id="192"/>
      <w:bookmarkEnd w:id="193"/>
      <w:r>
        <w:rPr>
          <w:rFonts w:cs="Times New Roman"/>
        </w:rPr>
        <w:t>, R. J. (2006). Controlling shareholders and corporate governance: complicating the comparative taxonomy. </w:t>
      </w:r>
      <w:r>
        <w:rPr>
          <w:rFonts w:cs="Times New Roman"/>
          <w:i/>
          <w:iCs/>
        </w:rPr>
        <w:t>Harvard Law Review,</w:t>
      </w:r>
      <w:r>
        <w:rPr>
          <w:rFonts w:cs="Times New Roman"/>
        </w:rPr>
        <w:t> </w:t>
      </w:r>
      <w:r>
        <w:rPr>
          <w:rFonts w:cs="Times New Roman"/>
          <w:i/>
          <w:iCs/>
        </w:rPr>
        <w:t>119</w:t>
      </w:r>
      <w:r>
        <w:rPr>
          <w:rFonts w:cs="Times New Roman"/>
        </w:rPr>
        <w:t>(6), 1641-1679.</w:t>
      </w:r>
    </w:p>
    <w:p>
      <w:pPr>
        <w:tabs>
          <w:tab w:val="left" w:pos="6796"/>
        </w:tabs>
        <w:rPr>
          <w:rFonts w:cs="Times New Roman"/>
        </w:rPr>
      </w:pPr>
    </w:p>
    <w:p>
      <w:pPr>
        <w:tabs>
          <w:tab w:val="left" w:pos="6796"/>
        </w:tabs>
        <w:rPr>
          <w:rFonts w:cs="Times New Roman"/>
        </w:rPr>
      </w:pPr>
      <w:r>
        <w:rPr>
          <w:rFonts w:cs="Times New Roman"/>
        </w:rPr>
        <w:t>Kang, S., Kumar, P., &amp; Lee, H. (2006). Agency and corporate investment: the role of executive compensation and corporate governance. </w:t>
      </w:r>
      <w:r>
        <w:rPr>
          <w:rFonts w:cs="Times New Roman"/>
          <w:i/>
          <w:iCs/>
        </w:rPr>
        <w:t>Journal of Business,</w:t>
      </w:r>
      <w:r>
        <w:rPr>
          <w:rFonts w:cs="Times New Roman"/>
        </w:rPr>
        <w:t> </w:t>
      </w:r>
      <w:r>
        <w:rPr>
          <w:rFonts w:cs="Times New Roman"/>
          <w:i/>
          <w:iCs/>
        </w:rPr>
        <w:t>79</w:t>
      </w:r>
      <w:r>
        <w:rPr>
          <w:rFonts w:cs="Times New Roman"/>
        </w:rPr>
        <w:t>(3), 1127-1147.</w:t>
      </w:r>
    </w:p>
    <w:p>
      <w:pPr>
        <w:tabs>
          <w:tab w:val="left" w:pos="6796"/>
        </w:tabs>
        <w:rPr>
          <w:rFonts w:cs="Times New Roman"/>
        </w:rPr>
      </w:pPr>
    </w:p>
    <w:p>
      <w:pPr>
        <w:tabs>
          <w:tab w:val="left" w:pos="6796"/>
        </w:tabs>
        <w:rPr>
          <w:rFonts w:cs="Times New Roman"/>
        </w:rPr>
      </w:pPr>
      <w:r>
        <w:rPr>
          <w:rFonts w:cs="Times New Roman"/>
        </w:rPr>
        <w:t xml:space="preserve">Khan, M. S. (2018). Oxfam: sex scandal or governance failure?. </w:t>
      </w:r>
      <w:r>
        <w:rPr>
          <w:rFonts w:cs="Times New Roman"/>
          <w:i/>
        </w:rPr>
        <w:t>Lancet,</w:t>
      </w:r>
      <w:r>
        <w:rPr>
          <w:rFonts w:cs="Times New Roman"/>
        </w:rPr>
        <w:t xml:space="preserve"> 391(10125), S0140673618304768.</w:t>
      </w:r>
    </w:p>
    <w:p>
      <w:pPr>
        <w:tabs>
          <w:tab w:val="left" w:pos="6796"/>
        </w:tabs>
        <w:rPr>
          <w:rFonts w:cs="Times New Roman"/>
        </w:rPr>
      </w:pPr>
    </w:p>
    <w:p>
      <w:pPr>
        <w:tabs>
          <w:tab w:val="left" w:pos="6796"/>
        </w:tabs>
        <w:rPr>
          <w:rFonts w:cs="Times New Roman"/>
        </w:rPr>
      </w:pPr>
      <w:bookmarkStart w:id="194" w:name="OLE_LINK210"/>
      <w:bookmarkStart w:id="195" w:name="OLE_LINK209"/>
      <w:r>
        <w:rPr>
          <w:rFonts w:cs="Times New Roman"/>
        </w:rPr>
        <w:t>Klein, E., Plessis</w:t>
      </w:r>
      <w:bookmarkEnd w:id="194"/>
      <w:bookmarkEnd w:id="195"/>
      <w:r>
        <w:rPr>
          <w:rFonts w:cs="Times New Roman"/>
        </w:rPr>
        <w:t>, J. J. D. (2005). Corporate donations, the best interest of the company and the proper purpose doctrine. </w:t>
      </w:r>
      <w:r>
        <w:rPr>
          <w:rFonts w:cs="Times New Roman"/>
          <w:i/>
          <w:iCs/>
        </w:rPr>
        <w:t>U.n.s.w.l.j,</w:t>
      </w:r>
      <w:r>
        <w:rPr>
          <w:rFonts w:cs="Times New Roman"/>
        </w:rPr>
        <w:t> </w:t>
      </w:r>
      <w:r>
        <w:rPr>
          <w:rFonts w:cs="Times New Roman"/>
          <w:i/>
          <w:iCs/>
        </w:rPr>
        <w:t>28</w:t>
      </w:r>
      <w:r>
        <w:rPr>
          <w:rFonts w:cs="Times New Roman"/>
        </w:rPr>
        <w:t>(1), 69-97.</w:t>
      </w:r>
    </w:p>
    <w:p>
      <w:pPr>
        <w:tabs>
          <w:tab w:val="left" w:pos="6796"/>
        </w:tabs>
        <w:rPr>
          <w:rFonts w:cs="Times New Roman"/>
        </w:rPr>
      </w:pPr>
    </w:p>
    <w:p>
      <w:pPr>
        <w:tabs>
          <w:tab w:val="left" w:pos="6796"/>
        </w:tabs>
        <w:rPr>
          <w:rFonts w:cs="Times New Roman"/>
        </w:rPr>
      </w:pPr>
      <w:bookmarkStart w:id="196" w:name="OLE_LINK198"/>
      <w:bookmarkStart w:id="197" w:name="OLE_LINK197"/>
      <w:r>
        <w:rPr>
          <w:rFonts w:cs="Times New Roman"/>
        </w:rPr>
        <w:t>Lancet</w:t>
      </w:r>
      <w:bookmarkEnd w:id="196"/>
      <w:bookmarkEnd w:id="197"/>
      <w:r>
        <w:rPr>
          <w:rFonts w:cs="Times New Roman"/>
        </w:rPr>
        <w:t>, T. (2002). Philanthropist or commercial opportunist?. </w:t>
      </w:r>
      <w:r>
        <w:rPr>
          <w:rFonts w:cs="Times New Roman"/>
          <w:i/>
          <w:iCs/>
        </w:rPr>
        <w:t>Lancet,360</w:t>
      </w:r>
      <w:r>
        <w:rPr>
          <w:rFonts w:cs="Times New Roman"/>
        </w:rPr>
        <w:t>(9346), 1617-1617.</w:t>
      </w:r>
    </w:p>
    <w:p>
      <w:pPr>
        <w:tabs>
          <w:tab w:val="left" w:pos="6796"/>
        </w:tabs>
        <w:rPr>
          <w:rFonts w:cs="Times New Roman"/>
        </w:rPr>
      </w:pPr>
    </w:p>
    <w:p>
      <w:pPr>
        <w:tabs>
          <w:tab w:val="left" w:pos="6796"/>
        </w:tabs>
        <w:rPr>
          <w:rFonts w:cs="Times New Roman"/>
        </w:rPr>
      </w:pPr>
      <w:bookmarkStart w:id="198" w:name="OLE_LINK3"/>
      <w:bookmarkStart w:id="199" w:name="OLE_LINK4"/>
      <w:r>
        <w:rPr>
          <w:rFonts w:cs="Times New Roman"/>
        </w:rPr>
        <w:t>Milinski</w:t>
      </w:r>
      <w:bookmarkEnd w:id="198"/>
      <w:bookmarkEnd w:id="199"/>
      <w:r>
        <w:rPr>
          <w:rFonts w:cs="Times New Roman"/>
        </w:rPr>
        <w:t>, M., Semmann, D., &amp; Krambeck, H. J. (2002). Donors to charity gain in both indirect reciprocity and political reputation. </w:t>
      </w:r>
      <w:r>
        <w:rPr>
          <w:rFonts w:cs="Times New Roman"/>
          <w:i/>
          <w:iCs/>
        </w:rPr>
        <w:t>Proc Biol Sci,269</w:t>
      </w:r>
      <w:r>
        <w:rPr>
          <w:rFonts w:cs="Times New Roman"/>
        </w:rPr>
        <w:t>(1494), 881-883.</w:t>
      </w:r>
    </w:p>
    <w:p>
      <w:pPr>
        <w:tabs>
          <w:tab w:val="left" w:pos="6796"/>
        </w:tabs>
        <w:rPr>
          <w:rFonts w:cs="Times New Roman"/>
        </w:rPr>
      </w:pPr>
    </w:p>
    <w:p>
      <w:pPr>
        <w:tabs>
          <w:tab w:val="left" w:pos="6796"/>
        </w:tabs>
        <w:rPr>
          <w:rFonts w:cs="Times New Roman"/>
        </w:rPr>
      </w:pPr>
      <w:bookmarkStart w:id="200" w:name="OLE_LINK203"/>
      <w:bookmarkStart w:id="201" w:name="OLE_LINK204"/>
      <w:r>
        <w:rPr>
          <w:rFonts w:cs="Times New Roman"/>
        </w:rPr>
        <w:t>Menon, S., &amp; Kahn</w:t>
      </w:r>
      <w:bookmarkEnd w:id="200"/>
      <w:bookmarkEnd w:id="201"/>
      <w:r>
        <w:rPr>
          <w:rFonts w:cs="Times New Roman"/>
        </w:rPr>
        <w:t>, B. E. (2003). Corporate sponsorships of philanthropic activities: when do they impact perception of sponsor brand?. </w:t>
      </w:r>
      <w:r>
        <w:rPr>
          <w:rFonts w:cs="Times New Roman"/>
          <w:i/>
          <w:iCs/>
        </w:rPr>
        <w:t>Journal of Consumer Psychology,</w:t>
      </w:r>
      <w:r>
        <w:rPr>
          <w:rFonts w:cs="Times New Roman"/>
        </w:rPr>
        <w:t> </w:t>
      </w:r>
      <w:r>
        <w:rPr>
          <w:rFonts w:cs="Times New Roman"/>
          <w:i/>
          <w:iCs/>
        </w:rPr>
        <w:t>13</w:t>
      </w:r>
      <w:r>
        <w:rPr>
          <w:rFonts w:cs="Times New Roman"/>
        </w:rPr>
        <w:t>(3), 316-327.</w:t>
      </w:r>
    </w:p>
    <w:p>
      <w:pPr>
        <w:tabs>
          <w:tab w:val="left" w:pos="6796"/>
        </w:tabs>
        <w:rPr>
          <w:rFonts w:cs="Times New Roman"/>
        </w:rPr>
      </w:pPr>
    </w:p>
    <w:p>
      <w:pPr>
        <w:tabs>
          <w:tab w:val="left" w:pos="6796"/>
        </w:tabs>
        <w:rPr>
          <w:rFonts w:cs="Times New Roman"/>
        </w:rPr>
      </w:pPr>
      <w:r>
        <w:rPr>
          <w:rFonts w:cs="Times New Roman"/>
        </w:rPr>
        <w:t>Nourzhanov, K. (2005). Saviours of the nation or robber barons? warlord politics in tajikistan. </w:t>
      </w:r>
      <w:r>
        <w:rPr>
          <w:rFonts w:cs="Times New Roman"/>
          <w:i/>
          <w:iCs/>
        </w:rPr>
        <w:t>Central Asian Survey,</w:t>
      </w:r>
      <w:r>
        <w:rPr>
          <w:rFonts w:cs="Times New Roman"/>
        </w:rPr>
        <w:t> </w:t>
      </w:r>
      <w:r>
        <w:rPr>
          <w:rFonts w:cs="Times New Roman"/>
          <w:i/>
          <w:iCs/>
        </w:rPr>
        <w:t>24</w:t>
      </w:r>
      <w:r>
        <w:rPr>
          <w:rFonts w:cs="Times New Roman"/>
        </w:rPr>
        <w:t>(2), 109-130.</w:t>
      </w:r>
    </w:p>
    <w:p>
      <w:pPr>
        <w:tabs>
          <w:tab w:val="left" w:pos="6796"/>
        </w:tabs>
        <w:rPr>
          <w:rFonts w:cs="Times New Roman"/>
        </w:rPr>
      </w:pPr>
    </w:p>
    <w:p>
      <w:pPr>
        <w:tabs>
          <w:tab w:val="left" w:pos="6796"/>
        </w:tabs>
        <w:rPr>
          <w:rFonts w:cs="Times New Roman"/>
        </w:rPr>
      </w:pPr>
      <w:r>
        <w:rPr>
          <w:rFonts w:cs="Times New Roman"/>
        </w:rPr>
        <w:t>Nurse, A. (2006). Rockefeller, carnegie, and canada: american philanthropy and the arts and letters in canada by jeffrey d. brison. </w:t>
      </w:r>
      <w:r>
        <w:rPr>
          <w:rFonts w:cs="Times New Roman"/>
          <w:i/>
          <w:iCs/>
        </w:rPr>
        <w:t>Canadian Historical Review</w:t>
      </w:r>
      <w:r>
        <w:rPr>
          <w:rFonts w:cs="Times New Roman"/>
        </w:rPr>
        <w:t>, 87(4), 685-687.</w:t>
      </w:r>
    </w:p>
    <w:p>
      <w:pPr>
        <w:tabs>
          <w:tab w:val="left" w:pos="6796"/>
        </w:tabs>
        <w:rPr>
          <w:rFonts w:cs="Times New Roman"/>
        </w:rPr>
      </w:pPr>
      <w:bookmarkStart w:id="202" w:name="OLE_LINK207"/>
      <w:bookmarkStart w:id="203" w:name="OLE_LINK208"/>
    </w:p>
    <w:p>
      <w:pPr>
        <w:tabs>
          <w:tab w:val="left" w:pos="6796"/>
        </w:tabs>
        <w:rPr>
          <w:rFonts w:cs="Times New Roman"/>
        </w:rPr>
      </w:pPr>
      <w:r>
        <w:rPr>
          <w:rFonts w:cs="Times New Roman"/>
        </w:rPr>
        <w:t>Porter, M. E., &amp; Kramer</w:t>
      </w:r>
      <w:bookmarkEnd w:id="202"/>
      <w:bookmarkEnd w:id="203"/>
      <w:r>
        <w:rPr>
          <w:rFonts w:cs="Times New Roman"/>
        </w:rPr>
        <w:t>, M. R. (2002). The competitive advantage of corporate philanthropy. </w:t>
      </w:r>
      <w:r>
        <w:rPr>
          <w:rFonts w:cs="Times New Roman"/>
          <w:i/>
          <w:iCs/>
        </w:rPr>
        <w:t>Harv Bus Rev,</w:t>
      </w:r>
      <w:r>
        <w:rPr>
          <w:rFonts w:cs="Times New Roman"/>
        </w:rPr>
        <w:t> </w:t>
      </w:r>
      <w:r>
        <w:rPr>
          <w:rFonts w:cs="Times New Roman"/>
          <w:i/>
          <w:iCs/>
        </w:rPr>
        <w:t>80</w:t>
      </w:r>
      <w:r>
        <w:rPr>
          <w:rFonts w:cs="Times New Roman"/>
        </w:rPr>
        <w:t>(12), 56-68.</w:t>
      </w:r>
    </w:p>
    <w:p>
      <w:pPr>
        <w:tabs>
          <w:tab w:val="left" w:pos="6796"/>
        </w:tabs>
        <w:rPr>
          <w:rFonts w:cs="Times New Roman"/>
        </w:rPr>
      </w:pPr>
    </w:p>
    <w:p>
      <w:pPr>
        <w:tabs>
          <w:tab w:val="left" w:pos="6796"/>
        </w:tabs>
        <w:rPr>
          <w:rFonts w:cs="Times New Roman"/>
        </w:rPr>
      </w:pPr>
      <w:r>
        <w:rPr>
          <w:rFonts w:cs="Times New Roman"/>
        </w:rPr>
        <w:t>Rabl, T., &amp; Kühlmann, T. M. (2008). Understanding corruption in organizations – development and empirical assessment of an action model. </w:t>
      </w:r>
      <w:r>
        <w:rPr>
          <w:rFonts w:cs="Times New Roman"/>
          <w:i/>
          <w:iCs/>
        </w:rPr>
        <w:t>Journal of Business Ethics</w:t>
      </w:r>
      <w:r>
        <w:rPr>
          <w:rFonts w:cs="Times New Roman"/>
        </w:rPr>
        <w:t>, 82(2), 477-495.</w:t>
      </w:r>
    </w:p>
    <w:p>
      <w:pPr>
        <w:tabs>
          <w:tab w:val="left" w:pos="6796"/>
        </w:tabs>
        <w:rPr>
          <w:rFonts w:cs="Times New Roman"/>
        </w:rPr>
      </w:pPr>
    </w:p>
    <w:p>
      <w:pPr>
        <w:tabs>
          <w:tab w:val="left" w:pos="6796"/>
        </w:tabs>
        <w:rPr>
          <w:rFonts w:cs="Times New Roman"/>
        </w:rPr>
      </w:pPr>
      <w:r>
        <w:rPr>
          <w:rFonts w:cs="Times New Roman"/>
        </w:rPr>
        <w:t>Seifert, B., Morris, S. A., &amp; Bartkus, B. R. (2003). Comparing big givers and small givers: financial correlates of corporate philanthropy. </w:t>
      </w:r>
      <w:r>
        <w:rPr>
          <w:rFonts w:cs="Times New Roman"/>
          <w:i/>
          <w:iCs/>
        </w:rPr>
        <w:t>Journal of Business Ethics,</w:t>
      </w:r>
      <w:r>
        <w:rPr>
          <w:rFonts w:cs="Times New Roman"/>
        </w:rPr>
        <w:t> </w:t>
      </w:r>
      <w:r>
        <w:rPr>
          <w:rFonts w:cs="Times New Roman"/>
          <w:i/>
          <w:iCs/>
        </w:rPr>
        <w:t>45</w:t>
      </w:r>
      <w:r>
        <w:rPr>
          <w:rFonts w:cs="Times New Roman"/>
        </w:rPr>
        <w:t>(3), 195-211.</w:t>
      </w:r>
    </w:p>
    <w:p>
      <w:pPr>
        <w:tabs>
          <w:tab w:val="left" w:pos="6796"/>
        </w:tabs>
        <w:rPr>
          <w:rFonts w:cs="Times New Roman"/>
        </w:rPr>
      </w:pPr>
    </w:p>
    <w:p>
      <w:pPr>
        <w:tabs>
          <w:tab w:val="left" w:pos="6796"/>
        </w:tabs>
        <w:rPr>
          <w:rFonts w:cs="Times New Roman"/>
        </w:rPr>
      </w:pPr>
      <w:bookmarkStart w:id="204" w:name="OLE_LINK178"/>
      <w:bookmarkStart w:id="205" w:name="OLE_LINK177"/>
      <w:r>
        <w:rPr>
          <w:rFonts w:cs="Times New Roman"/>
        </w:rPr>
        <w:t>Soobaroyen, T., &amp; Sheik</w:t>
      </w:r>
      <w:r>
        <w:rPr>
          <w:rFonts w:hint="eastAsia" w:cs="Times New Roman"/>
        </w:rPr>
        <w:t>-</w:t>
      </w:r>
      <w:r>
        <w:rPr>
          <w:rFonts w:cs="Times New Roman"/>
        </w:rPr>
        <w:t>Ellahi</w:t>
      </w:r>
      <w:bookmarkEnd w:id="204"/>
      <w:bookmarkEnd w:id="205"/>
      <w:r>
        <w:rPr>
          <w:rFonts w:cs="Times New Roman"/>
        </w:rPr>
        <w:t>, A. (2008). A case study on the influence of corporate governance beyond the boardroom: perceptions from business unit managers. </w:t>
      </w:r>
      <w:r>
        <w:rPr>
          <w:rFonts w:cs="Times New Roman"/>
          <w:i/>
          <w:iCs/>
        </w:rPr>
        <w:t>Corporate Governance,</w:t>
      </w:r>
      <w:r>
        <w:rPr>
          <w:rFonts w:cs="Times New Roman"/>
        </w:rPr>
        <w:t> </w:t>
      </w:r>
      <w:r>
        <w:rPr>
          <w:rFonts w:cs="Times New Roman"/>
          <w:i/>
          <w:iCs/>
        </w:rPr>
        <w:t>8</w:t>
      </w:r>
      <w:r>
        <w:rPr>
          <w:rFonts w:cs="Times New Roman"/>
        </w:rPr>
        <w:t>(2), 179-190.</w:t>
      </w:r>
    </w:p>
    <w:p>
      <w:pPr>
        <w:tabs>
          <w:tab w:val="left" w:pos="6796"/>
        </w:tabs>
        <w:rPr>
          <w:rFonts w:cs="Times New Roman"/>
        </w:rPr>
      </w:pPr>
    </w:p>
    <w:p>
      <w:pPr>
        <w:tabs>
          <w:tab w:val="left" w:pos="6796"/>
        </w:tabs>
        <w:rPr>
          <w:rFonts w:cs="Times New Roman"/>
        </w:rPr>
      </w:pPr>
      <w:r>
        <w:rPr>
          <w:rFonts w:cs="Times New Roman"/>
        </w:rPr>
        <w:t>Russ, R. W., Previts, G. J., &amp; Coffman, E. N. (2009). Corporate governance in the 19th century: evidence from the chesapeake and ohio canal company. </w:t>
      </w:r>
      <w:r>
        <w:rPr>
          <w:rFonts w:cs="Times New Roman"/>
          <w:i/>
          <w:iCs/>
        </w:rPr>
        <w:t>Accounting Historians Journal,</w:t>
      </w:r>
      <w:r>
        <w:rPr>
          <w:rFonts w:cs="Times New Roman"/>
        </w:rPr>
        <w:t> </w:t>
      </w:r>
      <w:r>
        <w:rPr>
          <w:rFonts w:cs="Times New Roman"/>
          <w:i/>
          <w:iCs/>
        </w:rPr>
        <w:t>36</w:t>
      </w:r>
      <w:r>
        <w:rPr>
          <w:rFonts w:cs="Times New Roman"/>
        </w:rPr>
        <w:t>(2), 113-137.</w:t>
      </w:r>
    </w:p>
    <w:p>
      <w:pPr>
        <w:tabs>
          <w:tab w:val="left" w:pos="6796"/>
        </w:tabs>
        <w:rPr>
          <w:rFonts w:cs="Times New Roman"/>
        </w:rPr>
      </w:pPr>
    </w:p>
    <w:p>
      <w:pPr>
        <w:tabs>
          <w:tab w:val="left" w:pos="6796"/>
        </w:tabs>
        <w:rPr>
          <w:rFonts w:cs="Times New Roman"/>
        </w:rPr>
      </w:pPr>
      <w:bookmarkStart w:id="206" w:name="OLE_LINK216"/>
      <w:bookmarkStart w:id="207" w:name="OLE_LINK215"/>
      <w:r>
        <w:rPr>
          <w:rFonts w:cs="Times New Roman"/>
        </w:rPr>
        <w:t>Watson</w:t>
      </w:r>
      <w:bookmarkEnd w:id="206"/>
      <w:bookmarkEnd w:id="207"/>
      <w:r>
        <w:rPr>
          <w:rFonts w:cs="Times New Roman"/>
        </w:rPr>
        <w:t>, R. (2001). Oxfam accuses pfizer of "moral bankruptcy". </w:t>
      </w:r>
      <w:r>
        <w:rPr>
          <w:rFonts w:cs="Times New Roman"/>
          <w:i/>
          <w:iCs/>
        </w:rPr>
        <w:t>Bmj,323</w:t>
      </w:r>
      <w:r>
        <w:rPr>
          <w:rFonts w:cs="Times New Roman"/>
        </w:rPr>
        <w:t>(7306), 186-186.</w:t>
      </w:r>
    </w:p>
    <w:p>
      <w:pPr>
        <w:tabs>
          <w:tab w:val="left" w:pos="6796"/>
        </w:tabs>
        <w:rPr>
          <w:rFonts w:cs="Times New Roman"/>
        </w:rPr>
      </w:pPr>
    </w:p>
    <w:p>
      <w:pPr>
        <w:tabs>
          <w:tab w:val="left" w:pos="6796"/>
        </w:tabs>
        <w:rPr>
          <w:rFonts w:cs="Times New Roman"/>
        </w:rPr>
      </w:pPr>
    </w:p>
    <w:p>
      <w:pPr>
        <w:tabs>
          <w:tab w:val="left" w:pos="6796"/>
        </w:tabs>
        <w:rPr>
          <w:rFonts w:cs="Times New Roman"/>
        </w:rPr>
      </w:pPr>
    </w:p>
    <w:sectPr>
      <w:pgSz w:w="11900" w:h="16840"/>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Times">
    <w:altName w:val="Times New Roman"/>
    <w:panose1 w:val="02000500000000000000"/>
    <w:charset w:val="00"/>
    <w:family w:val="auto"/>
    <w:pitch w:val="default"/>
    <w:sig w:usb0="00000000" w:usb1="00000000" w:usb2="00000000" w:usb3="00000000" w:csb0="00000001" w:csb1="00000000"/>
  </w:font>
  <w:font w:name="Cambria">
    <w:panose1 w:val="02040503050406030204"/>
    <w:charset w:val="00"/>
    <w:family w:val="auto"/>
    <w:pitch w:val="default"/>
    <w:sig w:usb0="E00006FF" w:usb1="420024FF" w:usb2="02000000" w:usb3="00000000" w:csb0="2000019F" w:csb1="00000000"/>
  </w:font>
  <w:font w:name="Heiti SC Light">
    <w:altName w:val="Microsoft YaHei UI Light"/>
    <w:panose1 w:val="02000000000000000000"/>
    <w:charset w:val="50"/>
    <w:family w:val="auto"/>
    <w:pitch w:val="default"/>
    <w:sig w:usb0="00000000" w:usb1="00000000" w:usb2="00000010" w:usb3="00000000" w:csb0="003E0000" w:csb1="00000000"/>
  </w:font>
  <w:font w:name="System Font Regular">
    <w:altName w:val="NumberOnly"/>
    <w:panose1 w:val="02000503000000020004"/>
    <w:charset w:val="00"/>
    <w:family w:val="auto"/>
    <w:pitch w:val="default"/>
    <w:sig w:usb0="00000000" w:usb1="00000000" w:usb2="00000010" w:usb3="00000000" w:csb0="00000001" w:csb1="00000000"/>
  </w:font>
  <w:font w:name="NumberOnly">
    <w:panose1 w:val="020B0500000000000000"/>
    <w:charset w:val="00"/>
    <w:family w:val="auto"/>
    <w:pitch w:val="default"/>
    <w:sig w:usb0="8000002F" w:usb1="10000048" w:usb2="00000000" w:usb3="00000000" w:csb0="00000111" w:csb1="40000000"/>
  </w:font>
  <w:font w:name="Microsoft YaHei UI Light">
    <w:panose1 w:val="020B0502040204020203"/>
    <w:charset w:val="86"/>
    <w:family w:val="auto"/>
    <w:pitch w:val="default"/>
    <w:sig w:usb0="80000287" w:usb1="2ACF0010" w:usb2="00000016" w:usb3="00000000" w:csb0="0004001F" w:csb1="00000000"/>
  </w:font>
  <w:font w:name="Microsoft YaHei UI Light">
    <w:panose1 w:val="020B0502040204020203"/>
    <w:charset w:val="50"/>
    <w:family w:val="auto"/>
    <w:pitch w:val="default"/>
    <w:sig w:usb0="80000287" w:usb1="2ACF001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8"/>
      </w:rPr>
    </w:pPr>
    <w:r>
      <w:rPr>
        <w:rStyle w:val="18"/>
      </w:rPr>
      <w:fldChar w:fldCharType="begin"/>
    </w:r>
    <w:r>
      <w:rPr>
        <w:rStyle w:val="18"/>
      </w:rPr>
      <w:instrText xml:space="preserve">PAGE  </w:instrText>
    </w:r>
    <w:r>
      <w:rPr>
        <w:rStyle w:val="18"/>
      </w:rPr>
      <w:fldChar w:fldCharType="separate"/>
    </w:r>
    <w:r>
      <w:rPr>
        <w:rStyle w:val="18"/>
      </w:rPr>
      <w:t>1</w:t>
    </w:r>
    <w:r>
      <w:rPr>
        <w:rStyle w:val="18"/>
      </w:rPr>
      <w:fldChar w:fldCharType="end"/>
    </w: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8"/>
      </w:rPr>
    </w:pPr>
    <w:r>
      <w:rPr>
        <w:rStyle w:val="18"/>
      </w:rPr>
      <w:fldChar w:fldCharType="begin"/>
    </w:r>
    <w:r>
      <w:rPr>
        <w:rStyle w:val="18"/>
      </w:rPr>
      <w:instrText xml:space="preserve">PAGE  </w:instrText>
    </w:r>
    <w:r>
      <w:rPr>
        <w:rStyle w:val="18"/>
      </w:rPr>
      <w:fldChar w:fldCharType="end"/>
    </w:r>
  </w:p>
  <w:p>
    <w:pPr>
      <w:pStyle w:val="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D8B454"/>
    <w:multiLevelType w:val="singleLevel"/>
    <w:tmpl w:val="6ED8B454"/>
    <w:lvl w:ilvl="0" w:tentative="0">
      <w:start w:val="7"/>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200"/>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12CC"/>
    <w:rsid w:val="00010453"/>
    <w:rsid w:val="00030380"/>
    <w:rsid w:val="00030874"/>
    <w:rsid w:val="00042C39"/>
    <w:rsid w:val="000C3104"/>
    <w:rsid w:val="001026BB"/>
    <w:rsid w:val="00107CE2"/>
    <w:rsid w:val="00130327"/>
    <w:rsid w:val="00141139"/>
    <w:rsid w:val="00153C6B"/>
    <w:rsid w:val="00156BAD"/>
    <w:rsid w:val="001B0CD3"/>
    <w:rsid w:val="001C10D5"/>
    <w:rsid w:val="001C43AE"/>
    <w:rsid w:val="001F4225"/>
    <w:rsid w:val="002022B9"/>
    <w:rsid w:val="00244194"/>
    <w:rsid w:val="00245E10"/>
    <w:rsid w:val="0025580A"/>
    <w:rsid w:val="00256534"/>
    <w:rsid w:val="0026623F"/>
    <w:rsid w:val="0026634D"/>
    <w:rsid w:val="00281FA8"/>
    <w:rsid w:val="0029459F"/>
    <w:rsid w:val="002A2A0C"/>
    <w:rsid w:val="002E49DA"/>
    <w:rsid w:val="002F5051"/>
    <w:rsid w:val="003021B0"/>
    <w:rsid w:val="00304DAD"/>
    <w:rsid w:val="0031087A"/>
    <w:rsid w:val="003153B9"/>
    <w:rsid w:val="00343B1E"/>
    <w:rsid w:val="003445A5"/>
    <w:rsid w:val="00355665"/>
    <w:rsid w:val="00356D24"/>
    <w:rsid w:val="003752BA"/>
    <w:rsid w:val="0038372B"/>
    <w:rsid w:val="00386FAF"/>
    <w:rsid w:val="003C0753"/>
    <w:rsid w:val="003D3BB0"/>
    <w:rsid w:val="003F3A97"/>
    <w:rsid w:val="00406A80"/>
    <w:rsid w:val="00450EE9"/>
    <w:rsid w:val="00465545"/>
    <w:rsid w:val="00471E06"/>
    <w:rsid w:val="004729F6"/>
    <w:rsid w:val="00485C87"/>
    <w:rsid w:val="00493627"/>
    <w:rsid w:val="004A5313"/>
    <w:rsid w:val="004B22EF"/>
    <w:rsid w:val="004C0008"/>
    <w:rsid w:val="004D053C"/>
    <w:rsid w:val="004F5D99"/>
    <w:rsid w:val="00503DFB"/>
    <w:rsid w:val="00506A24"/>
    <w:rsid w:val="00524EC5"/>
    <w:rsid w:val="00567480"/>
    <w:rsid w:val="005A12CC"/>
    <w:rsid w:val="005A1A44"/>
    <w:rsid w:val="005D2BD7"/>
    <w:rsid w:val="005E0EFD"/>
    <w:rsid w:val="005E1A8D"/>
    <w:rsid w:val="005E21EB"/>
    <w:rsid w:val="00626698"/>
    <w:rsid w:val="00633162"/>
    <w:rsid w:val="00647A92"/>
    <w:rsid w:val="007010F1"/>
    <w:rsid w:val="00745C1E"/>
    <w:rsid w:val="00766AB5"/>
    <w:rsid w:val="007671D3"/>
    <w:rsid w:val="00767428"/>
    <w:rsid w:val="00771431"/>
    <w:rsid w:val="007741B8"/>
    <w:rsid w:val="007B0ECD"/>
    <w:rsid w:val="007C6248"/>
    <w:rsid w:val="007C7D18"/>
    <w:rsid w:val="007D1B1A"/>
    <w:rsid w:val="007D5884"/>
    <w:rsid w:val="007E3CDF"/>
    <w:rsid w:val="007F52C5"/>
    <w:rsid w:val="00846B1C"/>
    <w:rsid w:val="00891A23"/>
    <w:rsid w:val="00896274"/>
    <w:rsid w:val="008A35E6"/>
    <w:rsid w:val="008A56F6"/>
    <w:rsid w:val="008E03A6"/>
    <w:rsid w:val="0090326C"/>
    <w:rsid w:val="00916588"/>
    <w:rsid w:val="0094083E"/>
    <w:rsid w:val="00942849"/>
    <w:rsid w:val="00955FA3"/>
    <w:rsid w:val="009603AF"/>
    <w:rsid w:val="00991348"/>
    <w:rsid w:val="009C635A"/>
    <w:rsid w:val="009E2B3C"/>
    <w:rsid w:val="009F0348"/>
    <w:rsid w:val="00A07BD6"/>
    <w:rsid w:val="00A1280A"/>
    <w:rsid w:val="00A57094"/>
    <w:rsid w:val="00A6022A"/>
    <w:rsid w:val="00AA3772"/>
    <w:rsid w:val="00AA4460"/>
    <w:rsid w:val="00AB26D9"/>
    <w:rsid w:val="00AD5AD2"/>
    <w:rsid w:val="00AF31F7"/>
    <w:rsid w:val="00B025C9"/>
    <w:rsid w:val="00B2541E"/>
    <w:rsid w:val="00B25512"/>
    <w:rsid w:val="00B84432"/>
    <w:rsid w:val="00B91DC9"/>
    <w:rsid w:val="00B9657F"/>
    <w:rsid w:val="00BA1472"/>
    <w:rsid w:val="00BA4542"/>
    <w:rsid w:val="00BC229F"/>
    <w:rsid w:val="00BD062B"/>
    <w:rsid w:val="00BF512B"/>
    <w:rsid w:val="00C1734E"/>
    <w:rsid w:val="00C67F74"/>
    <w:rsid w:val="00C807F0"/>
    <w:rsid w:val="00C83493"/>
    <w:rsid w:val="00CA502B"/>
    <w:rsid w:val="00CC64DC"/>
    <w:rsid w:val="00CE72F1"/>
    <w:rsid w:val="00D04C67"/>
    <w:rsid w:val="00D14587"/>
    <w:rsid w:val="00D14D0A"/>
    <w:rsid w:val="00D205AB"/>
    <w:rsid w:val="00D20C55"/>
    <w:rsid w:val="00D27B26"/>
    <w:rsid w:val="00D27C4B"/>
    <w:rsid w:val="00D53164"/>
    <w:rsid w:val="00D83D53"/>
    <w:rsid w:val="00D9440B"/>
    <w:rsid w:val="00DE2807"/>
    <w:rsid w:val="00DF3F0A"/>
    <w:rsid w:val="00E24513"/>
    <w:rsid w:val="00E32AD2"/>
    <w:rsid w:val="00E34529"/>
    <w:rsid w:val="00E3770B"/>
    <w:rsid w:val="00ED48CE"/>
    <w:rsid w:val="00ED75C2"/>
    <w:rsid w:val="00EF0D6D"/>
    <w:rsid w:val="00EF2CE6"/>
    <w:rsid w:val="00EF5A72"/>
    <w:rsid w:val="00F010B6"/>
    <w:rsid w:val="00F64A20"/>
    <w:rsid w:val="00F67093"/>
    <w:rsid w:val="00F9572F"/>
    <w:rsid w:val="00FB2D68"/>
    <w:rsid w:val="00FC63EB"/>
    <w:rsid w:val="00FD135B"/>
    <w:rsid w:val="00FD7FAF"/>
    <w:rsid w:val="00FE72F6"/>
    <w:rsid w:val="0B2C5A6D"/>
    <w:rsid w:val="272169D2"/>
    <w:rsid w:val="2C77146B"/>
    <w:rsid w:val="41D0041F"/>
    <w:rsid w:val="442E470F"/>
    <w:rsid w:val="458247FE"/>
    <w:rsid w:val="4FA3718D"/>
    <w:rsid w:val="6D112D1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qFormat="1" w:uiPriority="39" w:name="toc 5"/>
    <w:lsdException w:qFormat="1" w:uiPriority="39" w:name="toc 6"/>
    <w:lsdException w:uiPriority="39" w:name="toc 7"/>
    <w:lsdException w:uiPriority="39" w:name="toc 8"/>
    <w:lsdException w:qFormat="1" w:uiPriority="39" w:name="toc 9"/>
    <w:lsdException w:uiPriority="99" w:name="Normal Indent"/>
    <w:lsdException w:uiPriority="99"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imes New Roman" w:hAnsi="Times New Roman" w:eastAsiaTheme="minorEastAsia" w:cstheme="minorBidi"/>
      <w:kern w:val="2"/>
      <w:sz w:val="24"/>
      <w:szCs w:val="24"/>
      <w:lang w:val="en-US" w:eastAsia="zh-CN" w:bidi="ar-SA"/>
    </w:rPr>
  </w:style>
  <w:style w:type="paragraph" w:styleId="2">
    <w:name w:val="heading 1"/>
    <w:basedOn w:val="1"/>
    <w:next w:val="1"/>
    <w:link w:val="19"/>
    <w:qFormat/>
    <w:uiPriority w:val="9"/>
    <w:pPr>
      <w:keepNext/>
      <w:keepLines/>
      <w:widowControl/>
      <w:spacing w:before="340" w:after="330" w:line="578" w:lineRule="auto"/>
      <w:outlineLvl w:val="0"/>
    </w:pPr>
    <w:rPr>
      <w:rFonts w:ascii="Times" w:hAnsi="Times" w:eastAsiaTheme="majorEastAsia"/>
      <w:b/>
      <w:bCs/>
      <w:kern w:val="44"/>
      <w:szCs w:val="44"/>
    </w:rPr>
  </w:style>
  <w:style w:type="paragraph" w:styleId="3">
    <w:name w:val="heading 2"/>
    <w:basedOn w:val="1"/>
    <w:next w:val="1"/>
    <w:link w:val="20"/>
    <w:unhideWhenUsed/>
    <w:qFormat/>
    <w:uiPriority w:val="9"/>
    <w:pPr>
      <w:keepNext/>
      <w:keepLines/>
      <w:widowControl/>
      <w:spacing w:before="260" w:after="260" w:line="416" w:lineRule="auto"/>
      <w:jc w:val="left"/>
      <w:outlineLvl w:val="1"/>
    </w:pPr>
    <w:rPr>
      <w:rFonts w:eastAsia="Times New Roman" w:cs="Times New Roman"/>
      <w:b/>
      <w:bCs/>
      <w:kern w:val="0"/>
      <w:szCs w:val="32"/>
    </w:rPr>
  </w:style>
  <w:style w:type="paragraph" w:styleId="4">
    <w:name w:val="heading 3"/>
    <w:basedOn w:val="1"/>
    <w:next w:val="1"/>
    <w:link w:val="21"/>
    <w:unhideWhenUsed/>
    <w:qFormat/>
    <w:uiPriority w:val="9"/>
    <w:pPr>
      <w:keepNext/>
      <w:keepLines/>
      <w:widowControl/>
      <w:spacing w:before="260" w:after="260" w:line="416" w:lineRule="auto"/>
      <w:jc w:val="left"/>
      <w:outlineLvl w:val="2"/>
    </w:pPr>
    <w:rPr>
      <w:rFonts w:ascii="Times" w:hAnsi="Times"/>
      <w:b/>
      <w:bCs/>
      <w:kern w:val="0"/>
      <w:szCs w:val="32"/>
    </w:rPr>
  </w:style>
  <w:style w:type="character" w:default="1" w:styleId="17">
    <w:name w:val="Default Paragraph Font"/>
    <w:semiHidden/>
    <w:unhideWhenUsed/>
    <w:uiPriority w:val="1"/>
  </w:style>
  <w:style w:type="table" w:default="1" w:styleId="16">
    <w:name w:val="Normal Table"/>
    <w:semiHidden/>
    <w:unhideWhenUsed/>
    <w:qFormat/>
    <w:uiPriority w:val="99"/>
    <w:tblPr>
      <w:tblLayout w:type="fixed"/>
      <w:tblCellMar>
        <w:top w:w="0" w:type="dxa"/>
        <w:left w:w="108" w:type="dxa"/>
        <w:bottom w:w="0" w:type="dxa"/>
        <w:right w:w="108" w:type="dxa"/>
      </w:tblCellMar>
    </w:tblPr>
  </w:style>
  <w:style w:type="paragraph" w:styleId="5">
    <w:name w:val="toc 7"/>
    <w:basedOn w:val="1"/>
    <w:next w:val="1"/>
    <w:semiHidden/>
    <w:unhideWhenUsed/>
    <w:uiPriority w:val="39"/>
    <w:pPr>
      <w:ind w:left="1440"/>
      <w:jc w:val="left"/>
    </w:pPr>
    <w:rPr>
      <w:rFonts w:asciiTheme="minorHAnsi" w:hAnsiTheme="minorHAnsi"/>
      <w:sz w:val="20"/>
      <w:szCs w:val="20"/>
    </w:rPr>
  </w:style>
  <w:style w:type="paragraph" w:styleId="6">
    <w:name w:val="toc 5"/>
    <w:basedOn w:val="1"/>
    <w:next w:val="1"/>
    <w:semiHidden/>
    <w:unhideWhenUsed/>
    <w:qFormat/>
    <w:uiPriority w:val="39"/>
    <w:pPr>
      <w:ind w:left="960"/>
      <w:jc w:val="left"/>
    </w:pPr>
    <w:rPr>
      <w:rFonts w:asciiTheme="minorHAnsi" w:hAnsiTheme="minorHAnsi"/>
      <w:sz w:val="20"/>
      <w:szCs w:val="20"/>
    </w:rPr>
  </w:style>
  <w:style w:type="paragraph" w:styleId="7">
    <w:name w:val="toc 3"/>
    <w:basedOn w:val="1"/>
    <w:next w:val="1"/>
    <w:unhideWhenUsed/>
    <w:qFormat/>
    <w:uiPriority w:val="39"/>
    <w:pPr>
      <w:ind w:left="480"/>
      <w:jc w:val="left"/>
    </w:pPr>
    <w:rPr>
      <w:rFonts w:asciiTheme="minorHAnsi" w:hAnsiTheme="minorHAnsi"/>
      <w:sz w:val="22"/>
      <w:szCs w:val="22"/>
    </w:rPr>
  </w:style>
  <w:style w:type="paragraph" w:styleId="8">
    <w:name w:val="toc 8"/>
    <w:basedOn w:val="1"/>
    <w:next w:val="1"/>
    <w:semiHidden/>
    <w:unhideWhenUsed/>
    <w:uiPriority w:val="39"/>
    <w:pPr>
      <w:ind w:left="1680"/>
      <w:jc w:val="left"/>
    </w:pPr>
    <w:rPr>
      <w:rFonts w:asciiTheme="minorHAnsi" w:hAnsiTheme="minorHAnsi"/>
      <w:sz w:val="20"/>
      <w:szCs w:val="20"/>
    </w:rPr>
  </w:style>
  <w:style w:type="paragraph" w:styleId="9">
    <w:name w:val="Balloon Text"/>
    <w:basedOn w:val="1"/>
    <w:link w:val="23"/>
    <w:semiHidden/>
    <w:unhideWhenUsed/>
    <w:qFormat/>
    <w:uiPriority w:val="99"/>
    <w:pPr>
      <w:spacing w:line="240" w:lineRule="auto"/>
    </w:pPr>
    <w:rPr>
      <w:rFonts w:ascii="Heiti SC Light" w:eastAsia="Heiti SC Light"/>
      <w:sz w:val="18"/>
      <w:szCs w:val="18"/>
    </w:rPr>
  </w:style>
  <w:style w:type="paragraph" w:styleId="10">
    <w:name w:val="footer"/>
    <w:basedOn w:val="1"/>
    <w:unhideWhenUsed/>
    <w:qFormat/>
    <w:uiPriority w:val="99"/>
    <w:pPr>
      <w:tabs>
        <w:tab w:val="center" w:pos="4153"/>
        <w:tab w:val="right" w:pos="8306"/>
      </w:tabs>
      <w:snapToGrid w:val="0"/>
    </w:pPr>
    <w:rPr>
      <w:sz w:val="18"/>
      <w:szCs w:val="18"/>
    </w:rPr>
  </w:style>
  <w:style w:type="paragraph" w:styleId="11">
    <w:name w:val="toc 1"/>
    <w:basedOn w:val="1"/>
    <w:next w:val="1"/>
    <w:unhideWhenUsed/>
    <w:qFormat/>
    <w:uiPriority w:val="39"/>
    <w:pPr>
      <w:spacing w:before="120"/>
      <w:jc w:val="left"/>
    </w:pPr>
    <w:rPr>
      <w:rFonts w:asciiTheme="minorHAnsi" w:hAnsiTheme="minorHAnsi"/>
      <w:b/>
    </w:rPr>
  </w:style>
  <w:style w:type="paragraph" w:styleId="12">
    <w:name w:val="toc 4"/>
    <w:basedOn w:val="1"/>
    <w:next w:val="1"/>
    <w:semiHidden/>
    <w:unhideWhenUsed/>
    <w:uiPriority w:val="39"/>
    <w:pPr>
      <w:ind w:left="720"/>
      <w:jc w:val="left"/>
    </w:pPr>
    <w:rPr>
      <w:rFonts w:asciiTheme="minorHAnsi" w:hAnsiTheme="minorHAnsi"/>
      <w:sz w:val="20"/>
      <w:szCs w:val="20"/>
    </w:rPr>
  </w:style>
  <w:style w:type="paragraph" w:styleId="13">
    <w:name w:val="toc 6"/>
    <w:basedOn w:val="1"/>
    <w:next w:val="1"/>
    <w:semiHidden/>
    <w:unhideWhenUsed/>
    <w:qFormat/>
    <w:uiPriority w:val="39"/>
    <w:pPr>
      <w:ind w:left="1200"/>
      <w:jc w:val="left"/>
    </w:pPr>
    <w:rPr>
      <w:rFonts w:asciiTheme="minorHAnsi" w:hAnsiTheme="minorHAnsi"/>
      <w:sz w:val="20"/>
      <w:szCs w:val="20"/>
    </w:rPr>
  </w:style>
  <w:style w:type="paragraph" w:styleId="14">
    <w:name w:val="toc 2"/>
    <w:basedOn w:val="1"/>
    <w:next w:val="1"/>
    <w:unhideWhenUsed/>
    <w:qFormat/>
    <w:uiPriority w:val="39"/>
    <w:pPr>
      <w:tabs>
        <w:tab w:val="right" w:leader="dot" w:pos="8290"/>
      </w:tabs>
      <w:ind w:left="240"/>
      <w:jc w:val="left"/>
    </w:pPr>
    <w:rPr>
      <w:rFonts w:cs="Times New Roman"/>
      <w:sz w:val="22"/>
      <w:szCs w:val="22"/>
    </w:rPr>
  </w:style>
  <w:style w:type="paragraph" w:styleId="15">
    <w:name w:val="toc 9"/>
    <w:basedOn w:val="1"/>
    <w:next w:val="1"/>
    <w:semiHidden/>
    <w:unhideWhenUsed/>
    <w:qFormat/>
    <w:uiPriority w:val="39"/>
    <w:pPr>
      <w:ind w:left="1920"/>
      <w:jc w:val="left"/>
    </w:pPr>
    <w:rPr>
      <w:rFonts w:asciiTheme="minorHAnsi" w:hAnsiTheme="minorHAnsi"/>
      <w:sz w:val="20"/>
      <w:szCs w:val="20"/>
    </w:rPr>
  </w:style>
  <w:style w:type="character" w:styleId="18">
    <w:name w:val="page number"/>
    <w:basedOn w:val="17"/>
    <w:semiHidden/>
    <w:unhideWhenUsed/>
    <w:qFormat/>
    <w:uiPriority w:val="99"/>
  </w:style>
  <w:style w:type="character" w:customStyle="1" w:styleId="19">
    <w:name w:val="标题 1字符"/>
    <w:basedOn w:val="17"/>
    <w:link w:val="2"/>
    <w:qFormat/>
    <w:uiPriority w:val="9"/>
    <w:rPr>
      <w:rFonts w:ascii="Times" w:hAnsi="Times" w:eastAsiaTheme="majorEastAsia"/>
      <w:b/>
      <w:bCs/>
      <w:kern w:val="44"/>
      <w:sz w:val="24"/>
      <w:szCs w:val="44"/>
    </w:rPr>
  </w:style>
  <w:style w:type="character" w:customStyle="1" w:styleId="20">
    <w:name w:val="标题 2字符"/>
    <w:basedOn w:val="17"/>
    <w:link w:val="3"/>
    <w:qFormat/>
    <w:uiPriority w:val="9"/>
    <w:rPr>
      <w:rFonts w:eastAsia="Times New Roman"/>
      <w:b/>
      <w:bCs/>
      <w:sz w:val="24"/>
      <w:szCs w:val="32"/>
    </w:rPr>
  </w:style>
  <w:style w:type="character" w:customStyle="1" w:styleId="21">
    <w:name w:val="标题 3字符"/>
    <w:basedOn w:val="17"/>
    <w:link w:val="4"/>
    <w:qFormat/>
    <w:uiPriority w:val="9"/>
    <w:rPr>
      <w:rFonts w:ascii="Times" w:hAnsi="Times"/>
      <w:b/>
      <w:bCs/>
      <w:kern w:val="0"/>
      <w:szCs w:val="32"/>
    </w:rPr>
  </w:style>
  <w:style w:type="paragraph" w:customStyle="1" w:styleId="22">
    <w:name w:val="TOC Heading"/>
    <w:basedOn w:val="2"/>
    <w:next w:val="1"/>
    <w:unhideWhenUsed/>
    <w:qFormat/>
    <w:uiPriority w:val="39"/>
    <w:pPr>
      <w:spacing w:before="480" w:after="0" w:line="276" w:lineRule="auto"/>
      <w:jc w:val="left"/>
      <w:outlineLvl w:val="9"/>
    </w:pPr>
    <w:rPr>
      <w:rFonts w:asciiTheme="majorHAnsi" w:hAnsiTheme="majorHAnsi" w:cstheme="majorBidi"/>
      <w:color w:val="376092" w:themeColor="accent1" w:themeShade="BF"/>
      <w:kern w:val="0"/>
      <w:sz w:val="28"/>
      <w:szCs w:val="28"/>
    </w:rPr>
  </w:style>
  <w:style w:type="character" w:customStyle="1" w:styleId="23">
    <w:name w:val="批注框文本字符"/>
    <w:basedOn w:val="17"/>
    <w:link w:val="9"/>
    <w:semiHidden/>
    <w:uiPriority w:val="99"/>
    <w:rPr>
      <w:rFonts w:ascii="Heiti SC Light" w:eastAsia="Heiti SC Light"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0AA25A4-A393-4F45-BE70-318B32EC06B9}">
  <ds:schemaRefs/>
</ds:datastoreItem>
</file>

<file path=docProps/app.xml><?xml version="1.0" encoding="utf-8"?>
<Properties xmlns="http://schemas.openxmlformats.org/officeDocument/2006/extended-properties" xmlns:vt="http://schemas.openxmlformats.org/officeDocument/2006/docPropsVTypes">
  <Template>Normal.dotm</Template>
  <Pages>13</Pages>
  <Words>2850</Words>
  <Characters>16616</Characters>
  <Lines>276</Lines>
  <Paragraphs>63</Paragraphs>
  <TotalTime>63</TotalTime>
  <ScaleCrop>false</ScaleCrop>
  <LinksUpToDate>false</LinksUpToDate>
  <CharactersWithSpaces>19403</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2019-04-25T06:36:00Z</dcterms:created>
  <dc:creator>OrangeVally 橙谷教育</dc:creator>
  <cp:lastModifiedBy>积木</cp:lastModifiedBy>
  <dcterms:modified xsi:type="dcterms:W3CDTF">2019-05-06T15:29:53Z</dcterms:modified>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