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323A71B3"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98390F">
        <w:rPr>
          <w:rFonts w:ascii="Arial" w:hAnsi="Arial" w:cs="Arial"/>
          <w:szCs w:val="24"/>
        </w:rPr>
        <w:t xml:space="preserve"> </w:t>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6544B5AB" w:rsidR="00C558B0" w:rsidRPr="0098390F" w:rsidRDefault="00C558B0" w:rsidP="00594FAC">
      <w:pPr>
        <w:tabs>
          <w:tab w:val="left" w:pos="6540"/>
        </w:tabs>
        <w:spacing w:line="360" w:lineRule="auto"/>
        <w:rPr>
          <w:rFonts w:ascii="Arial" w:hAnsi="Arial" w:cs="Arial"/>
          <w:sz w:val="28"/>
          <w:szCs w:val="28"/>
        </w:rPr>
      </w:pPr>
      <w:r w:rsidRPr="0098390F">
        <w:rPr>
          <w:rFonts w:ascii="Arial" w:hAnsi="Arial" w:cs="Arial"/>
          <w:b/>
          <w:bCs/>
          <w:sz w:val="28"/>
          <w:szCs w:val="28"/>
        </w:rPr>
        <w:t>Student name</w:t>
      </w:r>
      <w:r w:rsidRPr="0098390F">
        <w:rPr>
          <w:rFonts w:ascii="Arial" w:hAnsi="Arial" w:cs="Arial"/>
          <w:sz w:val="28"/>
          <w:szCs w:val="28"/>
        </w:rPr>
        <w:t>:</w:t>
      </w:r>
      <w:r w:rsidR="0098390F">
        <w:rPr>
          <w:rFonts w:ascii="Arial" w:hAnsi="Arial" w:cs="Arial"/>
          <w:sz w:val="28"/>
          <w:szCs w:val="28"/>
        </w:rPr>
        <w:t xml:space="preserve"> Agnelo Marcus Caetano D’souza</w:t>
      </w:r>
    </w:p>
    <w:p w14:paraId="18D88AE2" w14:textId="0307794A" w:rsidR="00C558B0" w:rsidRPr="0098390F" w:rsidRDefault="00C558B0" w:rsidP="00594FAC">
      <w:pPr>
        <w:tabs>
          <w:tab w:val="left" w:pos="6540"/>
        </w:tabs>
        <w:spacing w:line="360" w:lineRule="auto"/>
        <w:rPr>
          <w:rFonts w:ascii="Arial" w:hAnsi="Arial" w:cs="Arial"/>
          <w:sz w:val="28"/>
          <w:szCs w:val="28"/>
        </w:rPr>
      </w:pPr>
      <w:r w:rsidRPr="0098390F">
        <w:rPr>
          <w:rFonts w:ascii="Arial" w:hAnsi="Arial" w:cs="Arial"/>
          <w:b/>
          <w:bCs/>
          <w:sz w:val="28"/>
          <w:szCs w:val="28"/>
        </w:rPr>
        <w:t>Student ID</w:t>
      </w:r>
      <w:r w:rsidRPr="0098390F">
        <w:rPr>
          <w:rFonts w:ascii="Arial" w:hAnsi="Arial" w:cs="Arial"/>
          <w:sz w:val="28"/>
          <w:szCs w:val="28"/>
        </w:rPr>
        <w:t>:</w:t>
      </w:r>
      <w:r w:rsidR="0098390F">
        <w:rPr>
          <w:rFonts w:ascii="Arial" w:hAnsi="Arial" w:cs="Arial"/>
          <w:sz w:val="28"/>
          <w:szCs w:val="28"/>
        </w:rPr>
        <w:t xml:space="preserve"> 2428696</w:t>
      </w:r>
    </w:p>
    <w:p w14:paraId="3D8DA301" w14:textId="0D9F4626" w:rsidR="00C558B0" w:rsidRPr="0098390F" w:rsidRDefault="00C558B0" w:rsidP="00594FAC">
      <w:pPr>
        <w:tabs>
          <w:tab w:val="left" w:pos="6540"/>
        </w:tabs>
        <w:spacing w:line="360" w:lineRule="auto"/>
        <w:rPr>
          <w:rFonts w:ascii="Arial" w:hAnsi="Arial" w:cs="Arial"/>
          <w:b/>
          <w:bCs/>
          <w:sz w:val="28"/>
          <w:szCs w:val="28"/>
        </w:rPr>
      </w:pPr>
      <w:r w:rsidRPr="0098390F">
        <w:rPr>
          <w:rFonts w:ascii="Arial" w:hAnsi="Arial" w:cs="Arial"/>
          <w:b/>
          <w:bCs/>
          <w:sz w:val="28"/>
          <w:szCs w:val="28"/>
        </w:rPr>
        <w:t>Module name</w:t>
      </w:r>
      <w:r w:rsidRPr="0098390F">
        <w:rPr>
          <w:rFonts w:ascii="Arial" w:hAnsi="Arial" w:cs="Arial"/>
          <w:sz w:val="28"/>
          <w:szCs w:val="28"/>
        </w:rPr>
        <w:t xml:space="preserve">: </w:t>
      </w:r>
      <w:r w:rsidR="00887FBB" w:rsidRPr="0098390F">
        <w:rPr>
          <w:rFonts w:ascii="Arial" w:hAnsi="Arial" w:cs="Arial"/>
          <w:b/>
          <w:bCs/>
          <w:sz w:val="28"/>
          <w:szCs w:val="28"/>
        </w:rPr>
        <w:t>Principles of Health and Social Care Practice</w:t>
      </w:r>
    </w:p>
    <w:p w14:paraId="3E48CEF6" w14:textId="34265016" w:rsidR="00887FBB" w:rsidRPr="0098390F" w:rsidRDefault="00887FBB" w:rsidP="00594FAC">
      <w:pPr>
        <w:tabs>
          <w:tab w:val="left" w:pos="6540"/>
        </w:tabs>
        <w:spacing w:line="360" w:lineRule="auto"/>
        <w:rPr>
          <w:rFonts w:ascii="Arial" w:hAnsi="Arial" w:cs="Arial"/>
          <w:sz w:val="28"/>
          <w:szCs w:val="28"/>
        </w:rPr>
      </w:pPr>
      <w:r w:rsidRPr="0098390F">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A4B2804"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D2047C">
        <w:rPr>
          <w:rFonts w:ascii="Arial" w:hAnsi="Arial" w:cs="Arial"/>
          <w:sz w:val="28"/>
          <w:szCs w:val="28"/>
        </w:rPr>
        <w:t xml:space="preserve"> </w:t>
      </w:r>
      <w:r w:rsidR="00D2047C" w:rsidRPr="00D2047C">
        <w:rPr>
          <w:rFonts w:ascii="Arial" w:hAnsi="Arial" w:cs="Arial"/>
          <w:sz w:val="28"/>
          <w:szCs w:val="28"/>
        </w:rPr>
        <w:t>Mark Kane</w:t>
      </w:r>
    </w:p>
    <w:p w14:paraId="7463B5AE" w14:textId="77777777" w:rsidR="00A61176" w:rsidRDefault="00A61176" w:rsidP="00594FAC">
      <w:pPr>
        <w:spacing w:line="360" w:lineRule="auto"/>
        <w:rPr>
          <w:rFonts w:ascii="Arial" w:hAnsi="Arial" w:cs="Arial"/>
          <w:sz w:val="28"/>
          <w:szCs w:val="28"/>
        </w:rPr>
      </w:pPr>
    </w:p>
    <w:p w14:paraId="0F33A54F" w14:textId="77777777" w:rsidR="00A61176" w:rsidRDefault="00A61176" w:rsidP="00594FAC">
      <w:pPr>
        <w:spacing w:line="360" w:lineRule="auto"/>
        <w:rPr>
          <w:rFonts w:ascii="Arial" w:hAnsi="Arial" w:cs="Arial"/>
          <w:sz w:val="28"/>
          <w:szCs w:val="28"/>
        </w:rPr>
      </w:pPr>
    </w:p>
    <w:p w14:paraId="7A625466" w14:textId="77777777" w:rsidR="00697A7D" w:rsidRDefault="00697A7D" w:rsidP="00594FAC">
      <w:pPr>
        <w:spacing w:line="360" w:lineRule="auto"/>
        <w:rPr>
          <w:rFonts w:ascii="Arial" w:hAnsi="Arial" w:cs="Arial"/>
          <w:sz w:val="28"/>
          <w:szCs w:val="28"/>
        </w:rPr>
      </w:pPr>
    </w:p>
    <w:p w14:paraId="07DE718D" w14:textId="77777777" w:rsidR="00283B0C" w:rsidRDefault="00B21FE6" w:rsidP="00283B0C">
      <w:pPr>
        <w:spacing w:line="360" w:lineRule="auto"/>
        <w:rPr>
          <w:rFonts w:ascii="Arial" w:hAnsi="Arial" w:cs="Arial"/>
          <w:b/>
          <w:bCs/>
        </w:rPr>
      </w:pPr>
      <w:r w:rsidRPr="00594FAC">
        <w:rPr>
          <w:rFonts w:ascii="Arial" w:hAnsi="Arial" w:cs="Arial"/>
          <w:b/>
          <w:bCs/>
        </w:rPr>
        <w:t>Table of contents</w:t>
      </w:r>
    </w:p>
    <w:p w14:paraId="7FFD7CAD" w14:textId="31C778E7" w:rsidR="00272E8F" w:rsidRPr="00697A7D" w:rsidRDefault="00D37DB7" w:rsidP="00283B0C">
      <w:pPr>
        <w:spacing w:line="360" w:lineRule="auto"/>
        <w:rPr>
          <w:rFonts w:ascii="Arial" w:hAnsi="Arial" w:cs="Arial"/>
          <w:b/>
          <w:bCs/>
          <w:sz w:val="22"/>
        </w:rPr>
      </w:pPr>
      <w:r>
        <w:rPr>
          <w:rFonts w:ascii="Arial" w:eastAsia="Times New Roman" w:hAnsi="Arial" w:cs="Arial"/>
          <w:sz w:val="22"/>
          <w:lang w:eastAsia="en-GB"/>
        </w:rPr>
        <w:t xml:space="preserve">Task </w:t>
      </w:r>
      <w:r w:rsidR="00542427">
        <w:rPr>
          <w:rFonts w:ascii="Arial" w:eastAsia="Times New Roman" w:hAnsi="Arial" w:cs="Arial"/>
          <w:sz w:val="22"/>
          <w:lang w:eastAsia="en-GB"/>
        </w:rPr>
        <w:t>1:</w:t>
      </w:r>
      <w:r w:rsidR="00542427" w:rsidRPr="00697A7D">
        <w:rPr>
          <w:rFonts w:ascii="Arial" w:eastAsia="Times New Roman" w:hAnsi="Arial" w:cs="Arial"/>
          <w:sz w:val="22"/>
          <w:lang w:eastAsia="en-GB"/>
        </w:rPr>
        <w:t xml:space="preserve"> Person</w:t>
      </w:r>
      <w:r w:rsidR="00DB7553" w:rsidRPr="00697A7D">
        <w:rPr>
          <w:rFonts w:ascii="Arial" w:eastAsia="Times New Roman" w:hAnsi="Arial" w:cs="Arial"/>
          <w:sz w:val="22"/>
          <w:lang w:eastAsia="en-GB"/>
        </w:rPr>
        <w:t>-Centred Care and Quality of Care in Dementia</w:t>
      </w:r>
      <w:r w:rsidR="00DD5532">
        <w:rPr>
          <w:rFonts w:ascii="Arial" w:eastAsia="Times New Roman" w:hAnsi="Arial" w:cs="Arial"/>
          <w:sz w:val="22"/>
          <w:lang w:eastAsia="en-GB"/>
        </w:rPr>
        <w:t>…………………………</w:t>
      </w:r>
      <w:r w:rsidR="00C97FCC">
        <w:rPr>
          <w:rFonts w:ascii="Arial" w:eastAsia="Times New Roman" w:hAnsi="Arial" w:cs="Arial"/>
          <w:sz w:val="22"/>
          <w:lang w:eastAsia="en-GB"/>
        </w:rPr>
        <w:t>…</w:t>
      </w:r>
      <w:r w:rsidR="00DD5532">
        <w:rPr>
          <w:rFonts w:ascii="Arial" w:eastAsia="Times New Roman" w:hAnsi="Arial" w:cs="Arial"/>
          <w:sz w:val="22"/>
          <w:lang w:eastAsia="en-GB"/>
        </w:rPr>
        <w:t>2</w:t>
      </w:r>
      <w:r w:rsidR="00D00349">
        <w:rPr>
          <w:rFonts w:ascii="Arial" w:eastAsia="Times New Roman" w:hAnsi="Arial" w:cs="Arial"/>
          <w:sz w:val="22"/>
          <w:lang w:eastAsia="en-GB"/>
        </w:rPr>
        <w:t>,3</w:t>
      </w:r>
      <w:r w:rsidR="00283B0C" w:rsidRPr="00697A7D">
        <w:rPr>
          <w:rFonts w:ascii="Arial" w:hAnsi="Arial" w:cs="Arial"/>
          <w:b/>
          <w:bCs/>
          <w:sz w:val="22"/>
        </w:rPr>
        <w:t xml:space="preserve"> </w:t>
      </w:r>
    </w:p>
    <w:p w14:paraId="5F6A8A62" w14:textId="4C760C9C" w:rsidR="003504F5" w:rsidRPr="00697A7D" w:rsidRDefault="00D37DB7" w:rsidP="00283B0C">
      <w:pPr>
        <w:spacing w:line="360" w:lineRule="auto"/>
        <w:rPr>
          <w:rFonts w:ascii="Arial" w:hAnsi="Arial" w:cs="Arial"/>
          <w:b/>
          <w:bCs/>
          <w:sz w:val="22"/>
        </w:rPr>
      </w:pPr>
      <w:r>
        <w:rPr>
          <w:rFonts w:ascii="Arial" w:eastAsia="Arial" w:hAnsi="Arial" w:cs="Arial"/>
          <w:sz w:val="22"/>
        </w:rPr>
        <w:t>Task</w:t>
      </w:r>
      <w:r w:rsidR="00542427">
        <w:rPr>
          <w:rFonts w:ascii="Arial" w:eastAsia="Arial" w:hAnsi="Arial" w:cs="Arial"/>
          <w:sz w:val="22"/>
        </w:rPr>
        <w:t xml:space="preserve"> 2:</w:t>
      </w:r>
      <w:r w:rsidR="00542427" w:rsidRPr="00697A7D">
        <w:rPr>
          <w:rFonts w:ascii="Arial" w:eastAsia="Arial" w:hAnsi="Arial" w:cs="Arial"/>
          <w:sz w:val="22"/>
        </w:rPr>
        <w:t xml:space="preserve"> Personal</w:t>
      </w:r>
      <w:r w:rsidR="003504F5" w:rsidRPr="00697A7D">
        <w:rPr>
          <w:rFonts w:ascii="Arial" w:eastAsia="Arial" w:hAnsi="Arial" w:cs="Arial"/>
          <w:sz w:val="22"/>
        </w:rPr>
        <w:t xml:space="preserve"> or professional experience, published case studies</w:t>
      </w:r>
      <w:r w:rsidR="00D00349">
        <w:rPr>
          <w:rFonts w:ascii="Arial" w:eastAsia="Arial" w:hAnsi="Arial" w:cs="Arial"/>
          <w:sz w:val="22"/>
        </w:rPr>
        <w:t>…………</w:t>
      </w:r>
      <w:r w:rsidR="00C97FCC">
        <w:rPr>
          <w:rFonts w:ascii="Arial" w:eastAsia="Arial" w:hAnsi="Arial" w:cs="Arial"/>
          <w:sz w:val="22"/>
        </w:rPr>
        <w:t>.</w:t>
      </w:r>
      <w:r w:rsidR="00D00349">
        <w:rPr>
          <w:rFonts w:ascii="Arial" w:eastAsia="Arial" w:hAnsi="Arial" w:cs="Arial"/>
          <w:sz w:val="22"/>
        </w:rPr>
        <w:t>………..3,4</w:t>
      </w:r>
      <w:r w:rsidR="00360CFB">
        <w:rPr>
          <w:rFonts w:ascii="Arial" w:eastAsia="Arial" w:hAnsi="Arial" w:cs="Arial"/>
          <w:sz w:val="22"/>
        </w:rPr>
        <w:t>,5</w:t>
      </w:r>
    </w:p>
    <w:p w14:paraId="4ED96F9E" w14:textId="67CE9C94" w:rsidR="00DB7553" w:rsidRPr="00697A7D" w:rsidRDefault="00542427" w:rsidP="00594FAC">
      <w:pPr>
        <w:spacing w:line="360" w:lineRule="auto"/>
        <w:rPr>
          <w:rFonts w:ascii="Arial" w:hAnsi="Arial" w:cs="Arial"/>
          <w:sz w:val="22"/>
        </w:rPr>
      </w:pPr>
      <w:r>
        <w:rPr>
          <w:rFonts w:ascii="Arial" w:eastAsia="Arial" w:hAnsi="Arial" w:cs="Arial"/>
          <w:sz w:val="22"/>
        </w:rPr>
        <w:t xml:space="preserve">Task 3: </w:t>
      </w:r>
      <w:r w:rsidR="00283B0C" w:rsidRPr="00697A7D">
        <w:rPr>
          <w:rFonts w:ascii="Arial" w:eastAsia="Arial" w:hAnsi="Arial" w:cs="Arial"/>
          <w:sz w:val="22"/>
        </w:rPr>
        <w:t>R</w:t>
      </w:r>
      <w:r w:rsidR="00483A23" w:rsidRPr="00697A7D">
        <w:rPr>
          <w:rFonts w:ascii="Arial" w:eastAsia="Arial" w:hAnsi="Arial" w:cs="Arial"/>
          <w:sz w:val="22"/>
        </w:rPr>
        <w:t xml:space="preserve">eflection on principles </w:t>
      </w:r>
      <w:r w:rsidR="00283B0C" w:rsidRPr="00697A7D">
        <w:rPr>
          <w:rFonts w:ascii="Arial" w:eastAsia="Arial" w:hAnsi="Arial" w:cs="Arial"/>
          <w:sz w:val="22"/>
        </w:rPr>
        <w:t>to</w:t>
      </w:r>
      <w:r w:rsidR="00483A23" w:rsidRPr="00697A7D">
        <w:rPr>
          <w:rFonts w:ascii="Arial" w:eastAsia="Arial" w:hAnsi="Arial" w:cs="Arial"/>
          <w:sz w:val="22"/>
        </w:rPr>
        <w:t xml:space="preserve"> shape your professional growth</w:t>
      </w:r>
      <w:r w:rsidR="007539C7">
        <w:rPr>
          <w:rFonts w:ascii="Arial" w:eastAsia="Arial" w:hAnsi="Arial" w:cs="Arial"/>
          <w:sz w:val="22"/>
        </w:rPr>
        <w:t>…………………</w:t>
      </w:r>
      <w:r w:rsidR="00C97FCC">
        <w:rPr>
          <w:rFonts w:ascii="Arial" w:eastAsia="Arial" w:hAnsi="Arial" w:cs="Arial"/>
          <w:sz w:val="22"/>
        </w:rPr>
        <w:t>.</w:t>
      </w:r>
      <w:r w:rsidR="007539C7">
        <w:rPr>
          <w:rFonts w:ascii="Arial" w:eastAsia="Arial" w:hAnsi="Arial" w:cs="Arial"/>
          <w:sz w:val="22"/>
        </w:rPr>
        <w:t>…..</w:t>
      </w:r>
      <w:r w:rsidR="00100B02">
        <w:rPr>
          <w:rFonts w:ascii="Arial" w:eastAsia="Arial" w:hAnsi="Arial" w:cs="Arial"/>
          <w:sz w:val="22"/>
        </w:rPr>
        <w:t>,</w:t>
      </w:r>
      <w:r w:rsidR="007539C7">
        <w:rPr>
          <w:rFonts w:ascii="Arial" w:eastAsia="Arial" w:hAnsi="Arial" w:cs="Arial"/>
          <w:sz w:val="22"/>
        </w:rPr>
        <w:t>6.7.8</w:t>
      </w:r>
    </w:p>
    <w:p w14:paraId="15E335DB" w14:textId="7CBCEF12" w:rsidR="00AF6AAB" w:rsidRPr="00697A7D" w:rsidRDefault="00272E8F" w:rsidP="00AF6AAB">
      <w:pPr>
        <w:spacing w:line="360" w:lineRule="auto"/>
        <w:rPr>
          <w:rFonts w:ascii="Arial" w:eastAsia="Times New Roman" w:hAnsi="Arial" w:cs="Arial"/>
          <w:sz w:val="22"/>
          <w:lang w:eastAsia="en-GB"/>
        </w:rPr>
      </w:pPr>
      <w:r w:rsidRPr="00697A7D">
        <w:rPr>
          <w:rFonts w:ascii="Arial" w:eastAsia="Times New Roman" w:hAnsi="Arial" w:cs="Arial"/>
          <w:sz w:val="22"/>
          <w:lang w:eastAsia="en-GB"/>
        </w:rPr>
        <w:t>Conclusion</w:t>
      </w:r>
      <w:r w:rsidR="006E5276">
        <w:rPr>
          <w:rFonts w:ascii="Arial" w:eastAsia="Times New Roman" w:hAnsi="Arial" w:cs="Arial"/>
          <w:sz w:val="22"/>
          <w:lang w:eastAsia="en-GB"/>
        </w:rPr>
        <w:t>………………………………………………………………………………………</w:t>
      </w:r>
      <w:r w:rsidR="00100B02">
        <w:rPr>
          <w:rFonts w:ascii="Arial" w:eastAsia="Times New Roman" w:hAnsi="Arial" w:cs="Arial"/>
          <w:sz w:val="22"/>
          <w:lang w:eastAsia="en-GB"/>
        </w:rPr>
        <w:t>…</w:t>
      </w:r>
      <w:r w:rsidR="006E5276">
        <w:rPr>
          <w:rFonts w:ascii="Arial" w:eastAsia="Times New Roman" w:hAnsi="Arial" w:cs="Arial"/>
          <w:sz w:val="22"/>
          <w:lang w:eastAsia="en-GB"/>
        </w:rPr>
        <w:t>8,9</w:t>
      </w:r>
    </w:p>
    <w:p w14:paraId="57B444C8" w14:textId="26EA363A" w:rsidR="00697A7D" w:rsidRDefault="003B4BB5" w:rsidP="00AF6AAB">
      <w:pPr>
        <w:spacing w:line="360" w:lineRule="auto"/>
        <w:rPr>
          <w:rFonts w:ascii="Arial" w:eastAsia="Times New Roman" w:hAnsi="Arial" w:cs="Arial"/>
          <w:sz w:val="22"/>
          <w:lang w:eastAsia="en-GB"/>
        </w:rPr>
      </w:pPr>
      <w:r w:rsidRPr="00697A7D">
        <w:rPr>
          <w:rFonts w:ascii="Arial" w:eastAsia="Times New Roman" w:hAnsi="Arial" w:cs="Arial"/>
          <w:sz w:val="22"/>
          <w:lang w:eastAsia="en-GB"/>
        </w:rPr>
        <w:t>Refere</w:t>
      </w:r>
      <w:r w:rsidR="00697A7D" w:rsidRPr="00697A7D">
        <w:rPr>
          <w:rFonts w:ascii="Arial" w:eastAsia="Times New Roman" w:hAnsi="Arial" w:cs="Arial"/>
          <w:sz w:val="22"/>
          <w:lang w:eastAsia="en-GB"/>
        </w:rPr>
        <w:t xml:space="preserve">nces </w:t>
      </w:r>
      <w:r w:rsidR="00100B02">
        <w:rPr>
          <w:rFonts w:ascii="Arial" w:eastAsia="Times New Roman" w:hAnsi="Arial" w:cs="Arial"/>
          <w:sz w:val="22"/>
          <w:lang w:eastAsia="en-GB"/>
        </w:rPr>
        <w:t>……………………………………………………………………………………….9,10</w:t>
      </w:r>
    </w:p>
    <w:p w14:paraId="7866A2D6" w14:textId="77777777" w:rsidR="00697A7D" w:rsidRDefault="00697A7D" w:rsidP="00AF6AAB">
      <w:pPr>
        <w:spacing w:line="360" w:lineRule="auto"/>
        <w:rPr>
          <w:rFonts w:ascii="Arial" w:eastAsia="Times New Roman" w:hAnsi="Arial" w:cs="Arial"/>
          <w:sz w:val="22"/>
          <w:lang w:eastAsia="en-GB"/>
        </w:rPr>
      </w:pPr>
    </w:p>
    <w:p w14:paraId="3310B93F" w14:textId="6EF96A6E" w:rsidR="00D37DB7" w:rsidRPr="008B5962" w:rsidRDefault="00AF6AAB" w:rsidP="008B5962">
      <w:pPr>
        <w:spacing w:line="360" w:lineRule="auto"/>
        <w:rPr>
          <w:rFonts w:ascii="Arial" w:hAnsi="Arial" w:cs="Arial"/>
          <w:sz w:val="22"/>
        </w:rPr>
      </w:pPr>
      <w:r w:rsidRPr="008B5962">
        <w:rPr>
          <w:rFonts w:ascii="Arial" w:eastAsia="Times New Roman" w:hAnsi="Arial" w:cs="Arial"/>
          <w:b/>
          <w:bCs/>
          <w:sz w:val="22"/>
          <w:lang w:eastAsia="en-GB"/>
        </w:rPr>
        <w:t xml:space="preserve">Person-Centred Care and Quality of Care in Dementia: </w:t>
      </w:r>
      <w:r w:rsidRPr="008B5962">
        <w:rPr>
          <w:rFonts w:ascii="Arial" w:eastAsia="Times New Roman" w:hAnsi="Arial" w:cs="Arial"/>
          <w:sz w:val="22"/>
          <w:lang w:eastAsia="en-GB"/>
        </w:rPr>
        <w:t xml:space="preserve">For my task I will be using Dementia in care home to brief person-centred care in partnership working and ethics using Tom Kiteood’s </w:t>
      </w:r>
      <w:r w:rsidR="00D62A97">
        <w:rPr>
          <w:rFonts w:ascii="Arial" w:eastAsia="Times New Roman" w:hAnsi="Arial" w:cs="Arial"/>
          <w:sz w:val="22"/>
          <w:lang w:eastAsia="en-GB"/>
        </w:rPr>
        <w:t>1997</w:t>
      </w:r>
      <w:r w:rsidR="00E268C6">
        <w:rPr>
          <w:rFonts w:ascii="Arial" w:eastAsia="Times New Roman" w:hAnsi="Arial" w:cs="Arial"/>
          <w:sz w:val="22"/>
          <w:lang w:eastAsia="en-GB"/>
        </w:rPr>
        <w:t xml:space="preserve"> </w:t>
      </w:r>
      <w:r w:rsidRPr="008B5962">
        <w:rPr>
          <w:rFonts w:ascii="Arial" w:eastAsia="Times New Roman" w:hAnsi="Arial" w:cs="Arial"/>
          <w:sz w:val="22"/>
          <w:lang w:eastAsia="en-GB"/>
        </w:rPr>
        <w:t>theory.</w:t>
      </w:r>
    </w:p>
    <w:p w14:paraId="1331FB5D" w14:textId="1FD46AC5" w:rsidR="004B7345" w:rsidRPr="00AF6AAB" w:rsidRDefault="00A11336" w:rsidP="00AF6AAB">
      <w:pPr>
        <w:spacing w:line="360" w:lineRule="auto"/>
        <w:rPr>
          <w:rFonts w:ascii="Arial" w:hAnsi="Arial" w:cs="Arial"/>
          <w:sz w:val="22"/>
        </w:rPr>
      </w:pPr>
      <w:r w:rsidRPr="00AF6AAB">
        <w:rPr>
          <w:rFonts w:ascii="Arial" w:eastAsia="Arial" w:hAnsi="Arial" w:cs="Arial"/>
          <w:b/>
          <w:bCs/>
          <w:sz w:val="22"/>
        </w:rPr>
        <w:lastRenderedPageBreak/>
        <w:t xml:space="preserve">Task 1: </w:t>
      </w:r>
      <w:r w:rsidR="00B85FCF" w:rsidRPr="00AF6AAB">
        <w:rPr>
          <w:rFonts w:ascii="Arial" w:hAnsi="Arial" w:cs="Arial"/>
          <w:sz w:val="22"/>
        </w:rPr>
        <w:t xml:space="preserve"> </w:t>
      </w:r>
      <w:r w:rsidR="00643509" w:rsidRPr="00AF6AAB">
        <w:rPr>
          <w:rFonts w:ascii="Arial" w:hAnsi="Arial" w:cs="Arial"/>
          <w:sz w:val="22"/>
        </w:rPr>
        <w:t xml:space="preserve">Person-centred care, partnership working, and ethical practice constitute fundamental principles underpinning the delivery of high-quality health and social care within the United Kingdom. Their significance is particularly evident in dementia care within residential care settings, where individuals often experience cognitive decline, reduced independence, and complex psychosocial needs. The concept of personhood, as developed by </w:t>
      </w:r>
      <w:r w:rsidR="00643509" w:rsidRPr="00AF6AAB">
        <w:rPr>
          <w:rStyle w:val="whitespace-normal"/>
          <w:rFonts w:ascii="Arial" w:hAnsi="Arial" w:cs="Arial"/>
          <w:sz w:val="22"/>
        </w:rPr>
        <w:t>Tom Kitwood</w:t>
      </w:r>
      <w:r w:rsidR="00643509" w:rsidRPr="00AF6AAB">
        <w:rPr>
          <w:rFonts w:ascii="Arial" w:hAnsi="Arial" w:cs="Arial"/>
          <w:sz w:val="22"/>
        </w:rPr>
        <w:t>, provides a theoretical foundation for understanding how care practices can sustain identity, dignity, and well-being among individuals living with dementia (Kitwood, 1997).</w:t>
      </w:r>
    </w:p>
    <w:p w14:paraId="4EE64738" w14:textId="77777777" w:rsidR="005B19DF" w:rsidRPr="00AF6AAB" w:rsidRDefault="00B72629" w:rsidP="00AF6AAB">
      <w:pPr>
        <w:pStyle w:val="NormalWeb"/>
        <w:spacing w:line="360" w:lineRule="auto"/>
        <w:rPr>
          <w:rFonts w:ascii="Arial" w:hAnsi="Arial" w:cs="Arial"/>
          <w:sz w:val="22"/>
          <w:szCs w:val="22"/>
        </w:rPr>
      </w:pPr>
      <w:r w:rsidRPr="00AF6AAB">
        <w:rPr>
          <w:rFonts w:ascii="Arial" w:hAnsi="Arial" w:cs="Arial"/>
          <w:sz w:val="22"/>
          <w:szCs w:val="22"/>
        </w:rPr>
        <w:t xml:space="preserve">Building upon this theoretical framework, person-centred care requires practitioners to recognise residents as unique individuals with distinct life histories, preferences, and emotional needs, rather than focusing solely on clinical symptoms or functional impairments. Kitwood’s model further emphasises the importance of addressing core psychological needs, including attachment, comfort, inclusion, occupation, and identity, as central components of care delivery (Kitwood, 1997). Within residential care environments, this approach is reflected in practices such as personalised daily routines, life-history-based activities, and opportunities for residents to exercise choice in areas including mealtimes, leisure activities, and social engagement. Such approaches promote autonomy and reinforce a sense of continuity of self, aligning with the person-centred nursing framework advanced by </w:t>
      </w:r>
      <w:r w:rsidRPr="00AF6AAB">
        <w:rPr>
          <w:rStyle w:val="whitespace-normal"/>
          <w:rFonts w:ascii="Arial" w:hAnsi="Arial" w:cs="Arial"/>
          <w:sz w:val="22"/>
          <w:szCs w:val="22"/>
        </w:rPr>
        <w:t>Brendan McCormack</w:t>
      </w:r>
      <w:r w:rsidRPr="00AF6AAB">
        <w:rPr>
          <w:rFonts w:ascii="Arial" w:hAnsi="Arial" w:cs="Arial"/>
          <w:sz w:val="22"/>
          <w:szCs w:val="22"/>
        </w:rPr>
        <w:t xml:space="preserve"> and </w:t>
      </w:r>
      <w:r w:rsidRPr="00AF6AAB">
        <w:rPr>
          <w:rStyle w:val="whitespace-normal"/>
          <w:rFonts w:ascii="Arial" w:hAnsi="Arial" w:cs="Arial"/>
          <w:sz w:val="22"/>
          <w:szCs w:val="22"/>
        </w:rPr>
        <w:t>Tanya McCance</w:t>
      </w:r>
      <w:r w:rsidRPr="00AF6AAB">
        <w:rPr>
          <w:rFonts w:ascii="Arial" w:hAnsi="Arial" w:cs="Arial"/>
          <w:sz w:val="22"/>
          <w:szCs w:val="22"/>
        </w:rPr>
        <w:t xml:space="preserve"> (McCormack and McCance, 2017).</w:t>
      </w:r>
    </w:p>
    <w:p w14:paraId="320D46A2" w14:textId="77777777" w:rsidR="00A97510" w:rsidRPr="00AF6AAB" w:rsidRDefault="00A97510" w:rsidP="00AF6AAB">
      <w:pPr>
        <w:pStyle w:val="NormalWeb"/>
        <w:spacing w:line="360" w:lineRule="auto"/>
        <w:rPr>
          <w:rFonts w:ascii="Arial" w:hAnsi="Arial" w:cs="Arial"/>
          <w:sz w:val="22"/>
          <w:szCs w:val="22"/>
        </w:rPr>
      </w:pPr>
      <w:r w:rsidRPr="00AF6AAB">
        <w:rPr>
          <w:rFonts w:ascii="Arial" w:hAnsi="Arial" w:cs="Arial"/>
          <w:sz w:val="22"/>
          <w:szCs w:val="22"/>
        </w:rPr>
        <w:t xml:space="preserve">The </w:t>
      </w:r>
      <w:r w:rsidRPr="00AF6AAB">
        <w:rPr>
          <w:rStyle w:val="whitespace-normal"/>
          <w:rFonts w:ascii="Arial" w:hAnsi="Arial" w:cs="Arial"/>
          <w:sz w:val="22"/>
          <w:szCs w:val="22"/>
        </w:rPr>
        <w:t>NHS</w:t>
      </w:r>
      <w:r w:rsidRPr="00AF6AAB">
        <w:rPr>
          <w:rFonts w:ascii="Arial" w:hAnsi="Arial" w:cs="Arial"/>
          <w:sz w:val="22"/>
          <w:szCs w:val="22"/>
        </w:rPr>
        <w:t xml:space="preserve"> emphasises that care should be both clinically effective and responsive to individual preferences, positioning patients as active partners in their care (Department of Health and Social Care, 2021). Similarly, the </w:t>
      </w:r>
      <w:r w:rsidRPr="00AF6AAB">
        <w:rPr>
          <w:rStyle w:val="whitespace-normal"/>
          <w:rFonts w:ascii="Arial" w:hAnsi="Arial" w:cs="Arial"/>
          <w:sz w:val="22"/>
          <w:szCs w:val="22"/>
        </w:rPr>
        <w:t>Care Act 2014</w:t>
      </w:r>
      <w:r w:rsidRPr="00AF6AAB">
        <w:rPr>
          <w:rFonts w:ascii="Arial" w:hAnsi="Arial" w:cs="Arial"/>
          <w:sz w:val="22"/>
          <w:szCs w:val="22"/>
        </w:rPr>
        <w:t xml:space="preserve"> mandates the promotion of well-being, encompassing emotional, social, and psychological dimensions, thereby reflecting a holistic approach to care. Contemporary guidance from </w:t>
      </w:r>
      <w:r w:rsidRPr="00AF6AAB">
        <w:rPr>
          <w:rStyle w:val="whitespace-normal"/>
          <w:rFonts w:ascii="Arial" w:hAnsi="Arial" w:cs="Arial"/>
          <w:sz w:val="22"/>
          <w:szCs w:val="22"/>
        </w:rPr>
        <w:t>Skills for Care</w:t>
      </w:r>
      <w:r w:rsidRPr="00AF6AAB">
        <w:rPr>
          <w:rFonts w:ascii="Arial" w:hAnsi="Arial" w:cs="Arial"/>
          <w:sz w:val="22"/>
          <w:szCs w:val="22"/>
        </w:rPr>
        <w:t xml:space="preserve"> (2023) highlights that quality care extends beyond safety and effectiveness to include individual experience and personal fulfilment.</w:t>
      </w:r>
    </w:p>
    <w:p w14:paraId="5BD85C76" w14:textId="00E99D59" w:rsidR="00D7234F" w:rsidRPr="00AF6AAB" w:rsidRDefault="00D7234F" w:rsidP="00AF6AAB">
      <w:pPr>
        <w:pStyle w:val="NormalWeb"/>
        <w:spacing w:line="360" w:lineRule="auto"/>
        <w:rPr>
          <w:rFonts w:ascii="Arial" w:hAnsi="Arial" w:cs="Arial"/>
          <w:sz w:val="22"/>
          <w:szCs w:val="22"/>
        </w:rPr>
      </w:pPr>
      <w:r w:rsidRPr="00AF6AAB">
        <w:rPr>
          <w:rFonts w:ascii="Arial" w:hAnsi="Arial" w:cs="Arial"/>
          <w:sz w:val="22"/>
          <w:szCs w:val="22"/>
        </w:rPr>
        <w:t xml:space="preserve">Partnership working is integral to the delivery of effective dementia care within a person-centred framework. </w:t>
      </w:r>
      <w:r w:rsidR="00427D78" w:rsidRPr="008B5962">
        <w:rPr>
          <w:rFonts w:ascii="Arial" w:hAnsi="Arial" w:cs="Arial"/>
          <w:sz w:val="22"/>
        </w:rPr>
        <w:t xml:space="preserve">Tom Kiteood’s </w:t>
      </w:r>
      <w:r w:rsidR="00427D78">
        <w:rPr>
          <w:rFonts w:ascii="Arial" w:hAnsi="Arial" w:cs="Arial"/>
          <w:sz w:val="22"/>
        </w:rPr>
        <w:t xml:space="preserve"> </w:t>
      </w:r>
      <w:r w:rsidR="00427D78" w:rsidRPr="008B5962">
        <w:rPr>
          <w:rFonts w:ascii="Arial" w:hAnsi="Arial" w:cs="Arial"/>
          <w:sz w:val="22"/>
        </w:rPr>
        <w:t>theory</w:t>
      </w:r>
      <w:r w:rsidR="00427D78">
        <w:rPr>
          <w:rFonts w:ascii="Arial" w:hAnsi="Arial" w:cs="Arial"/>
          <w:sz w:val="22"/>
        </w:rPr>
        <w:t xml:space="preserve"> </w:t>
      </w:r>
      <w:r w:rsidRPr="00AF6AAB">
        <w:rPr>
          <w:rFonts w:ascii="Arial" w:hAnsi="Arial" w:cs="Arial"/>
          <w:sz w:val="22"/>
          <w:szCs w:val="22"/>
        </w:rPr>
        <w:t xml:space="preserve">underscores the relational nature of dementia, suggesting that supportive interpersonal interactions are essential for maintaining personhood and reducing social isolation. Collaborative practice involves multidisciplinary teams, including nurses, care workers, general practitioners, occupational therapists, and social workers, alongside meaningful involvement of family members. Guidance from the </w:t>
      </w:r>
      <w:r w:rsidRPr="00AF6AAB">
        <w:rPr>
          <w:rStyle w:val="whitespace-normal"/>
          <w:rFonts w:ascii="Arial" w:hAnsi="Arial" w:cs="Arial"/>
          <w:sz w:val="22"/>
          <w:szCs w:val="22"/>
        </w:rPr>
        <w:t>National Institute for Health and Care Excellence</w:t>
      </w:r>
      <w:r w:rsidRPr="00AF6AAB">
        <w:rPr>
          <w:rFonts w:ascii="Arial" w:hAnsi="Arial" w:cs="Arial"/>
          <w:sz w:val="22"/>
          <w:szCs w:val="22"/>
        </w:rPr>
        <w:t xml:space="preserve"> (NICE, 2018; updated guidance 2022) emphasises the importance of coordinated, continuous, and integrated care in addressing </w:t>
      </w:r>
      <w:r w:rsidRPr="00AF6AAB">
        <w:rPr>
          <w:rFonts w:ascii="Arial" w:hAnsi="Arial" w:cs="Arial"/>
          <w:sz w:val="22"/>
          <w:szCs w:val="22"/>
        </w:rPr>
        <w:lastRenderedPageBreak/>
        <w:t>the complex and evolving needs of individuals with dementia. It advocates for shared decision-making, continuity of care, and effective communication across services.</w:t>
      </w:r>
      <w:r w:rsidR="00C46A98" w:rsidRPr="00AF6AAB">
        <w:rPr>
          <w:rFonts w:ascii="Arial" w:hAnsi="Arial" w:cs="Arial"/>
          <w:sz w:val="22"/>
          <w:szCs w:val="22"/>
        </w:rPr>
        <w:t xml:space="preserve">                                   Effective partnership working facilitates the timely sharing of information, reduces fragmentation, and ensures a comprehensive approach to care delivery. The involvement of family members is particularly valuable, as they often provide insight into residents’ preferences, histories, and values, thereby enhancing personalised care and emotional support (Nolan et al., 2004; Alzheimer’s Society, 2023). However, challenges such as organisational hierarchies, professional silos, and communication barriers may hinder effective collaboration, necessitating strong leadership and clear communication strategies to address these issues (Glasby and Dickinson, 2021).</w:t>
      </w:r>
    </w:p>
    <w:p w14:paraId="012E762C" w14:textId="77777777" w:rsidR="005848F4" w:rsidRPr="00AF6AAB" w:rsidRDefault="00BC1330" w:rsidP="00AF6AAB">
      <w:pPr>
        <w:spacing w:after="0" w:line="360" w:lineRule="auto"/>
        <w:rPr>
          <w:rFonts w:ascii="Arial" w:hAnsi="Arial" w:cs="Arial"/>
          <w:sz w:val="22"/>
        </w:rPr>
      </w:pPr>
      <w:r w:rsidRPr="00AF6AAB">
        <w:rPr>
          <w:rFonts w:ascii="Arial" w:hAnsi="Arial" w:cs="Arial"/>
          <w:sz w:val="22"/>
        </w:rPr>
        <w:t xml:space="preserve">Ethical practice underpins both person-centred care and partnership working, guiding decision-making in complex and often sensitive situations. Core ethical principles, including autonomy, beneficence, non-maleficence, and justice, are embedded within UK policy and professional guidance (Beauchamp and Childress, 2019). In dementia care, ethical dilemmas frequently arise when balancing respect for individual autonomy with the duty to ensure safety and well-being. The </w:t>
      </w:r>
      <w:r w:rsidRPr="00AF6AAB">
        <w:rPr>
          <w:rStyle w:val="whitespace-normal"/>
          <w:rFonts w:ascii="Arial" w:hAnsi="Arial" w:cs="Arial"/>
          <w:sz w:val="22"/>
        </w:rPr>
        <w:t>Mental Capacity Act 2005</w:t>
      </w:r>
      <w:r w:rsidRPr="00AF6AAB">
        <w:rPr>
          <w:rFonts w:ascii="Arial" w:hAnsi="Arial" w:cs="Arial"/>
          <w:sz w:val="22"/>
        </w:rPr>
        <w:t xml:space="preserve"> provides a statutory framework for assessing capacity and making best-interest decisions, emphasising the least restrictive approach and the inclusion of individuals in decision-making wherever possible (Ministry of Justice, 2007; updated Code of Practice, 2022).</w:t>
      </w:r>
    </w:p>
    <w:p w14:paraId="529FD208" w14:textId="770A70B0" w:rsidR="00111E0B" w:rsidRPr="00AF6AAB" w:rsidRDefault="00707D90" w:rsidP="00AF6AAB">
      <w:pPr>
        <w:spacing w:after="0" w:line="360" w:lineRule="auto"/>
        <w:rPr>
          <w:rFonts w:ascii="Arial" w:eastAsia="Arial" w:hAnsi="Arial" w:cs="Arial"/>
          <w:sz w:val="22"/>
        </w:rPr>
      </w:pPr>
      <w:r w:rsidRPr="00AF6AAB">
        <w:rPr>
          <w:rFonts w:ascii="Arial" w:hAnsi="Arial" w:cs="Arial"/>
          <w:sz w:val="22"/>
        </w:rPr>
        <w:t xml:space="preserve">Partnership working further strengthens ethical decision-making by incorporating diverse perspectives and promoting shared understanding. </w:t>
      </w:r>
      <w:r w:rsidR="0069641C" w:rsidRPr="008B5962">
        <w:rPr>
          <w:rFonts w:ascii="Arial" w:eastAsia="Times New Roman" w:hAnsi="Arial" w:cs="Arial"/>
          <w:sz w:val="22"/>
          <w:lang w:eastAsia="en-GB"/>
        </w:rPr>
        <w:t>Tom Kiteood’s theory</w:t>
      </w:r>
      <w:r w:rsidR="0069641C">
        <w:rPr>
          <w:rFonts w:ascii="Arial" w:eastAsia="Times New Roman" w:hAnsi="Arial" w:cs="Arial"/>
          <w:sz w:val="22"/>
          <w:lang w:eastAsia="en-GB"/>
        </w:rPr>
        <w:t xml:space="preserve"> </w:t>
      </w:r>
      <w:r w:rsidRPr="00AF6AAB">
        <w:rPr>
          <w:rFonts w:ascii="Arial" w:hAnsi="Arial" w:cs="Arial"/>
          <w:sz w:val="22"/>
        </w:rPr>
        <w:t>highlights the importance of avoiding depersonalising practices, such as ignoring or infantilising individuals with dementia, which can undermine personhood. Instead, care grounded in empathy, validation, and meaningful engagement supports dignity, individuality, and overall well-being. Collectively, these principles enhance the quality of dementia care, ensuring that it is not only clinically effective but also respectful, collaborative, and ethically sound, thereby safeguarding the identity and dignity of individuals living with dementia.</w:t>
      </w:r>
      <w:r w:rsidR="00111E0B" w:rsidRPr="00AF6AAB">
        <w:rPr>
          <w:rFonts w:ascii="Arial" w:eastAsia="Arial" w:hAnsi="Arial" w:cs="Arial"/>
          <w:sz w:val="22"/>
        </w:rPr>
        <w:t xml:space="preserve">  </w:t>
      </w:r>
    </w:p>
    <w:p w14:paraId="0F192001" w14:textId="77777777" w:rsidR="00111E0B" w:rsidRDefault="00111E0B" w:rsidP="00111E0B">
      <w:pPr>
        <w:spacing w:after="0" w:line="360" w:lineRule="auto"/>
        <w:rPr>
          <w:rFonts w:ascii="Arial" w:eastAsia="Arial" w:hAnsi="Arial" w:cs="Arial"/>
          <w:sz w:val="22"/>
        </w:rPr>
      </w:pPr>
    </w:p>
    <w:p w14:paraId="1EC11AC5" w14:textId="77777777" w:rsidR="00111E0B" w:rsidRDefault="00111E0B" w:rsidP="00111E0B">
      <w:pPr>
        <w:spacing w:after="0" w:line="360" w:lineRule="auto"/>
        <w:rPr>
          <w:rFonts w:ascii="Arial" w:eastAsia="Arial" w:hAnsi="Arial" w:cs="Arial"/>
          <w:sz w:val="22"/>
        </w:rPr>
      </w:pPr>
    </w:p>
    <w:p w14:paraId="5D734B15" w14:textId="77777777" w:rsidR="00111E0B" w:rsidRDefault="00111E0B" w:rsidP="00111E0B">
      <w:pPr>
        <w:spacing w:after="0" w:line="360" w:lineRule="auto"/>
        <w:rPr>
          <w:rFonts w:ascii="Arial" w:eastAsia="Arial" w:hAnsi="Arial" w:cs="Arial"/>
          <w:sz w:val="22"/>
        </w:rPr>
      </w:pPr>
      <w:r>
        <w:rPr>
          <w:rFonts w:ascii="Arial" w:eastAsia="Arial" w:hAnsi="Arial" w:cs="Arial"/>
          <w:sz w:val="22"/>
        </w:rPr>
        <w:t xml:space="preserve">                                          </w:t>
      </w:r>
    </w:p>
    <w:p w14:paraId="1A085369" w14:textId="1F46B7B8" w:rsidR="007915CE" w:rsidRPr="00636C80" w:rsidRDefault="00A11336" w:rsidP="00636C80">
      <w:pPr>
        <w:spacing w:after="0" w:line="360" w:lineRule="auto"/>
        <w:rPr>
          <w:rFonts w:ascii="Arial" w:eastAsia="Arial" w:hAnsi="Arial" w:cs="Arial"/>
          <w:sz w:val="22"/>
        </w:rPr>
      </w:pPr>
      <w:r w:rsidRPr="00A11336">
        <w:rPr>
          <w:rFonts w:ascii="Arial" w:eastAsia="Arial" w:hAnsi="Arial" w:cs="Arial"/>
          <w:b/>
          <w:bCs/>
          <w:szCs w:val="24"/>
        </w:rPr>
        <w:t>Task 2:</w:t>
      </w:r>
      <w:r w:rsidR="00B85FCF">
        <w:rPr>
          <w:rFonts w:ascii="Arial" w:eastAsia="Arial" w:hAnsi="Arial" w:cs="Arial"/>
          <w:b/>
          <w:bCs/>
          <w:szCs w:val="24"/>
        </w:rPr>
        <w:t xml:space="preserve"> </w:t>
      </w:r>
      <w:r w:rsidR="007915CE" w:rsidRPr="00636C80">
        <w:rPr>
          <w:rFonts w:ascii="Arial" w:eastAsia="Times New Roman" w:hAnsi="Arial" w:cs="Arial"/>
          <w:sz w:val="22"/>
          <w:lang w:eastAsia="en-GB"/>
        </w:rPr>
        <w:t>The principles of person-centred care, partnership working, and ethical practice are widely recognised as fundamental to improving outcomes within healthcare settings, particularly in dementia care</w:t>
      </w:r>
      <w:r w:rsidR="0033381D" w:rsidRPr="00636C80">
        <w:rPr>
          <w:rFonts w:ascii="Arial" w:eastAsia="Times New Roman" w:hAnsi="Arial" w:cs="Arial"/>
          <w:sz w:val="22"/>
          <w:lang w:eastAsia="en-GB"/>
        </w:rPr>
        <w:t xml:space="preserve"> too</w:t>
      </w:r>
      <w:r w:rsidR="007915CE" w:rsidRPr="00636C80">
        <w:rPr>
          <w:rFonts w:ascii="Arial" w:eastAsia="Times New Roman" w:hAnsi="Arial" w:cs="Arial"/>
          <w:sz w:val="22"/>
          <w:lang w:eastAsia="en-GB"/>
        </w:rPr>
        <w:t xml:space="preserve">. Person-centred approaches have consistently demonstrated effectiveness in reducing distress and enhancing quality of life by acknowledging individuals’ histories, preferences, and identities (Nolan et al., 2004). This perspective emphasises the importance of tailored care planning, which has been shown to </w:t>
      </w:r>
      <w:r w:rsidR="007915CE" w:rsidRPr="00636C80">
        <w:rPr>
          <w:rFonts w:ascii="Arial" w:eastAsia="Times New Roman" w:hAnsi="Arial" w:cs="Arial"/>
          <w:sz w:val="22"/>
          <w:lang w:eastAsia="en-GB"/>
        </w:rPr>
        <w:lastRenderedPageBreak/>
        <w:t>significantly reduce agitation and promote meaningful engagement among individuals living with dementia (World Health Organization, 2021; Alzheimer’s Society, 2023).</w:t>
      </w:r>
      <w:r w:rsidR="00165423" w:rsidRPr="00636C80">
        <w:rPr>
          <w:rFonts w:ascii="Arial" w:eastAsia="Times New Roman" w:hAnsi="Arial" w:cs="Arial"/>
          <w:sz w:val="22"/>
          <w:lang w:eastAsia="en-GB"/>
        </w:rPr>
        <w:t xml:space="preserve"> </w:t>
      </w:r>
      <w:r w:rsidR="00E23DBC" w:rsidRPr="00636C80">
        <w:rPr>
          <w:rFonts w:ascii="Arial" w:eastAsia="Times New Roman" w:hAnsi="Arial" w:cs="Arial"/>
          <w:sz w:val="22"/>
          <w:lang w:eastAsia="en-GB"/>
        </w:rPr>
        <w:t xml:space="preserve">                                                                                                          </w:t>
      </w:r>
      <w:r w:rsidR="00165423" w:rsidRPr="00636C80">
        <w:rPr>
          <w:rFonts w:ascii="Arial" w:eastAsia="Times New Roman" w:hAnsi="Arial" w:cs="Arial"/>
          <w:sz w:val="22"/>
          <w:lang w:eastAsia="en-GB"/>
        </w:rPr>
        <w:t>It</w:t>
      </w:r>
      <w:r w:rsidR="007915CE" w:rsidRPr="00636C80">
        <w:rPr>
          <w:rFonts w:ascii="Arial" w:eastAsia="Times New Roman" w:hAnsi="Arial" w:cs="Arial"/>
          <w:sz w:val="22"/>
          <w:lang w:eastAsia="en-GB"/>
        </w:rPr>
        <w:t xml:space="preserve"> further enhances care quality by facilitating coordinated, holistic, and responsive service delivery (NICE, 2018). Evidence suggests that regular multidisciplinary team involvement, inclusive of family members, leads to improved management of complex needs and enables more personalised care interventions (Sampson et al., 2019; NHS England, 2023). Such collaborative approaches ensure that care is both comprehensive and aligned with the individual’s evolving needs.</w:t>
      </w:r>
    </w:p>
    <w:p w14:paraId="4C749605" w14:textId="2B9DEF8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 xml:space="preserve">Ethical decision-making represents a critical determinant of positive care outcomes, particularly in situations where clinical priorities may conflict with individual rights. A widely cited case reported in the </w:t>
      </w:r>
      <w:r w:rsidRPr="00636C80">
        <w:rPr>
          <w:rFonts w:ascii="Arial" w:eastAsia="Times New Roman" w:hAnsi="Arial" w:cs="Arial"/>
          <w:i/>
          <w:iCs/>
          <w:sz w:val="22"/>
          <w:lang w:eastAsia="en-GB"/>
        </w:rPr>
        <w:t>British Medical Journal</w:t>
      </w:r>
      <w:r w:rsidRPr="00636C80">
        <w:rPr>
          <w:rFonts w:ascii="Arial" w:eastAsia="Times New Roman" w:hAnsi="Arial" w:cs="Arial"/>
          <w:sz w:val="22"/>
          <w:lang w:eastAsia="en-GB"/>
        </w:rPr>
        <w:t xml:space="preserve"> illustrates this tension, involving an adult patient and member of the Jehovah’s Witness faith who was admitted with severe internal bleeding following a medical emergency. The patient refused a blood transfusion on religious grounds, despite clinicians considering the intervention potentially </w:t>
      </w:r>
      <w:r w:rsidR="00F03ADD" w:rsidRPr="00636C80">
        <w:rPr>
          <w:rFonts w:ascii="Arial" w:eastAsia="Times New Roman" w:hAnsi="Arial" w:cs="Arial"/>
          <w:sz w:val="22"/>
          <w:lang w:eastAsia="en-GB"/>
        </w:rPr>
        <w:t>lifesaving</w:t>
      </w:r>
      <w:r w:rsidRPr="00636C80">
        <w:rPr>
          <w:rFonts w:ascii="Arial" w:eastAsia="Times New Roman" w:hAnsi="Arial" w:cs="Arial"/>
          <w:sz w:val="22"/>
          <w:lang w:eastAsia="en-GB"/>
        </w:rPr>
        <w:t>. This case exemplifies a classic ethical dilemma, requiring a balance between the principle of beneficence</w:t>
      </w:r>
      <w:r w:rsidR="00C77C05" w:rsidRPr="00636C80">
        <w:rPr>
          <w:rFonts w:ascii="Arial" w:eastAsia="Times New Roman" w:hAnsi="Arial" w:cs="Arial"/>
          <w:sz w:val="22"/>
          <w:lang w:eastAsia="en-GB"/>
        </w:rPr>
        <w:t xml:space="preserve"> </w:t>
      </w:r>
      <w:r w:rsidRPr="00636C80">
        <w:rPr>
          <w:rFonts w:ascii="Arial" w:eastAsia="Times New Roman" w:hAnsi="Arial" w:cs="Arial"/>
          <w:sz w:val="22"/>
          <w:lang w:eastAsia="en-GB"/>
        </w:rPr>
        <w:t>acting in the patient’s best clinical interests</w:t>
      </w:r>
      <w:r w:rsidR="000909DB" w:rsidRPr="00636C80">
        <w:rPr>
          <w:rFonts w:ascii="Arial" w:eastAsia="Times New Roman" w:hAnsi="Arial" w:cs="Arial"/>
          <w:sz w:val="22"/>
          <w:lang w:eastAsia="en-GB"/>
        </w:rPr>
        <w:t xml:space="preserve"> </w:t>
      </w:r>
      <w:r w:rsidRPr="00636C80">
        <w:rPr>
          <w:rFonts w:ascii="Arial" w:eastAsia="Times New Roman" w:hAnsi="Arial" w:cs="Arial"/>
          <w:sz w:val="22"/>
          <w:lang w:eastAsia="en-GB"/>
        </w:rPr>
        <w:t>and the principle of autonomy, which necessitates respect for informed decision-making.</w:t>
      </w:r>
    </w:p>
    <w:p w14:paraId="2FAC2478" w14:textId="78F06BC2"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Following review by the Court of Protection, it was determined that the patient possessed full mental capacity. In accordance with the Mental Capacity Act 2005, healthcare professionals were both legally and ethically obligated to respect this decision (General Medical Council, 2020). Upholding autonomy in this context ensured legal compliance while preserving the patient’s dignity and minimising potential psychological harm associated with coercive treatment.</w:t>
      </w:r>
    </w:p>
    <w:p w14:paraId="79FFE396" w14:textId="0CD15D82"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Healthcare environments that promote open communication, shared decision-making, and ethical awareness are associated with improved patient satisfaction, reduced staff moral distress, and enhanced safety outcomes (NHS England, 2022; Ulrich et al., 2020). Within dementia care, such environments enable practitioners to effectively balance safety considerations with respect for autonomy, ensuring that care remains both clinically appropriate and emotionally supportive.</w:t>
      </w:r>
    </w:p>
    <w:p w14:paraId="68CAE315" w14:textId="67AD5C20"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 xml:space="preserve">This </w:t>
      </w:r>
      <w:r w:rsidR="00081101">
        <w:rPr>
          <w:rFonts w:ascii="Arial" w:eastAsia="Times New Roman" w:hAnsi="Arial" w:cs="Arial"/>
          <w:sz w:val="22"/>
          <w:lang w:eastAsia="en-GB"/>
        </w:rPr>
        <w:t xml:space="preserve">above </w:t>
      </w:r>
      <w:r w:rsidRPr="00636C80">
        <w:rPr>
          <w:rFonts w:ascii="Arial" w:eastAsia="Times New Roman" w:hAnsi="Arial" w:cs="Arial"/>
          <w:sz w:val="22"/>
          <w:lang w:eastAsia="en-GB"/>
        </w:rPr>
        <w:t xml:space="preserve">case underscores several key considerations for ethical practice. Firstly, respecting autonomy has direct implications for patient well-being, reinforcing trust and maintaining the integrity of the therapeutic relationship. Secondly, it highlights the necessity of robust capacity assessments and comprehensive documentation to ensure decisions are both ethically and legally defensible. Finally, it demonstrates that ethical care extends </w:t>
      </w:r>
      <w:r w:rsidRPr="00636C80">
        <w:rPr>
          <w:rFonts w:ascii="Arial" w:eastAsia="Times New Roman" w:hAnsi="Arial" w:cs="Arial"/>
          <w:sz w:val="22"/>
          <w:lang w:eastAsia="en-GB"/>
        </w:rPr>
        <w:lastRenderedPageBreak/>
        <w:t>beyond clinical outcomes, requiring alignment with an individual’s values, beliefs, and rights (Beauchamp and Childress, 2019). This aligns with the person-centred perspective of Tom Kitwood, who emphasised the preservation of personhood through dignity, empathy, and meaningful engagement.</w:t>
      </w:r>
    </w:p>
    <w:p w14:paraId="4A76848E" w14:textId="521F52B8"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Mental Capacity Act 2005,  result</w:t>
      </w:r>
      <w:r w:rsidR="00C622C7">
        <w:rPr>
          <w:rFonts w:ascii="Arial" w:eastAsia="Times New Roman" w:hAnsi="Arial" w:cs="Arial"/>
          <w:sz w:val="22"/>
          <w:lang w:eastAsia="en-GB"/>
        </w:rPr>
        <w:t>s</w:t>
      </w:r>
      <w:r w:rsidRPr="00636C80">
        <w:rPr>
          <w:rFonts w:ascii="Arial" w:eastAsia="Times New Roman" w:hAnsi="Arial" w:cs="Arial"/>
          <w:sz w:val="22"/>
          <w:lang w:eastAsia="en-GB"/>
        </w:rPr>
        <w:t xml:space="preserve"> in care that is both legally compliant and psychologically respectful. By honouring the patient’s decision, despite its conflict with clinical judgement, healthcare professionals preserved trust and avoided the ethical harms associated with coercion. Ethical practice, therefore, extends beyond the fulfilment of physiological needs to encompass psychological, social, and identity-related dimensions of health, reinforcing the centrality of person-centred care.</w:t>
      </w:r>
    </w:p>
    <w:p w14:paraId="3FC812F4" w14:textId="77777777" w:rsidR="007915CE" w:rsidRPr="00636C80"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Organisations that actively promote ethical awareness, open communication, and shared decision-making report higher levels of patient satisfaction, reduced staff moral distress, and fewer adverse events (Ulrich et al., 2020; NHS England, 2022). In practice, this means that when healthcare professionals are supported to recognise ethical tensions and involve patients and families in decision-making processes, care becomes both clinically effective and psychologically supportive.</w:t>
      </w:r>
    </w:p>
    <w:p w14:paraId="07FE3211" w14:textId="77777777" w:rsidR="007915CE" w:rsidRDefault="007915CE" w:rsidP="00636C80">
      <w:pPr>
        <w:spacing w:before="100" w:beforeAutospacing="1" w:after="100" w:afterAutospacing="1" w:line="360" w:lineRule="auto"/>
        <w:rPr>
          <w:rFonts w:ascii="Arial" w:eastAsia="Times New Roman" w:hAnsi="Arial" w:cs="Arial"/>
          <w:sz w:val="22"/>
          <w:lang w:eastAsia="en-GB"/>
        </w:rPr>
      </w:pPr>
      <w:r w:rsidRPr="00636C80">
        <w:rPr>
          <w:rFonts w:ascii="Arial" w:eastAsia="Times New Roman" w:hAnsi="Arial" w:cs="Arial"/>
          <w:sz w:val="22"/>
          <w:lang w:eastAsia="en-GB"/>
        </w:rPr>
        <w:t>However, it is important to acknowledge that organisational pressures, including staffing shortages and time constraints, may limit the consistent application of ethical principles in practice (World Health Organization, 2021). Despite these challenges, fostering an ethical culture remains essential, as it creates a positive cycle in which staff feel supported and individuals receiving care experience respect and person-centred support. This highlights that ethical practice is not merely theoretical but a key determinant of both relational and clinical outcomes in dementia care.</w:t>
      </w:r>
    </w:p>
    <w:p w14:paraId="6FDAF3B0" w14:textId="77777777" w:rsidR="005965DD" w:rsidRPr="00636C80" w:rsidRDefault="005965DD" w:rsidP="00636C80">
      <w:pPr>
        <w:spacing w:before="100" w:beforeAutospacing="1" w:after="100" w:afterAutospacing="1" w:line="360" w:lineRule="auto"/>
        <w:rPr>
          <w:rFonts w:ascii="Arial" w:eastAsia="Times New Roman" w:hAnsi="Arial" w:cs="Arial"/>
          <w:sz w:val="22"/>
          <w:lang w:eastAsia="en-GB"/>
        </w:rPr>
      </w:pPr>
    </w:p>
    <w:p w14:paraId="470DB7F5" w14:textId="6914617B" w:rsidR="00503091" w:rsidRPr="00503091" w:rsidRDefault="00A11336" w:rsidP="00360CFB">
      <w:pPr>
        <w:spacing w:after="0" w:line="360" w:lineRule="auto"/>
        <w:rPr>
          <w:rFonts w:ascii="Arial" w:eastAsia="Arial" w:hAnsi="Arial" w:cs="Arial"/>
          <w:b/>
          <w:bCs/>
          <w:szCs w:val="24"/>
        </w:rPr>
      </w:pPr>
      <w:r w:rsidRPr="00A11336">
        <w:rPr>
          <w:rFonts w:ascii="Arial" w:eastAsia="Arial" w:hAnsi="Arial" w:cs="Arial"/>
          <w:b/>
          <w:bCs/>
          <w:szCs w:val="24"/>
        </w:rPr>
        <w:t xml:space="preserve">Task 3: </w:t>
      </w:r>
      <w:r w:rsidR="00503091" w:rsidRPr="00503091">
        <w:rPr>
          <w:rFonts w:ascii="Arial" w:eastAsia="Times New Roman" w:hAnsi="Arial" w:cs="Arial"/>
          <w:sz w:val="22"/>
          <w:lang w:eastAsia="en-GB"/>
        </w:rPr>
        <w:t>Reflecting on the principles of person-centred care, partnership working, and ethical practice has significantly enhanced my insight into my ongoing professional development as a Health Care Assistant  within dementia care. These principles underpin high-quality care delivery and support the development of essential skills, values, and competencies required to work effectively in complex care environments such as residential dementia settings.</w:t>
      </w:r>
    </w:p>
    <w:p w14:paraId="7457119C" w14:textId="73300B76"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Person-centred care remains fundamental to my professional development as a Health Care Assistant, as it promotes respect for individuality, dignity, and holistic well-being. Although </w:t>
      </w:r>
      <w:r w:rsidRPr="00503091">
        <w:rPr>
          <w:rFonts w:ascii="Arial" w:eastAsia="Times New Roman" w:hAnsi="Arial" w:cs="Arial"/>
          <w:sz w:val="22"/>
          <w:lang w:eastAsia="en-GB"/>
        </w:rPr>
        <w:lastRenderedPageBreak/>
        <w:t xml:space="preserve">Tom Kitwood </w:t>
      </w:r>
      <w:r w:rsidR="00A567E9" w:rsidRPr="00AF6AAB">
        <w:rPr>
          <w:rFonts w:ascii="Arial" w:eastAsia="Times New Roman" w:hAnsi="Arial" w:cs="Arial"/>
          <w:sz w:val="22"/>
          <w:lang w:eastAsia="en-GB"/>
        </w:rPr>
        <w:t>theory</w:t>
      </w:r>
      <w:r w:rsidRPr="00503091">
        <w:rPr>
          <w:rFonts w:ascii="Arial" w:eastAsia="Times New Roman" w:hAnsi="Arial" w:cs="Arial"/>
          <w:sz w:val="22"/>
          <w:lang w:eastAsia="en-GB"/>
        </w:rPr>
        <w:t xml:space="preserve"> originally emphasised the importance of maintaining personhood by recognising psychological and emotional needs alongside physical care, this principle continues to underpin contemporary dementia practice. Recent evidence confirms that person-centred care remains a core component of effective dementia support, improving quality of life, emotional well-being, and behavioural outcomes for individuals living with dementia (Serber-Koal et al., 2024). Furthermore, guidance from the National Institute for Health and Care Excellence (NICE, 2018; updated 2025) reinforces the importance of valuing individuals, recognising their unique life histories, and ensuring care is tailored to personal preferences and needs.</w:t>
      </w:r>
    </w:p>
    <w:p w14:paraId="216AE6BA" w14:textId="77777777" w:rsidR="005965DD"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Critical reflection has also enabled me to identify an important area for development in recognising and responding to non-verbal communication. Many individuals living with advanced dementia rely heavily on behavioural, emotional, and physical cues to express unmet needs. I acknowledge that my ability to interpret these signals requires further development. Improving this skill will allow me to deliver more responsive, safe, and individualised care. To address this, I intend to undertake additional training in dementia communication strategies, such as validation techniques and behavioural interpretation, alongside maintaining a reflective journal to evaluate interactions and improve practice continuously.</w:t>
      </w:r>
      <w:r w:rsidR="005965DD">
        <w:rPr>
          <w:rFonts w:ascii="Arial" w:eastAsia="Times New Roman" w:hAnsi="Arial" w:cs="Arial"/>
          <w:sz w:val="22"/>
          <w:lang w:eastAsia="en-GB"/>
        </w:rPr>
        <w:t xml:space="preserve"> </w:t>
      </w:r>
    </w:p>
    <w:p w14:paraId="34D01359" w14:textId="2503E4BD"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Partnership working is another key area shaping my professional development as a Health Care Assistant. A case discussed by the British Medical Journal (2019) highlights the complexity of collaborative decision-making, particularly when ethical tensions arise between respecting patient autonomy and ensuring safety. </w:t>
      </w:r>
      <w:r w:rsidR="003577CD" w:rsidRPr="00AF6AAB">
        <w:rPr>
          <w:rFonts w:ascii="Arial" w:eastAsia="Times New Roman" w:hAnsi="Arial" w:cs="Arial"/>
          <w:sz w:val="22"/>
          <w:lang w:eastAsia="en-GB"/>
        </w:rPr>
        <w:t xml:space="preserve">It </w:t>
      </w:r>
      <w:r w:rsidRPr="00503091">
        <w:rPr>
          <w:rFonts w:ascii="Arial" w:eastAsia="Times New Roman" w:hAnsi="Arial" w:cs="Arial"/>
          <w:sz w:val="22"/>
          <w:lang w:eastAsia="en-GB"/>
        </w:rPr>
        <w:t>demonstrates the importance of communication, shared understanding, and mutual respect within healthcare teams. In my role, effective partnership working involves close collaboration with nurses, multidisciplinary professionals, and family members to ensure coordinated, consistent, and holistic care for individuals living with dementia.</w:t>
      </w:r>
    </w:p>
    <w:p w14:paraId="2D82FC0C" w14:textId="6DF32AC9"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Guidance from NICE (2018; updated 2025) emphasises integrated care, shared decision-making, and effective communication between professionals and families. In addition, research by </w:t>
      </w:r>
      <w:r w:rsidR="00075B8E" w:rsidRPr="00AF6AAB">
        <w:rPr>
          <w:rFonts w:ascii="Arial" w:eastAsia="Times New Roman" w:hAnsi="Arial" w:cs="Arial"/>
          <w:sz w:val="22"/>
          <w:lang w:eastAsia="en-GB"/>
        </w:rPr>
        <w:t>(</w:t>
      </w:r>
      <w:r w:rsidRPr="00503091">
        <w:rPr>
          <w:rFonts w:ascii="Arial" w:eastAsia="Times New Roman" w:hAnsi="Arial" w:cs="Arial"/>
          <w:sz w:val="22"/>
          <w:lang w:eastAsia="en-GB"/>
        </w:rPr>
        <w:t>Reeves et al. 2023)</w:t>
      </w:r>
      <w:r w:rsidR="00E81CF7" w:rsidRPr="00AF6AAB">
        <w:rPr>
          <w:rFonts w:ascii="Arial" w:eastAsia="Times New Roman" w:hAnsi="Arial" w:cs="Arial"/>
          <w:sz w:val="22"/>
          <w:lang w:eastAsia="en-GB"/>
        </w:rPr>
        <w:t>,</w:t>
      </w:r>
      <w:r w:rsidRPr="00503091">
        <w:rPr>
          <w:rFonts w:ascii="Arial" w:eastAsia="Times New Roman" w:hAnsi="Arial" w:cs="Arial"/>
          <w:sz w:val="22"/>
          <w:lang w:eastAsia="en-GB"/>
        </w:rPr>
        <w:t xml:space="preserve"> highlights that strong interprofessional collaboration improves patient outcomes, enhances continuity of care, and strengthens person-centred practice in complex healthcare environments. Reflecting on my own practice, I recognise the importance of contributing more confidently to team discussions and ensuring that the voices</w:t>
      </w:r>
      <w:r w:rsidR="0018448E" w:rsidRPr="00AF6AAB">
        <w:rPr>
          <w:rFonts w:ascii="Arial" w:eastAsia="Times New Roman" w:hAnsi="Arial" w:cs="Arial"/>
          <w:sz w:val="22"/>
          <w:lang w:eastAsia="en-GB"/>
        </w:rPr>
        <w:t xml:space="preserve"> and req</w:t>
      </w:r>
      <w:r w:rsidR="0069103F" w:rsidRPr="00AF6AAB">
        <w:rPr>
          <w:rFonts w:ascii="Arial" w:eastAsia="Times New Roman" w:hAnsi="Arial" w:cs="Arial"/>
          <w:sz w:val="22"/>
          <w:lang w:eastAsia="en-GB"/>
        </w:rPr>
        <w:t>uirements</w:t>
      </w:r>
      <w:r w:rsidRPr="00503091">
        <w:rPr>
          <w:rFonts w:ascii="Arial" w:eastAsia="Times New Roman" w:hAnsi="Arial" w:cs="Arial"/>
          <w:sz w:val="22"/>
          <w:lang w:eastAsia="en-GB"/>
        </w:rPr>
        <w:t xml:space="preserve"> of residents and families are actively included in care planning.</w:t>
      </w:r>
    </w:p>
    <w:p w14:paraId="09D3311D" w14:textId="77777777" w:rsidR="007539C7"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lastRenderedPageBreak/>
        <w:t>I also recognise a personal development need in improving my communication and advocacy skills within multidisciplinary teams. At times, I hesitate to escalate concerns or share observations, particularly in uncertain or complex situations, which may delay appropriate interventions. Developing assertiveness and professional confidence is essential to ensure timely and safe care. NICE guidance (2018; updated 2025) highlights that effective communication is central to safe, high-quality, person-centred care.</w:t>
      </w:r>
    </w:p>
    <w:p w14:paraId="06D4DEB3" w14:textId="350B33E9" w:rsidR="007539C7"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To address this, I plan to actively participate in team meetings, seek regular feedback from senior staff, and engage in simulation-based learning and communication training. These strategies will strengthen my confidence, enhance my professional voice, and improve my ability to advocate effectively for residents’ needs, rights, and well-being.</w:t>
      </w:r>
    </w:p>
    <w:p w14:paraId="42BC620B" w14:textId="06D6B965"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Ethical practice is fundamental to delivering safe, respectful, and compassionate care and is central to my professional identity as a Health Care Assistant. In dementia care, ethical dilemmas frequently arise when individuals refuse care or demonstrate behaviours that may place them or others at risk, requiring careful consideration of ethical principles alongside legal frameworks.</w:t>
      </w:r>
    </w:p>
    <w:p w14:paraId="500A1C9B" w14:textId="23E5D4B2"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 xml:space="preserve">Guidance from </w:t>
      </w:r>
      <w:r w:rsidR="00490EFB" w:rsidRPr="00AF6AAB">
        <w:rPr>
          <w:rFonts w:ascii="Arial" w:eastAsia="Times New Roman" w:hAnsi="Arial" w:cs="Arial"/>
          <w:sz w:val="22"/>
          <w:lang w:eastAsia="en-GB"/>
        </w:rPr>
        <w:t>(</w:t>
      </w:r>
      <w:r w:rsidRPr="00503091">
        <w:rPr>
          <w:rFonts w:ascii="Arial" w:eastAsia="Times New Roman" w:hAnsi="Arial" w:cs="Arial"/>
          <w:sz w:val="22"/>
          <w:lang w:eastAsia="en-GB"/>
        </w:rPr>
        <w:t>NICE 2018; updated 2025) further emphasises the importance of respecting individual rights while maintaining safety and delivering person-centred care. I recognise that my understanding of the Mental Capacity Act 2005 requires further development to ensure that my practice is both legally compliant and ethically robust. The Act provides a structured framework for assessing capacity and making best-interest decisions, which is essential when working with individuals experiencing cognitive decline.</w:t>
      </w:r>
    </w:p>
    <w:p w14:paraId="7EA90975" w14:textId="77777777" w:rsidR="00DA5794" w:rsidRPr="00AF6AAB" w:rsidRDefault="00DA5794" w:rsidP="00AF6AAB">
      <w:pPr>
        <w:spacing w:before="100" w:beforeAutospacing="1" w:after="100" w:afterAutospacing="1" w:line="360" w:lineRule="auto"/>
        <w:rPr>
          <w:rFonts w:ascii="Arial" w:hAnsi="Arial" w:cs="Arial"/>
          <w:sz w:val="22"/>
        </w:rPr>
      </w:pPr>
      <w:r w:rsidRPr="00AF6AAB">
        <w:rPr>
          <w:rFonts w:ascii="Arial" w:hAnsi="Arial" w:cs="Arial"/>
          <w:sz w:val="22"/>
        </w:rPr>
        <w:t>In addition, the Nursing and Midwifery Council (NMC, 2018) Code places clear emphasis on prioritising people, practising effectively, and preserving safety. This reinforces the expectation of consistent ethical accountability, professional judgement, and reflective practice in all aspects of care delivery. In relation to my own practice, this highlights the need not only to comply with professional standards but also to critically reflect on how my decisions and actions impact the dignity, safety, and well-being of individuals living with dementia.</w:t>
      </w:r>
    </w:p>
    <w:p w14:paraId="03A042E4" w14:textId="603F7CF1" w:rsidR="00B01D61" w:rsidRPr="00AF6AAB" w:rsidRDefault="00E6246B" w:rsidP="00AF6AAB">
      <w:pPr>
        <w:spacing w:before="100" w:beforeAutospacing="1" w:after="100" w:afterAutospacing="1" w:line="360" w:lineRule="auto"/>
        <w:rPr>
          <w:rFonts w:ascii="Arial" w:hAnsi="Arial" w:cs="Arial"/>
          <w:sz w:val="22"/>
        </w:rPr>
      </w:pPr>
      <w:r w:rsidRPr="00AF6AAB">
        <w:rPr>
          <w:rFonts w:ascii="Arial" w:hAnsi="Arial" w:cs="Arial"/>
          <w:sz w:val="22"/>
        </w:rPr>
        <w:t>R</w:t>
      </w:r>
      <w:r w:rsidR="00DE4BC0" w:rsidRPr="00AF6AAB">
        <w:rPr>
          <w:rFonts w:ascii="Arial" w:hAnsi="Arial" w:cs="Arial"/>
          <w:sz w:val="22"/>
        </w:rPr>
        <w:t>eflect</w:t>
      </w:r>
      <w:r w:rsidRPr="00AF6AAB">
        <w:rPr>
          <w:rFonts w:ascii="Arial" w:hAnsi="Arial" w:cs="Arial"/>
          <w:sz w:val="22"/>
        </w:rPr>
        <w:t>ing on the above statement</w:t>
      </w:r>
      <w:r w:rsidR="00DE4BC0" w:rsidRPr="00AF6AAB">
        <w:rPr>
          <w:rFonts w:ascii="Arial" w:hAnsi="Arial" w:cs="Arial"/>
          <w:sz w:val="22"/>
        </w:rPr>
        <w:t xml:space="preserve">, I have identified a structured personal and professional development plan aimed at strengthening my competence and confidence as a Health Care Assistant. This includes engaging in targeted continuing professional development (CPD) in dementia care, communication, safeguarding, and ethical decision-making, alongside maintaining a reflective journal to support ongoing self-assessment and critical analysis of </w:t>
      </w:r>
      <w:r w:rsidR="00DE4BC0" w:rsidRPr="00AF6AAB">
        <w:rPr>
          <w:rFonts w:ascii="Arial" w:hAnsi="Arial" w:cs="Arial"/>
          <w:sz w:val="22"/>
        </w:rPr>
        <w:lastRenderedPageBreak/>
        <w:t>practice. I also recognise the importance of actively participating in multidisciplinary discussions to enhance shared decision-making and improve continuity of care. Furthermore, seeking mentorship from experienced colleagues will provide opportunities for feedback, professional guidance, and skills development. These strategies will be supported by the consistent application of person-centred care approaches, ensuring that interventions are tailored to individual needs, preferences, and lived experiences, particularly for residents who may have limited capacity to express their wishes.</w:t>
      </w:r>
    </w:p>
    <w:p w14:paraId="6FFB33DB" w14:textId="77777777" w:rsidR="00503091" w:rsidRPr="00503091" w:rsidRDefault="00503091" w:rsidP="00AF6AAB">
      <w:pPr>
        <w:spacing w:before="100" w:beforeAutospacing="1" w:after="100" w:afterAutospacing="1" w:line="360" w:lineRule="auto"/>
        <w:rPr>
          <w:rFonts w:ascii="Arial" w:eastAsia="Times New Roman" w:hAnsi="Arial" w:cs="Arial"/>
          <w:sz w:val="22"/>
          <w:lang w:eastAsia="en-GB"/>
        </w:rPr>
      </w:pPr>
      <w:r w:rsidRPr="00503091">
        <w:rPr>
          <w:rFonts w:ascii="Arial" w:eastAsia="Times New Roman" w:hAnsi="Arial" w:cs="Arial"/>
          <w:sz w:val="22"/>
          <w:lang w:eastAsia="en-GB"/>
        </w:rPr>
        <w:t>Maintaining a reflective journal will support continuous evaluation of my practice, helping me identify strengths, learning needs, and areas for improvement. Evidence suggests that reflective practice enhances clinical reasoning, self-awareness, and professional competence in healthcare settings (Bulman &amp; Schutz, 2023).</w:t>
      </w:r>
    </w:p>
    <w:p w14:paraId="5A4D465C" w14:textId="5F638AD7" w:rsidR="006524ED" w:rsidRPr="00AF6AAB" w:rsidRDefault="006D2F2D" w:rsidP="00AF6AAB">
      <w:pPr>
        <w:spacing w:line="360" w:lineRule="auto"/>
        <w:rPr>
          <w:rFonts w:ascii="Arial" w:hAnsi="Arial" w:cs="Arial"/>
          <w:b/>
          <w:bCs/>
          <w:sz w:val="22"/>
        </w:rPr>
      </w:pPr>
      <w:r w:rsidRPr="00AF6AAB">
        <w:rPr>
          <w:rFonts w:ascii="Arial" w:hAnsi="Arial" w:cs="Arial"/>
          <w:b/>
          <w:bCs/>
          <w:sz w:val="22"/>
        </w:rPr>
        <w:t>Conclusion</w:t>
      </w:r>
    </w:p>
    <w:p w14:paraId="0DBBBD56" w14:textId="5C5F2635" w:rsidR="00A34A56" w:rsidRPr="00AF6AAB" w:rsidRDefault="0070045F" w:rsidP="00AF6AAB">
      <w:pPr>
        <w:pStyle w:val="NormalWeb"/>
        <w:spacing w:line="360" w:lineRule="auto"/>
        <w:rPr>
          <w:rFonts w:ascii="Arial" w:hAnsi="Arial" w:cs="Arial"/>
          <w:sz w:val="22"/>
          <w:szCs w:val="22"/>
        </w:rPr>
      </w:pPr>
      <w:r w:rsidRPr="00AF6AAB">
        <w:rPr>
          <w:rFonts w:ascii="Arial" w:hAnsi="Arial" w:cs="Arial"/>
          <w:sz w:val="22"/>
          <w:szCs w:val="22"/>
        </w:rPr>
        <w:t>T</w:t>
      </w:r>
      <w:r w:rsidR="00A34A56" w:rsidRPr="00AF6AAB">
        <w:rPr>
          <w:rFonts w:ascii="Arial" w:hAnsi="Arial" w:cs="Arial"/>
          <w:sz w:val="22"/>
          <w:szCs w:val="22"/>
        </w:rPr>
        <w:t>his reflection highlights that person-centred care, partnership working, and ethical practice are essential and interconnected principles in delivering high-quality dementia care</w:t>
      </w:r>
      <w:r w:rsidR="003C765E" w:rsidRPr="00AF6AAB">
        <w:rPr>
          <w:rFonts w:ascii="Arial" w:hAnsi="Arial" w:cs="Arial"/>
          <w:sz w:val="22"/>
          <w:szCs w:val="22"/>
        </w:rPr>
        <w:t xml:space="preserve">. </w:t>
      </w:r>
      <w:r w:rsidR="00A34A56" w:rsidRPr="00AF6AAB">
        <w:rPr>
          <w:rFonts w:ascii="Arial" w:hAnsi="Arial" w:cs="Arial"/>
          <w:sz w:val="22"/>
          <w:szCs w:val="22"/>
        </w:rPr>
        <w:t>Person-centred care ensures that individuals are valued as unique people with personal histories and needs, while partnership working promotes coordinated, holistic care through effective collaboration with families and multidisciplinary teams. Ethical practice provides the framework for managing complex situations, particularly in balancing autonomy, safety, dignity, and legal responsibilities</w:t>
      </w:r>
      <w:r w:rsidR="00357C3D" w:rsidRPr="00AF6AAB">
        <w:rPr>
          <w:rFonts w:ascii="Arial" w:hAnsi="Arial" w:cs="Arial"/>
          <w:sz w:val="22"/>
          <w:szCs w:val="22"/>
        </w:rPr>
        <w:t>.</w:t>
      </w:r>
    </w:p>
    <w:p w14:paraId="765B335A" w14:textId="63650354" w:rsidR="00A34A56" w:rsidRPr="00AF6AAB" w:rsidRDefault="00A34A56" w:rsidP="00AF6AAB">
      <w:pPr>
        <w:pStyle w:val="NormalWeb"/>
        <w:spacing w:line="360" w:lineRule="auto"/>
        <w:rPr>
          <w:rFonts w:ascii="Arial" w:hAnsi="Arial" w:cs="Arial"/>
          <w:sz w:val="22"/>
          <w:szCs w:val="22"/>
        </w:rPr>
      </w:pPr>
      <w:r w:rsidRPr="00AF6AAB">
        <w:rPr>
          <w:rFonts w:ascii="Arial" w:hAnsi="Arial" w:cs="Arial"/>
          <w:sz w:val="22"/>
          <w:szCs w:val="22"/>
        </w:rPr>
        <w:t xml:space="preserve">This reflection has strengthened my understanding that effective dementia care requires not only theoretical knowledge but also strong communication, empathy, and professional judgement in practice. </w:t>
      </w:r>
    </w:p>
    <w:p w14:paraId="23CDFCDB" w14:textId="77777777" w:rsidR="00A34A56" w:rsidRPr="00AF6AAB" w:rsidRDefault="00A34A56" w:rsidP="00AF6AAB">
      <w:pPr>
        <w:pStyle w:val="NormalWeb"/>
        <w:spacing w:line="360" w:lineRule="auto"/>
        <w:rPr>
          <w:rFonts w:ascii="Arial" w:hAnsi="Arial" w:cs="Arial"/>
          <w:sz w:val="22"/>
          <w:szCs w:val="22"/>
        </w:rPr>
      </w:pPr>
      <w:r w:rsidRPr="00AF6AAB">
        <w:rPr>
          <w:rFonts w:ascii="Arial" w:hAnsi="Arial" w:cs="Arial"/>
          <w:sz w:val="22"/>
          <w:szCs w:val="22"/>
        </w:rPr>
        <w:t>Overall, I have identified key areas for development, particularly in communication, advocacy, and confidence within multidisciplinary teams. Through continued professional development, reflective practice, and mentorship, I aim to enhance my competence and provide care that is safe, compassionate, and truly person-centred, ultimately improving outcomes for individuals living with dementia.</w:t>
      </w:r>
    </w:p>
    <w:p w14:paraId="0984E004" w14:textId="77777777" w:rsidR="00A761C0" w:rsidRPr="00220640" w:rsidRDefault="00A761C0" w:rsidP="00594FAC">
      <w:pPr>
        <w:spacing w:line="360" w:lineRule="auto"/>
        <w:rPr>
          <w:rFonts w:ascii="Arial" w:hAnsi="Arial" w:cs="Arial"/>
          <w:b/>
          <w:bCs/>
          <w:szCs w:val="24"/>
        </w:rPr>
      </w:pPr>
    </w:p>
    <w:p w14:paraId="5A789721" w14:textId="468D4BEB" w:rsidR="006D2F2D" w:rsidRPr="001D345E" w:rsidRDefault="006D2F2D" w:rsidP="00594FAC">
      <w:pPr>
        <w:spacing w:line="360" w:lineRule="auto"/>
        <w:rPr>
          <w:rFonts w:ascii="Arial" w:hAnsi="Arial" w:cs="Arial"/>
          <w:b/>
          <w:bCs/>
          <w:szCs w:val="24"/>
        </w:rPr>
      </w:pPr>
      <w:r w:rsidRPr="001D345E">
        <w:rPr>
          <w:rFonts w:ascii="Arial" w:hAnsi="Arial" w:cs="Arial"/>
          <w:b/>
          <w:bCs/>
          <w:szCs w:val="24"/>
        </w:rPr>
        <w:t>Reference</w:t>
      </w:r>
      <w:r w:rsidR="001D345E" w:rsidRPr="001D345E">
        <w:rPr>
          <w:rFonts w:ascii="Arial" w:hAnsi="Arial" w:cs="Arial"/>
          <w:b/>
          <w:bCs/>
          <w:szCs w:val="24"/>
        </w:rPr>
        <w:t>s</w:t>
      </w:r>
    </w:p>
    <w:p w14:paraId="1ACFD2D0" w14:textId="77777777" w:rsidR="00CE514F" w:rsidRDefault="00CE514F" w:rsidP="00CE514F">
      <w:pPr>
        <w:pStyle w:val="NormalWeb"/>
      </w:pPr>
      <w:r>
        <w:t xml:space="preserve">Alzheimer’s Society (2023) </w:t>
      </w:r>
      <w:r w:rsidRPr="00E66A50">
        <w:rPr>
          <w:rStyle w:val="Emphasis"/>
          <w:i w:val="0"/>
          <w:iCs w:val="0"/>
        </w:rPr>
        <w:t>Dementia care practice and family involvement</w:t>
      </w:r>
      <w:r w:rsidRPr="00E66A50">
        <w:rPr>
          <w:i/>
          <w:iCs/>
        </w:rPr>
        <w:t>.</w:t>
      </w:r>
      <w:r>
        <w:t xml:space="preserve"> London: Alzheimer’s Society.</w:t>
      </w:r>
    </w:p>
    <w:p w14:paraId="31D732DB" w14:textId="77777777" w:rsidR="00CE514F" w:rsidRDefault="00CE514F" w:rsidP="00CE514F">
      <w:pPr>
        <w:pStyle w:val="NormalWeb"/>
      </w:pPr>
      <w:r>
        <w:lastRenderedPageBreak/>
        <w:t xml:space="preserve">Beauchamp, T.L. and Childress, J.F. (2019) </w:t>
      </w:r>
      <w:r w:rsidRPr="00E66A50">
        <w:rPr>
          <w:rStyle w:val="Emphasis"/>
          <w:i w:val="0"/>
          <w:iCs w:val="0"/>
        </w:rPr>
        <w:t>Principles of Biomedical Ethics</w:t>
      </w:r>
      <w:r>
        <w:t>. 8th edn. Oxford: Oxford University Press.</w:t>
      </w:r>
    </w:p>
    <w:p w14:paraId="27C6C55D" w14:textId="77777777" w:rsidR="00CE514F" w:rsidRDefault="00CE514F" w:rsidP="00CE514F">
      <w:pPr>
        <w:pStyle w:val="NormalWeb"/>
      </w:pPr>
      <w:r>
        <w:t>British Medical Journal (BMJ) (2019) ‘Case study: ethical decision-making in clinical practice’. London: BMJ Publishing Group.</w:t>
      </w:r>
    </w:p>
    <w:p w14:paraId="0F8E5768" w14:textId="77777777" w:rsidR="00CE514F" w:rsidRDefault="00CE514F" w:rsidP="00CE514F">
      <w:pPr>
        <w:pStyle w:val="NormalWeb"/>
      </w:pPr>
      <w:r>
        <w:t xml:space="preserve">Brooker, D. (2004) ‘What is person-centred care in dementia?’, </w:t>
      </w:r>
      <w:r w:rsidRPr="00E66A50">
        <w:rPr>
          <w:rStyle w:val="Emphasis"/>
          <w:i w:val="0"/>
          <w:iCs w:val="0"/>
        </w:rPr>
        <w:t>Reviews in Clinical Gerontology</w:t>
      </w:r>
      <w:r>
        <w:t>, 13(3), pp. 215–222.</w:t>
      </w:r>
    </w:p>
    <w:p w14:paraId="62BBE35B" w14:textId="77777777" w:rsidR="00CE514F" w:rsidRDefault="00CE514F" w:rsidP="00CE514F">
      <w:pPr>
        <w:pStyle w:val="NormalWeb"/>
      </w:pPr>
      <w:r>
        <w:t xml:space="preserve">Bulman, C. and Schutz, S. (2023) </w:t>
      </w:r>
      <w:r w:rsidRPr="00E66A50">
        <w:rPr>
          <w:rStyle w:val="Emphasis"/>
          <w:i w:val="0"/>
          <w:iCs w:val="0"/>
        </w:rPr>
        <w:t>Reflective Practice in Nursing</w:t>
      </w:r>
      <w:r>
        <w:t>. 7th edn. Oxford: Wiley-Blackwell.</w:t>
      </w:r>
    </w:p>
    <w:p w14:paraId="5D0E0B33" w14:textId="77777777" w:rsidR="00CE514F" w:rsidRDefault="00CE514F" w:rsidP="00CE514F">
      <w:pPr>
        <w:pStyle w:val="NormalWeb"/>
      </w:pPr>
      <w:r>
        <w:t xml:space="preserve">Glasby, J. and Dickinson, H. (2021) </w:t>
      </w:r>
      <w:r w:rsidRPr="00E66A50">
        <w:rPr>
          <w:rStyle w:val="Emphasis"/>
          <w:i w:val="0"/>
          <w:iCs w:val="0"/>
        </w:rPr>
        <w:t>Partnership Working in Health and Social Care</w:t>
      </w:r>
      <w:r>
        <w:t>. Bristol: Policy Press.</w:t>
      </w:r>
    </w:p>
    <w:p w14:paraId="7ED08801" w14:textId="77777777" w:rsidR="00CE514F" w:rsidRDefault="00CE514F" w:rsidP="00CE514F">
      <w:pPr>
        <w:pStyle w:val="NormalWeb"/>
      </w:pPr>
      <w:r>
        <w:t xml:space="preserve">Kitwood, T. (1997) </w:t>
      </w:r>
      <w:r w:rsidRPr="00E66A50">
        <w:rPr>
          <w:rStyle w:val="Emphasis"/>
          <w:i w:val="0"/>
          <w:iCs w:val="0"/>
        </w:rPr>
        <w:t>Dementia Reconsidered: The Person Comes First</w:t>
      </w:r>
      <w:r w:rsidRPr="00E66A50">
        <w:rPr>
          <w:i/>
          <w:iCs/>
        </w:rPr>
        <w:t xml:space="preserve">. </w:t>
      </w:r>
      <w:r>
        <w:t>Buckingham: Open University Press.</w:t>
      </w:r>
    </w:p>
    <w:p w14:paraId="20FE7E75" w14:textId="77777777" w:rsidR="00CE514F" w:rsidRDefault="00CE514F" w:rsidP="00CE514F">
      <w:pPr>
        <w:pStyle w:val="NormalWeb"/>
      </w:pPr>
      <w:r>
        <w:t xml:space="preserve">McCormack, B. and McCance, T. (2017) </w:t>
      </w:r>
      <w:r w:rsidRPr="00E66A50">
        <w:rPr>
          <w:rStyle w:val="Emphasis"/>
          <w:i w:val="0"/>
          <w:iCs w:val="0"/>
        </w:rPr>
        <w:t>Person-Centred Practice in Nursing and Health Care</w:t>
      </w:r>
      <w:r w:rsidRPr="00E66A50">
        <w:rPr>
          <w:i/>
          <w:iCs/>
        </w:rPr>
        <w:t>.</w:t>
      </w:r>
      <w:r>
        <w:t xml:space="preserve"> 2nd edn. Oxford: Wiley-Blackwell.</w:t>
      </w:r>
    </w:p>
    <w:p w14:paraId="5E461E27" w14:textId="77777777" w:rsidR="00CE514F" w:rsidRDefault="00CE514F" w:rsidP="00CE514F">
      <w:pPr>
        <w:pStyle w:val="NormalWeb"/>
      </w:pPr>
      <w:r>
        <w:rPr>
          <w:rStyle w:val="whitespace-normal"/>
        </w:rPr>
        <w:t>Mental Capacity Act 2005</w:t>
      </w:r>
      <w:r>
        <w:t xml:space="preserve"> (2005) London: The Stationery Office.</w:t>
      </w:r>
    </w:p>
    <w:p w14:paraId="42FF9B3B" w14:textId="77777777" w:rsidR="00CE514F" w:rsidRDefault="00CE514F" w:rsidP="00CE514F">
      <w:pPr>
        <w:pStyle w:val="NormalWeb"/>
      </w:pPr>
      <w:r>
        <w:t xml:space="preserve">Ministry of Justice (2007, updated 2022) </w:t>
      </w:r>
      <w:r w:rsidRPr="00E66A50">
        <w:rPr>
          <w:rStyle w:val="Emphasis"/>
          <w:i w:val="0"/>
          <w:iCs w:val="0"/>
        </w:rPr>
        <w:t>Mental Capacity Act 2005: Code of Practice</w:t>
      </w:r>
      <w:r>
        <w:t>. London: HMSO.</w:t>
      </w:r>
    </w:p>
    <w:p w14:paraId="62F2F0D6" w14:textId="77777777" w:rsidR="00CE514F" w:rsidRDefault="00CE514F" w:rsidP="00CE514F">
      <w:pPr>
        <w:pStyle w:val="NormalWeb"/>
      </w:pPr>
      <w:r>
        <w:t xml:space="preserve">National Institute for Health and Care Excellence (NICE) (2018, updated 2022) </w:t>
      </w:r>
      <w:r w:rsidRPr="00E66A50">
        <w:rPr>
          <w:rStyle w:val="Emphasis"/>
          <w:i w:val="0"/>
          <w:iCs w:val="0"/>
        </w:rPr>
        <w:t>Dementia: assessment, management and support for people living with dementia and their carers</w:t>
      </w:r>
      <w:r>
        <w:rPr>
          <w:rStyle w:val="Emphasis"/>
        </w:rPr>
        <w:t xml:space="preserve"> (NG97)</w:t>
      </w:r>
      <w:r>
        <w:t>. London: NICE.</w:t>
      </w:r>
    </w:p>
    <w:p w14:paraId="1D0E29BF" w14:textId="77777777" w:rsidR="00CE514F" w:rsidRDefault="00CE514F" w:rsidP="00CE514F">
      <w:pPr>
        <w:pStyle w:val="NormalWeb"/>
      </w:pPr>
      <w:r>
        <w:t>Nolan, M. et al. (2004) ‘Beyond “person-centred” care: a new vision for gerontological nursing’</w:t>
      </w:r>
      <w:r w:rsidRPr="00E66A50">
        <w:rPr>
          <w:i/>
          <w:iCs/>
        </w:rPr>
        <w:t xml:space="preserve">, </w:t>
      </w:r>
      <w:r w:rsidRPr="00E66A50">
        <w:rPr>
          <w:rStyle w:val="Emphasis"/>
          <w:i w:val="0"/>
          <w:iCs w:val="0"/>
        </w:rPr>
        <w:t>Journal of Clinical Nursing</w:t>
      </w:r>
      <w:r>
        <w:t>, 13(1), pp. 45–54.</w:t>
      </w:r>
    </w:p>
    <w:p w14:paraId="43643C5C" w14:textId="77777777" w:rsidR="00CE514F" w:rsidRDefault="00CE514F" w:rsidP="00CE514F">
      <w:pPr>
        <w:pStyle w:val="NormalWeb"/>
      </w:pPr>
      <w:r>
        <w:t xml:space="preserve">Nursing and Midwifery Council (NMC) (2018) </w:t>
      </w:r>
      <w:r w:rsidRPr="00E66A50">
        <w:rPr>
          <w:rStyle w:val="Emphasis"/>
          <w:i w:val="0"/>
          <w:iCs w:val="0"/>
        </w:rPr>
        <w:t>The Code: Professional standards of practice and behaviour for nurses, midwives and nursing associates</w:t>
      </w:r>
      <w:r>
        <w:t>. London: NMC.</w:t>
      </w:r>
    </w:p>
    <w:p w14:paraId="776C6332" w14:textId="77777777" w:rsidR="00CE514F" w:rsidRDefault="00CE514F" w:rsidP="00CE514F">
      <w:pPr>
        <w:pStyle w:val="NormalWeb"/>
      </w:pPr>
      <w:r>
        <w:t xml:space="preserve">Reeves, S., Pelone, F., Harrison, R., Goldman, J. and Zwarenstein, M. (2023) ‘Interprofessional collaboration to improve professional practice and healthcare outcomes’, </w:t>
      </w:r>
      <w:r w:rsidRPr="00E66A50">
        <w:rPr>
          <w:rStyle w:val="Emphasis"/>
          <w:i w:val="0"/>
          <w:iCs w:val="0"/>
        </w:rPr>
        <w:t>Cochrane Database of Systematic Reviews</w:t>
      </w:r>
      <w:r>
        <w:t>, 2023(6).</w:t>
      </w:r>
    </w:p>
    <w:p w14:paraId="142663D6" w14:textId="77777777" w:rsidR="00CE514F" w:rsidRDefault="00CE514F" w:rsidP="00CE514F">
      <w:pPr>
        <w:pStyle w:val="NormalWeb"/>
      </w:pPr>
      <w:r w:rsidRPr="00CE514F">
        <w:rPr>
          <w:lang w:val="nl-NL"/>
        </w:rPr>
        <w:t xml:space="preserve">Serber-Koal, J. et al. </w:t>
      </w:r>
      <w:r>
        <w:t xml:space="preserve">(2024) ‘Person-centred dementia care approaches and outcomes: an integrative review’, </w:t>
      </w:r>
      <w:r>
        <w:rPr>
          <w:rStyle w:val="Emphasis"/>
        </w:rPr>
        <w:t>BMJ Open</w:t>
      </w:r>
      <w:r>
        <w:t>, 14(2).</w:t>
      </w:r>
    </w:p>
    <w:p w14:paraId="1FD0C729" w14:textId="77777777" w:rsidR="00CE514F" w:rsidRDefault="00CE514F" w:rsidP="00CE514F">
      <w:pPr>
        <w:pStyle w:val="NormalWeb"/>
      </w:pPr>
      <w:r>
        <w:t xml:space="preserve">Skills for Care (2023) </w:t>
      </w:r>
      <w:r w:rsidRPr="00E66A50">
        <w:rPr>
          <w:rStyle w:val="Emphasis"/>
          <w:i w:val="0"/>
          <w:iCs w:val="0"/>
        </w:rPr>
        <w:t>The Care Workforce Pathway / Workforce Development Guidance</w:t>
      </w:r>
      <w:r>
        <w:t>. Leeds: Skills for Care.</w:t>
      </w:r>
    </w:p>
    <w:p w14:paraId="4FC14819" w14:textId="77777777" w:rsidR="005251E1" w:rsidRPr="001D345E" w:rsidRDefault="005251E1" w:rsidP="00F712BF">
      <w:pPr>
        <w:spacing w:line="360" w:lineRule="auto"/>
        <w:rPr>
          <w:rFonts w:ascii="Arial" w:hAnsi="Arial" w:cs="Arial"/>
          <w:sz w:val="22"/>
        </w:rPr>
      </w:pPr>
    </w:p>
    <w:sectPr w:rsidR="005251E1" w:rsidRPr="001D345E">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39AFED" w14:textId="77777777" w:rsidR="00217172" w:rsidRDefault="00217172" w:rsidP="00B21FE6">
      <w:pPr>
        <w:spacing w:after="0" w:line="240" w:lineRule="auto"/>
      </w:pPr>
      <w:r>
        <w:separator/>
      </w:r>
    </w:p>
  </w:endnote>
  <w:endnote w:type="continuationSeparator" w:id="0">
    <w:p w14:paraId="6F105646" w14:textId="77777777" w:rsidR="00217172" w:rsidRDefault="00217172"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055255"/>
      <w:docPartObj>
        <w:docPartGallery w:val="Page Numbers (Bottom of Page)"/>
        <w:docPartUnique/>
      </w:docPartObj>
    </w:sdtPr>
    <w:sdtContent>
      <w:p w14:paraId="6120BA54" w14:textId="4BC5E3A2" w:rsidR="0034143E" w:rsidRDefault="0034143E">
        <w:pPr>
          <w:pStyle w:val="Footer"/>
        </w:pPr>
        <w:r>
          <w:fldChar w:fldCharType="begin"/>
        </w:r>
        <w:r>
          <w:instrText>PAGE   \* MERGEFORMAT</w:instrText>
        </w:r>
        <w:r>
          <w:fldChar w:fldCharType="separate"/>
        </w:r>
        <w:r>
          <w:t>2</w:t>
        </w:r>
        <w:r>
          <w:fldChar w:fldCharType="end"/>
        </w:r>
      </w:p>
    </w:sdtContent>
  </w:sdt>
  <w:p w14:paraId="613B6A56" w14:textId="77777777" w:rsidR="00D72030" w:rsidRDefault="00D72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BE656F" w14:textId="77777777" w:rsidR="00217172" w:rsidRDefault="00217172" w:rsidP="00B21FE6">
      <w:pPr>
        <w:spacing w:after="0" w:line="240" w:lineRule="auto"/>
      </w:pPr>
      <w:r>
        <w:separator/>
      </w:r>
    </w:p>
  </w:footnote>
  <w:footnote w:type="continuationSeparator" w:id="0">
    <w:p w14:paraId="4AEE4B83" w14:textId="77777777" w:rsidR="00217172" w:rsidRDefault="00217172" w:rsidP="00B21F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7BCEC6" w14:textId="77777777" w:rsidR="00D72030" w:rsidRDefault="00D720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AE4EE7"/>
    <w:multiLevelType w:val="multilevel"/>
    <w:tmpl w:val="5FA49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0538FF"/>
    <w:multiLevelType w:val="multilevel"/>
    <w:tmpl w:val="AE4AC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FE000A8"/>
    <w:multiLevelType w:val="hybridMultilevel"/>
    <w:tmpl w:val="9CD62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7" w15:restartNumberingAfterBreak="0">
    <w:nsid w:val="3B6721EA"/>
    <w:multiLevelType w:val="hybridMultilevel"/>
    <w:tmpl w:val="6D1E9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983988"/>
    <w:multiLevelType w:val="multilevel"/>
    <w:tmpl w:val="A57AC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8"/>
  </w:num>
  <w:num w:numId="2" w16cid:durableId="201140407">
    <w:abstractNumId w:val="1"/>
  </w:num>
  <w:num w:numId="3" w16cid:durableId="490028398">
    <w:abstractNumId w:val="0"/>
  </w:num>
  <w:num w:numId="4" w16cid:durableId="350911784">
    <w:abstractNumId w:val="2"/>
  </w:num>
  <w:num w:numId="5" w16cid:durableId="917598757">
    <w:abstractNumId w:val="6"/>
  </w:num>
  <w:num w:numId="6" w16cid:durableId="2015263566">
    <w:abstractNumId w:val="9"/>
  </w:num>
  <w:num w:numId="7" w16cid:durableId="316306133">
    <w:abstractNumId w:val="3"/>
  </w:num>
  <w:num w:numId="8" w16cid:durableId="1180968179">
    <w:abstractNumId w:val="4"/>
  </w:num>
  <w:num w:numId="9" w16cid:durableId="1142381934">
    <w:abstractNumId w:val="5"/>
  </w:num>
  <w:num w:numId="10" w16cid:durableId="16829277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2325"/>
    <w:rsid w:val="000049B8"/>
    <w:rsid w:val="0002521C"/>
    <w:rsid w:val="00040B0B"/>
    <w:rsid w:val="00040EF6"/>
    <w:rsid w:val="00052089"/>
    <w:rsid w:val="00053374"/>
    <w:rsid w:val="00075B8E"/>
    <w:rsid w:val="00081101"/>
    <w:rsid w:val="00087DEE"/>
    <w:rsid w:val="000909DB"/>
    <w:rsid w:val="000A307F"/>
    <w:rsid w:val="000C69B1"/>
    <w:rsid w:val="000C6A11"/>
    <w:rsid w:val="000D136F"/>
    <w:rsid w:val="000D1634"/>
    <w:rsid w:val="000D7442"/>
    <w:rsid w:val="000E694E"/>
    <w:rsid w:val="00100B02"/>
    <w:rsid w:val="00103CFF"/>
    <w:rsid w:val="0011109D"/>
    <w:rsid w:val="00111E0B"/>
    <w:rsid w:val="00116945"/>
    <w:rsid w:val="0012316B"/>
    <w:rsid w:val="00126321"/>
    <w:rsid w:val="001333C2"/>
    <w:rsid w:val="00165423"/>
    <w:rsid w:val="0018089F"/>
    <w:rsid w:val="0018448E"/>
    <w:rsid w:val="0019465C"/>
    <w:rsid w:val="001A1A86"/>
    <w:rsid w:val="001B0543"/>
    <w:rsid w:val="001D345E"/>
    <w:rsid w:val="001F2D03"/>
    <w:rsid w:val="002030E5"/>
    <w:rsid w:val="00212C9F"/>
    <w:rsid w:val="00217172"/>
    <w:rsid w:val="00220640"/>
    <w:rsid w:val="002213B5"/>
    <w:rsid w:val="0023650A"/>
    <w:rsid w:val="00236FEF"/>
    <w:rsid w:val="00247526"/>
    <w:rsid w:val="00250E9A"/>
    <w:rsid w:val="002657A2"/>
    <w:rsid w:val="00272E8F"/>
    <w:rsid w:val="00283B0C"/>
    <w:rsid w:val="00284135"/>
    <w:rsid w:val="00293CF1"/>
    <w:rsid w:val="002B51E0"/>
    <w:rsid w:val="002D39BD"/>
    <w:rsid w:val="002D424B"/>
    <w:rsid w:val="002E04C8"/>
    <w:rsid w:val="002F228C"/>
    <w:rsid w:val="002F512A"/>
    <w:rsid w:val="00317E3D"/>
    <w:rsid w:val="00326748"/>
    <w:rsid w:val="0033381D"/>
    <w:rsid w:val="00337F80"/>
    <w:rsid w:val="003406EC"/>
    <w:rsid w:val="0034143E"/>
    <w:rsid w:val="003504F5"/>
    <w:rsid w:val="00350D4F"/>
    <w:rsid w:val="003577CD"/>
    <w:rsid w:val="00357C3D"/>
    <w:rsid w:val="00360CFB"/>
    <w:rsid w:val="003759B4"/>
    <w:rsid w:val="00376FC3"/>
    <w:rsid w:val="00392106"/>
    <w:rsid w:val="003B4BB5"/>
    <w:rsid w:val="003C6B3C"/>
    <w:rsid w:val="003C765E"/>
    <w:rsid w:val="003D3164"/>
    <w:rsid w:val="003D323C"/>
    <w:rsid w:val="003D6856"/>
    <w:rsid w:val="003E005B"/>
    <w:rsid w:val="003E01F8"/>
    <w:rsid w:val="00400E3B"/>
    <w:rsid w:val="00427D78"/>
    <w:rsid w:val="00446E94"/>
    <w:rsid w:val="004529A3"/>
    <w:rsid w:val="00460B78"/>
    <w:rsid w:val="00473D6E"/>
    <w:rsid w:val="00483A23"/>
    <w:rsid w:val="004864E0"/>
    <w:rsid w:val="0049046A"/>
    <w:rsid w:val="00490EFB"/>
    <w:rsid w:val="00491767"/>
    <w:rsid w:val="00496AF4"/>
    <w:rsid w:val="004A0362"/>
    <w:rsid w:val="004A3231"/>
    <w:rsid w:val="004B7345"/>
    <w:rsid w:val="004C0CD3"/>
    <w:rsid w:val="004E0667"/>
    <w:rsid w:val="004E5722"/>
    <w:rsid w:val="004F5B88"/>
    <w:rsid w:val="00503091"/>
    <w:rsid w:val="00507A37"/>
    <w:rsid w:val="00520F4B"/>
    <w:rsid w:val="005236B9"/>
    <w:rsid w:val="00524D14"/>
    <w:rsid w:val="005251E1"/>
    <w:rsid w:val="00542427"/>
    <w:rsid w:val="005567F3"/>
    <w:rsid w:val="00557512"/>
    <w:rsid w:val="00563344"/>
    <w:rsid w:val="00570AAE"/>
    <w:rsid w:val="00571489"/>
    <w:rsid w:val="005763F7"/>
    <w:rsid w:val="0058218C"/>
    <w:rsid w:val="005848F4"/>
    <w:rsid w:val="00594FAC"/>
    <w:rsid w:val="005965DD"/>
    <w:rsid w:val="005A1E8C"/>
    <w:rsid w:val="005B19DF"/>
    <w:rsid w:val="005C02F5"/>
    <w:rsid w:val="005C3B2E"/>
    <w:rsid w:val="005D306A"/>
    <w:rsid w:val="005D5E6E"/>
    <w:rsid w:val="00607E4E"/>
    <w:rsid w:val="00610A5B"/>
    <w:rsid w:val="00636C80"/>
    <w:rsid w:val="00637718"/>
    <w:rsid w:val="00641743"/>
    <w:rsid w:val="00643509"/>
    <w:rsid w:val="00644023"/>
    <w:rsid w:val="006524ED"/>
    <w:rsid w:val="00653A96"/>
    <w:rsid w:val="00660A8E"/>
    <w:rsid w:val="006618AA"/>
    <w:rsid w:val="006623FE"/>
    <w:rsid w:val="006642AE"/>
    <w:rsid w:val="006904BC"/>
    <w:rsid w:val="0069103F"/>
    <w:rsid w:val="006916A0"/>
    <w:rsid w:val="00694A70"/>
    <w:rsid w:val="0069641C"/>
    <w:rsid w:val="00697A7D"/>
    <w:rsid w:val="006A3ACC"/>
    <w:rsid w:val="006C0A4B"/>
    <w:rsid w:val="006D2E8C"/>
    <w:rsid w:val="006D2F2D"/>
    <w:rsid w:val="006E1FF9"/>
    <w:rsid w:val="006E38AB"/>
    <w:rsid w:val="006E5276"/>
    <w:rsid w:val="006F1672"/>
    <w:rsid w:val="006F4197"/>
    <w:rsid w:val="0070045F"/>
    <w:rsid w:val="00707D90"/>
    <w:rsid w:val="007328A3"/>
    <w:rsid w:val="007346BB"/>
    <w:rsid w:val="00736829"/>
    <w:rsid w:val="00743239"/>
    <w:rsid w:val="007539C7"/>
    <w:rsid w:val="00771B54"/>
    <w:rsid w:val="00785886"/>
    <w:rsid w:val="007915CE"/>
    <w:rsid w:val="00795E80"/>
    <w:rsid w:val="007B14B0"/>
    <w:rsid w:val="007F3A6A"/>
    <w:rsid w:val="00805DAD"/>
    <w:rsid w:val="00816B41"/>
    <w:rsid w:val="00816F2A"/>
    <w:rsid w:val="00846223"/>
    <w:rsid w:val="00846794"/>
    <w:rsid w:val="00862496"/>
    <w:rsid w:val="008879F6"/>
    <w:rsid w:val="00887FBB"/>
    <w:rsid w:val="008950BB"/>
    <w:rsid w:val="00895EB9"/>
    <w:rsid w:val="008A5E00"/>
    <w:rsid w:val="008B5962"/>
    <w:rsid w:val="008B6FC9"/>
    <w:rsid w:val="008D7346"/>
    <w:rsid w:val="008F6D4B"/>
    <w:rsid w:val="009011CB"/>
    <w:rsid w:val="00904D0B"/>
    <w:rsid w:val="009061B7"/>
    <w:rsid w:val="00924D98"/>
    <w:rsid w:val="00933453"/>
    <w:rsid w:val="00945FB8"/>
    <w:rsid w:val="00947D7D"/>
    <w:rsid w:val="00962411"/>
    <w:rsid w:val="009635B2"/>
    <w:rsid w:val="009700F8"/>
    <w:rsid w:val="009705B2"/>
    <w:rsid w:val="009776CD"/>
    <w:rsid w:val="0098390F"/>
    <w:rsid w:val="00992C3B"/>
    <w:rsid w:val="009A17E5"/>
    <w:rsid w:val="009C1BB0"/>
    <w:rsid w:val="009D618C"/>
    <w:rsid w:val="009E04DE"/>
    <w:rsid w:val="009E5C5F"/>
    <w:rsid w:val="009F7360"/>
    <w:rsid w:val="00A11336"/>
    <w:rsid w:val="00A11F69"/>
    <w:rsid w:val="00A26C79"/>
    <w:rsid w:val="00A34A56"/>
    <w:rsid w:val="00A373AB"/>
    <w:rsid w:val="00A567E9"/>
    <w:rsid w:val="00A57B5A"/>
    <w:rsid w:val="00A61176"/>
    <w:rsid w:val="00A745C9"/>
    <w:rsid w:val="00A761C0"/>
    <w:rsid w:val="00A77CF5"/>
    <w:rsid w:val="00A85EDD"/>
    <w:rsid w:val="00A97510"/>
    <w:rsid w:val="00AA7B47"/>
    <w:rsid w:val="00AC53E2"/>
    <w:rsid w:val="00AC79E2"/>
    <w:rsid w:val="00AD426B"/>
    <w:rsid w:val="00AE7DDA"/>
    <w:rsid w:val="00AF1A44"/>
    <w:rsid w:val="00AF6AAB"/>
    <w:rsid w:val="00B016E1"/>
    <w:rsid w:val="00B01D61"/>
    <w:rsid w:val="00B15E2F"/>
    <w:rsid w:val="00B21242"/>
    <w:rsid w:val="00B21FE6"/>
    <w:rsid w:val="00B531CD"/>
    <w:rsid w:val="00B56C01"/>
    <w:rsid w:val="00B605F1"/>
    <w:rsid w:val="00B670D2"/>
    <w:rsid w:val="00B72629"/>
    <w:rsid w:val="00B77ABB"/>
    <w:rsid w:val="00B8373C"/>
    <w:rsid w:val="00B85FCF"/>
    <w:rsid w:val="00B93710"/>
    <w:rsid w:val="00B96D68"/>
    <w:rsid w:val="00BC1330"/>
    <w:rsid w:val="00BC33EE"/>
    <w:rsid w:val="00BC79FE"/>
    <w:rsid w:val="00BD54D9"/>
    <w:rsid w:val="00BE1B69"/>
    <w:rsid w:val="00C12352"/>
    <w:rsid w:val="00C21C57"/>
    <w:rsid w:val="00C25259"/>
    <w:rsid w:val="00C30544"/>
    <w:rsid w:val="00C45AAA"/>
    <w:rsid w:val="00C46A98"/>
    <w:rsid w:val="00C54B54"/>
    <w:rsid w:val="00C558B0"/>
    <w:rsid w:val="00C622C7"/>
    <w:rsid w:val="00C741C0"/>
    <w:rsid w:val="00C77C05"/>
    <w:rsid w:val="00C97FCC"/>
    <w:rsid w:val="00CA08DE"/>
    <w:rsid w:val="00CD3983"/>
    <w:rsid w:val="00CD4223"/>
    <w:rsid w:val="00CE1416"/>
    <w:rsid w:val="00CE50E2"/>
    <w:rsid w:val="00CE514F"/>
    <w:rsid w:val="00D00349"/>
    <w:rsid w:val="00D00A38"/>
    <w:rsid w:val="00D2047C"/>
    <w:rsid w:val="00D24898"/>
    <w:rsid w:val="00D37DB7"/>
    <w:rsid w:val="00D545BA"/>
    <w:rsid w:val="00D62A97"/>
    <w:rsid w:val="00D639F4"/>
    <w:rsid w:val="00D66C96"/>
    <w:rsid w:val="00D72030"/>
    <w:rsid w:val="00D7234F"/>
    <w:rsid w:val="00D83446"/>
    <w:rsid w:val="00DA5794"/>
    <w:rsid w:val="00DB0BEB"/>
    <w:rsid w:val="00DB7553"/>
    <w:rsid w:val="00DC1951"/>
    <w:rsid w:val="00DD5532"/>
    <w:rsid w:val="00DE4BC0"/>
    <w:rsid w:val="00DF3DBE"/>
    <w:rsid w:val="00E01E41"/>
    <w:rsid w:val="00E03981"/>
    <w:rsid w:val="00E20EC1"/>
    <w:rsid w:val="00E21B6E"/>
    <w:rsid w:val="00E23DBC"/>
    <w:rsid w:val="00E268C6"/>
    <w:rsid w:val="00E311AD"/>
    <w:rsid w:val="00E37C1E"/>
    <w:rsid w:val="00E409D5"/>
    <w:rsid w:val="00E43208"/>
    <w:rsid w:val="00E45887"/>
    <w:rsid w:val="00E6118F"/>
    <w:rsid w:val="00E61664"/>
    <w:rsid w:val="00E6246B"/>
    <w:rsid w:val="00E64489"/>
    <w:rsid w:val="00E66A50"/>
    <w:rsid w:val="00E70ED4"/>
    <w:rsid w:val="00E81204"/>
    <w:rsid w:val="00E81CF7"/>
    <w:rsid w:val="00E871B4"/>
    <w:rsid w:val="00E87336"/>
    <w:rsid w:val="00E908A0"/>
    <w:rsid w:val="00EB1AE8"/>
    <w:rsid w:val="00EB3C62"/>
    <w:rsid w:val="00EC3574"/>
    <w:rsid w:val="00ED1BE0"/>
    <w:rsid w:val="00ED237B"/>
    <w:rsid w:val="00ED4B7F"/>
    <w:rsid w:val="00EF37D0"/>
    <w:rsid w:val="00EF5E8E"/>
    <w:rsid w:val="00F02E00"/>
    <w:rsid w:val="00F03ADD"/>
    <w:rsid w:val="00F130B6"/>
    <w:rsid w:val="00F14FD1"/>
    <w:rsid w:val="00F35B69"/>
    <w:rsid w:val="00F42492"/>
    <w:rsid w:val="00F458E6"/>
    <w:rsid w:val="00F46F99"/>
    <w:rsid w:val="00F47846"/>
    <w:rsid w:val="00F712BF"/>
    <w:rsid w:val="00F81510"/>
    <w:rsid w:val="00F84836"/>
    <w:rsid w:val="00F87095"/>
    <w:rsid w:val="00F903D8"/>
    <w:rsid w:val="00F962DD"/>
    <w:rsid w:val="00FA2186"/>
    <w:rsid w:val="00FA271F"/>
    <w:rsid w:val="00FA3490"/>
    <w:rsid w:val="00FA6248"/>
    <w:rsid w:val="00FB5095"/>
    <w:rsid w:val="00FC7CAE"/>
    <w:rsid w:val="00FF619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594BE730-7B01-41E7-9A40-68FE76A39C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6904BC"/>
    <w:pPr>
      <w:spacing w:before="100" w:beforeAutospacing="1" w:after="100" w:afterAutospacing="1" w:line="240" w:lineRule="auto"/>
    </w:pPr>
    <w:rPr>
      <w:rFonts w:eastAsia="Times New Roman" w:cs="Times New Roman"/>
      <w:szCs w:val="24"/>
      <w:lang w:eastAsia="en-GB"/>
    </w:rPr>
  </w:style>
  <w:style w:type="character" w:styleId="Emphasis">
    <w:name w:val="Emphasis"/>
    <w:basedOn w:val="DefaultParagraphFont"/>
    <w:uiPriority w:val="20"/>
    <w:qFormat/>
    <w:rsid w:val="006904BC"/>
    <w:rPr>
      <w:i/>
      <w:iCs/>
    </w:rPr>
  </w:style>
  <w:style w:type="character" w:styleId="Hyperlink">
    <w:name w:val="Hyperlink"/>
    <w:basedOn w:val="DefaultParagraphFont"/>
    <w:uiPriority w:val="99"/>
    <w:unhideWhenUsed/>
    <w:rsid w:val="006904BC"/>
    <w:rPr>
      <w:color w:val="0000FF"/>
      <w:u w:val="single"/>
    </w:rPr>
  </w:style>
  <w:style w:type="character" w:styleId="Strong">
    <w:name w:val="Strong"/>
    <w:basedOn w:val="DefaultParagraphFont"/>
    <w:uiPriority w:val="22"/>
    <w:qFormat/>
    <w:rsid w:val="00FA3490"/>
    <w:rPr>
      <w:b/>
      <w:bCs/>
    </w:rPr>
  </w:style>
  <w:style w:type="character" w:customStyle="1" w:styleId="whitespace-normal">
    <w:name w:val="whitespace-normal"/>
    <w:basedOn w:val="DefaultParagraphFont"/>
    <w:rsid w:val="004B7345"/>
  </w:style>
  <w:style w:type="character" w:styleId="UnresolvedMention">
    <w:name w:val="Unresolved Mention"/>
    <w:basedOn w:val="DefaultParagraphFont"/>
    <w:uiPriority w:val="99"/>
    <w:semiHidden/>
    <w:unhideWhenUsed/>
    <w:rsid w:val="00F712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5575</TotalTime>
  <Pages>9</Pages>
  <Words>2802</Words>
  <Characters>18723</Characters>
  <Application>Microsoft Office Word</Application>
  <DocSecurity>0</DocSecurity>
  <Lines>288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Agnelo D'souza</cp:lastModifiedBy>
  <cp:revision>257</cp:revision>
  <dcterms:created xsi:type="dcterms:W3CDTF">2026-04-02T11:37:00Z</dcterms:created>
  <dcterms:modified xsi:type="dcterms:W3CDTF">2026-04-13T23:10:00Z</dcterms:modified>
</cp:coreProperties>
</file>