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F629D" w14:textId="54BE9BE0" w:rsidR="0026022B" w:rsidRDefault="0026022B" w:rsidP="0026022B">
      <w:pPr>
        <w:spacing w:line="360" w:lineRule="auto"/>
        <w:rPr>
          <w:rFonts w:ascii="Arial" w:hAnsi="Arial" w:cs="Arial"/>
          <w:sz w:val="28"/>
          <w:szCs w:val="28"/>
        </w:rPr>
      </w:pPr>
    </w:p>
    <w:p w14:paraId="62D64082" w14:textId="77777777" w:rsidR="00957376" w:rsidRDefault="00957376" w:rsidP="0026022B">
      <w:pPr>
        <w:spacing w:line="360" w:lineRule="auto"/>
        <w:rPr>
          <w:rFonts w:ascii="Arial" w:hAnsi="Arial" w:cs="Arial"/>
          <w:sz w:val="28"/>
          <w:szCs w:val="28"/>
        </w:rPr>
      </w:pPr>
    </w:p>
    <w:p w14:paraId="34747102" w14:textId="77777777" w:rsidR="00957376" w:rsidRPr="00162809" w:rsidRDefault="00957376" w:rsidP="0026022B">
      <w:pPr>
        <w:spacing w:line="360" w:lineRule="auto"/>
        <w:rPr>
          <w:rFonts w:ascii="Arial" w:hAnsi="Arial" w:cs="Arial"/>
          <w:sz w:val="28"/>
          <w:szCs w:val="28"/>
        </w:rPr>
      </w:pPr>
    </w:p>
    <w:p w14:paraId="074DB81D" w14:textId="77777777" w:rsidR="00162809" w:rsidRPr="00162809" w:rsidRDefault="00162809" w:rsidP="00162809">
      <w:pPr>
        <w:jc w:val="center"/>
        <w:rPr>
          <w:sz w:val="28"/>
          <w:szCs w:val="28"/>
        </w:rPr>
      </w:pPr>
      <w:r w:rsidRPr="00162809">
        <w:rPr>
          <w:noProof/>
          <w:sz w:val="28"/>
          <w:szCs w:val="28"/>
        </w:rPr>
        <w:drawing>
          <wp:inline distT="0" distB="0" distL="0" distR="0" wp14:anchorId="65B99F00" wp14:editId="4B1B8100">
            <wp:extent cx="4560983" cy="1825553"/>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609).png"/>
                    <pic:cNvPicPr/>
                  </pic:nvPicPr>
                  <pic:blipFill>
                    <a:blip r:embed="rId8"/>
                    <a:stretch>
                      <a:fillRect/>
                    </a:stretch>
                  </pic:blipFill>
                  <pic:spPr>
                    <a:xfrm>
                      <a:off x="0" y="0"/>
                      <a:ext cx="4571527" cy="1829773"/>
                    </a:xfrm>
                    <a:prstGeom prst="rect">
                      <a:avLst/>
                    </a:prstGeom>
                  </pic:spPr>
                </pic:pic>
              </a:graphicData>
            </a:graphic>
          </wp:inline>
        </w:drawing>
      </w:r>
    </w:p>
    <w:p w14:paraId="4B9CE835" w14:textId="77777777" w:rsidR="00162809" w:rsidRPr="00162809" w:rsidRDefault="00162809" w:rsidP="00162809">
      <w:pPr>
        <w:pBdr>
          <w:bottom w:val="single" w:sz="10" w:space="1" w:color="1F4E79"/>
        </w:pBdr>
        <w:spacing w:after="360"/>
        <w:rPr>
          <w:sz w:val="28"/>
          <w:szCs w:val="28"/>
        </w:rPr>
      </w:pPr>
    </w:p>
    <w:p w14:paraId="5D851185" w14:textId="77777777" w:rsidR="00162809" w:rsidRPr="00503173" w:rsidRDefault="00162809" w:rsidP="00503173">
      <w:pPr>
        <w:spacing w:after="100" w:line="360" w:lineRule="auto"/>
        <w:jc w:val="center"/>
        <w:rPr>
          <w:sz w:val="28"/>
          <w:szCs w:val="28"/>
        </w:rPr>
      </w:pPr>
      <w:r w:rsidRPr="00503173">
        <w:rPr>
          <w:rFonts w:ascii="Arial" w:hAnsi="Arial"/>
          <w:b/>
          <w:color w:val="1F4E79"/>
          <w:sz w:val="28"/>
          <w:szCs w:val="28"/>
        </w:rPr>
        <w:t>ASSESSMENT COMPONENT</w:t>
      </w:r>
    </w:p>
    <w:p w14:paraId="54FDF41B" w14:textId="77777777" w:rsidR="00162809" w:rsidRPr="00503173" w:rsidRDefault="00162809" w:rsidP="00503173">
      <w:pPr>
        <w:spacing w:after="240" w:line="360" w:lineRule="auto"/>
        <w:jc w:val="center"/>
        <w:rPr>
          <w:sz w:val="28"/>
          <w:szCs w:val="28"/>
        </w:rPr>
      </w:pPr>
      <w:r w:rsidRPr="00503173">
        <w:rPr>
          <w:rFonts w:ascii="Arial" w:hAnsi="Arial"/>
          <w:b/>
          <w:color w:val="000000"/>
          <w:sz w:val="28"/>
          <w:szCs w:val="28"/>
        </w:rPr>
        <w:t>FINANCIAL PERFORMANCE</w:t>
      </w:r>
      <w:r w:rsidRPr="00503173">
        <w:rPr>
          <w:rFonts w:ascii="Arial" w:hAnsi="Arial"/>
          <w:b/>
          <w:color w:val="000000"/>
          <w:sz w:val="28"/>
          <w:szCs w:val="28"/>
        </w:rPr>
        <w:br/>
        <w:t>AND MANAGEMENT</w:t>
      </w:r>
    </w:p>
    <w:p w14:paraId="2D8A9304" w14:textId="77777777" w:rsidR="00162809" w:rsidRPr="00503173" w:rsidRDefault="00162809" w:rsidP="00503173">
      <w:pPr>
        <w:spacing w:after="440" w:line="360" w:lineRule="auto"/>
        <w:jc w:val="center"/>
        <w:rPr>
          <w:sz w:val="28"/>
          <w:szCs w:val="28"/>
        </w:rPr>
      </w:pPr>
      <w:r w:rsidRPr="00503173">
        <w:rPr>
          <w:rFonts w:ascii="Arial" w:hAnsi="Arial"/>
          <w:b/>
          <w:color w:val="595959"/>
          <w:sz w:val="28"/>
          <w:szCs w:val="28"/>
        </w:rPr>
        <w:t>InterContinental Hotels Group PLC (IHG)</w:t>
      </w:r>
    </w:p>
    <w:p w14:paraId="3836C6D0" w14:textId="77777777" w:rsidR="00162809" w:rsidRPr="00503173" w:rsidRDefault="00162809" w:rsidP="00503173">
      <w:pPr>
        <w:spacing w:after="100" w:line="360" w:lineRule="auto"/>
        <w:jc w:val="center"/>
        <w:rPr>
          <w:sz w:val="28"/>
          <w:szCs w:val="28"/>
        </w:rPr>
      </w:pPr>
      <w:r w:rsidRPr="00503173">
        <w:rPr>
          <w:rFonts w:ascii="Arial" w:hAnsi="Arial"/>
          <w:b/>
          <w:sz w:val="28"/>
          <w:szCs w:val="28"/>
        </w:rPr>
        <w:t xml:space="preserve">Programme: </w:t>
      </w:r>
      <w:r w:rsidRPr="00503173">
        <w:rPr>
          <w:rFonts w:ascii="Arial" w:hAnsi="Arial"/>
          <w:sz w:val="28"/>
          <w:szCs w:val="28"/>
        </w:rPr>
        <w:t>Master of Business Administration</w:t>
      </w:r>
    </w:p>
    <w:p w14:paraId="2875E28B" w14:textId="77777777" w:rsidR="00162809" w:rsidRPr="00503173" w:rsidRDefault="00162809" w:rsidP="00503173">
      <w:pPr>
        <w:spacing w:after="100" w:line="360" w:lineRule="auto"/>
        <w:jc w:val="center"/>
        <w:rPr>
          <w:sz w:val="28"/>
          <w:szCs w:val="28"/>
        </w:rPr>
      </w:pPr>
      <w:r w:rsidRPr="00503173">
        <w:rPr>
          <w:rFonts w:ascii="Arial" w:hAnsi="Arial"/>
          <w:b/>
          <w:sz w:val="28"/>
          <w:szCs w:val="28"/>
        </w:rPr>
        <w:t xml:space="preserve">Module: </w:t>
      </w:r>
      <w:r w:rsidRPr="00503173">
        <w:rPr>
          <w:rFonts w:ascii="Arial" w:hAnsi="Arial"/>
          <w:sz w:val="28"/>
          <w:szCs w:val="28"/>
        </w:rPr>
        <w:t>Financial Management</w:t>
      </w:r>
    </w:p>
    <w:p w14:paraId="4D80C530" w14:textId="77777777" w:rsidR="00162809" w:rsidRPr="00503173" w:rsidRDefault="00162809" w:rsidP="00503173">
      <w:pPr>
        <w:spacing w:after="100" w:line="360" w:lineRule="auto"/>
        <w:jc w:val="center"/>
        <w:rPr>
          <w:sz w:val="28"/>
          <w:szCs w:val="28"/>
        </w:rPr>
      </w:pPr>
      <w:r w:rsidRPr="00503173">
        <w:rPr>
          <w:rFonts w:ascii="Arial" w:hAnsi="Arial"/>
          <w:b/>
          <w:sz w:val="28"/>
          <w:szCs w:val="28"/>
        </w:rPr>
        <w:t xml:space="preserve">Module code: </w:t>
      </w:r>
      <w:r w:rsidRPr="00503173">
        <w:rPr>
          <w:rFonts w:ascii="Arial" w:hAnsi="Arial"/>
          <w:sz w:val="28"/>
          <w:szCs w:val="28"/>
        </w:rPr>
        <w:t>LCMB7002</w:t>
      </w:r>
    </w:p>
    <w:p w14:paraId="6019A258" w14:textId="77777777" w:rsidR="00162809" w:rsidRPr="00503173" w:rsidRDefault="00162809" w:rsidP="00503173">
      <w:pPr>
        <w:spacing w:after="100" w:line="360" w:lineRule="auto"/>
        <w:jc w:val="center"/>
        <w:rPr>
          <w:sz w:val="28"/>
          <w:szCs w:val="28"/>
        </w:rPr>
      </w:pPr>
      <w:r w:rsidRPr="00503173">
        <w:rPr>
          <w:rFonts w:ascii="Arial" w:hAnsi="Arial"/>
          <w:b/>
          <w:sz w:val="28"/>
          <w:szCs w:val="28"/>
        </w:rPr>
        <w:t xml:space="preserve">Lecturers: </w:t>
      </w:r>
      <w:r w:rsidRPr="00503173">
        <w:rPr>
          <w:rFonts w:ascii="Arial" w:hAnsi="Arial"/>
          <w:sz w:val="28"/>
          <w:szCs w:val="28"/>
        </w:rPr>
        <w:t>Shengfeng Mei (London) and Patrick Yeboah (Birmingham)</w:t>
      </w:r>
    </w:p>
    <w:p w14:paraId="06B00394" w14:textId="77777777" w:rsidR="006E5DAA" w:rsidRPr="00503173" w:rsidRDefault="006E5DAA" w:rsidP="00503173">
      <w:pPr>
        <w:spacing w:before="100" w:beforeAutospacing="1" w:after="100" w:afterAutospacing="1" w:line="360" w:lineRule="auto"/>
        <w:jc w:val="center"/>
        <w:rPr>
          <w:rFonts w:ascii="Times New Roman" w:eastAsia="Times New Roman" w:hAnsi="Times New Roman" w:cs="Times New Roman"/>
          <w:sz w:val="28"/>
          <w:szCs w:val="28"/>
          <w:lang w:eastAsia="en-GB"/>
        </w:rPr>
      </w:pPr>
      <w:r w:rsidRPr="00503173">
        <w:rPr>
          <w:rFonts w:ascii="Times New Roman" w:eastAsia="Times New Roman" w:hAnsi="Times New Roman" w:cs="Times New Roman"/>
          <w:b/>
          <w:bCs/>
          <w:sz w:val="28"/>
          <w:szCs w:val="28"/>
          <w:lang w:eastAsia="en-GB"/>
        </w:rPr>
        <w:t>Name:</w:t>
      </w:r>
      <w:r w:rsidRPr="00503173">
        <w:rPr>
          <w:rFonts w:ascii="Times New Roman" w:eastAsia="Times New Roman" w:hAnsi="Times New Roman" w:cs="Times New Roman"/>
          <w:sz w:val="28"/>
          <w:szCs w:val="28"/>
          <w:lang w:eastAsia="en-GB"/>
        </w:rPr>
        <w:t xml:space="preserve"> Mayur Jivabhai Sundavadra</w:t>
      </w:r>
      <w:r w:rsidRPr="00503173">
        <w:rPr>
          <w:rFonts w:ascii="Times New Roman" w:eastAsia="Times New Roman" w:hAnsi="Times New Roman" w:cs="Times New Roman"/>
          <w:sz w:val="28"/>
          <w:szCs w:val="28"/>
          <w:lang w:eastAsia="en-GB"/>
        </w:rPr>
        <w:br/>
      </w:r>
      <w:r w:rsidRPr="00503173">
        <w:rPr>
          <w:rFonts w:ascii="Times New Roman" w:eastAsia="Times New Roman" w:hAnsi="Times New Roman" w:cs="Times New Roman"/>
          <w:b/>
          <w:bCs/>
          <w:sz w:val="28"/>
          <w:szCs w:val="28"/>
          <w:lang w:eastAsia="en-GB"/>
        </w:rPr>
        <w:t>Student ID:</w:t>
      </w:r>
      <w:r w:rsidRPr="00503173">
        <w:rPr>
          <w:rFonts w:ascii="Times New Roman" w:eastAsia="Times New Roman" w:hAnsi="Times New Roman" w:cs="Times New Roman"/>
          <w:sz w:val="28"/>
          <w:szCs w:val="28"/>
          <w:lang w:eastAsia="en-GB"/>
        </w:rPr>
        <w:t xml:space="preserve"> 2538588</w:t>
      </w:r>
    </w:p>
    <w:p w14:paraId="02E5DB88" w14:textId="77777777" w:rsidR="00162809" w:rsidRDefault="00162809" w:rsidP="0026022B">
      <w:pPr>
        <w:spacing w:line="360" w:lineRule="auto"/>
        <w:rPr>
          <w:rFonts w:ascii="Arial" w:hAnsi="Arial"/>
          <w:b/>
          <w:sz w:val="28"/>
          <w:szCs w:val="28"/>
        </w:rPr>
      </w:pPr>
    </w:p>
    <w:p w14:paraId="5C8AAE8D" w14:textId="77777777" w:rsidR="0026022B" w:rsidRPr="00137A05" w:rsidRDefault="0026022B" w:rsidP="0026022B">
      <w:pPr>
        <w:spacing w:line="360" w:lineRule="auto"/>
        <w:rPr>
          <w:rFonts w:ascii="Arial" w:hAnsi="Arial" w:cs="Arial"/>
          <w:sz w:val="24"/>
          <w:szCs w:val="24"/>
        </w:rPr>
      </w:pPr>
    </w:p>
    <w:sdt>
      <w:sdtPr>
        <w:rPr>
          <w:rFonts w:ascii="Arial" w:eastAsiaTheme="minorEastAsia" w:hAnsi="Arial" w:cs="Arial"/>
          <w:b w:val="0"/>
          <w:bCs w:val="0"/>
          <w:smallCaps w:val="0"/>
          <w:color w:val="auto"/>
          <w:sz w:val="24"/>
          <w:szCs w:val="24"/>
        </w:rPr>
        <w:id w:val="-449785502"/>
        <w:docPartObj>
          <w:docPartGallery w:val="Table of Contents"/>
          <w:docPartUnique/>
        </w:docPartObj>
      </w:sdtPr>
      <w:sdtEndPr>
        <w:rPr>
          <w:noProof/>
        </w:rPr>
      </w:sdtEndPr>
      <w:sdtContent>
        <w:p w14:paraId="4B9E4C0B" w14:textId="31B01DEE" w:rsidR="0026022B" w:rsidRPr="00137A05" w:rsidRDefault="0026022B" w:rsidP="0026022B">
          <w:pPr>
            <w:pStyle w:val="TOCHeading"/>
            <w:numPr>
              <w:ilvl w:val="0"/>
              <w:numId w:val="0"/>
            </w:numPr>
            <w:ind w:left="432" w:hanging="432"/>
            <w:rPr>
              <w:rFonts w:ascii="Arial" w:hAnsi="Arial" w:cs="Arial"/>
              <w:sz w:val="24"/>
              <w:szCs w:val="24"/>
            </w:rPr>
          </w:pPr>
          <w:r w:rsidRPr="00137A05">
            <w:rPr>
              <w:rFonts w:ascii="Arial" w:hAnsi="Arial" w:cs="Arial"/>
              <w:sz w:val="24"/>
              <w:szCs w:val="24"/>
            </w:rPr>
            <w:t>Table of Contents</w:t>
          </w:r>
        </w:p>
        <w:p w14:paraId="1B8A7FE2" w14:textId="24D17DFA" w:rsidR="00AB3F66" w:rsidRDefault="0026022B">
          <w:pPr>
            <w:pStyle w:val="TOC1"/>
            <w:tabs>
              <w:tab w:val="left" w:pos="440"/>
              <w:tab w:val="right" w:leader="dot" w:pos="9016"/>
            </w:tabs>
            <w:rPr>
              <w:noProof/>
              <w:kern w:val="2"/>
              <w:sz w:val="24"/>
              <w:szCs w:val="24"/>
              <w14:ligatures w14:val="standardContextual"/>
            </w:rPr>
          </w:pPr>
          <w:r w:rsidRPr="00137A05">
            <w:rPr>
              <w:rFonts w:ascii="Arial" w:hAnsi="Arial" w:cs="Arial"/>
              <w:sz w:val="24"/>
              <w:szCs w:val="24"/>
            </w:rPr>
            <w:fldChar w:fldCharType="begin"/>
          </w:r>
          <w:r w:rsidRPr="00137A05">
            <w:rPr>
              <w:rFonts w:ascii="Arial" w:hAnsi="Arial" w:cs="Arial"/>
              <w:sz w:val="24"/>
              <w:szCs w:val="24"/>
            </w:rPr>
            <w:instrText xml:space="preserve"> TOC \o "1-3" \h \z \u </w:instrText>
          </w:r>
          <w:r w:rsidRPr="00137A05">
            <w:rPr>
              <w:rFonts w:ascii="Arial" w:hAnsi="Arial" w:cs="Arial"/>
              <w:sz w:val="24"/>
              <w:szCs w:val="24"/>
            </w:rPr>
            <w:fldChar w:fldCharType="separate"/>
          </w:r>
          <w:hyperlink w:anchor="_Toc235788204" w:history="1">
            <w:r w:rsidR="00AB3F66" w:rsidRPr="0071633A">
              <w:rPr>
                <w:rStyle w:val="Hyperlink"/>
                <w:rFonts w:ascii="Arial" w:hAnsi="Arial" w:cs="Arial"/>
                <w:noProof/>
              </w:rPr>
              <w:t>1</w:t>
            </w:r>
            <w:r w:rsidR="00AB3F66">
              <w:rPr>
                <w:noProof/>
                <w:kern w:val="2"/>
                <w:sz w:val="24"/>
                <w:szCs w:val="24"/>
                <w14:ligatures w14:val="standardContextual"/>
              </w:rPr>
              <w:tab/>
            </w:r>
            <w:r w:rsidR="00AB3F66" w:rsidRPr="0071633A">
              <w:rPr>
                <w:rStyle w:val="Hyperlink"/>
                <w:rFonts w:ascii="Arial" w:hAnsi="Arial" w:cs="Arial"/>
                <w:noProof/>
              </w:rPr>
              <w:t>Financial Health Check</w:t>
            </w:r>
            <w:r w:rsidR="00AB3F66">
              <w:rPr>
                <w:noProof/>
                <w:webHidden/>
              </w:rPr>
              <w:tab/>
            </w:r>
            <w:r w:rsidR="00AB3F66">
              <w:rPr>
                <w:noProof/>
                <w:webHidden/>
              </w:rPr>
              <w:fldChar w:fldCharType="begin"/>
            </w:r>
            <w:r w:rsidR="00AB3F66">
              <w:rPr>
                <w:noProof/>
                <w:webHidden/>
              </w:rPr>
              <w:instrText xml:space="preserve"> PAGEREF _Toc235788204 \h </w:instrText>
            </w:r>
            <w:r w:rsidR="00AB3F66">
              <w:rPr>
                <w:noProof/>
                <w:webHidden/>
              </w:rPr>
            </w:r>
            <w:r w:rsidR="00AB3F66">
              <w:rPr>
                <w:noProof/>
                <w:webHidden/>
              </w:rPr>
              <w:fldChar w:fldCharType="separate"/>
            </w:r>
            <w:r w:rsidR="00AB3F66">
              <w:rPr>
                <w:noProof/>
                <w:webHidden/>
              </w:rPr>
              <w:t>4</w:t>
            </w:r>
            <w:r w:rsidR="00AB3F66">
              <w:rPr>
                <w:noProof/>
                <w:webHidden/>
              </w:rPr>
              <w:fldChar w:fldCharType="end"/>
            </w:r>
          </w:hyperlink>
        </w:p>
        <w:p w14:paraId="2B58CD88" w14:textId="43A218A9" w:rsidR="00AB3F66" w:rsidRDefault="00AB3F66">
          <w:pPr>
            <w:pStyle w:val="TOC2"/>
            <w:tabs>
              <w:tab w:val="left" w:pos="960"/>
              <w:tab w:val="right" w:leader="dot" w:pos="9016"/>
            </w:tabs>
            <w:rPr>
              <w:noProof/>
              <w:kern w:val="2"/>
              <w:sz w:val="24"/>
              <w:szCs w:val="24"/>
              <w14:ligatures w14:val="standardContextual"/>
            </w:rPr>
          </w:pPr>
          <w:hyperlink w:anchor="_Toc235788205" w:history="1">
            <w:r w:rsidRPr="0071633A">
              <w:rPr>
                <w:rStyle w:val="Hyperlink"/>
                <w:rFonts w:ascii="Arial" w:hAnsi="Arial" w:cs="Arial"/>
                <w:noProof/>
              </w:rPr>
              <w:t>1.1</w:t>
            </w:r>
            <w:r>
              <w:rPr>
                <w:noProof/>
                <w:kern w:val="2"/>
                <w:sz w:val="24"/>
                <w:szCs w:val="24"/>
                <w14:ligatures w14:val="standardContextual"/>
              </w:rPr>
              <w:tab/>
            </w:r>
            <w:r w:rsidRPr="0071633A">
              <w:rPr>
                <w:rStyle w:val="Hyperlink"/>
                <w:rFonts w:ascii="Arial" w:hAnsi="Arial" w:cs="Arial"/>
                <w:noProof/>
              </w:rPr>
              <w:t>Basis of analysis</w:t>
            </w:r>
            <w:r>
              <w:rPr>
                <w:noProof/>
                <w:webHidden/>
              </w:rPr>
              <w:tab/>
            </w:r>
            <w:r>
              <w:rPr>
                <w:noProof/>
                <w:webHidden/>
              </w:rPr>
              <w:fldChar w:fldCharType="begin"/>
            </w:r>
            <w:r>
              <w:rPr>
                <w:noProof/>
                <w:webHidden/>
              </w:rPr>
              <w:instrText xml:space="preserve"> PAGEREF _Toc235788205 \h </w:instrText>
            </w:r>
            <w:r>
              <w:rPr>
                <w:noProof/>
                <w:webHidden/>
              </w:rPr>
            </w:r>
            <w:r>
              <w:rPr>
                <w:noProof/>
                <w:webHidden/>
              </w:rPr>
              <w:fldChar w:fldCharType="separate"/>
            </w:r>
            <w:r>
              <w:rPr>
                <w:noProof/>
                <w:webHidden/>
              </w:rPr>
              <w:t>4</w:t>
            </w:r>
            <w:r>
              <w:rPr>
                <w:noProof/>
                <w:webHidden/>
              </w:rPr>
              <w:fldChar w:fldCharType="end"/>
            </w:r>
          </w:hyperlink>
        </w:p>
        <w:p w14:paraId="08D19860" w14:textId="508241C3" w:rsidR="00AB3F66" w:rsidRDefault="00AB3F66">
          <w:pPr>
            <w:pStyle w:val="TOC2"/>
            <w:tabs>
              <w:tab w:val="left" w:pos="960"/>
              <w:tab w:val="right" w:leader="dot" w:pos="9016"/>
            </w:tabs>
            <w:rPr>
              <w:noProof/>
              <w:kern w:val="2"/>
              <w:sz w:val="24"/>
              <w:szCs w:val="24"/>
              <w14:ligatures w14:val="standardContextual"/>
            </w:rPr>
          </w:pPr>
          <w:hyperlink w:anchor="_Toc235788206" w:history="1">
            <w:r w:rsidRPr="0071633A">
              <w:rPr>
                <w:rStyle w:val="Hyperlink"/>
                <w:rFonts w:ascii="Arial" w:hAnsi="Arial" w:cs="Arial"/>
                <w:noProof/>
              </w:rPr>
              <w:t>1.2</w:t>
            </w:r>
            <w:r>
              <w:rPr>
                <w:noProof/>
                <w:kern w:val="2"/>
                <w:sz w:val="24"/>
                <w:szCs w:val="24"/>
                <w14:ligatures w14:val="standardContextual"/>
              </w:rPr>
              <w:tab/>
            </w:r>
            <w:r w:rsidRPr="0071633A">
              <w:rPr>
                <w:rStyle w:val="Hyperlink"/>
                <w:rFonts w:ascii="Arial" w:hAnsi="Arial" w:cs="Arial"/>
                <w:noProof/>
              </w:rPr>
              <w:t>Five-year financial-statement performance</w:t>
            </w:r>
            <w:r>
              <w:rPr>
                <w:noProof/>
                <w:webHidden/>
              </w:rPr>
              <w:tab/>
            </w:r>
            <w:r>
              <w:rPr>
                <w:noProof/>
                <w:webHidden/>
              </w:rPr>
              <w:fldChar w:fldCharType="begin"/>
            </w:r>
            <w:r>
              <w:rPr>
                <w:noProof/>
                <w:webHidden/>
              </w:rPr>
              <w:instrText xml:space="preserve"> PAGEREF _Toc235788206 \h </w:instrText>
            </w:r>
            <w:r>
              <w:rPr>
                <w:noProof/>
                <w:webHidden/>
              </w:rPr>
            </w:r>
            <w:r>
              <w:rPr>
                <w:noProof/>
                <w:webHidden/>
              </w:rPr>
              <w:fldChar w:fldCharType="separate"/>
            </w:r>
            <w:r>
              <w:rPr>
                <w:noProof/>
                <w:webHidden/>
              </w:rPr>
              <w:t>4</w:t>
            </w:r>
            <w:r>
              <w:rPr>
                <w:noProof/>
                <w:webHidden/>
              </w:rPr>
              <w:fldChar w:fldCharType="end"/>
            </w:r>
          </w:hyperlink>
        </w:p>
        <w:p w14:paraId="6BCF56AA" w14:textId="17B973BF" w:rsidR="00AB3F66" w:rsidRDefault="00AB3F66">
          <w:pPr>
            <w:pStyle w:val="TOC2"/>
            <w:tabs>
              <w:tab w:val="left" w:pos="960"/>
              <w:tab w:val="right" w:leader="dot" w:pos="9016"/>
            </w:tabs>
            <w:rPr>
              <w:noProof/>
              <w:kern w:val="2"/>
              <w:sz w:val="24"/>
              <w:szCs w:val="24"/>
              <w14:ligatures w14:val="standardContextual"/>
            </w:rPr>
          </w:pPr>
          <w:hyperlink w:anchor="_Toc235788207" w:history="1">
            <w:r w:rsidRPr="0071633A">
              <w:rPr>
                <w:rStyle w:val="Hyperlink"/>
                <w:rFonts w:ascii="Arial" w:hAnsi="Arial" w:cs="Arial"/>
                <w:noProof/>
              </w:rPr>
              <w:t>1.3</w:t>
            </w:r>
            <w:r>
              <w:rPr>
                <w:noProof/>
                <w:kern w:val="2"/>
                <w:sz w:val="24"/>
                <w:szCs w:val="24"/>
                <w14:ligatures w14:val="standardContextual"/>
              </w:rPr>
              <w:tab/>
            </w:r>
            <w:r w:rsidRPr="0071633A">
              <w:rPr>
                <w:rStyle w:val="Hyperlink"/>
                <w:rFonts w:ascii="Arial" w:hAnsi="Arial" w:cs="Arial"/>
                <w:noProof/>
              </w:rPr>
              <w:t>Profitability and operating efficiency</w:t>
            </w:r>
            <w:r>
              <w:rPr>
                <w:noProof/>
                <w:webHidden/>
              </w:rPr>
              <w:tab/>
            </w:r>
            <w:r>
              <w:rPr>
                <w:noProof/>
                <w:webHidden/>
              </w:rPr>
              <w:fldChar w:fldCharType="begin"/>
            </w:r>
            <w:r>
              <w:rPr>
                <w:noProof/>
                <w:webHidden/>
              </w:rPr>
              <w:instrText xml:space="preserve"> PAGEREF _Toc235788207 \h </w:instrText>
            </w:r>
            <w:r>
              <w:rPr>
                <w:noProof/>
                <w:webHidden/>
              </w:rPr>
            </w:r>
            <w:r>
              <w:rPr>
                <w:noProof/>
                <w:webHidden/>
              </w:rPr>
              <w:fldChar w:fldCharType="separate"/>
            </w:r>
            <w:r>
              <w:rPr>
                <w:noProof/>
                <w:webHidden/>
              </w:rPr>
              <w:t>6</w:t>
            </w:r>
            <w:r>
              <w:rPr>
                <w:noProof/>
                <w:webHidden/>
              </w:rPr>
              <w:fldChar w:fldCharType="end"/>
            </w:r>
          </w:hyperlink>
        </w:p>
        <w:p w14:paraId="0C3CB604" w14:textId="7609A07C" w:rsidR="00AB3F66" w:rsidRDefault="00AB3F66">
          <w:pPr>
            <w:pStyle w:val="TOC2"/>
            <w:tabs>
              <w:tab w:val="left" w:pos="960"/>
              <w:tab w:val="right" w:leader="dot" w:pos="9016"/>
            </w:tabs>
            <w:rPr>
              <w:noProof/>
              <w:kern w:val="2"/>
              <w:sz w:val="24"/>
              <w:szCs w:val="24"/>
              <w14:ligatures w14:val="standardContextual"/>
            </w:rPr>
          </w:pPr>
          <w:hyperlink w:anchor="_Toc235788208" w:history="1">
            <w:r w:rsidRPr="0071633A">
              <w:rPr>
                <w:rStyle w:val="Hyperlink"/>
                <w:rFonts w:ascii="Arial" w:hAnsi="Arial" w:cs="Arial"/>
                <w:noProof/>
              </w:rPr>
              <w:t>1.4</w:t>
            </w:r>
            <w:r>
              <w:rPr>
                <w:noProof/>
                <w:kern w:val="2"/>
                <w:sz w:val="24"/>
                <w:szCs w:val="24"/>
                <w14:ligatures w14:val="standardContextual"/>
              </w:rPr>
              <w:tab/>
            </w:r>
            <w:r w:rsidRPr="0071633A">
              <w:rPr>
                <w:rStyle w:val="Hyperlink"/>
                <w:rFonts w:ascii="Arial" w:hAnsi="Arial" w:cs="Arial"/>
                <w:noProof/>
              </w:rPr>
              <w:t>Liquidity and working-capital position</w:t>
            </w:r>
            <w:r>
              <w:rPr>
                <w:noProof/>
                <w:webHidden/>
              </w:rPr>
              <w:tab/>
            </w:r>
            <w:r>
              <w:rPr>
                <w:noProof/>
                <w:webHidden/>
              </w:rPr>
              <w:fldChar w:fldCharType="begin"/>
            </w:r>
            <w:r>
              <w:rPr>
                <w:noProof/>
                <w:webHidden/>
              </w:rPr>
              <w:instrText xml:space="preserve"> PAGEREF _Toc235788208 \h </w:instrText>
            </w:r>
            <w:r>
              <w:rPr>
                <w:noProof/>
                <w:webHidden/>
              </w:rPr>
            </w:r>
            <w:r>
              <w:rPr>
                <w:noProof/>
                <w:webHidden/>
              </w:rPr>
              <w:fldChar w:fldCharType="separate"/>
            </w:r>
            <w:r>
              <w:rPr>
                <w:noProof/>
                <w:webHidden/>
              </w:rPr>
              <w:t>7</w:t>
            </w:r>
            <w:r>
              <w:rPr>
                <w:noProof/>
                <w:webHidden/>
              </w:rPr>
              <w:fldChar w:fldCharType="end"/>
            </w:r>
          </w:hyperlink>
        </w:p>
        <w:p w14:paraId="101F6D7B" w14:textId="4C9BBE2C" w:rsidR="00AB3F66" w:rsidRDefault="00AB3F66">
          <w:pPr>
            <w:pStyle w:val="TOC2"/>
            <w:tabs>
              <w:tab w:val="left" w:pos="960"/>
              <w:tab w:val="right" w:leader="dot" w:pos="9016"/>
            </w:tabs>
            <w:rPr>
              <w:noProof/>
              <w:kern w:val="2"/>
              <w:sz w:val="24"/>
              <w:szCs w:val="24"/>
              <w14:ligatures w14:val="standardContextual"/>
            </w:rPr>
          </w:pPr>
          <w:hyperlink w:anchor="_Toc235788209" w:history="1">
            <w:r w:rsidRPr="0071633A">
              <w:rPr>
                <w:rStyle w:val="Hyperlink"/>
                <w:rFonts w:ascii="Arial" w:hAnsi="Arial" w:cs="Arial"/>
                <w:noProof/>
              </w:rPr>
              <w:t>1.5</w:t>
            </w:r>
            <w:r>
              <w:rPr>
                <w:noProof/>
                <w:kern w:val="2"/>
                <w:sz w:val="24"/>
                <w:szCs w:val="24"/>
                <w14:ligatures w14:val="standardContextual"/>
              </w:rPr>
              <w:tab/>
            </w:r>
            <w:r w:rsidRPr="0071633A">
              <w:rPr>
                <w:rStyle w:val="Hyperlink"/>
                <w:rFonts w:ascii="Arial" w:hAnsi="Arial" w:cs="Arial"/>
                <w:noProof/>
              </w:rPr>
              <w:t>Gearing, investor returns and cash-flow quality</w:t>
            </w:r>
            <w:r>
              <w:rPr>
                <w:noProof/>
                <w:webHidden/>
              </w:rPr>
              <w:tab/>
            </w:r>
            <w:r>
              <w:rPr>
                <w:noProof/>
                <w:webHidden/>
              </w:rPr>
              <w:fldChar w:fldCharType="begin"/>
            </w:r>
            <w:r>
              <w:rPr>
                <w:noProof/>
                <w:webHidden/>
              </w:rPr>
              <w:instrText xml:space="preserve"> PAGEREF _Toc235788209 \h </w:instrText>
            </w:r>
            <w:r>
              <w:rPr>
                <w:noProof/>
                <w:webHidden/>
              </w:rPr>
            </w:r>
            <w:r>
              <w:rPr>
                <w:noProof/>
                <w:webHidden/>
              </w:rPr>
              <w:fldChar w:fldCharType="separate"/>
            </w:r>
            <w:r>
              <w:rPr>
                <w:noProof/>
                <w:webHidden/>
              </w:rPr>
              <w:t>8</w:t>
            </w:r>
            <w:r>
              <w:rPr>
                <w:noProof/>
                <w:webHidden/>
              </w:rPr>
              <w:fldChar w:fldCharType="end"/>
            </w:r>
          </w:hyperlink>
        </w:p>
        <w:p w14:paraId="20B7B9BD" w14:textId="3726501C" w:rsidR="00AB3F66" w:rsidRDefault="00AB3F66">
          <w:pPr>
            <w:pStyle w:val="TOC2"/>
            <w:tabs>
              <w:tab w:val="left" w:pos="960"/>
              <w:tab w:val="right" w:leader="dot" w:pos="9016"/>
            </w:tabs>
            <w:rPr>
              <w:noProof/>
              <w:kern w:val="2"/>
              <w:sz w:val="24"/>
              <w:szCs w:val="24"/>
              <w14:ligatures w14:val="standardContextual"/>
            </w:rPr>
          </w:pPr>
          <w:hyperlink w:anchor="_Toc235788210" w:history="1">
            <w:r w:rsidRPr="0071633A">
              <w:rPr>
                <w:rStyle w:val="Hyperlink"/>
                <w:rFonts w:ascii="Arial" w:hAnsi="Arial" w:cs="Arial"/>
                <w:noProof/>
              </w:rPr>
              <w:t>1.6</w:t>
            </w:r>
            <w:r>
              <w:rPr>
                <w:noProof/>
                <w:kern w:val="2"/>
                <w:sz w:val="24"/>
                <w:szCs w:val="24"/>
                <w14:ligatures w14:val="standardContextual"/>
              </w:rPr>
              <w:tab/>
            </w:r>
            <w:r w:rsidRPr="0071633A">
              <w:rPr>
                <w:rStyle w:val="Hyperlink"/>
                <w:rFonts w:ascii="Arial" w:hAnsi="Arial" w:cs="Arial"/>
                <w:noProof/>
              </w:rPr>
              <w:t>Liquidity comparison with hospitality-sector peers</w:t>
            </w:r>
            <w:r>
              <w:rPr>
                <w:noProof/>
                <w:webHidden/>
              </w:rPr>
              <w:tab/>
            </w:r>
            <w:r>
              <w:rPr>
                <w:noProof/>
                <w:webHidden/>
              </w:rPr>
              <w:fldChar w:fldCharType="begin"/>
            </w:r>
            <w:r>
              <w:rPr>
                <w:noProof/>
                <w:webHidden/>
              </w:rPr>
              <w:instrText xml:space="preserve"> PAGEREF _Toc235788210 \h </w:instrText>
            </w:r>
            <w:r>
              <w:rPr>
                <w:noProof/>
                <w:webHidden/>
              </w:rPr>
            </w:r>
            <w:r>
              <w:rPr>
                <w:noProof/>
                <w:webHidden/>
              </w:rPr>
              <w:fldChar w:fldCharType="separate"/>
            </w:r>
            <w:r>
              <w:rPr>
                <w:noProof/>
                <w:webHidden/>
              </w:rPr>
              <w:t>11</w:t>
            </w:r>
            <w:r>
              <w:rPr>
                <w:noProof/>
                <w:webHidden/>
              </w:rPr>
              <w:fldChar w:fldCharType="end"/>
            </w:r>
          </w:hyperlink>
        </w:p>
        <w:p w14:paraId="435D4806" w14:textId="3DF4D338" w:rsidR="00AB3F66" w:rsidRDefault="00AB3F66">
          <w:pPr>
            <w:pStyle w:val="TOC2"/>
            <w:tabs>
              <w:tab w:val="left" w:pos="960"/>
              <w:tab w:val="right" w:leader="dot" w:pos="9016"/>
            </w:tabs>
            <w:rPr>
              <w:noProof/>
              <w:kern w:val="2"/>
              <w:sz w:val="24"/>
              <w:szCs w:val="24"/>
              <w14:ligatures w14:val="standardContextual"/>
            </w:rPr>
          </w:pPr>
          <w:hyperlink w:anchor="_Toc235788211" w:history="1">
            <w:r w:rsidRPr="0071633A">
              <w:rPr>
                <w:rStyle w:val="Hyperlink"/>
                <w:rFonts w:ascii="Arial" w:hAnsi="Arial" w:cs="Arial"/>
                <w:noProof/>
              </w:rPr>
              <w:t>1.7</w:t>
            </w:r>
            <w:r>
              <w:rPr>
                <w:noProof/>
                <w:kern w:val="2"/>
                <w:sz w:val="24"/>
                <w:szCs w:val="24"/>
                <w14:ligatures w14:val="standardContextual"/>
              </w:rPr>
              <w:tab/>
            </w:r>
            <w:r w:rsidRPr="0071633A">
              <w:rPr>
                <w:rStyle w:val="Hyperlink"/>
                <w:rFonts w:ascii="Arial" w:hAnsi="Arial" w:cs="Arial"/>
                <w:noProof/>
              </w:rPr>
              <w:t>Overall financial-health judgement</w:t>
            </w:r>
            <w:r>
              <w:rPr>
                <w:noProof/>
                <w:webHidden/>
              </w:rPr>
              <w:tab/>
            </w:r>
            <w:r>
              <w:rPr>
                <w:noProof/>
                <w:webHidden/>
              </w:rPr>
              <w:fldChar w:fldCharType="begin"/>
            </w:r>
            <w:r>
              <w:rPr>
                <w:noProof/>
                <w:webHidden/>
              </w:rPr>
              <w:instrText xml:space="preserve"> PAGEREF _Toc235788211 \h </w:instrText>
            </w:r>
            <w:r>
              <w:rPr>
                <w:noProof/>
                <w:webHidden/>
              </w:rPr>
            </w:r>
            <w:r>
              <w:rPr>
                <w:noProof/>
                <w:webHidden/>
              </w:rPr>
              <w:fldChar w:fldCharType="separate"/>
            </w:r>
            <w:r>
              <w:rPr>
                <w:noProof/>
                <w:webHidden/>
              </w:rPr>
              <w:t>12</w:t>
            </w:r>
            <w:r>
              <w:rPr>
                <w:noProof/>
                <w:webHidden/>
              </w:rPr>
              <w:fldChar w:fldCharType="end"/>
            </w:r>
          </w:hyperlink>
        </w:p>
        <w:p w14:paraId="6CA0E924" w14:textId="6B2B2BCE" w:rsidR="00AB3F66" w:rsidRDefault="00AB3F66">
          <w:pPr>
            <w:pStyle w:val="TOC1"/>
            <w:tabs>
              <w:tab w:val="left" w:pos="440"/>
              <w:tab w:val="right" w:leader="dot" w:pos="9016"/>
            </w:tabs>
            <w:rPr>
              <w:noProof/>
              <w:kern w:val="2"/>
              <w:sz w:val="24"/>
              <w:szCs w:val="24"/>
              <w14:ligatures w14:val="standardContextual"/>
            </w:rPr>
          </w:pPr>
          <w:hyperlink w:anchor="_Toc235788212" w:history="1">
            <w:r w:rsidRPr="0071633A">
              <w:rPr>
                <w:rStyle w:val="Hyperlink"/>
                <w:rFonts w:ascii="Arial" w:hAnsi="Arial" w:cs="Arial"/>
                <w:noProof/>
              </w:rPr>
              <w:t>2</w:t>
            </w:r>
            <w:r>
              <w:rPr>
                <w:noProof/>
                <w:kern w:val="2"/>
                <w:sz w:val="24"/>
                <w:szCs w:val="24"/>
                <w14:ligatures w14:val="standardContextual"/>
              </w:rPr>
              <w:tab/>
            </w:r>
            <w:r w:rsidRPr="0071633A">
              <w:rPr>
                <w:rStyle w:val="Hyperlink"/>
                <w:rFonts w:ascii="Arial" w:hAnsi="Arial" w:cs="Arial"/>
                <w:noProof/>
              </w:rPr>
              <w:t>Working Capital Management Analysis</w:t>
            </w:r>
            <w:r>
              <w:rPr>
                <w:noProof/>
                <w:webHidden/>
              </w:rPr>
              <w:tab/>
            </w:r>
            <w:r>
              <w:rPr>
                <w:noProof/>
                <w:webHidden/>
              </w:rPr>
              <w:fldChar w:fldCharType="begin"/>
            </w:r>
            <w:r>
              <w:rPr>
                <w:noProof/>
                <w:webHidden/>
              </w:rPr>
              <w:instrText xml:space="preserve"> PAGEREF _Toc235788212 \h </w:instrText>
            </w:r>
            <w:r>
              <w:rPr>
                <w:noProof/>
                <w:webHidden/>
              </w:rPr>
            </w:r>
            <w:r>
              <w:rPr>
                <w:noProof/>
                <w:webHidden/>
              </w:rPr>
              <w:fldChar w:fldCharType="separate"/>
            </w:r>
            <w:r>
              <w:rPr>
                <w:noProof/>
                <w:webHidden/>
              </w:rPr>
              <w:t>12</w:t>
            </w:r>
            <w:r>
              <w:rPr>
                <w:noProof/>
                <w:webHidden/>
              </w:rPr>
              <w:fldChar w:fldCharType="end"/>
            </w:r>
          </w:hyperlink>
        </w:p>
        <w:p w14:paraId="741CF78C" w14:textId="122A0082" w:rsidR="00AB3F66" w:rsidRDefault="00AB3F66">
          <w:pPr>
            <w:pStyle w:val="TOC2"/>
            <w:tabs>
              <w:tab w:val="left" w:pos="960"/>
              <w:tab w:val="right" w:leader="dot" w:pos="9016"/>
            </w:tabs>
            <w:rPr>
              <w:noProof/>
              <w:kern w:val="2"/>
              <w:sz w:val="24"/>
              <w:szCs w:val="24"/>
              <w14:ligatures w14:val="standardContextual"/>
            </w:rPr>
          </w:pPr>
          <w:hyperlink w:anchor="_Toc235788213" w:history="1">
            <w:r w:rsidRPr="0071633A">
              <w:rPr>
                <w:rStyle w:val="Hyperlink"/>
                <w:rFonts w:ascii="Arial" w:hAnsi="Arial" w:cs="Arial"/>
                <w:noProof/>
              </w:rPr>
              <w:t>2.1</w:t>
            </w:r>
            <w:r>
              <w:rPr>
                <w:noProof/>
                <w:kern w:val="2"/>
                <w:sz w:val="24"/>
                <w:szCs w:val="24"/>
                <w14:ligatures w14:val="standardContextual"/>
              </w:rPr>
              <w:tab/>
            </w:r>
            <w:r w:rsidRPr="0071633A">
              <w:rPr>
                <w:rStyle w:val="Hyperlink"/>
                <w:rFonts w:ascii="Arial" w:hAnsi="Arial" w:cs="Arial"/>
                <w:noProof/>
              </w:rPr>
              <w:t>Cash operating cycle</w:t>
            </w:r>
            <w:r>
              <w:rPr>
                <w:noProof/>
                <w:webHidden/>
              </w:rPr>
              <w:tab/>
            </w:r>
            <w:r>
              <w:rPr>
                <w:noProof/>
                <w:webHidden/>
              </w:rPr>
              <w:fldChar w:fldCharType="begin"/>
            </w:r>
            <w:r>
              <w:rPr>
                <w:noProof/>
                <w:webHidden/>
              </w:rPr>
              <w:instrText xml:space="preserve"> PAGEREF _Toc235788213 \h </w:instrText>
            </w:r>
            <w:r>
              <w:rPr>
                <w:noProof/>
                <w:webHidden/>
              </w:rPr>
            </w:r>
            <w:r>
              <w:rPr>
                <w:noProof/>
                <w:webHidden/>
              </w:rPr>
              <w:fldChar w:fldCharType="separate"/>
            </w:r>
            <w:r>
              <w:rPr>
                <w:noProof/>
                <w:webHidden/>
              </w:rPr>
              <w:t>12</w:t>
            </w:r>
            <w:r>
              <w:rPr>
                <w:noProof/>
                <w:webHidden/>
              </w:rPr>
              <w:fldChar w:fldCharType="end"/>
            </w:r>
          </w:hyperlink>
        </w:p>
        <w:p w14:paraId="16519E3D" w14:textId="038F2B15" w:rsidR="00AB3F66" w:rsidRDefault="00AB3F66">
          <w:pPr>
            <w:pStyle w:val="TOC2"/>
            <w:tabs>
              <w:tab w:val="left" w:pos="960"/>
              <w:tab w:val="right" w:leader="dot" w:pos="9016"/>
            </w:tabs>
            <w:rPr>
              <w:noProof/>
              <w:kern w:val="2"/>
              <w:sz w:val="24"/>
              <w:szCs w:val="24"/>
              <w14:ligatures w14:val="standardContextual"/>
            </w:rPr>
          </w:pPr>
          <w:hyperlink w:anchor="_Toc235788214" w:history="1">
            <w:r w:rsidRPr="0071633A">
              <w:rPr>
                <w:rStyle w:val="Hyperlink"/>
                <w:rFonts w:ascii="Arial" w:hAnsi="Arial" w:cs="Arial"/>
                <w:noProof/>
              </w:rPr>
              <w:t>2.2</w:t>
            </w:r>
            <w:r>
              <w:rPr>
                <w:noProof/>
                <w:kern w:val="2"/>
                <w:sz w:val="24"/>
                <w:szCs w:val="24"/>
                <w14:ligatures w14:val="standardContextual"/>
              </w:rPr>
              <w:tab/>
            </w:r>
            <w:r w:rsidRPr="0071633A">
              <w:rPr>
                <w:rStyle w:val="Hyperlink"/>
                <w:rFonts w:ascii="Arial" w:hAnsi="Arial" w:cs="Arial"/>
                <w:noProof/>
              </w:rPr>
              <w:t>Recommended working-capital reforms</w:t>
            </w:r>
            <w:r>
              <w:rPr>
                <w:noProof/>
                <w:webHidden/>
              </w:rPr>
              <w:tab/>
            </w:r>
            <w:r>
              <w:rPr>
                <w:noProof/>
                <w:webHidden/>
              </w:rPr>
              <w:fldChar w:fldCharType="begin"/>
            </w:r>
            <w:r>
              <w:rPr>
                <w:noProof/>
                <w:webHidden/>
              </w:rPr>
              <w:instrText xml:space="preserve"> PAGEREF _Toc235788214 \h </w:instrText>
            </w:r>
            <w:r>
              <w:rPr>
                <w:noProof/>
                <w:webHidden/>
              </w:rPr>
            </w:r>
            <w:r>
              <w:rPr>
                <w:noProof/>
                <w:webHidden/>
              </w:rPr>
              <w:fldChar w:fldCharType="separate"/>
            </w:r>
            <w:r>
              <w:rPr>
                <w:noProof/>
                <w:webHidden/>
              </w:rPr>
              <w:t>13</w:t>
            </w:r>
            <w:r>
              <w:rPr>
                <w:noProof/>
                <w:webHidden/>
              </w:rPr>
              <w:fldChar w:fldCharType="end"/>
            </w:r>
          </w:hyperlink>
        </w:p>
        <w:p w14:paraId="54303EAF" w14:textId="5B9E0796" w:rsidR="00AB3F66" w:rsidRDefault="00AB3F66">
          <w:pPr>
            <w:pStyle w:val="TOC2"/>
            <w:tabs>
              <w:tab w:val="left" w:pos="960"/>
              <w:tab w:val="right" w:leader="dot" w:pos="9016"/>
            </w:tabs>
            <w:rPr>
              <w:noProof/>
              <w:kern w:val="2"/>
              <w:sz w:val="24"/>
              <w:szCs w:val="24"/>
              <w14:ligatures w14:val="standardContextual"/>
            </w:rPr>
          </w:pPr>
          <w:hyperlink w:anchor="_Toc235788215" w:history="1">
            <w:r w:rsidRPr="0071633A">
              <w:rPr>
                <w:rStyle w:val="Hyperlink"/>
                <w:rFonts w:ascii="Arial" w:hAnsi="Arial" w:cs="Arial"/>
                <w:noProof/>
              </w:rPr>
              <w:t>2.3</w:t>
            </w:r>
            <w:r>
              <w:rPr>
                <w:noProof/>
                <w:kern w:val="2"/>
                <w:sz w:val="24"/>
                <w:szCs w:val="24"/>
                <w14:ligatures w14:val="standardContextual"/>
              </w:rPr>
              <w:tab/>
            </w:r>
            <w:r w:rsidRPr="0071633A">
              <w:rPr>
                <w:rStyle w:val="Hyperlink"/>
                <w:rFonts w:ascii="Arial" w:hAnsi="Arial" w:cs="Arial"/>
                <w:noProof/>
              </w:rPr>
              <w:t>Short-term versus long-term financing</w:t>
            </w:r>
            <w:r>
              <w:rPr>
                <w:noProof/>
                <w:webHidden/>
              </w:rPr>
              <w:tab/>
            </w:r>
            <w:r>
              <w:rPr>
                <w:noProof/>
                <w:webHidden/>
              </w:rPr>
              <w:fldChar w:fldCharType="begin"/>
            </w:r>
            <w:r>
              <w:rPr>
                <w:noProof/>
                <w:webHidden/>
              </w:rPr>
              <w:instrText xml:space="preserve"> PAGEREF _Toc235788215 \h </w:instrText>
            </w:r>
            <w:r>
              <w:rPr>
                <w:noProof/>
                <w:webHidden/>
              </w:rPr>
            </w:r>
            <w:r>
              <w:rPr>
                <w:noProof/>
                <w:webHidden/>
              </w:rPr>
              <w:fldChar w:fldCharType="separate"/>
            </w:r>
            <w:r>
              <w:rPr>
                <w:noProof/>
                <w:webHidden/>
              </w:rPr>
              <w:t>14</w:t>
            </w:r>
            <w:r>
              <w:rPr>
                <w:noProof/>
                <w:webHidden/>
              </w:rPr>
              <w:fldChar w:fldCharType="end"/>
            </w:r>
          </w:hyperlink>
        </w:p>
        <w:p w14:paraId="59E1A613" w14:textId="08CDCFBE" w:rsidR="00AB3F66" w:rsidRDefault="00AB3F66">
          <w:pPr>
            <w:pStyle w:val="TOC1"/>
            <w:tabs>
              <w:tab w:val="left" w:pos="440"/>
              <w:tab w:val="right" w:leader="dot" w:pos="9016"/>
            </w:tabs>
            <w:rPr>
              <w:noProof/>
              <w:kern w:val="2"/>
              <w:sz w:val="24"/>
              <w:szCs w:val="24"/>
              <w14:ligatures w14:val="standardContextual"/>
            </w:rPr>
          </w:pPr>
          <w:hyperlink w:anchor="_Toc235788216" w:history="1">
            <w:r w:rsidRPr="0071633A">
              <w:rPr>
                <w:rStyle w:val="Hyperlink"/>
                <w:rFonts w:ascii="Arial" w:hAnsi="Arial" w:cs="Arial"/>
                <w:noProof/>
              </w:rPr>
              <w:t>3</w:t>
            </w:r>
            <w:r>
              <w:rPr>
                <w:noProof/>
                <w:kern w:val="2"/>
                <w:sz w:val="24"/>
                <w:szCs w:val="24"/>
                <w14:ligatures w14:val="standardContextual"/>
              </w:rPr>
              <w:tab/>
            </w:r>
            <w:r w:rsidRPr="0071633A">
              <w:rPr>
                <w:rStyle w:val="Hyperlink"/>
                <w:rFonts w:ascii="Arial" w:hAnsi="Arial" w:cs="Arial"/>
                <w:noProof/>
              </w:rPr>
              <w:t>Strategic Financial Restructuring Plan</w:t>
            </w:r>
            <w:r>
              <w:rPr>
                <w:noProof/>
                <w:webHidden/>
              </w:rPr>
              <w:tab/>
            </w:r>
            <w:r>
              <w:rPr>
                <w:noProof/>
                <w:webHidden/>
              </w:rPr>
              <w:fldChar w:fldCharType="begin"/>
            </w:r>
            <w:r>
              <w:rPr>
                <w:noProof/>
                <w:webHidden/>
              </w:rPr>
              <w:instrText xml:space="preserve"> PAGEREF _Toc235788216 \h </w:instrText>
            </w:r>
            <w:r>
              <w:rPr>
                <w:noProof/>
                <w:webHidden/>
              </w:rPr>
            </w:r>
            <w:r>
              <w:rPr>
                <w:noProof/>
                <w:webHidden/>
              </w:rPr>
              <w:fldChar w:fldCharType="separate"/>
            </w:r>
            <w:r>
              <w:rPr>
                <w:noProof/>
                <w:webHidden/>
              </w:rPr>
              <w:t>15</w:t>
            </w:r>
            <w:r>
              <w:rPr>
                <w:noProof/>
                <w:webHidden/>
              </w:rPr>
              <w:fldChar w:fldCharType="end"/>
            </w:r>
          </w:hyperlink>
        </w:p>
        <w:p w14:paraId="40AD1353" w14:textId="64D06319" w:rsidR="00AB3F66" w:rsidRDefault="00AB3F66">
          <w:pPr>
            <w:pStyle w:val="TOC2"/>
            <w:tabs>
              <w:tab w:val="left" w:pos="960"/>
              <w:tab w:val="right" w:leader="dot" w:pos="9016"/>
            </w:tabs>
            <w:rPr>
              <w:noProof/>
              <w:kern w:val="2"/>
              <w:sz w:val="24"/>
              <w:szCs w:val="24"/>
              <w14:ligatures w14:val="standardContextual"/>
            </w:rPr>
          </w:pPr>
          <w:hyperlink w:anchor="_Toc235788217" w:history="1">
            <w:r w:rsidRPr="0071633A">
              <w:rPr>
                <w:rStyle w:val="Hyperlink"/>
                <w:rFonts w:ascii="Arial" w:hAnsi="Arial" w:cs="Arial"/>
                <w:noProof/>
              </w:rPr>
              <w:t>3.1</w:t>
            </w:r>
            <w:r>
              <w:rPr>
                <w:noProof/>
                <w:kern w:val="2"/>
                <w:sz w:val="24"/>
                <w:szCs w:val="24"/>
                <w14:ligatures w14:val="standardContextual"/>
              </w:rPr>
              <w:tab/>
            </w:r>
            <w:r w:rsidRPr="0071633A">
              <w:rPr>
                <w:rStyle w:val="Hyperlink"/>
                <w:rFonts w:ascii="Arial" w:hAnsi="Arial" w:cs="Arial"/>
                <w:noProof/>
              </w:rPr>
              <w:t>Recommended restructuring options</w:t>
            </w:r>
            <w:r>
              <w:rPr>
                <w:noProof/>
                <w:webHidden/>
              </w:rPr>
              <w:tab/>
            </w:r>
            <w:r>
              <w:rPr>
                <w:noProof/>
                <w:webHidden/>
              </w:rPr>
              <w:fldChar w:fldCharType="begin"/>
            </w:r>
            <w:r>
              <w:rPr>
                <w:noProof/>
                <w:webHidden/>
              </w:rPr>
              <w:instrText xml:space="preserve"> PAGEREF _Toc235788217 \h </w:instrText>
            </w:r>
            <w:r>
              <w:rPr>
                <w:noProof/>
                <w:webHidden/>
              </w:rPr>
            </w:r>
            <w:r>
              <w:rPr>
                <w:noProof/>
                <w:webHidden/>
              </w:rPr>
              <w:fldChar w:fldCharType="separate"/>
            </w:r>
            <w:r>
              <w:rPr>
                <w:noProof/>
                <w:webHidden/>
              </w:rPr>
              <w:t>15</w:t>
            </w:r>
            <w:r>
              <w:rPr>
                <w:noProof/>
                <w:webHidden/>
              </w:rPr>
              <w:fldChar w:fldCharType="end"/>
            </w:r>
          </w:hyperlink>
        </w:p>
        <w:p w14:paraId="4ACB2A9F" w14:textId="467BCB63" w:rsidR="00AB3F66" w:rsidRDefault="00AB3F66">
          <w:pPr>
            <w:pStyle w:val="TOC2"/>
            <w:tabs>
              <w:tab w:val="left" w:pos="960"/>
              <w:tab w:val="right" w:leader="dot" w:pos="9016"/>
            </w:tabs>
            <w:rPr>
              <w:noProof/>
              <w:kern w:val="2"/>
              <w:sz w:val="24"/>
              <w:szCs w:val="24"/>
              <w14:ligatures w14:val="standardContextual"/>
            </w:rPr>
          </w:pPr>
          <w:hyperlink w:anchor="_Toc235788218" w:history="1">
            <w:r w:rsidRPr="0071633A">
              <w:rPr>
                <w:rStyle w:val="Hyperlink"/>
                <w:rFonts w:ascii="Arial" w:hAnsi="Arial" w:cs="Arial"/>
                <w:noProof/>
              </w:rPr>
              <w:t>3.2</w:t>
            </w:r>
            <w:r>
              <w:rPr>
                <w:noProof/>
                <w:kern w:val="2"/>
                <w:sz w:val="24"/>
                <w:szCs w:val="24"/>
                <w14:ligatures w14:val="standardContextual"/>
              </w:rPr>
              <w:tab/>
            </w:r>
            <w:r w:rsidRPr="0071633A">
              <w:rPr>
                <w:rStyle w:val="Hyperlink"/>
                <w:rFonts w:ascii="Arial" w:hAnsi="Arial" w:cs="Arial"/>
                <w:noProof/>
              </w:rPr>
              <w:t>Impact on value, debt and flexibility</w:t>
            </w:r>
            <w:r>
              <w:rPr>
                <w:noProof/>
                <w:webHidden/>
              </w:rPr>
              <w:tab/>
            </w:r>
            <w:r>
              <w:rPr>
                <w:noProof/>
                <w:webHidden/>
              </w:rPr>
              <w:fldChar w:fldCharType="begin"/>
            </w:r>
            <w:r>
              <w:rPr>
                <w:noProof/>
                <w:webHidden/>
              </w:rPr>
              <w:instrText xml:space="preserve"> PAGEREF _Toc235788218 \h </w:instrText>
            </w:r>
            <w:r>
              <w:rPr>
                <w:noProof/>
                <w:webHidden/>
              </w:rPr>
            </w:r>
            <w:r>
              <w:rPr>
                <w:noProof/>
                <w:webHidden/>
              </w:rPr>
              <w:fldChar w:fldCharType="separate"/>
            </w:r>
            <w:r>
              <w:rPr>
                <w:noProof/>
                <w:webHidden/>
              </w:rPr>
              <w:t>15</w:t>
            </w:r>
            <w:r>
              <w:rPr>
                <w:noProof/>
                <w:webHidden/>
              </w:rPr>
              <w:fldChar w:fldCharType="end"/>
            </w:r>
          </w:hyperlink>
        </w:p>
        <w:p w14:paraId="6F2EFCEF" w14:textId="40822F4D" w:rsidR="00AB3F66" w:rsidRDefault="00AB3F66">
          <w:pPr>
            <w:pStyle w:val="TOC2"/>
            <w:tabs>
              <w:tab w:val="left" w:pos="960"/>
              <w:tab w:val="right" w:leader="dot" w:pos="9016"/>
            </w:tabs>
            <w:rPr>
              <w:noProof/>
              <w:kern w:val="2"/>
              <w:sz w:val="24"/>
              <w:szCs w:val="24"/>
              <w14:ligatures w14:val="standardContextual"/>
            </w:rPr>
          </w:pPr>
          <w:hyperlink w:anchor="_Toc235788219" w:history="1">
            <w:r w:rsidRPr="0071633A">
              <w:rPr>
                <w:rStyle w:val="Hyperlink"/>
                <w:rFonts w:ascii="Arial" w:hAnsi="Arial" w:cs="Arial"/>
                <w:noProof/>
              </w:rPr>
              <w:t>3.3</w:t>
            </w:r>
            <w:r>
              <w:rPr>
                <w:noProof/>
                <w:kern w:val="2"/>
                <w:sz w:val="24"/>
                <w:szCs w:val="24"/>
                <w14:ligatures w14:val="standardContextual"/>
              </w:rPr>
              <w:tab/>
            </w:r>
            <w:r w:rsidRPr="0071633A">
              <w:rPr>
                <w:rStyle w:val="Hyperlink"/>
                <w:rFonts w:ascii="Arial" w:hAnsi="Arial" w:cs="Arial"/>
                <w:noProof/>
              </w:rPr>
              <w:t>International and ethical considerations</w:t>
            </w:r>
            <w:r>
              <w:rPr>
                <w:noProof/>
                <w:webHidden/>
              </w:rPr>
              <w:tab/>
            </w:r>
            <w:r>
              <w:rPr>
                <w:noProof/>
                <w:webHidden/>
              </w:rPr>
              <w:fldChar w:fldCharType="begin"/>
            </w:r>
            <w:r>
              <w:rPr>
                <w:noProof/>
                <w:webHidden/>
              </w:rPr>
              <w:instrText xml:space="preserve"> PAGEREF _Toc235788219 \h </w:instrText>
            </w:r>
            <w:r>
              <w:rPr>
                <w:noProof/>
                <w:webHidden/>
              </w:rPr>
            </w:r>
            <w:r>
              <w:rPr>
                <w:noProof/>
                <w:webHidden/>
              </w:rPr>
              <w:fldChar w:fldCharType="separate"/>
            </w:r>
            <w:r>
              <w:rPr>
                <w:noProof/>
                <w:webHidden/>
              </w:rPr>
              <w:t>16</w:t>
            </w:r>
            <w:r>
              <w:rPr>
                <w:noProof/>
                <w:webHidden/>
              </w:rPr>
              <w:fldChar w:fldCharType="end"/>
            </w:r>
          </w:hyperlink>
        </w:p>
        <w:p w14:paraId="78AA6198" w14:textId="675307D5" w:rsidR="00AB3F66" w:rsidRDefault="00AB3F66">
          <w:pPr>
            <w:pStyle w:val="TOC1"/>
            <w:tabs>
              <w:tab w:val="left" w:pos="440"/>
              <w:tab w:val="right" w:leader="dot" w:pos="9016"/>
            </w:tabs>
            <w:rPr>
              <w:noProof/>
              <w:kern w:val="2"/>
              <w:sz w:val="24"/>
              <w:szCs w:val="24"/>
              <w14:ligatures w14:val="standardContextual"/>
            </w:rPr>
          </w:pPr>
          <w:hyperlink w:anchor="_Toc235788220" w:history="1">
            <w:r w:rsidRPr="0071633A">
              <w:rPr>
                <w:rStyle w:val="Hyperlink"/>
                <w:rFonts w:ascii="Arial" w:hAnsi="Arial" w:cs="Arial"/>
                <w:noProof/>
              </w:rPr>
              <w:t>4</w:t>
            </w:r>
            <w:r>
              <w:rPr>
                <w:noProof/>
                <w:kern w:val="2"/>
                <w:sz w:val="24"/>
                <w:szCs w:val="24"/>
                <w14:ligatures w14:val="standardContextual"/>
              </w:rPr>
              <w:tab/>
            </w:r>
            <w:r w:rsidRPr="0071633A">
              <w:rPr>
                <w:rStyle w:val="Hyperlink"/>
                <w:rFonts w:ascii="Arial" w:hAnsi="Arial" w:cs="Arial"/>
                <w:noProof/>
              </w:rPr>
              <w:t>Investment Appraisal and Capital Budgeting</w:t>
            </w:r>
            <w:r>
              <w:rPr>
                <w:noProof/>
                <w:webHidden/>
              </w:rPr>
              <w:tab/>
            </w:r>
            <w:r>
              <w:rPr>
                <w:noProof/>
                <w:webHidden/>
              </w:rPr>
              <w:fldChar w:fldCharType="begin"/>
            </w:r>
            <w:r>
              <w:rPr>
                <w:noProof/>
                <w:webHidden/>
              </w:rPr>
              <w:instrText xml:space="preserve"> PAGEREF _Toc235788220 \h </w:instrText>
            </w:r>
            <w:r>
              <w:rPr>
                <w:noProof/>
                <w:webHidden/>
              </w:rPr>
            </w:r>
            <w:r>
              <w:rPr>
                <w:noProof/>
                <w:webHidden/>
              </w:rPr>
              <w:fldChar w:fldCharType="separate"/>
            </w:r>
            <w:r>
              <w:rPr>
                <w:noProof/>
                <w:webHidden/>
              </w:rPr>
              <w:t>17</w:t>
            </w:r>
            <w:r>
              <w:rPr>
                <w:noProof/>
                <w:webHidden/>
              </w:rPr>
              <w:fldChar w:fldCharType="end"/>
            </w:r>
          </w:hyperlink>
        </w:p>
        <w:p w14:paraId="3B6EFF54" w14:textId="49FA0C14" w:rsidR="00AB3F66" w:rsidRDefault="00AB3F66">
          <w:pPr>
            <w:pStyle w:val="TOC2"/>
            <w:tabs>
              <w:tab w:val="left" w:pos="960"/>
              <w:tab w:val="right" w:leader="dot" w:pos="9016"/>
            </w:tabs>
            <w:rPr>
              <w:noProof/>
              <w:kern w:val="2"/>
              <w:sz w:val="24"/>
              <w:szCs w:val="24"/>
              <w14:ligatures w14:val="standardContextual"/>
            </w:rPr>
          </w:pPr>
          <w:hyperlink w:anchor="_Toc235788221" w:history="1">
            <w:r w:rsidRPr="0071633A">
              <w:rPr>
                <w:rStyle w:val="Hyperlink"/>
                <w:rFonts w:ascii="Arial" w:hAnsi="Arial" w:cs="Arial"/>
                <w:noProof/>
              </w:rPr>
              <w:t>4.1</w:t>
            </w:r>
            <w:r>
              <w:rPr>
                <w:noProof/>
                <w:kern w:val="2"/>
                <w:sz w:val="24"/>
                <w:szCs w:val="24"/>
                <w14:ligatures w14:val="standardContextual"/>
              </w:rPr>
              <w:tab/>
            </w:r>
            <w:r w:rsidRPr="0071633A">
              <w:rPr>
                <w:rStyle w:val="Hyperlink"/>
                <w:rFonts w:ascii="Arial" w:hAnsi="Arial" w:cs="Arial"/>
                <w:noProof/>
              </w:rPr>
              <w:t>Appraisal Basis and Methodology</w:t>
            </w:r>
            <w:r>
              <w:rPr>
                <w:noProof/>
                <w:webHidden/>
              </w:rPr>
              <w:tab/>
            </w:r>
            <w:r>
              <w:rPr>
                <w:noProof/>
                <w:webHidden/>
              </w:rPr>
              <w:fldChar w:fldCharType="begin"/>
            </w:r>
            <w:r>
              <w:rPr>
                <w:noProof/>
                <w:webHidden/>
              </w:rPr>
              <w:instrText xml:space="preserve"> PAGEREF _Toc235788221 \h </w:instrText>
            </w:r>
            <w:r>
              <w:rPr>
                <w:noProof/>
                <w:webHidden/>
              </w:rPr>
            </w:r>
            <w:r>
              <w:rPr>
                <w:noProof/>
                <w:webHidden/>
              </w:rPr>
              <w:fldChar w:fldCharType="separate"/>
            </w:r>
            <w:r>
              <w:rPr>
                <w:noProof/>
                <w:webHidden/>
              </w:rPr>
              <w:t>17</w:t>
            </w:r>
            <w:r>
              <w:rPr>
                <w:noProof/>
                <w:webHidden/>
              </w:rPr>
              <w:fldChar w:fldCharType="end"/>
            </w:r>
          </w:hyperlink>
        </w:p>
        <w:p w14:paraId="2C45FDC7" w14:textId="6D74A746" w:rsidR="00AB3F66" w:rsidRDefault="00AB3F66">
          <w:pPr>
            <w:pStyle w:val="TOC2"/>
            <w:tabs>
              <w:tab w:val="left" w:pos="960"/>
              <w:tab w:val="right" w:leader="dot" w:pos="9016"/>
            </w:tabs>
            <w:rPr>
              <w:noProof/>
              <w:kern w:val="2"/>
              <w:sz w:val="24"/>
              <w:szCs w:val="24"/>
              <w14:ligatures w14:val="standardContextual"/>
            </w:rPr>
          </w:pPr>
          <w:hyperlink w:anchor="_Toc235788222" w:history="1">
            <w:r w:rsidRPr="0071633A">
              <w:rPr>
                <w:rStyle w:val="Hyperlink"/>
                <w:rFonts w:ascii="Arial" w:hAnsi="Arial" w:cs="Arial"/>
                <w:noProof/>
              </w:rPr>
              <w:t>4.2</w:t>
            </w:r>
            <w:r>
              <w:rPr>
                <w:noProof/>
                <w:kern w:val="2"/>
                <w:sz w:val="24"/>
                <w:szCs w:val="24"/>
                <w14:ligatures w14:val="standardContextual"/>
              </w:rPr>
              <w:tab/>
            </w:r>
            <w:r w:rsidRPr="0071633A">
              <w:rPr>
                <w:rStyle w:val="Hyperlink"/>
                <w:rFonts w:ascii="Arial" w:hAnsi="Arial" w:cs="Arial"/>
                <w:noProof/>
              </w:rPr>
              <w:t>Evaluation of the Three Projects</w:t>
            </w:r>
            <w:r>
              <w:rPr>
                <w:noProof/>
                <w:webHidden/>
              </w:rPr>
              <w:tab/>
            </w:r>
            <w:r>
              <w:rPr>
                <w:noProof/>
                <w:webHidden/>
              </w:rPr>
              <w:fldChar w:fldCharType="begin"/>
            </w:r>
            <w:r>
              <w:rPr>
                <w:noProof/>
                <w:webHidden/>
              </w:rPr>
              <w:instrText xml:space="preserve"> PAGEREF _Toc235788222 \h </w:instrText>
            </w:r>
            <w:r>
              <w:rPr>
                <w:noProof/>
                <w:webHidden/>
              </w:rPr>
            </w:r>
            <w:r>
              <w:rPr>
                <w:noProof/>
                <w:webHidden/>
              </w:rPr>
              <w:fldChar w:fldCharType="separate"/>
            </w:r>
            <w:r>
              <w:rPr>
                <w:noProof/>
                <w:webHidden/>
              </w:rPr>
              <w:t>18</w:t>
            </w:r>
            <w:r>
              <w:rPr>
                <w:noProof/>
                <w:webHidden/>
              </w:rPr>
              <w:fldChar w:fldCharType="end"/>
            </w:r>
          </w:hyperlink>
        </w:p>
        <w:p w14:paraId="142580FB" w14:textId="140D0F6B" w:rsidR="00AB3F66" w:rsidRDefault="00AB3F66">
          <w:pPr>
            <w:pStyle w:val="TOC2"/>
            <w:tabs>
              <w:tab w:val="left" w:pos="960"/>
              <w:tab w:val="right" w:leader="dot" w:pos="9016"/>
            </w:tabs>
            <w:rPr>
              <w:noProof/>
              <w:kern w:val="2"/>
              <w:sz w:val="24"/>
              <w:szCs w:val="24"/>
              <w14:ligatures w14:val="standardContextual"/>
            </w:rPr>
          </w:pPr>
          <w:hyperlink w:anchor="_Toc235788223" w:history="1">
            <w:r w:rsidRPr="0071633A">
              <w:rPr>
                <w:rStyle w:val="Hyperlink"/>
                <w:rFonts w:ascii="Arial" w:hAnsi="Arial" w:cs="Arial"/>
                <w:noProof/>
              </w:rPr>
              <w:t>4.3</w:t>
            </w:r>
            <w:r>
              <w:rPr>
                <w:noProof/>
                <w:kern w:val="2"/>
                <w:sz w:val="24"/>
                <w:szCs w:val="24"/>
                <w14:ligatures w14:val="standardContextual"/>
              </w:rPr>
              <w:tab/>
            </w:r>
            <w:r w:rsidRPr="0071633A">
              <w:rPr>
                <w:rStyle w:val="Hyperlink"/>
                <w:rFonts w:ascii="Arial" w:hAnsi="Arial" w:cs="Arial"/>
                <w:noProof/>
              </w:rPr>
              <w:t>Recommendation and Financial Capacity</w:t>
            </w:r>
            <w:r>
              <w:rPr>
                <w:noProof/>
                <w:webHidden/>
              </w:rPr>
              <w:tab/>
            </w:r>
            <w:r>
              <w:rPr>
                <w:noProof/>
                <w:webHidden/>
              </w:rPr>
              <w:fldChar w:fldCharType="begin"/>
            </w:r>
            <w:r>
              <w:rPr>
                <w:noProof/>
                <w:webHidden/>
              </w:rPr>
              <w:instrText xml:space="preserve"> PAGEREF _Toc235788223 \h </w:instrText>
            </w:r>
            <w:r>
              <w:rPr>
                <w:noProof/>
                <w:webHidden/>
              </w:rPr>
            </w:r>
            <w:r>
              <w:rPr>
                <w:noProof/>
                <w:webHidden/>
              </w:rPr>
              <w:fldChar w:fldCharType="separate"/>
            </w:r>
            <w:r>
              <w:rPr>
                <w:noProof/>
                <w:webHidden/>
              </w:rPr>
              <w:t>20</w:t>
            </w:r>
            <w:r>
              <w:rPr>
                <w:noProof/>
                <w:webHidden/>
              </w:rPr>
              <w:fldChar w:fldCharType="end"/>
            </w:r>
          </w:hyperlink>
        </w:p>
        <w:p w14:paraId="7DD1CDCF" w14:textId="4C199741" w:rsidR="00AB3F66" w:rsidRDefault="00AB3F66">
          <w:pPr>
            <w:pStyle w:val="TOC2"/>
            <w:tabs>
              <w:tab w:val="left" w:pos="960"/>
              <w:tab w:val="right" w:leader="dot" w:pos="9016"/>
            </w:tabs>
            <w:rPr>
              <w:noProof/>
              <w:kern w:val="2"/>
              <w:sz w:val="24"/>
              <w:szCs w:val="24"/>
              <w14:ligatures w14:val="standardContextual"/>
            </w:rPr>
          </w:pPr>
          <w:hyperlink w:anchor="_Toc235788224" w:history="1">
            <w:r w:rsidRPr="0071633A">
              <w:rPr>
                <w:rStyle w:val="Hyperlink"/>
                <w:rFonts w:ascii="Arial" w:hAnsi="Arial" w:cs="Arial"/>
                <w:noProof/>
              </w:rPr>
              <w:t>4.4</w:t>
            </w:r>
            <w:r>
              <w:rPr>
                <w:noProof/>
                <w:kern w:val="2"/>
                <w:sz w:val="24"/>
                <w:szCs w:val="24"/>
                <w14:ligatures w14:val="standardContextual"/>
              </w:rPr>
              <w:tab/>
            </w:r>
            <w:r w:rsidRPr="0071633A">
              <w:rPr>
                <w:rStyle w:val="Hyperlink"/>
                <w:rFonts w:ascii="Arial" w:hAnsi="Arial" w:cs="Arial"/>
                <w:noProof/>
              </w:rPr>
              <w:t>Non-Financial Risk Assessment</w:t>
            </w:r>
            <w:r>
              <w:rPr>
                <w:noProof/>
                <w:webHidden/>
              </w:rPr>
              <w:tab/>
            </w:r>
            <w:r>
              <w:rPr>
                <w:noProof/>
                <w:webHidden/>
              </w:rPr>
              <w:fldChar w:fldCharType="begin"/>
            </w:r>
            <w:r>
              <w:rPr>
                <w:noProof/>
                <w:webHidden/>
              </w:rPr>
              <w:instrText xml:space="preserve"> PAGEREF _Toc235788224 \h </w:instrText>
            </w:r>
            <w:r>
              <w:rPr>
                <w:noProof/>
                <w:webHidden/>
              </w:rPr>
            </w:r>
            <w:r>
              <w:rPr>
                <w:noProof/>
                <w:webHidden/>
              </w:rPr>
              <w:fldChar w:fldCharType="separate"/>
            </w:r>
            <w:r>
              <w:rPr>
                <w:noProof/>
                <w:webHidden/>
              </w:rPr>
              <w:t>21</w:t>
            </w:r>
            <w:r>
              <w:rPr>
                <w:noProof/>
                <w:webHidden/>
              </w:rPr>
              <w:fldChar w:fldCharType="end"/>
            </w:r>
          </w:hyperlink>
        </w:p>
        <w:p w14:paraId="74D179FA" w14:textId="1994C639" w:rsidR="00AB3F66" w:rsidRDefault="00AB3F66">
          <w:pPr>
            <w:pStyle w:val="TOC2"/>
            <w:tabs>
              <w:tab w:val="left" w:pos="960"/>
              <w:tab w:val="right" w:leader="dot" w:pos="9016"/>
            </w:tabs>
            <w:rPr>
              <w:noProof/>
              <w:kern w:val="2"/>
              <w:sz w:val="24"/>
              <w:szCs w:val="24"/>
              <w14:ligatures w14:val="standardContextual"/>
            </w:rPr>
          </w:pPr>
          <w:hyperlink w:anchor="_Toc235788225" w:history="1">
            <w:r w:rsidRPr="0071633A">
              <w:rPr>
                <w:rStyle w:val="Hyperlink"/>
                <w:rFonts w:ascii="Arial" w:hAnsi="Arial" w:cs="Arial"/>
                <w:noProof/>
              </w:rPr>
              <w:t>4.5</w:t>
            </w:r>
            <w:r>
              <w:rPr>
                <w:noProof/>
                <w:kern w:val="2"/>
                <w:sz w:val="24"/>
                <w:szCs w:val="24"/>
                <w14:ligatures w14:val="standardContextual"/>
              </w:rPr>
              <w:tab/>
            </w:r>
            <w:r w:rsidRPr="0071633A">
              <w:rPr>
                <w:rStyle w:val="Hyperlink"/>
                <w:rFonts w:ascii="Arial" w:hAnsi="Arial" w:cs="Arial"/>
                <w:noProof/>
              </w:rPr>
              <w:t>Capital Rationing and Portfolio Selection</w:t>
            </w:r>
            <w:r>
              <w:rPr>
                <w:noProof/>
                <w:webHidden/>
              </w:rPr>
              <w:tab/>
            </w:r>
            <w:r>
              <w:rPr>
                <w:noProof/>
                <w:webHidden/>
              </w:rPr>
              <w:fldChar w:fldCharType="begin"/>
            </w:r>
            <w:r>
              <w:rPr>
                <w:noProof/>
                <w:webHidden/>
              </w:rPr>
              <w:instrText xml:space="preserve"> PAGEREF _Toc235788225 \h </w:instrText>
            </w:r>
            <w:r>
              <w:rPr>
                <w:noProof/>
                <w:webHidden/>
              </w:rPr>
            </w:r>
            <w:r>
              <w:rPr>
                <w:noProof/>
                <w:webHidden/>
              </w:rPr>
              <w:fldChar w:fldCharType="separate"/>
            </w:r>
            <w:r>
              <w:rPr>
                <w:noProof/>
                <w:webHidden/>
              </w:rPr>
              <w:t>22</w:t>
            </w:r>
            <w:r>
              <w:rPr>
                <w:noProof/>
                <w:webHidden/>
              </w:rPr>
              <w:fldChar w:fldCharType="end"/>
            </w:r>
          </w:hyperlink>
        </w:p>
        <w:p w14:paraId="23416EB9" w14:textId="3ED1BAB0" w:rsidR="00AB3F66" w:rsidRDefault="00AB3F66">
          <w:pPr>
            <w:pStyle w:val="TOC2"/>
            <w:tabs>
              <w:tab w:val="left" w:pos="960"/>
              <w:tab w:val="right" w:leader="dot" w:pos="9016"/>
            </w:tabs>
            <w:rPr>
              <w:noProof/>
              <w:kern w:val="2"/>
              <w:sz w:val="24"/>
              <w:szCs w:val="24"/>
              <w14:ligatures w14:val="standardContextual"/>
            </w:rPr>
          </w:pPr>
          <w:hyperlink w:anchor="_Toc235788226" w:history="1">
            <w:r w:rsidRPr="0071633A">
              <w:rPr>
                <w:rStyle w:val="Hyperlink"/>
                <w:rFonts w:ascii="Arial" w:hAnsi="Arial" w:cs="Arial"/>
                <w:noProof/>
              </w:rPr>
              <w:t>4.6</w:t>
            </w:r>
            <w:r>
              <w:rPr>
                <w:noProof/>
                <w:kern w:val="2"/>
                <w:sz w:val="24"/>
                <w:szCs w:val="24"/>
                <w14:ligatures w14:val="standardContextual"/>
              </w:rPr>
              <w:tab/>
            </w:r>
            <w:r w:rsidRPr="0071633A">
              <w:rPr>
                <w:rStyle w:val="Hyperlink"/>
                <w:rFonts w:ascii="Arial" w:hAnsi="Arial" w:cs="Arial"/>
                <w:noProof/>
              </w:rPr>
              <w:t>Final Recommendation</w:t>
            </w:r>
            <w:r>
              <w:rPr>
                <w:noProof/>
                <w:webHidden/>
              </w:rPr>
              <w:tab/>
            </w:r>
            <w:r>
              <w:rPr>
                <w:noProof/>
                <w:webHidden/>
              </w:rPr>
              <w:fldChar w:fldCharType="begin"/>
            </w:r>
            <w:r>
              <w:rPr>
                <w:noProof/>
                <w:webHidden/>
              </w:rPr>
              <w:instrText xml:space="preserve"> PAGEREF _Toc235788226 \h </w:instrText>
            </w:r>
            <w:r>
              <w:rPr>
                <w:noProof/>
                <w:webHidden/>
              </w:rPr>
            </w:r>
            <w:r>
              <w:rPr>
                <w:noProof/>
                <w:webHidden/>
              </w:rPr>
              <w:fldChar w:fldCharType="separate"/>
            </w:r>
            <w:r>
              <w:rPr>
                <w:noProof/>
                <w:webHidden/>
              </w:rPr>
              <w:t>23</w:t>
            </w:r>
            <w:r>
              <w:rPr>
                <w:noProof/>
                <w:webHidden/>
              </w:rPr>
              <w:fldChar w:fldCharType="end"/>
            </w:r>
          </w:hyperlink>
        </w:p>
        <w:p w14:paraId="20416F46" w14:textId="3792FD59" w:rsidR="00AB3F66" w:rsidRDefault="00AB3F66">
          <w:pPr>
            <w:pStyle w:val="TOC1"/>
            <w:tabs>
              <w:tab w:val="left" w:pos="440"/>
              <w:tab w:val="right" w:leader="dot" w:pos="9016"/>
            </w:tabs>
            <w:rPr>
              <w:noProof/>
              <w:kern w:val="2"/>
              <w:sz w:val="24"/>
              <w:szCs w:val="24"/>
              <w14:ligatures w14:val="standardContextual"/>
            </w:rPr>
          </w:pPr>
          <w:hyperlink w:anchor="_Toc235788227" w:history="1">
            <w:r w:rsidRPr="0071633A">
              <w:rPr>
                <w:rStyle w:val="Hyperlink"/>
                <w:rFonts w:ascii="Arial" w:hAnsi="Arial" w:cs="Arial"/>
                <w:noProof/>
              </w:rPr>
              <w:t>5</w:t>
            </w:r>
            <w:r>
              <w:rPr>
                <w:noProof/>
                <w:kern w:val="2"/>
                <w:sz w:val="24"/>
                <w:szCs w:val="24"/>
                <w14:ligatures w14:val="standardContextual"/>
              </w:rPr>
              <w:tab/>
            </w:r>
            <w:r w:rsidRPr="0071633A">
              <w:rPr>
                <w:rStyle w:val="Hyperlink"/>
                <w:rFonts w:ascii="Arial" w:hAnsi="Arial" w:cs="Arial"/>
                <w:noProof/>
              </w:rPr>
              <w:t>Critical Reflection on AI Usage</w:t>
            </w:r>
            <w:r>
              <w:rPr>
                <w:noProof/>
                <w:webHidden/>
              </w:rPr>
              <w:tab/>
            </w:r>
            <w:r>
              <w:rPr>
                <w:noProof/>
                <w:webHidden/>
              </w:rPr>
              <w:fldChar w:fldCharType="begin"/>
            </w:r>
            <w:r>
              <w:rPr>
                <w:noProof/>
                <w:webHidden/>
              </w:rPr>
              <w:instrText xml:space="preserve"> PAGEREF _Toc235788227 \h </w:instrText>
            </w:r>
            <w:r>
              <w:rPr>
                <w:noProof/>
                <w:webHidden/>
              </w:rPr>
            </w:r>
            <w:r>
              <w:rPr>
                <w:noProof/>
                <w:webHidden/>
              </w:rPr>
              <w:fldChar w:fldCharType="separate"/>
            </w:r>
            <w:r>
              <w:rPr>
                <w:noProof/>
                <w:webHidden/>
              </w:rPr>
              <w:t>24</w:t>
            </w:r>
            <w:r>
              <w:rPr>
                <w:noProof/>
                <w:webHidden/>
              </w:rPr>
              <w:fldChar w:fldCharType="end"/>
            </w:r>
          </w:hyperlink>
        </w:p>
        <w:p w14:paraId="09568F86" w14:textId="4058C51F" w:rsidR="00AB3F66" w:rsidRDefault="00AB3F66">
          <w:pPr>
            <w:pStyle w:val="TOC2"/>
            <w:tabs>
              <w:tab w:val="left" w:pos="960"/>
              <w:tab w:val="right" w:leader="dot" w:pos="9016"/>
            </w:tabs>
            <w:rPr>
              <w:noProof/>
              <w:kern w:val="2"/>
              <w:sz w:val="24"/>
              <w:szCs w:val="24"/>
              <w14:ligatures w14:val="standardContextual"/>
            </w:rPr>
          </w:pPr>
          <w:hyperlink w:anchor="_Toc235788228" w:history="1">
            <w:r w:rsidRPr="0071633A">
              <w:rPr>
                <w:rStyle w:val="Hyperlink"/>
                <w:rFonts w:ascii="Arial" w:hAnsi="Arial" w:cs="Arial"/>
                <w:noProof/>
              </w:rPr>
              <w:t>5.1</w:t>
            </w:r>
            <w:r>
              <w:rPr>
                <w:noProof/>
                <w:kern w:val="2"/>
                <w:sz w:val="24"/>
                <w:szCs w:val="24"/>
                <w14:ligatures w14:val="standardContextual"/>
              </w:rPr>
              <w:tab/>
            </w:r>
            <w:r w:rsidRPr="0071633A">
              <w:rPr>
                <w:rStyle w:val="Hyperlink"/>
                <w:rFonts w:ascii="Arial" w:hAnsi="Arial" w:cs="Arial"/>
                <w:noProof/>
              </w:rPr>
              <w:t>Tool Disclosure</w:t>
            </w:r>
            <w:r>
              <w:rPr>
                <w:noProof/>
                <w:webHidden/>
              </w:rPr>
              <w:tab/>
            </w:r>
            <w:r>
              <w:rPr>
                <w:noProof/>
                <w:webHidden/>
              </w:rPr>
              <w:fldChar w:fldCharType="begin"/>
            </w:r>
            <w:r>
              <w:rPr>
                <w:noProof/>
                <w:webHidden/>
              </w:rPr>
              <w:instrText xml:space="preserve"> PAGEREF _Toc235788228 \h </w:instrText>
            </w:r>
            <w:r>
              <w:rPr>
                <w:noProof/>
                <w:webHidden/>
              </w:rPr>
            </w:r>
            <w:r>
              <w:rPr>
                <w:noProof/>
                <w:webHidden/>
              </w:rPr>
              <w:fldChar w:fldCharType="separate"/>
            </w:r>
            <w:r>
              <w:rPr>
                <w:noProof/>
                <w:webHidden/>
              </w:rPr>
              <w:t>24</w:t>
            </w:r>
            <w:r>
              <w:rPr>
                <w:noProof/>
                <w:webHidden/>
              </w:rPr>
              <w:fldChar w:fldCharType="end"/>
            </w:r>
          </w:hyperlink>
        </w:p>
        <w:p w14:paraId="58CCB8E8" w14:textId="157A6F53" w:rsidR="00AB3F66" w:rsidRDefault="00AB3F66">
          <w:pPr>
            <w:pStyle w:val="TOC2"/>
            <w:tabs>
              <w:tab w:val="left" w:pos="960"/>
              <w:tab w:val="right" w:leader="dot" w:pos="9016"/>
            </w:tabs>
            <w:rPr>
              <w:noProof/>
              <w:kern w:val="2"/>
              <w:sz w:val="24"/>
              <w:szCs w:val="24"/>
              <w14:ligatures w14:val="standardContextual"/>
            </w:rPr>
          </w:pPr>
          <w:hyperlink w:anchor="_Toc235788229" w:history="1">
            <w:r w:rsidRPr="0071633A">
              <w:rPr>
                <w:rStyle w:val="Hyperlink"/>
                <w:rFonts w:ascii="Arial" w:hAnsi="Arial" w:cs="Arial"/>
                <w:noProof/>
              </w:rPr>
              <w:t>5.2</w:t>
            </w:r>
            <w:r>
              <w:rPr>
                <w:noProof/>
                <w:kern w:val="2"/>
                <w:sz w:val="24"/>
                <w:szCs w:val="24"/>
                <w14:ligatures w14:val="standardContextual"/>
              </w:rPr>
              <w:tab/>
            </w:r>
            <w:r w:rsidRPr="0071633A">
              <w:rPr>
                <w:rStyle w:val="Hyperlink"/>
                <w:rFonts w:ascii="Arial" w:hAnsi="Arial" w:cs="Arial"/>
                <w:noProof/>
              </w:rPr>
              <w:t>Critical Evaluation of AI Output</w:t>
            </w:r>
            <w:r>
              <w:rPr>
                <w:noProof/>
                <w:webHidden/>
              </w:rPr>
              <w:tab/>
            </w:r>
            <w:r>
              <w:rPr>
                <w:noProof/>
                <w:webHidden/>
              </w:rPr>
              <w:fldChar w:fldCharType="begin"/>
            </w:r>
            <w:r>
              <w:rPr>
                <w:noProof/>
                <w:webHidden/>
              </w:rPr>
              <w:instrText xml:space="preserve"> PAGEREF _Toc235788229 \h </w:instrText>
            </w:r>
            <w:r>
              <w:rPr>
                <w:noProof/>
                <w:webHidden/>
              </w:rPr>
            </w:r>
            <w:r>
              <w:rPr>
                <w:noProof/>
                <w:webHidden/>
              </w:rPr>
              <w:fldChar w:fldCharType="separate"/>
            </w:r>
            <w:r>
              <w:rPr>
                <w:noProof/>
                <w:webHidden/>
              </w:rPr>
              <w:t>24</w:t>
            </w:r>
            <w:r>
              <w:rPr>
                <w:noProof/>
                <w:webHidden/>
              </w:rPr>
              <w:fldChar w:fldCharType="end"/>
            </w:r>
          </w:hyperlink>
        </w:p>
        <w:p w14:paraId="40DE8315" w14:textId="41D4816B" w:rsidR="00AB3F66" w:rsidRDefault="00AB3F66">
          <w:pPr>
            <w:pStyle w:val="TOC2"/>
            <w:tabs>
              <w:tab w:val="left" w:pos="960"/>
              <w:tab w:val="right" w:leader="dot" w:pos="9016"/>
            </w:tabs>
            <w:rPr>
              <w:noProof/>
              <w:kern w:val="2"/>
              <w:sz w:val="24"/>
              <w:szCs w:val="24"/>
              <w14:ligatures w14:val="standardContextual"/>
            </w:rPr>
          </w:pPr>
          <w:hyperlink w:anchor="_Toc235788230" w:history="1">
            <w:r w:rsidRPr="0071633A">
              <w:rPr>
                <w:rStyle w:val="Hyperlink"/>
                <w:rFonts w:ascii="Arial" w:hAnsi="Arial" w:cs="Arial"/>
                <w:noProof/>
              </w:rPr>
              <w:t>5.3</w:t>
            </w:r>
            <w:r>
              <w:rPr>
                <w:noProof/>
                <w:kern w:val="2"/>
                <w:sz w:val="24"/>
                <w:szCs w:val="24"/>
                <w14:ligatures w14:val="standardContextual"/>
              </w:rPr>
              <w:tab/>
            </w:r>
            <w:r w:rsidRPr="0071633A">
              <w:rPr>
                <w:rStyle w:val="Hyperlink"/>
                <w:rFonts w:ascii="Arial" w:hAnsi="Arial" w:cs="Arial"/>
                <w:noProof/>
              </w:rPr>
              <w:t>Contribution Analysis</w:t>
            </w:r>
            <w:r>
              <w:rPr>
                <w:noProof/>
                <w:webHidden/>
              </w:rPr>
              <w:tab/>
            </w:r>
            <w:r>
              <w:rPr>
                <w:noProof/>
                <w:webHidden/>
              </w:rPr>
              <w:fldChar w:fldCharType="begin"/>
            </w:r>
            <w:r>
              <w:rPr>
                <w:noProof/>
                <w:webHidden/>
              </w:rPr>
              <w:instrText xml:space="preserve"> PAGEREF _Toc235788230 \h </w:instrText>
            </w:r>
            <w:r>
              <w:rPr>
                <w:noProof/>
                <w:webHidden/>
              </w:rPr>
            </w:r>
            <w:r>
              <w:rPr>
                <w:noProof/>
                <w:webHidden/>
              </w:rPr>
              <w:fldChar w:fldCharType="separate"/>
            </w:r>
            <w:r>
              <w:rPr>
                <w:noProof/>
                <w:webHidden/>
              </w:rPr>
              <w:t>25</w:t>
            </w:r>
            <w:r>
              <w:rPr>
                <w:noProof/>
                <w:webHidden/>
              </w:rPr>
              <w:fldChar w:fldCharType="end"/>
            </w:r>
          </w:hyperlink>
        </w:p>
        <w:p w14:paraId="33579E90" w14:textId="0ECD0BDD" w:rsidR="00AB3F66" w:rsidRDefault="00AB3F66">
          <w:pPr>
            <w:pStyle w:val="TOC2"/>
            <w:tabs>
              <w:tab w:val="left" w:pos="960"/>
              <w:tab w:val="right" w:leader="dot" w:pos="9016"/>
            </w:tabs>
            <w:rPr>
              <w:noProof/>
              <w:kern w:val="2"/>
              <w:sz w:val="24"/>
              <w:szCs w:val="24"/>
              <w14:ligatures w14:val="standardContextual"/>
            </w:rPr>
          </w:pPr>
          <w:hyperlink w:anchor="_Toc235788231" w:history="1">
            <w:r w:rsidRPr="0071633A">
              <w:rPr>
                <w:rStyle w:val="Hyperlink"/>
                <w:rFonts w:ascii="Arial" w:hAnsi="Arial" w:cs="Arial"/>
                <w:noProof/>
              </w:rPr>
              <w:t>5.4</w:t>
            </w:r>
            <w:r>
              <w:rPr>
                <w:noProof/>
                <w:kern w:val="2"/>
                <w:sz w:val="24"/>
                <w:szCs w:val="24"/>
                <w14:ligatures w14:val="standardContextual"/>
              </w:rPr>
              <w:tab/>
            </w:r>
            <w:r w:rsidRPr="0071633A">
              <w:rPr>
                <w:rStyle w:val="Hyperlink"/>
                <w:rFonts w:ascii="Arial" w:hAnsi="Arial" w:cs="Arial"/>
                <w:noProof/>
              </w:rPr>
              <w:t>Ethical and Professional Reflection</w:t>
            </w:r>
            <w:r>
              <w:rPr>
                <w:noProof/>
                <w:webHidden/>
              </w:rPr>
              <w:tab/>
            </w:r>
            <w:r>
              <w:rPr>
                <w:noProof/>
                <w:webHidden/>
              </w:rPr>
              <w:fldChar w:fldCharType="begin"/>
            </w:r>
            <w:r>
              <w:rPr>
                <w:noProof/>
                <w:webHidden/>
              </w:rPr>
              <w:instrText xml:space="preserve"> PAGEREF _Toc235788231 \h </w:instrText>
            </w:r>
            <w:r>
              <w:rPr>
                <w:noProof/>
                <w:webHidden/>
              </w:rPr>
            </w:r>
            <w:r>
              <w:rPr>
                <w:noProof/>
                <w:webHidden/>
              </w:rPr>
              <w:fldChar w:fldCharType="separate"/>
            </w:r>
            <w:r>
              <w:rPr>
                <w:noProof/>
                <w:webHidden/>
              </w:rPr>
              <w:t>25</w:t>
            </w:r>
            <w:r>
              <w:rPr>
                <w:noProof/>
                <w:webHidden/>
              </w:rPr>
              <w:fldChar w:fldCharType="end"/>
            </w:r>
          </w:hyperlink>
        </w:p>
        <w:p w14:paraId="436ABD4C" w14:textId="7DE8CF63" w:rsidR="00AB3F66" w:rsidRDefault="00AB3F66">
          <w:pPr>
            <w:pStyle w:val="TOC1"/>
            <w:tabs>
              <w:tab w:val="left" w:pos="440"/>
              <w:tab w:val="right" w:leader="dot" w:pos="9016"/>
            </w:tabs>
            <w:rPr>
              <w:noProof/>
              <w:kern w:val="2"/>
              <w:sz w:val="24"/>
              <w:szCs w:val="24"/>
              <w14:ligatures w14:val="standardContextual"/>
            </w:rPr>
          </w:pPr>
          <w:hyperlink w:anchor="_Toc235788232" w:history="1">
            <w:r w:rsidRPr="0071633A">
              <w:rPr>
                <w:rStyle w:val="Hyperlink"/>
                <w:rFonts w:ascii="Arial" w:hAnsi="Arial" w:cs="Arial"/>
                <w:noProof/>
              </w:rPr>
              <w:t>6</w:t>
            </w:r>
            <w:r>
              <w:rPr>
                <w:noProof/>
                <w:kern w:val="2"/>
                <w:sz w:val="24"/>
                <w:szCs w:val="24"/>
                <w14:ligatures w14:val="standardContextual"/>
              </w:rPr>
              <w:tab/>
            </w:r>
            <w:r w:rsidRPr="0071633A">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_Toc235788232 \h </w:instrText>
            </w:r>
            <w:r>
              <w:rPr>
                <w:noProof/>
                <w:webHidden/>
              </w:rPr>
            </w:r>
            <w:r>
              <w:rPr>
                <w:noProof/>
                <w:webHidden/>
              </w:rPr>
              <w:fldChar w:fldCharType="separate"/>
            </w:r>
            <w:r>
              <w:rPr>
                <w:noProof/>
                <w:webHidden/>
              </w:rPr>
              <w:t>26</w:t>
            </w:r>
            <w:r>
              <w:rPr>
                <w:noProof/>
                <w:webHidden/>
              </w:rPr>
              <w:fldChar w:fldCharType="end"/>
            </w:r>
          </w:hyperlink>
        </w:p>
        <w:p w14:paraId="70ECF548" w14:textId="422198EC" w:rsidR="00AB3F66" w:rsidRDefault="00AB3F66">
          <w:pPr>
            <w:pStyle w:val="TOC1"/>
            <w:tabs>
              <w:tab w:val="left" w:pos="440"/>
              <w:tab w:val="right" w:leader="dot" w:pos="9016"/>
            </w:tabs>
            <w:rPr>
              <w:noProof/>
              <w:kern w:val="2"/>
              <w:sz w:val="24"/>
              <w:szCs w:val="24"/>
              <w14:ligatures w14:val="standardContextual"/>
            </w:rPr>
          </w:pPr>
          <w:hyperlink w:anchor="_Toc235788233" w:history="1">
            <w:r w:rsidRPr="0071633A">
              <w:rPr>
                <w:rStyle w:val="Hyperlink"/>
                <w:rFonts w:ascii="Arial" w:hAnsi="Arial" w:cs="Arial"/>
                <w:noProof/>
              </w:rPr>
              <w:t>7</w:t>
            </w:r>
            <w:r>
              <w:rPr>
                <w:noProof/>
                <w:kern w:val="2"/>
                <w:sz w:val="24"/>
                <w:szCs w:val="24"/>
                <w14:ligatures w14:val="standardContextual"/>
              </w:rPr>
              <w:tab/>
            </w:r>
            <w:r w:rsidRPr="0071633A">
              <w:rPr>
                <w:rStyle w:val="Hyperlink"/>
                <w:rFonts w:ascii="Arial" w:hAnsi="Arial" w:cs="Arial"/>
                <w:noProof/>
              </w:rPr>
              <w:t>Appendices</w:t>
            </w:r>
            <w:r>
              <w:rPr>
                <w:noProof/>
                <w:webHidden/>
              </w:rPr>
              <w:tab/>
            </w:r>
            <w:r>
              <w:rPr>
                <w:noProof/>
                <w:webHidden/>
              </w:rPr>
              <w:fldChar w:fldCharType="begin"/>
            </w:r>
            <w:r>
              <w:rPr>
                <w:noProof/>
                <w:webHidden/>
              </w:rPr>
              <w:instrText xml:space="preserve"> PAGEREF _Toc235788233 \h </w:instrText>
            </w:r>
            <w:r>
              <w:rPr>
                <w:noProof/>
                <w:webHidden/>
              </w:rPr>
            </w:r>
            <w:r>
              <w:rPr>
                <w:noProof/>
                <w:webHidden/>
              </w:rPr>
              <w:fldChar w:fldCharType="separate"/>
            </w:r>
            <w:r>
              <w:rPr>
                <w:noProof/>
                <w:webHidden/>
              </w:rPr>
              <w:t>30</w:t>
            </w:r>
            <w:r>
              <w:rPr>
                <w:noProof/>
                <w:webHidden/>
              </w:rPr>
              <w:fldChar w:fldCharType="end"/>
            </w:r>
          </w:hyperlink>
        </w:p>
        <w:p w14:paraId="4D8AC1D8" w14:textId="44F35160" w:rsidR="00AB3F66" w:rsidRDefault="00AB3F66">
          <w:pPr>
            <w:pStyle w:val="TOC2"/>
            <w:tabs>
              <w:tab w:val="left" w:pos="960"/>
              <w:tab w:val="right" w:leader="dot" w:pos="9016"/>
            </w:tabs>
            <w:rPr>
              <w:noProof/>
              <w:kern w:val="2"/>
              <w:sz w:val="24"/>
              <w:szCs w:val="24"/>
              <w14:ligatures w14:val="standardContextual"/>
            </w:rPr>
          </w:pPr>
          <w:hyperlink w:anchor="_Toc235788234" w:history="1">
            <w:r w:rsidRPr="0071633A">
              <w:rPr>
                <w:rStyle w:val="Hyperlink"/>
                <w:rFonts w:ascii="Arial" w:hAnsi="Arial" w:cs="Arial"/>
                <w:noProof/>
              </w:rPr>
              <w:t>7.1</w:t>
            </w:r>
            <w:r>
              <w:rPr>
                <w:noProof/>
                <w:kern w:val="2"/>
                <w:sz w:val="24"/>
                <w:szCs w:val="24"/>
                <w14:ligatures w14:val="standardContextual"/>
              </w:rPr>
              <w:tab/>
            </w:r>
            <w:r w:rsidRPr="0071633A">
              <w:rPr>
                <w:rStyle w:val="Hyperlink"/>
                <w:rFonts w:ascii="Arial" w:hAnsi="Arial" w:cs="Arial"/>
                <w:noProof/>
              </w:rPr>
              <w:t>Appendix A: Original financial-statement values</w:t>
            </w:r>
            <w:r>
              <w:rPr>
                <w:noProof/>
                <w:webHidden/>
              </w:rPr>
              <w:tab/>
            </w:r>
            <w:r>
              <w:rPr>
                <w:noProof/>
                <w:webHidden/>
              </w:rPr>
              <w:fldChar w:fldCharType="begin"/>
            </w:r>
            <w:r>
              <w:rPr>
                <w:noProof/>
                <w:webHidden/>
              </w:rPr>
              <w:instrText xml:space="preserve"> PAGEREF _Toc235788234 \h </w:instrText>
            </w:r>
            <w:r>
              <w:rPr>
                <w:noProof/>
                <w:webHidden/>
              </w:rPr>
            </w:r>
            <w:r>
              <w:rPr>
                <w:noProof/>
                <w:webHidden/>
              </w:rPr>
              <w:fldChar w:fldCharType="separate"/>
            </w:r>
            <w:r>
              <w:rPr>
                <w:noProof/>
                <w:webHidden/>
              </w:rPr>
              <w:t>30</w:t>
            </w:r>
            <w:r>
              <w:rPr>
                <w:noProof/>
                <w:webHidden/>
              </w:rPr>
              <w:fldChar w:fldCharType="end"/>
            </w:r>
          </w:hyperlink>
        </w:p>
        <w:p w14:paraId="5F3B4A84" w14:textId="360E6929" w:rsidR="00AB3F66" w:rsidRDefault="00AB3F66">
          <w:pPr>
            <w:pStyle w:val="TOC3"/>
            <w:tabs>
              <w:tab w:val="left" w:pos="1200"/>
              <w:tab w:val="right" w:leader="dot" w:pos="9016"/>
            </w:tabs>
            <w:rPr>
              <w:noProof/>
              <w:kern w:val="2"/>
              <w:sz w:val="24"/>
              <w:szCs w:val="24"/>
              <w14:ligatures w14:val="standardContextual"/>
            </w:rPr>
          </w:pPr>
          <w:hyperlink w:anchor="_Toc235788235" w:history="1">
            <w:r w:rsidRPr="0071633A">
              <w:rPr>
                <w:rStyle w:val="Hyperlink"/>
                <w:rFonts w:ascii="Arial" w:hAnsi="Arial" w:cs="Arial"/>
                <w:noProof/>
              </w:rPr>
              <w:t>7.1.1</w:t>
            </w:r>
            <w:r>
              <w:rPr>
                <w:noProof/>
                <w:kern w:val="2"/>
                <w:sz w:val="24"/>
                <w:szCs w:val="24"/>
                <w14:ligatures w14:val="standardContextual"/>
              </w:rPr>
              <w:tab/>
            </w:r>
            <w:r w:rsidRPr="0071633A">
              <w:rPr>
                <w:rStyle w:val="Hyperlink"/>
                <w:rFonts w:ascii="Arial" w:hAnsi="Arial" w:cs="Arial"/>
                <w:noProof/>
              </w:rPr>
              <w:t>Appendix A1: Income statement, cash flow and investor values</w:t>
            </w:r>
            <w:r>
              <w:rPr>
                <w:noProof/>
                <w:webHidden/>
              </w:rPr>
              <w:tab/>
            </w:r>
            <w:r>
              <w:rPr>
                <w:noProof/>
                <w:webHidden/>
              </w:rPr>
              <w:fldChar w:fldCharType="begin"/>
            </w:r>
            <w:r>
              <w:rPr>
                <w:noProof/>
                <w:webHidden/>
              </w:rPr>
              <w:instrText xml:space="preserve"> PAGEREF _Toc235788235 \h </w:instrText>
            </w:r>
            <w:r>
              <w:rPr>
                <w:noProof/>
                <w:webHidden/>
              </w:rPr>
            </w:r>
            <w:r>
              <w:rPr>
                <w:noProof/>
                <w:webHidden/>
              </w:rPr>
              <w:fldChar w:fldCharType="separate"/>
            </w:r>
            <w:r>
              <w:rPr>
                <w:noProof/>
                <w:webHidden/>
              </w:rPr>
              <w:t>30</w:t>
            </w:r>
            <w:r>
              <w:rPr>
                <w:noProof/>
                <w:webHidden/>
              </w:rPr>
              <w:fldChar w:fldCharType="end"/>
            </w:r>
          </w:hyperlink>
        </w:p>
        <w:p w14:paraId="00A69C00" w14:textId="2B207CEF" w:rsidR="00AB3F66" w:rsidRDefault="00AB3F66">
          <w:pPr>
            <w:pStyle w:val="TOC3"/>
            <w:tabs>
              <w:tab w:val="left" w:pos="1200"/>
              <w:tab w:val="right" w:leader="dot" w:pos="9016"/>
            </w:tabs>
            <w:rPr>
              <w:noProof/>
              <w:kern w:val="2"/>
              <w:sz w:val="24"/>
              <w:szCs w:val="24"/>
              <w14:ligatures w14:val="standardContextual"/>
            </w:rPr>
          </w:pPr>
          <w:hyperlink w:anchor="_Toc235788236" w:history="1">
            <w:r w:rsidRPr="0071633A">
              <w:rPr>
                <w:rStyle w:val="Hyperlink"/>
                <w:rFonts w:ascii="Arial" w:hAnsi="Arial" w:cs="Arial"/>
                <w:noProof/>
              </w:rPr>
              <w:t>7.1.2</w:t>
            </w:r>
            <w:r>
              <w:rPr>
                <w:noProof/>
                <w:kern w:val="2"/>
                <w:sz w:val="24"/>
                <w:szCs w:val="24"/>
                <w14:ligatures w14:val="standardContextual"/>
              </w:rPr>
              <w:tab/>
            </w:r>
            <w:r w:rsidRPr="0071633A">
              <w:rPr>
                <w:rStyle w:val="Hyperlink"/>
                <w:rFonts w:ascii="Arial" w:hAnsi="Arial" w:cs="Arial"/>
                <w:noProof/>
              </w:rPr>
              <w:t>Appendix A2: Statement of financial position values</w:t>
            </w:r>
            <w:r>
              <w:rPr>
                <w:noProof/>
                <w:webHidden/>
              </w:rPr>
              <w:tab/>
            </w:r>
            <w:r>
              <w:rPr>
                <w:noProof/>
                <w:webHidden/>
              </w:rPr>
              <w:fldChar w:fldCharType="begin"/>
            </w:r>
            <w:r>
              <w:rPr>
                <w:noProof/>
                <w:webHidden/>
              </w:rPr>
              <w:instrText xml:space="preserve"> PAGEREF _Toc235788236 \h </w:instrText>
            </w:r>
            <w:r>
              <w:rPr>
                <w:noProof/>
                <w:webHidden/>
              </w:rPr>
            </w:r>
            <w:r>
              <w:rPr>
                <w:noProof/>
                <w:webHidden/>
              </w:rPr>
              <w:fldChar w:fldCharType="separate"/>
            </w:r>
            <w:r>
              <w:rPr>
                <w:noProof/>
                <w:webHidden/>
              </w:rPr>
              <w:t>30</w:t>
            </w:r>
            <w:r>
              <w:rPr>
                <w:noProof/>
                <w:webHidden/>
              </w:rPr>
              <w:fldChar w:fldCharType="end"/>
            </w:r>
          </w:hyperlink>
        </w:p>
        <w:p w14:paraId="12BB4AA6" w14:textId="0C68FF9F" w:rsidR="00AB3F66" w:rsidRDefault="00AB3F66">
          <w:pPr>
            <w:pStyle w:val="TOC3"/>
            <w:tabs>
              <w:tab w:val="left" w:pos="1200"/>
              <w:tab w:val="right" w:leader="dot" w:pos="9016"/>
            </w:tabs>
            <w:rPr>
              <w:noProof/>
              <w:kern w:val="2"/>
              <w:sz w:val="24"/>
              <w:szCs w:val="24"/>
              <w14:ligatures w14:val="standardContextual"/>
            </w:rPr>
          </w:pPr>
          <w:hyperlink w:anchor="_Toc235788237" w:history="1">
            <w:r w:rsidRPr="0071633A">
              <w:rPr>
                <w:rStyle w:val="Hyperlink"/>
                <w:rFonts w:ascii="Arial" w:hAnsi="Arial" w:cs="Arial"/>
                <w:noProof/>
              </w:rPr>
              <w:t>7.1.3</w:t>
            </w:r>
            <w:r>
              <w:rPr>
                <w:noProof/>
                <w:kern w:val="2"/>
                <w:sz w:val="24"/>
                <w:szCs w:val="24"/>
                <w14:ligatures w14:val="standardContextual"/>
              </w:rPr>
              <w:tab/>
            </w:r>
            <w:r w:rsidRPr="0071633A">
              <w:rPr>
                <w:rStyle w:val="Hyperlink"/>
                <w:rFonts w:ascii="Arial" w:hAnsi="Arial" w:cs="Arial"/>
                <w:noProof/>
              </w:rPr>
              <w:t>Appendix A3: Opening values used for average-balance calculations</w:t>
            </w:r>
            <w:r>
              <w:rPr>
                <w:noProof/>
                <w:webHidden/>
              </w:rPr>
              <w:tab/>
            </w:r>
            <w:r>
              <w:rPr>
                <w:noProof/>
                <w:webHidden/>
              </w:rPr>
              <w:fldChar w:fldCharType="begin"/>
            </w:r>
            <w:r>
              <w:rPr>
                <w:noProof/>
                <w:webHidden/>
              </w:rPr>
              <w:instrText xml:space="preserve"> PAGEREF _Toc235788237 \h </w:instrText>
            </w:r>
            <w:r>
              <w:rPr>
                <w:noProof/>
                <w:webHidden/>
              </w:rPr>
            </w:r>
            <w:r>
              <w:rPr>
                <w:noProof/>
                <w:webHidden/>
              </w:rPr>
              <w:fldChar w:fldCharType="separate"/>
            </w:r>
            <w:r>
              <w:rPr>
                <w:noProof/>
                <w:webHidden/>
              </w:rPr>
              <w:t>31</w:t>
            </w:r>
            <w:r>
              <w:rPr>
                <w:noProof/>
                <w:webHidden/>
              </w:rPr>
              <w:fldChar w:fldCharType="end"/>
            </w:r>
          </w:hyperlink>
        </w:p>
        <w:p w14:paraId="362B80F2" w14:textId="671557F6" w:rsidR="00AB3F66" w:rsidRDefault="00AB3F66">
          <w:pPr>
            <w:pStyle w:val="TOC2"/>
            <w:tabs>
              <w:tab w:val="left" w:pos="960"/>
              <w:tab w:val="right" w:leader="dot" w:pos="9016"/>
            </w:tabs>
            <w:rPr>
              <w:noProof/>
              <w:kern w:val="2"/>
              <w:sz w:val="24"/>
              <w:szCs w:val="24"/>
              <w14:ligatures w14:val="standardContextual"/>
            </w:rPr>
          </w:pPr>
          <w:hyperlink w:anchor="_Toc235788238" w:history="1">
            <w:r w:rsidRPr="0071633A">
              <w:rPr>
                <w:rStyle w:val="Hyperlink"/>
                <w:rFonts w:ascii="Arial" w:hAnsi="Arial" w:cs="Arial"/>
                <w:noProof/>
              </w:rPr>
              <w:t>7.2</w:t>
            </w:r>
            <w:r>
              <w:rPr>
                <w:noProof/>
                <w:kern w:val="2"/>
                <w:sz w:val="24"/>
                <w:szCs w:val="24"/>
                <w14:ligatures w14:val="standardContextual"/>
              </w:rPr>
              <w:tab/>
            </w:r>
            <w:r w:rsidRPr="0071633A">
              <w:rPr>
                <w:rStyle w:val="Hyperlink"/>
                <w:rFonts w:ascii="Arial" w:hAnsi="Arial" w:cs="Arial"/>
                <w:noProof/>
              </w:rPr>
              <w:t>Appendix B: Comprehensive five-year ratio analysis</w:t>
            </w:r>
            <w:r>
              <w:rPr>
                <w:noProof/>
                <w:webHidden/>
              </w:rPr>
              <w:tab/>
            </w:r>
            <w:r>
              <w:rPr>
                <w:noProof/>
                <w:webHidden/>
              </w:rPr>
              <w:fldChar w:fldCharType="begin"/>
            </w:r>
            <w:r>
              <w:rPr>
                <w:noProof/>
                <w:webHidden/>
              </w:rPr>
              <w:instrText xml:space="preserve"> PAGEREF _Toc235788238 \h </w:instrText>
            </w:r>
            <w:r>
              <w:rPr>
                <w:noProof/>
                <w:webHidden/>
              </w:rPr>
            </w:r>
            <w:r>
              <w:rPr>
                <w:noProof/>
                <w:webHidden/>
              </w:rPr>
              <w:fldChar w:fldCharType="separate"/>
            </w:r>
            <w:r>
              <w:rPr>
                <w:noProof/>
                <w:webHidden/>
              </w:rPr>
              <w:t>31</w:t>
            </w:r>
            <w:r>
              <w:rPr>
                <w:noProof/>
                <w:webHidden/>
              </w:rPr>
              <w:fldChar w:fldCharType="end"/>
            </w:r>
          </w:hyperlink>
        </w:p>
        <w:p w14:paraId="3DFEA38F" w14:textId="77D76696" w:rsidR="00AB3F66" w:rsidRDefault="00AB3F66">
          <w:pPr>
            <w:pStyle w:val="TOC3"/>
            <w:tabs>
              <w:tab w:val="left" w:pos="1200"/>
              <w:tab w:val="right" w:leader="dot" w:pos="9016"/>
            </w:tabs>
            <w:rPr>
              <w:noProof/>
              <w:kern w:val="2"/>
              <w:sz w:val="24"/>
              <w:szCs w:val="24"/>
              <w14:ligatures w14:val="standardContextual"/>
            </w:rPr>
          </w:pPr>
          <w:hyperlink w:anchor="_Toc235788239" w:history="1">
            <w:r w:rsidRPr="0071633A">
              <w:rPr>
                <w:rStyle w:val="Hyperlink"/>
                <w:rFonts w:ascii="Arial" w:hAnsi="Arial" w:cs="Arial"/>
                <w:noProof/>
              </w:rPr>
              <w:t>7.2.1</w:t>
            </w:r>
            <w:r>
              <w:rPr>
                <w:noProof/>
                <w:kern w:val="2"/>
                <w:sz w:val="24"/>
                <w:szCs w:val="24"/>
                <w14:ligatures w14:val="standardContextual"/>
              </w:rPr>
              <w:tab/>
            </w:r>
            <w:r w:rsidRPr="0071633A">
              <w:rPr>
                <w:rStyle w:val="Hyperlink"/>
                <w:rFonts w:ascii="Arial" w:hAnsi="Arial" w:cs="Arial"/>
                <w:noProof/>
              </w:rPr>
              <w:t>Appendix B1: Profitability, liquidity and efficiency</w:t>
            </w:r>
            <w:r>
              <w:rPr>
                <w:noProof/>
                <w:webHidden/>
              </w:rPr>
              <w:tab/>
            </w:r>
            <w:r>
              <w:rPr>
                <w:noProof/>
                <w:webHidden/>
              </w:rPr>
              <w:fldChar w:fldCharType="begin"/>
            </w:r>
            <w:r>
              <w:rPr>
                <w:noProof/>
                <w:webHidden/>
              </w:rPr>
              <w:instrText xml:space="preserve"> PAGEREF _Toc235788239 \h </w:instrText>
            </w:r>
            <w:r>
              <w:rPr>
                <w:noProof/>
                <w:webHidden/>
              </w:rPr>
            </w:r>
            <w:r>
              <w:rPr>
                <w:noProof/>
                <w:webHidden/>
              </w:rPr>
              <w:fldChar w:fldCharType="separate"/>
            </w:r>
            <w:r>
              <w:rPr>
                <w:noProof/>
                <w:webHidden/>
              </w:rPr>
              <w:t>31</w:t>
            </w:r>
            <w:r>
              <w:rPr>
                <w:noProof/>
                <w:webHidden/>
              </w:rPr>
              <w:fldChar w:fldCharType="end"/>
            </w:r>
          </w:hyperlink>
        </w:p>
        <w:p w14:paraId="6CD58CCC" w14:textId="71FE98B8" w:rsidR="00AB3F66" w:rsidRDefault="00AB3F66">
          <w:pPr>
            <w:pStyle w:val="TOC3"/>
            <w:tabs>
              <w:tab w:val="left" w:pos="1200"/>
              <w:tab w:val="right" w:leader="dot" w:pos="9016"/>
            </w:tabs>
            <w:rPr>
              <w:noProof/>
              <w:kern w:val="2"/>
              <w:sz w:val="24"/>
              <w:szCs w:val="24"/>
              <w14:ligatures w14:val="standardContextual"/>
            </w:rPr>
          </w:pPr>
          <w:hyperlink w:anchor="_Toc235788240" w:history="1">
            <w:r w:rsidRPr="0071633A">
              <w:rPr>
                <w:rStyle w:val="Hyperlink"/>
                <w:rFonts w:ascii="Arial" w:hAnsi="Arial" w:cs="Arial"/>
                <w:noProof/>
              </w:rPr>
              <w:t>7.2.2</w:t>
            </w:r>
            <w:r>
              <w:rPr>
                <w:noProof/>
                <w:kern w:val="2"/>
                <w:sz w:val="24"/>
                <w:szCs w:val="24"/>
                <w14:ligatures w14:val="standardContextual"/>
              </w:rPr>
              <w:tab/>
            </w:r>
            <w:r w:rsidRPr="0071633A">
              <w:rPr>
                <w:rStyle w:val="Hyperlink"/>
                <w:rFonts w:ascii="Arial" w:hAnsi="Arial" w:cs="Arial"/>
                <w:noProof/>
              </w:rPr>
              <w:t>Appendix B2: Gearing, investment and cash-flow ratios</w:t>
            </w:r>
            <w:r>
              <w:rPr>
                <w:noProof/>
                <w:webHidden/>
              </w:rPr>
              <w:tab/>
            </w:r>
            <w:r>
              <w:rPr>
                <w:noProof/>
                <w:webHidden/>
              </w:rPr>
              <w:fldChar w:fldCharType="begin"/>
            </w:r>
            <w:r>
              <w:rPr>
                <w:noProof/>
                <w:webHidden/>
              </w:rPr>
              <w:instrText xml:space="preserve"> PAGEREF _Toc235788240 \h </w:instrText>
            </w:r>
            <w:r>
              <w:rPr>
                <w:noProof/>
                <w:webHidden/>
              </w:rPr>
            </w:r>
            <w:r>
              <w:rPr>
                <w:noProof/>
                <w:webHidden/>
              </w:rPr>
              <w:fldChar w:fldCharType="separate"/>
            </w:r>
            <w:r>
              <w:rPr>
                <w:noProof/>
                <w:webHidden/>
              </w:rPr>
              <w:t>34</w:t>
            </w:r>
            <w:r>
              <w:rPr>
                <w:noProof/>
                <w:webHidden/>
              </w:rPr>
              <w:fldChar w:fldCharType="end"/>
            </w:r>
          </w:hyperlink>
        </w:p>
        <w:p w14:paraId="578764DF" w14:textId="5AD89E6B" w:rsidR="00AB3F66" w:rsidRDefault="00AB3F66">
          <w:pPr>
            <w:pStyle w:val="TOC2"/>
            <w:tabs>
              <w:tab w:val="left" w:pos="960"/>
              <w:tab w:val="right" w:leader="dot" w:pos="9016"/>
            </w:tabs>
            <w:rPr>
              <w:noProof/>
              <w:kern w:val="2"/>
              <w:sz w:val="24"/>
              <w:szCs w:val="24"/>
              <w14:ligatures w14:val="standardContextual"/>
            </w:rPr>
          </w:pPr>
          <w:hyperlink w:anchor="_Toc235788241" w:history="1">
            <w:r w:rsidRPr="0071633A">
              <w:rPr>
                <w:rStyle w:val="Hyperlink"/>
                <w:rFonts w:ascii="Arial" w:hAnsi="Arial" w:cs="Arial"/>
                <w:noProof/>
              </w:rPr>
              <w:t>7.3</w:t>
            </w:r>
            <w:r>
              <w:rPr>
                <w:noProof/>
                <w:kern w:val="2"/>
                <w:sz w:val="24"/>
                <w:szCs w:val="24"/>
                <w14:ligatures w14:val="standardContextual"/>
              </w:rPr>
              <w:tab/>
            </w:r>
            <w:r w:rsidRPr="0071633A">
              <w:rPr>
                <w:rStyle w:val="Hyperlink"/>
                <w:rFonts w:ascii="Arial" w:hAnsi="Arial" w:cs="Arial"/>
                <w:noProof/>
              </w:rPr>
              <w:t>Appendix C: Calculation workings</w:t>
            </w:r>
            <w:r>
              <w:rPr>
                <w:noProof/>
                <w:webHidden/>
              </w:rPr>
              <w:tab/>
            </w:r>
            <w:r>
              <w:rPr>
                <w:noProof/>
                <w:webHidden/>
              </w:rPr>
              <w:fldChar w:fldCharType="begin"/>
            </w:r>
            <w:r>
              <w:rPr>
                <w:noProof/>
                <w:webHidden/>
              </w:rPr>
              <w:instrText xml:space="preserve"> PAGEREF _Toc235788241 \h </w:instrText>
            </w:r>
            <w:r>
              <w:rPr>
                <w:noProof/>
                <w:webHidden/>
              </w:rPr>
            </w:r>
            <w:r>
              <w:rPr>
                <w:noProof/>
                <w:webHidden/>
              </w:rPr>
              <w:fldChar w:fldCharType="separate"/>
            </w:r>
            <w:r>
              <w:rPr>
                <w:noProof/>
                <w:webHidden/>
              </w:rPr>
              <w:t>38</w:t>
            </w:r>
            <w:r>
              <w:rPr>
                <w:noProof/>
                <w:webHidden/>
              </w:rPr>
              <w:fldChar w:fldCharType="end"/>
            </w:r>
          </w:hyperlink>
        </w:p>
        <w:p w14:paraId="0035951C" w14:textId="60AFE281" w:rsidR="00AB3F66" w:rsidRDefault="00AB3F66">
          <w:pPr>
            <w:pStyle w:val="TOC3"/>
            <w:tabs>
              <w:tab w:val="left" w:pos="1200"/>
              <w:tab w:val="right" w:leader="dot" w:pos="9016"/>
            </w:tabs>
            <w:rPr>
              <w:noProof/>
              <w:kern w:val="2"/>
              <w:sz w:val="24"/>
              <w:szCs w:val="24"/>
              <w14:ligatures w14:val="standardContextual"/>
            </w:rPr>
          </w:pPr>
          <w:hyperlink w:anchor="_Toc235788242" w:history="1">
            <w:r w:rsidRPr="0071633A">
              <w:rPr>
                <w:rStyle w:val="Hyperlink"/>
                <w:rFonts w:ascii="Arial" w:hAnsi="Arial" w:cs="Arial"/>
                <w:noProof/>
              </w:rPr>
              <w:t>7.3.1</w:t>
            </w:r>
            <w:r>
              <w:rPr>
                <w:noProof/>
                <w:kern w:val="2"/>
                <w:sz w:val="24"/>
                <w:szCs w:val="24"/>
                <w14:ligatures w14:val="standardContextual"/>
              </w:rPr>
              <w:tab/>
            </w:r>
            <w:r w:rsidRPr="0071633A">
              <w:rPr>
                <w:rStyle w:val="Hyperlink"/>
                <w:rFonts w:ascii="Arial" w:hAnsi="Arial" w:cs="Arial"/>
                <w:noProof/>
              </w:rPr>
              <w:t>Appendix C1: Example 2025 ratio calculations</w:t>
            </w:r>
            <w:r>
              <w:rPr>
                <w:noProof/>
                <w:webHidden/>
              </w:rPr>
              <w:tab/>
            </w:r>
            <w:r>
              <w:rPr>
                <w:noProof/>
                <w:webHidden/>
              </w:rPr>
              <w:fldChar w:fldCharType="begin"/>
            </w:r>
            <w:r>
              <w:rPr>
                <w:noProof/>
                <w:webHidden/>
              </w:rPr>
              <w:instrText xml:space="preserve"> PAGEREF _Toc235788242 \h </w:instrText>
            </w:r>
            <w:r>
              <w:rPr>
                <w:noProof/>
                <w:webHidden/>
              </w:rPr>
            </w:r>
            <w:r>
              <w:rPr>
                <w:noProof/>
                <w:webHidden/>
              </w:rPr>
              <w:fldChar w:fldCharType="separate"/>
            </w:r>
            <w:r>
              <w:rPr>
                <w:noProof/>
                <w:webHidden/>
              </w:rPr>
              <w:t>38</w:t>
            </w:r>
            <w:r>
              <w:rPr>
                <w:noProof/>
                <w:webHidden/>
              </w:rPr>
              <w:fldChar w:fldCharType="end"/>
            </w:r>
          </w:hyperlink>
        </w:p>
        <w:p w14:paraId="22A5FB56" w14:textId="200642E6" w:rsidR="00AB3F66" w:rsidRDefault="00AB3F66">
          <w:pPr>
            <w:pStyle w:val="TOC3"/>
            <w:tabs>
              <w:tab w:val="left" w:pos="1200"/>
              <w:tab w:val="right" w:leader="dot" w:pos="9016"/>
            </w:tabs>
            <w:rPr>
              <w:noProof/>
              <w:kern w:val="2"/>
              <w:sz w:val="24"/>
              <w:szCs w:val="24"/>
              <w14:ligatures w14:val="standardContextual"/>
            </w:rPr>
          </w:pPr>
          <w:hyperlink w:anchor="_Toc235788243" w:history="1">
            <w:r w:rsidRPr="0071633A">
              <w:rPr>
                <w:rStyle w:val="Hyperlink"/>
                <w:rFonts w:ascii="Arial" w:hAnsi="Arial" w:cs="Arial"/>
                <w:noProof/>
              </w:rPr>
              <w:t>7.3.2</w:t>
            </w:r>
            <w:r>
              <w:rPr>
                <w:noProof/>
                <w:kern w:val="2"/>
                <w:sz w:val="24"/>
                <w:szCs w:val="24"/>
                <w14:ligatures w14:val="standardContextual"/>
              </w:rPr>
              <w:tab/>
            </w:r>
            <w:r w:rsidRPr="0071633A">
              <w:rPr>
                <w:rStyle w:val="Hyperlink"/>
                <w:rFonts w:ascii="Arial" w:hAnsi="Arial" w:cs="Arial"/>
                <w:noProof/>
              </w:rPr>
              <w:t>Appendix C2: Original peer values used for liquidity benchmarking</w:t>
            </w:r>
            <w:r>
              <w:rPr>
                <w:noProof/>
                <w:webHidden/>
              </w:rPr>
              <w:tab/>
            </w:r>
            <w:r>
              <w:rPr>
                <w:noProof/>
                <w:webHidden/>
              </w:rPr>
              <w:fldChar w:fldCharType="begin"/>
            </w:r>
            <w:r>
              <w:rPr>
                <w:noProof/>
                <w:webHidden/>
              </w:rPr>
              <w:instrText xml:space="preserve"> PAGEREF _Toc235788243 \h </w:instrText>
            </w:r>
            <w:r>
              <w:rPr>
                <w:noProof/>
                <w:webHidden/>
              </w:rPr>
            </w:r>
            <w:r>
              <w:rPr>
                <w:noProof/>
                <w:webHidden/>
              </w:rPr>
              <w:fldChar w:fldCharType="separate"/>
            </w:r>
            <w:r>
              <w:rPr>
                <w:noProof/>
                <w:webHidden/>
              </w:rPr>
              <w:t>39</w:t>
            </w:r>
            <w:r>
              <w:rPr>
                <w:noProof/>
                <w:webHidden/>
              </w:rPr>
              <w:fldChar w:fldCharType="end"/>
            </w:r>
          </w:hyperlink>
        </w:p>
        <w:p w14:paraId="12D80ECD" w14:textId="54A7D381" w:rsidR="0026022B" w:rsidRPr="00137A05" w:rsidRDefault="0026022B">
          <w:pPr>
            <w:rPr>
              <w:rFonts w:ascii="Arial" w:hAnsi="Arial" w:cs="Arial"/>
              <w:sz w:val="24"/>
              <w:szCs w:val="24"/>
            </w:rPr>
          </w:pPr>
          <w:r w:rsidRPr="00137A05">
            <w:rPr>
              <w:rFonts w:ascii="Arial" w:hAnsi="Arial" w:cs="Arial"/>
              <w:b/>
              <w:bCs/>
              <w:noProof/>
              <w:sz w:val="24"/>
              <w:szCs w:val="24"/>
            </w:rPr>
            <w:fldChar w:fldCharType="end"/>
          </w:r>
        </w:p>
      </w:sdtContent>
    </w:sdt>
    <w:p w14:paraId="1C3DC93D" w14:textId="77777777" w:rsidR="0026022B" w:rsidRPr="00137A05" w:rsidRDefault="0026022B" w:rsidP="0026022B">
      <w:pPr>
        <w:spacing w:line="360" w:lineRule="auto"/>
        <w:rPr>
          <w:rFonts w:ascii="Arial" w:hAnsi="Arial" w:cs="Arial"/>
          <w:sz w:val="24"/>
          <w:szCs w:val="24"/>
        </w:rPr>
      </w:pPr>
    </w:p>
    <w:p w14:paraId="116C5AE0" w14:textId="77777777" w:rsidR="00DE08C1" w:rsidRPr="00137A05" w:rsidRDefault="00DE08C1" w:rsidP="0026022B">
      <w:pPr>
        <w:spacing w:line="360" w:lineRule="auto"/>
        <w:rPr>
          <w:rFonts w:ascii="Arial" w:hAnsi="Arial" w:cs="Arial"/>
          <w:sz w:val="24"/>
          <w:szCs w:val="24"/>
        </w:rPr>
      </w:pPr>
    </w:p>
    <w:p w14:paraId="7B115A3F" w14:textId="77777777" w:rsidR="00DE08C1" w:rsidRPr="00137A05" w:rsidRDefault="00DE08C1" w:rsidP="0026022B">
      <w:pPr>
        <w:spacing w:line="360" w:lineRule="auto"/>
        <w:rPr>
          <w:rFonts w:ascii="Arial" w:hAnsi="Arial" w:cs="Arial"/>
          <w:sz w:val="24"/>
          <w:szCs w:val="24"/>
        </w:rPr>
      </w:pPr>
    </w:p>
    <w:p w14:paraId="54E020B4" w14:textId="77777777" w:rsidR="00DE08C1" w:rsidRPr="00137A05" w:rsidRDefault="00DE08C1" w:rsidP="0026022B">
      <w:pPr>
        <w:spacing w:line="360" w:lineRule="auto"/>
        <w:rPr>
          <w:rFonts w:ascii="Arial" w:hAnsi="Arial" w:cs="Arial"/>
          <w:sz w:val="24"/>
          <w:szCs w:val="24"/>
        </w:rPr>
      </w:pPr>
    </w:p>
    <w:p w14:paraId="43F02E5B" w14:textId="77777777" w:rsidR="00DE08C1" w:rsidRPr="00137A05" w:rsidRDefault="00DE08C1" w:rsidP="0026022B">
      <w:pPr>
        <w:spacing w:line="360" w:lineRule="auto"/>
        <w:rPr>
          <w:rFonts w:ascii="Arial" w:hAnsi="Arial" w:cs="Arial"/>
          <w:sz w:val="24"/>
          <w:szCs w:val="24"/>
        </w:rPr>
      </w:pPr>
    </w:p>
    <w:p w14:paraId="32E4C610" w14:textId="77777777" w:rsidR="00DE08C1" w:rsidRPr="00137A05" w:rsidRDefault="00DE08C1" w:rsidP="0026022B">
      <w:pPr>
        <w:spacing w:line="360" w:lineRule="auto"/>
        <w:rPr>
          <w:rFonts w:ascii="Arial" w:hAnsi="Arial" w:cs="Arial"/>
          <w:sz w:val="24"/>
          <w:szCs w:val="24"/>
        </w:rPr>
      </w:pPr>
    </w:p>
    <w:p w14:paraId="7E179341" w14:textId="77777777" w:rsidR="00DE08C1" w:rsidRPr="00137A05" w:rsidRDefault="00DE08C1" w:rsidP="0026022B">
      <w:pPr>
        <w:spacing w:line="360" w:lineRule="auto"/>
        <w:rPr>
          <w:rFonts w:ascii="Arial" w:hAnsi="Arial" w:cs="Arial"/>
          <w:sz w:val="24"/>
          <w:szCs w:val="24"/>
        </w:rPr>
      </w:pPr>
    </w:p>
    <w:p w14:paraId="33E7D05A" w14:textId="77777777" w:rsidR="00DE08C1" w:rsidRPr="00137A05" w:rsidRDefault="00DE08C1" w:rsidP="0026022B">
      <w:pPr>
        <w:spacing w:line="360" w:lineRule="auto"/>
        <w:rPr>
          <w:rFonts w:ascii="Arial" w:hAnsi="Arial" w:cs="Arial"/>
          <w:sz w:val="24"/>
          <w:szCs w:val="24"/>
        </w:rPr>
      </w:pPr>
    </w:p>
    <w:p w14:paraId="70A20EC5" w14:textId="77777777" w:rsidR="00DE08C1" w:rsidRPr="00137A05" w:rsidRDefault="00DE08C1" w:rsidP="0026022B">
      <w:pPr>
        <w:spacing w:line="360" w:lineRule="auto"/>
        <w:rPr>
          <w:rFonts w:ascii="Arial" w:hAnsi="Arial" w:cs="Arial"/>
          <w:sz w:val="24"/>
          <w:szCs w:val="24"/>
        </w:rPr>
      </w:pPr>
    </w:p>
    <w:p w14:paraId="1E802DF4" w14:textId="77777777" w:rsidR="00DE08C1" w:rsidRPr="00137A05" w:rsidRDefault="00DE08C1" w:rsidP="0026022B">
      <w:pPr>
        <w:spacing w:line="360" w:lineRule="auto"/>
        <w:rPr>
          <w:rFonts w:ascii="Arial" w:hAnsi="Arial" w:cs="Arial"/>
          <w:sz w:val="24"/>
          <w:szCs w:val="24"/>
        </w:rPr>
      </w:pPr>
    </w:p>
    <w:p w14:paraId="5EF24725" w14:textId="77777777" w:rsidR="00DE08C1" w:rsidRPr="00137A05" w:rsidRDefault="00DE08C1" w:rsidP="0026022B">
      <w:pPr>
        <w:spacing w:line="360" w:lineRule="auto"/>
        <w:rPr>
          <w:rFonts w:ascii="Arial" w:hAnsi="Arial" w:cs="Arial"/>
          <w:sz w:val="24"/>
          <w:szCs w:val="24"/>
        </w:rPr>
      </w:pPr>
    </w:p>
    <w:p w14:paraId="0ADAD74B" w14:textId="77777777" w:rsidR="00DE08C1" w:rsidRPr="00137A05" w:rsidRDefault="00DE08C1" w:rsidP="0026022B">
      <w:pPr>
        <w:spacing w:line="360" w:lineRule="auto"/>
        <w:rPr>
          <w:rFonts w:ascii="Arial" w:hAnsi="Arial" w:cs="Arial"/>
          <w:sz w:val="24"/>
          <w:szCs w:val="24"/>
        </w:rPr>
      </w:pPr>
    </w:p>
    <w:p w14:paraId="45516192" w14:textId="77777777" w:rsidR="00DE08C1" w:rsidRPr="00137A05" w:rsidRDefault="00DE08C1" w:rsidP="0026022B">
      <w:pPr>
        <w:spacing w:line="360" w:lineRule="auto"/>
        <w:rPr>
          <w:rFonts w:ascii="Arial" w:hAnsi="Arial" w:cs="Arial"/>
          <w:sz w:val="24"/>
          <w:szCs w:val="24"/>
        </w:rPr>
      </w:pPr>
    </w:p>
    <w:p w14:paraId="0810E989" w14:textId="77777777" w:rsidR="00DE08C1" w:rsidRPr="00137A05" w:rsidRDefault="00DE08C1" w:rsidP="0026022B">
      <w:pPr>
        <w:spacing w:line="360" w:lineRule="auto"/>
        <w:rPr>
          <w:rFonts w:ascii="Arial" w:hAnsi="Arial" w:cs="Arial"/>
          <w:sz w:val="24"/>
          <w:szCs w:val="24"/>
        </w:rPr>
      </w:pPr>
    </w:p>
    <w:p w14:paraId="5DC689BB" w14:textId="77777777" w:rsidR="00DE08C1" w:rsidRPr="00137A05" w:rsidRDefault="00DE08C1" w:rsidP="0026022B">
      <w:pPr>
        <w:spacing w:line="360" w:lineRule="auto"/>
        <w:rPr>
          <w:rFonts w:ascii="Arial" w:hAnsi="Arial" w:cs="Arial"/>
          <w:sz w:val="24"/>
          <w:szCs w:val="24"/>
        </w:rPr>
      </w:pPr>
    </w:p>
    <w:p w14:paraId="469ECDEC" w14:textId="77777777" w:rsidR="00DE08C1" w:rsidRPr="00137A05" w:rsidRDefault="00DE08C1" w:rsidP="0026022B">
      <w:pPr>
        <w:spacing w:line="360" w:lineRule="auto"/>
        <w:rPr>
          <w:rFonts w:ascii="Arial" w:hAnsi="Arial" w:cs="Arial"/>
          <w:sz w:val="24"/>
          <w:szCs w:val="24"/>
        </w:rPr>
      </w:pPr>
    </w:p>
    <w:p w14:paraId="7811B331" w14:textId="77777777" w:rsidR="00DE08C1" w:rsidRPr="00137A05" w:rsidRDefault="00DE08C1" w:rsidP="0026022B">
      <w:pPr>
        <w:spacing w:line="360" w:lineRule="auto"/>
        <w:rPr>
          <w:rFonts w:ascii="Arial" w:hAnsi="Arial" w:cs="Arial"/>
          <w:sz w:val="24"/>
          <w:szCs w:val="24"/>
        </w:rPr>
      </w:pPr>
    </w:p>
    <w:p w14:paraId="0EDC4AA3" w14:textId="77777777" w:rsidR="00DE08C1" w:rsidRPr="00137A05" w:rsidRDefault="00DE08C1" w:rsidP="0026022B">
      <w:pPr>
        <w:spacing w:line="360" w:lineRule="auto"/>
        <w:rPr>
          <w:rFonts w:ascii="Arial" w:hAnsi="Arial" w:cs="Arial"/>
          <w:sz w:val="24"/>
          <w:szCs w:val="24"/>
        </w:rPr>
      </w:pPr>
    </w:p>
    <w:p w14:paraId="6A0A4E9B" w14:textId="77777777" w:rsidR="0026022B" w:rsidRPr="00137A05" w:rsidRDefault="0026022B" w:rsidP="00336DE8">
      <w:pPr>
        <w:pStyle w:val="Heading1"/>
        <w:spacing w:line="360" w:lineRule="auto"/>
        <w:rPr>
          <w:rFonts w:ascii="Arial" w:hAnsi="Arial" w:cs="Arial"/>
          <w:sz w:val="24"/>
          <w:szCs w:val="24"/>
        </w:rPr>
      </w:pPr>
      <w:bookmarkStart w:id="0" w:name="_Toc235788204"/>
      <w:r w:rsidRPr="00137A05">
        <w:rPr>
          <w:rFonts w:ascii="Arial" w:hAnsi="Arial" w:cs="Arial"/>
          <w:sz w:val="24"/>
          <w:szCs w:val="24"/>
        </w:rPr>
        <w:lastRenderedPageBreak/>
        <w:t>Financial Health Check</w:t>
      </w:r>
      <w:bookmarkEnd w:id="0"/>
      <w:r w:rsidRPr="00137A05">
        <w:rPr>
          <w:rFonts w:ascii="Arial" w:hAnsi="Arial" w:cs="Arial"/>
          <w:sz w:val="24"/>
          <w:szCs w:val="24"/>
        </w:rPr>
        <w:t xml:space="preserve"> </w:t>
      </w:r>
    </w:p>
    <w:p w14:paraId="42B8DD9A" w14:textId="77777777" w:rsidR="000F7827" w:rsidRPr="00137A05" w:rsidRDefault="000F7827" w:rsidP="00336DE8">
      <w:pPr>
        <w:pStyle w:val="Heading2"/>
        <w:numPr>
          <w:ilvl w:val="1"/>
          <w:numId w:val="1"/>
        </w:numPr>
        <w:spacing w:line="360" w:lineRule="auto"/>
        <w:jc w:val="both"/>
        <w:rPr>
          <w:rFonts w:ascii="Arial" w:hAnsi="Arial" w:cs="Arial"/>
          <w:sz w:val="24"/>
          <w:szCs w:val="24"/>
        </w:rPr>
      </w:pPr>
      <w:bookmarkStart w:id="1" w:name="_Toc235788205"/>
      <w:r w:rsidRPr="00137A05">
        <w:rPr>
          <w:rFonts w:ascii="Arial" w:hAnsi="Arial" w:cs="Arial"/>
          <w:sz w:val="24"/>
          <w:szCs w:val="24"/>
        </w:rPr>
        <w:t>Basis of analysis</w:t>
      </w:r>
      <w:bookmarkEnd w:id="1"/>
    </w:p>
    <w:p w14:paraId="4B7756F3" w14:textId="7454AF54" w:rsidR="004300AA" w:rsidRPr="00137A05" w:rsidRDefault="004300AA" w:rsidP="00336DE8">
      <w:pPr>
        <w:spacing w:line="360" w:lineRule="auto"/>
        <w:jc w:val="center"/>
        <w:rPr>
          <w:rFonts w:ascii="Arial" w:hAnsi="Arial" w:cs="Arial"/>
          <w:sz w:val="24"/>
          <w:szCs w:val="24"/>
        </w:rPr>
      </w:pPr>
      <w:r w:rsidRPr="00137A05">
        <w:rPr>
          <w:rFonts w:ascii="Arial" w:hAnsi="Arial" w:cs="Arial"/>
          <w:noProof/>
          <w:sz w:val="24"/>
          <w:szCs w:val="24"/>
        </w:rPr>
        <w:drawing>
          <wp:inline distT="0" distB="0" distL="0" distR="0" wp14:anchorId="4AD5B2C5" wp14:editId="584F469C">
            <wp:extent cx="2846705" cy="1595755"/>
            <wp:effectExtent l="0" t="0" r="0" b="4445"/>
            <wp:docPr id="478789780" name="Picture 1" descr="Our history - InterContinental Hotels Group 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history - InterContinental Hotels Group PL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46705" cy="1595755"/>
                    </a:xfrm>
                    <a:prstGeom prst="rect">
                      <a:avLst/>
                    </a:prstGeom>
                    <a:noFill/>
                    <a:ln>
                      <a:noFill/>
                    </a:ln>
                  </pic:spPr>
                </pic:pic>
              </a:graphicData>
            </a:graphic>
          </wp:inline>
        </w:drawing>
      </w:r>
    </w:p>
    <w:p w14:paraId="596E9666" w14:textId="191FA7E6" w:rsidR="00CF22B0" w:rsidRPr="00137A05" w:rsidRDefault="00A71195" w:rsidP="00336DE8">
      <w:pPr>
        <w:spacing w:line="360" w:lineRule="auto"/>
        <w:jc w:val="both"/>
        <w:rPr>
          <w:rFonts w:ascii="Arial" w:hAnsi="Arial" w:cs="Arial"/>
          <w:sz w:val="24"/>
          <w:szCs w:val="24"/>
        </w:rPr>
      </w:pPr>
      <w:r w:rsidRPr="00A71195">
        <w:rPr>
          <w:rFonts w:ascii="Arial" w:hAnsi="Arial" w:cs="Arial"/>
          <w:sz w:val="24"/>
          <w:szCs w:val="24"/>
        </w:rPr>
        <w:t>This financial health check is based on IHG's consolidated financial statements as audited for the 2021-2025 period. The underlying figures have been taken from the Group income statements, financial position statements and the statements of cash flows. The ratios were not copied from the management commentary but were calculated independently. The 2021–2022 figures are drawn from the 2022 Annual Report, 2023–2024 from the 2024 Annual Report, and 2025 from the latest 2025 Annual Report. Total IFRS revenue is reported consistently but includes System Fund and reimbursable revenue. As IHG reports free cash flow, the adjusted version has been retained as a supplemental non-GAAP measure. Appendices A–C contain original inputs, formulas and calculations (IHG, 2023; IHG, 2025; IHG, 2026).</w:t>
      </w:r>
    </w:p>
    <w:p w14:paraId="0ACC1031" w14:textId="77777777" w:rsidR="000F7827" w:rsidRPr="00137A05" w:rsidRDefault="000F7827" w:rsidP="00336DE8">
      <w:pPr>
        <w:pStyle w:val="Heading2"/>
        <w:numPr>
          <w:ilvl w:val="1"/>
          <w:numId w:val="1"/>
        </w:numPr>
        <w:spacing w:line="360" w:lineRule="auto"/>
        <w:jc w:val="both"/>
        <w:rPr>
          <w:rFonts w:ascii="Arial" w:hAnsi="Arial" w:cs="Arial"/>
          <w:sz w:val="24"/>
          <w:szCs w:val="24"/>
        </w:rPr>
      </w:pPr>
      <w:bookmarkStart w:id="2" w:name="_Toc235788206"/>
      <w:r w:rsidRPr="00137A05">
        <w:rPr>
          <w:rFonts w:ascii="Arial" w:hAnsi="Arial" w:cs="Arial"/>
          <w:sz w:val="24"/>
          <w:szCs w:val="24"/>
        </w:rPr>
        <w:t>Five-year financial-statement performance</w:t>
      </w:r>
      <w:bookmarkEnd w:id="2"/>
    </w:p>
    <w:p w14:paraId="5195D402" w14:textId="77777777" w:rsidR="000F7827" w:rsidRPr="00137A05" w:rsidRDefault="000F7827" w:rsidP="00336DE8">
      <w:pPr>
        <w:spacing w:line="360" w:lineRule="auto"/>
        <w:jc w:val="center"/>
        <w:rPr>
          <w:rFonts w:ascii="Arial" w:hAnsi="Arial" w:cs="Arial"/>
          <w:sz w:val="24"/>
          <w:szCs w:val="24"/>
        </w:rPr>
      </w:pPr>
      <w:r w:rsidRPr="00137A05">
        <w:rPr>
          <w:rFonts w:ascii="Arial" w:hAnsi="Arial" w:cs="Arial"/>
          <w:noProof/>
          <w:sz w:val="24"/>
          <w:szCs w:val="24"/>
        </w:rPr>
        <w:drawing>
          <wp:inline distT="0" distB="0" distL="0" distR="0" wp14:anchorId="073DFB3F" wp14:editId="7EE9EEAB">
            <wp:extent cx="5786755" cy="2974975"/>
            <wp:effectExtent l="0" t="0" r="4445" b="15875"/>
            <wp:docPr id="427887782"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BA6344A" w14:textId="0BF05DC9" w:rsidR="00801A13" w:rsidRPr="00801A13" w:rsidRDefault="00801A13" w:rsidP="00801A13">
      <w:pPr>
        <w:spacing w:line="360" w:lineRule="auto"/>
        <w:jc w:val="both"/>
        <w:rPr>
          <w:rFonts w:ascii="Arial" w:hAnsi="Arial" w:cs="Arial"/>
          <w:sz w:val="24"/>
          <w:szCs w:val="24"/>
        </w:rPr>
      </w:pPr>
      <w:r w:rsidRPr="00801A13">
        <w:rPr>
          <w:rFonts w:ascii="Arial" w:hAnsi="Arial" w:cs="Arial"/>
          <w:sz w:val="24"/>
          <w:szCs w:val="24"/>
        </w:rPr>
        <w:lastRenderedPageBreak/>
        <w:t xml:space="preserve">IHG's post-pandemic recovery is evident in the income statement, and it has continued to grow profitably since. Revenue increased from $2,907 million in 2021 to $5,189 million in 2025, an increase of 78.5% and a compound annual growth rate of approximately 15.6%. Operating profit grew even faster, from $494 million to $1,198 million, and profit after tax grew from $265 million to $759 million. As a result, operating profit increased 142.5% and net profit increased 186.4% during the review period. The </w:t>
      </w:r>
      <w:r w:rsidR="00047F1A" w:rsidRPr="00801A13">
        <w:rPr>
          <w:rFonts w:ascii="Arial" w:hAnsi="Arial" w:cs="Arial"/>
          <w:sz w:val="24"/>
          <w:szCs w:val="24"/>
        </w:rPr>
        <w:t>outcome of 2025</w:t>
      </w:r>
      <w:r w:rsidRPr="00801A13">
        <w:rPr>
          <w:rFonts w:ascii="Arial" w:hAnsi="Arial" w:cs="Arial"/>
          <w:sz w:val="24"/>
          <w:szCs w:val="24"/>
        </w:rPr>
        <w:t xml:space="preserve"> was especially impressive: its revenue grew 5% year-on-year, its operating profit grew 15% and its basic EPS increased 26% to 490.9 cents. However, the profit trajectory was interrupted in 2024 when operating profit decreased from $1,066m to $1,041m or a decline of 2.4%, and net profit dropped from $750m to $628m, or by 3%, in 2024, before improving in 2025 (IHG, 2023; IHG, </w:t>
      </w:r>
      <w:r w:rsidR="004D307D">
        <w:rPr>
          <w:rFonts w:ascii="Arial" w:hAnsi="Arial" w:cs="Arial"/>
          <w:sz w:val="24"/>
          <w:szCs w:val="24"/>
        </w:rPr>
        <w:t>2026</w:t>
      </w:r>
      <w:r w:rsidRPr="00801A13">
        <w:rPr>
          <w:rFonts w:ascii="Arial" w:hAnsi="Arial" w:cs="Arial"/>
          <w:sz w:val="24"/>
          <w:szCs w:val="24"/>
        </w:rPr>
        <w:t xml:space="preserve">; IHG, 2026). </w:t>
      </w:r>
    </w:p>
    <w:p w14:paraId="66C0B91A" w14:textId="6230E6C7" w:rsidR="00836148" w:rsidRDefault="00801A13" w:rsidP="00801A13">
      <w:pPr>
        <w:spacing w:line="360" w:lineRule="auto"/>
        <w:jc w:val="both"/>
        <w:rPr>
          <w:rFonts w:ascii="Arial" w:hAnsi="Arial" w:cs="Arial"/>
          <w:sz w:val="24"/>
          <w:szCs w:val="24"/>
        </w:rPr>
      </w:pPr>
      <w:r w:rsidRPr="00801A13">
        <w:rPr>
          <w:rFonts w:ascii="Arial" w:hAnsi="Arial" w:cs="Arial"/>
          <w:sz w:val="24"/>
          <w:szCs w:val="24"/>
        </w:rPr>
        <w:t>The trend is not as pleasant on the balance sheet. Total assets grew by 14 percent, from $4,716 million to $5,345 million, but total liabilities increased by 26 percent from $6,190 million to $8,081 million. As a result, the Group's negative equity increased from $1,474 million to $2,736 million. Net debt initially decreased slightly to $1,851 million in 2022 but then climbed to $2,272 million in 2023, $2,782 million in 2024 and $3,333 million in 2025. IHG attributed the 2025 increase principally to more than $1.1 billion of dividends and repurchases, acquisition expenditure and adverse foreign-exchange effects. IHG's operating recovery is therefore real, but cash eroded value has occurred at a greater pace than generated cash, pushing more risk back onto the balance sheet (IHG, 2023; IHG, 2025; IHG, 2026).</w:t>
      </w:r>
    </w:p>
    <w:p w14:paraId="4C97D0B1" w14:textId="77777777" w:rsidR="00EF41FB" w:rsidRPr="00137A05" w:rsidRDefault="00EF41FB" w:rsidP="00336DE8">
      <w:pPr>
        <w:spacing w:line="360" w:lineRule="auto"/>
        <w:jc w:val="both"/>
        <w:rPr>
          <w:rFonts w:ascii="Arial" w:hAnsi="Arial" w:cs="Arial"/>
          <w:sz w:val="24"/>
          <w:szCs w:val="24"/>
        </w:rPr>
      </w:pPr>
    </w:p>
    <w:p w14:paraId="51049851" w14:textId="77777777" w:rsidR="000F7827" w:rsidRPr="00137A05" w:rsidRDefault="000F7827" w:rsidP="00336DE8">
      <w:pPr>
        <w:pStyle w:val="Heading2"/>
        <w:numPr>
          <w:ilvl w:val="1"/>
          <w:numId w:val="1"/>
        </w:numPr>
        <w:spacing w:line="360" w:lineRule="auto"/>
        <w:jc w:val="both"/>
        <w:rPr>
          <w:rFonts w:ascii="Arial" w:hAnsi="Arial" w:cs="Arial"/>
          <w:sz w:val="24"/>
          <w:szCs w:val="24"/>
        </w:rPr>
      </w:pPr>
      <w:bookmarkStart w:id="3" w:name="_Toc235788207"/>
      <w:r w:rsidRPr="00137A05">
        <w:rPr>
          <w:rFonts w:ascii="Arial" w:hAnsi="Arial" w:cs="Arial"/>
          <w:sz w:val="24"/>
          <w:szCs w:val="24"/>
        </w:rPr>
        <w:lastRenderedPageBreak/>
        <w:t>Profitability and operating efficiency</w:t>
      </w:r>
      <w:bookmarkEnd w:id="3"/>
    </w:p>
    <w:p w14:paraId="385449DF" w14:textId="77777777" w:rsidR="000F7827" w:rsidRPr="00137A05" w:rsidRDefault="000F7827" w:rsidP="00336DE8">
      <w:pPr>
        <w:spacing w:line="360" w:lineRule="auto"/>
        <w:jc w:val="center"/>
        <w:rPr>
          <w:rFonts w:ascii="Arial" w:hAnsi="Arial" w:cs="Arial"/>
          <w:sz w:val="24"/>
          <w:szCs w:val="24"/>
        </w:rPr>
      </w:pPr>
      <w:r w:rsidRPr="00137A05">
        <w:rPr>
          <w:rFonts w:ascii="Arial" w:hAnsi="Arial" w:cs="Arial"/>
          <w:noProof/>
          <w:sz w:val="24"/>
          <w:szCs w:val="24"/>
        </w:rPr>
        <w:drawing>
          <wp:inline distT="0" distB="0" distL="0" distR="0" wp14:anchorId="728547CF" wp14:editId="0504DF89">
            <wp:extent cx="5731510" cy="3110865"/>
            <wp:effectExtent l="0" t="0" r="2540" b="13335"/>
            <wp:docPr id="281857946" name="Chart 1">
              <a:extLst xmlns:a="http://schemas.openxmlformats.org/drawingml/2006/main">
                <a:ext uri="{FF2B5EF4-FFF2-40B4-BE49-F238E27FC236}">
                  <a16:creationId xmlns:a16="http://schemas.microsoft.com/office/drawing/2014/main" id="{4BB644E5-4CEE-A339-A2B6-301D65038C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58490C6" w14:textId="38BB3AD8" w:rsidR="002A2772" w:rsidRPr="002A2772" w:rsidRDefault="002A2772" w:rsidP="002A2772">
      <w:pPr>
        <w:spacing w:line="360" w:lineRule="auto"/>
        <w:jc w:val="both"/>
        <w:rPr>
          <w:rFonts w:ascii="Arial" w:hAnsi="Arial" w:cs="Arial"/>
          <w:sz w:val="24"/>
          <w:szCs w:val="24"/>
        </w:rPr>
      </w:pPr>
      <w:r w:rsidRPr="002A2772">
        <w:rPr>
          <w:rFonts w:ascii="Arial" w:hAnsi="Arial" w:cs="Arial"/>
          <w:sz w:val="24"/>
          <w:szCs w:val="24"/>
        </w:rPr>
        <w:t xml:space="preserve">Appendix B shows that operating margin improved from 16.99% in 2021 to 23.09% in 2025, while net margin rose from 9.12% to 14.63%. In 2024, the net margin was 12.76%, which was impacted by lower reported operating profit and higher financial expenses compared to 2023, which had the highest net margin of 16.22%. Return on average assets also improved, rising from 5.43% to 15.04%, with a maximum of 16.61% in 2023. These results illustrate the concept of "operating leverage" as profits grew significantly ahead of the increases in assets. This fits within IHG's asset-light strategy, whereby the majority of hotels are leased or managed for third-party operators and growth is driven through relatively small scale investment in direct properties (IHG, 2025; IHG, 2026). </w:t>
      </w:r>
    </w:p>
    <w:p w14:paraId="59420BDE" w14:textId="49B2B8FF" w:rsidR="009F6A48" w:rsidRDefault="002A2772" w:rsidP="002A2772">
      <w:pPr>
        <w:spacing w:line="360" w:lineRule="auto"/>
        <w:jc w:val="both"/>
        <w:rPr>
          <w:rFonts w:ascii="Arial" w:hAnsi="Arial" w:cs="Arial"/>
          <w:sz w:val="24"/>
          <w:szCs w:val="24"/>
        </w:rPr>
      </w:pPr>
      <w:r w:rsidRPr="002A2772">
        <w:rPr>
          <w:rFonts w:ascii="Arial" w:hAnsi="Arial" w:cs="Arial"/>
          <w:sz w:val="24"/>
          <w:szCs w:val="24"/>
        </w:rPr>
        <w:t>Efficiency indicators confirm this. In 2021, asset turnover was 0.60 times, which rose to nearly 1.03 times in 2024 and 2025. Receivables turnover increased from 5.34 to 6.41 times, and estimated collection days decreased from 68.3 to 56.9 days. Receivables grew from $574 million to $833 million, but revenue rose even more, leading to a higher collection efficiency against the pandemic-growth base. Despite the slight deterioration from 54.7 days in 2023 to 56.9 days in 2025, it should be monitored, especially if franchisees or hotel owners are at risk of financial stress during a downturn causing fee collection to be delayed (IHG, 2022, 2025 and 2026).</w:t>
      </w:r>
    </w:p>
    <w:p w14:paraId="3FF4E71F" w14:textId="77777777" w:rsidR="00B66ABB" w:rsidRPr="00137A05" w:rsidRDefault="00B66ABB" w:rsidP="00336DE8">
      <w:pPr>
        <w:spacing w:line="360" w:lineRule="auto"/>
        <w:jc w:val="both"/>
        <w:rPr>
          <w:rFonts w:ascii="Arial" w:hAnsi="Arial" w:cs="Arial"/>
          <w:sz w:val="24"/>
          <w:szCs w:val="24"/>
        </w:rPr>
      </w:pPr>
    </w:p>
    <w:p w14:paraId="5B758DB0" w14:textId="77777777" w:rsidR="000F7827" w:rsidRPr="00137A05" w:rsidRDefault="000F7827" w:rsidP="00336DE8">
      <w:pPr>
        <w:pStyle w:val="Heading2"/>
        <w:numPr>
          <w:ilvl w:val="1"/>
          <w:numId w:val="1"/>
        </w:numPr>
        <w:spacing w:line="360" w:lineRule="auto"/>
        <w:jc w:val="both"/>
        <w:rPr>
          <w:rFonts w:ascii="Arial" w:hAnsi="Arial" w:cs="Arial"/>
          <w:sz w:val="24"/>
          <w:szCs w:val="24"/>
        </w:rPr>
      </w:pPr>
      <w:bookmarkStart w:id="4" w:name="_Toc235788208"/>
      <w:r w:rsidRPr="00137A05">
        <w:rPr>
          <w:rFonts w:ascii="Arial" w:hAnsi="Arial" w:cs="Arial"/>
          <w:sz w:val="24"/>
          <w:szCs w:val="24"/>
        </w:rPr>
        <w:lastRenderedPageBreak/>
        <w:t>Liquidity and working-capital position</w:t>
      </w:r>
      <w:bookmarkEnd w:id="4"/>
    </w:p>
    <w:p w14:paraId="47C981B0" w14:textId="77777777" w:rsidR="000F7827" w:rsidRPr="00137A05" w:rsidRDefault="000F7827" w:rsidP="00336DE8">
      <w:pPr>
        <w:spacing w:line="360" w:lineRule="auto"/>
        <w:jc w:val="center"/>
        <w:rPr>
          <w:rFonts w:ascii="Arial" w:hAnsi="Arial" w:cs="Arial"/>
          <w:sz w:val="24"/>
          <w:szCs w:val="24"/>
        </w:rPr>
      </w:pPr>
      <w:r w:rsidRPr="00137A05">
        <w:rPr>
          <w:rFonts w:ascii="Arial" w:hAnsi="Arial" w:cs="Arial"/>
          <w:noProof/>
          <w:sz w:val="24"/>
          <w:szCs w:val="24"/>
        </w:rPr>
        <w:drawing>
          <wp:inline distT="0" distB="0" distL="0" distR="0" wp14:anchorId="48C2F560" wp14:editId="1CCDA904">
            <wp:extent cx="5728138" cy="3142593"/>
            <wp:effectExtent l="0" t="0" r="6350" b="1270"/>
            <wp:docPr id="1376234734" name="Chart 1">
              <a:extLst xmlns:a="http://schemas.openxmlformats.org/drawingml/2006/main">
                <a:ext uri="{FF2B5EF4-FFF2-40B4-BE49-F238E27FC236}">
                  <a16:creationId xmlns:a16="http://schemas.microsoft.com/office/drawing/2014/main" id="{A7D20A64-C503-1C57-B9D5-394248FB15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DF8C6A8" w14:textId="1B9F454E" w:rsidR="009F3FCF" w:rsidRPr="009F3FCF" w:rsidRDefault="009F3FCF" w:rsidP="009F3FCF">
      <w:pPr>
        <w:spacing w:line="360" w:lineRule="auto"/>
        <w:jc w:val="both"/>
        <w:rPr>
          <w:rFonts w:ascii="Arial" w:hAnsi="Arial" w:cs="Arial"/>
          <w:sz w:val="24"/>
          <w:szCs w:val="24"/>
        </w:rPr>
      </w:pPr>
      <w:r w:rsidRPr="009F3FCF">
        <w:rPr>
          <w:rFonts w:ascii="Arial" w:hAnsi="Arial" w:cs="Arial"/>
          <w:sz w:val="24"/>
          <w:szCs w:val="24"/>
        </w:rPr>
        <w:t xml:space="preserve">Liquidity did not improve significantly in the recovery. Net working capital declined from a positive $442 million in 2021 to negative $61 million in 2023, negative $59 million in 2024 and negative $51 million in 2025. The current ratio therefore fell from 1.27 to 0.98, the quick ratio from 1.27 to 0.97, and the cash ratio from 0.89 to 0.54. Current ratio is virtually the same as quick ratio because inventory is very small. In a traditional sense, a ratio of less than 1.0 means that current liabilities are higher than current assets. Acceptable liquidity varies, however, between industries and service businesses with little inventory may operate safely below the traditional general benchmarks (ACCA, n.d.; IHG, 2023; IHG, </w:t>
      </w:r>
      <w:r w:rsidR="004D307D">
        <w:rPr>
          <w:rFonts w:ascii="Arial" w:hAnsi="Arial" w:cs="Arial"/>
          <w:sz w:val="24"/>
          <w:szCs w:val="24"/>
        </w:rPr>
        <w:t>2026</w:t>
      </w:r>
      <w:r w:rsidRPr="009F3FCF">
        <w:rPr>
          <w:rFonts w:ascii="Arial" w:hAnsi="Arial" w:cs="Arial"/>
          <w:sz w:val="24"/>
          <w:szCs w:val="24"/>
        </w:rPr>
        <w:t xml:space="preserve">). </w:t>
      </w:r>
    </w:p>
    <w:p w14:paraId="7FD799AA" w14:textId="6BE9E163" w:rsidR="00F7084B" w:rsidRDefault="009F3FCF" w:rsidP="009F3FCF">
      <w:pPr>
        <w:spacing w:line="360" w:lineRule="auto"/>
        <w:jc w:val="both"/>
        <w:rPr>
          <w:rFonts w:ascii="Arial" w:hAnsi="Arial" w:cs="Arial"/>
          <w:sz w:val="24"/>
          <w:szCs w:val="24"/>
        </w:rPr>
      </w:pPr>
      <w:r w:rsidRPr="009F3FCF">
        <w:rPr>
          <w:rFonts w:ascii="Arial" w:hAnsi="Arial" w:cs="Arial"/>
          <w:sz w:val="24"/>
          <w:szCs w:val="24"/>
        </w:rPr>
        <w:t>That concern is diminished by IHG's liability structure. As of the end of 2025, deferred revenue amounted to $829 million, representing 39.5% of current liabilities totaling $2,100 million. These obligations are normally paid in the future by the loyal customers, the reservation, or the related services, or in part by cash and in part by future services. Moreover, operating cash flow was positive each year and was $898 million in 2025. The risk is not immediate illiquidity but rather a decline in financial flexibility: a sudden drop in travel demand, slow owner repayments or limited refinancing options could put pressure on a company with negative working capital and high debt (IHG, 2026).</w:t>
      </w:r>
    </w:p>
    <w:p w14:paraId="55B47916" w14:textId="77777777" w:rsidR="002B5D76" w:rsidRPr="00137A05" w:rsidRDefault="002B5D76" w:rsidP="00336DE8">
      <w:pPr>
        <w:spacing w:line="360" w:lineRule="auto"/>
        <w:jc w:val="both"/>
        <w:rPr>
          <w:rFonts w:ascii="Arial" w:hAnsi="Arial" w:cs="Arial"/>
          <w:sz w:val="24"/>
          <w:szCs w:val="24"/>
        </w:rPr>
      </w:pPr>
    </w:p>
    <w:p w14:paraId="1D1F49D7" w14:textId="77777777" w:rsidR="000F7827" w:rsidRPr="00137A05" w:rsidRDefault="000F7827" w:rsidP="00336DE8">
      <w:pPr>
        <w:pStyle w:val="Heading2"/>
        <w:numPr>
          <w:ilvl w:val="1"/>
          <w:numId w:val="1"/>
        </w:numPr>
        <w:spacing w:line="360" w:lineRule="auto"/>
        <w:jc w:val="both"/>
        <w:rPr>
          <w:rFonts w:ascii="Arial" w:hAnsi="Arial" w:cs="Arial"/>
          <w:sz w:val="24"/>
          <w:szCs w:val="24"/>
        </w:rPr>
      </w:pPr>
      <w:bookmarkStart w:id="5" w:name="_Toc235788209"/>
      <w:r w:rsidRPr="00137A05">
        <w:rPr>
          <w:rFonts w:ascii="Arial" w:hAnsi="Arial" w:cs="Arial"/>
          <w:sz w:val="24"/>
          <w:szCs w:val="24"/>
        </w:rPr>
        <w:lastRenderedPageBreak/>
        <w:t>Gearing, investor returns and cash-flow quality</w:t>
      </w:r>
      <w:bookmarkEnd w:id="5"/>
    </w:p>
    <w:p w14:paraId="194319B7" w14:textId="7269832C" w:rsidR="00E840CC" w:rsidRPr="00137A05" w:rsidRDefault="00E840CC" w:rsidP="00336DE8">
      <w:pPr>
        <w:spacing w:line="360" w:lineRule="auto"/>
        <w:jc w:val="center"/>
        <w:rPr>
          <w:rFonts w:ascii="Arial" w:hAnsi="Arial" w:cs="Arial"/>
          <w:sz w:val="24"/>
          <w:szCs w:val="24"/>
        </w:rPr>
      </w:pPr>
      <w:r w:rsidRPr="00137A05">
        <w:rPr>
          <w:rFonts w:ascii="Arial" w:hAnsi="Arial" w:cs="Arial"/>
          <w:noProof/>
          <w:sz w:val="24"/>
          <w:szCs w:val="24"/>
        </w:rPr>
        <w:drawing>
          <wp:inline distT="0" distB="0" distL="0" distR="0" wp14:anchorId="54DA30D6" wp14:editId="7A964076">
            <wp:extent cx="5731510" cy="3079531"/>
            <wp:effectExtent l="0" t="0" r="2540" b="6985"/>
            <wp:docPr id="398897581"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182F605" w14:textId="48BF7A28" w:rsidR="00E840CC" w:rsidRPr="00137A05" w:rsidRDefault="00E840CC" w:rsidP="00336DE8">
      <w:pPr>
        <w:spacing w:line="360" w:lineRule="auto"/>
        <w:rPr>
          <w:rFonts w:ascii="Arial" w:hAnsi="Arial" w:cs="Arial"/>
          <w:sz w:val="24"/>
          <w:szCs w:val="24"/>
        </w:rPr>
      </w:pPr>
      <w:r w:rsidRPr="00137A05">
        <w:rPr>
          <w:rFonts w:ascii="Arial" w:hAnsi="Arial" w:cs="Arial"/>
          <w:noProof/>
          <w:sz w:val="24"/>
          <w:szCs w:val="24"/>
        </w:rPr>
        <w:drawing>
          <wp:inline distT="0" distB="0" distL="0" distR="0" wp14:anchorId="74BE207A" wp14:editId="0DB8836A">
            <wp:extent cx="5731510" cy="2932386"/>
            <wp:effectExtent l="0" t="0" r="2540" b="1905"/>
            <wp:docPr id="1093489585" name="Chart 1">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95C9E4F" w14:textId="2475B4AC" w:rsidR="00E840CC" w:rsidRPr="00137A05" w:rsidRDefault="00E840CC" w:rsidP="00336DE8">
      <w:pPr>
        <w:spacing w:line="360" w:lineRule="auto"/>
        <w:rPr>
          <w:rFonts w:ascii="Arial" w:hAnsi="Arial" w:cs="Arial"/>
          <w:sz w:val="24"/>
          <w:szCs w:val="24"/>
        </w:rPr>
      </w:pPr>
      <w:r w:rsidRPr="00137A05">
        <w:rPr>
          <w:rFonts w:ascii="Arial" w:hAnsi="Arial" w:cs="Arial"/>
          <w:noProof/>
          <w:sz w:val="24"/>
          <w:szCs w:val="24"/>
        </w:rPr>
        <w:lastRenderedPageBreak/>
        <w:drawing>
          <wp:inline distT="0" distB="0" distL="0" distR="0" wp14:anchorId="52A0E96C" wp14:editId="707B7674">
            <wp:extent cx="5731510" cy="2879834"/>
            <wp:effectExtent l="0" t="0" r="2540" b="15875"/>
            <wp:docPr id="2118853320" name="Chart 1">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B67A287" w14:textId="043B799D" w:rsidR="00E840CC" w:rsidRPr="00137A05" w:rsidRDefault="00E840CC" w:rsidP="00336DE8">
      <w:pPr>
        <w:spacing w:line="360" w:lineRule="auto"/>
        <w:rPr>
          <w:rFonts w:ascii="Arial" w:hAnsi="Arial" w:cs="Arial"/>
          <w:sz w:val="24"/>
          <w:szCs w:val="24"/>
        </w:rPr>
      </w:pPr>
      <w:r w:rsidRPr="00137A05">
        <w:rPr>
          <w:rFonts w:ascii="Arial" w:hAnsi="Arial" w:cs="Arial"/>
          <w:noProof/>
          <w:sz w:val="24"/>
          <w:szCs w:val="24"/>
        </w:rPr>
        <w:drawing>
          <wp:inline distT="0" distB="0" distL="0" distR="0" wp14:anchorId="78B520D2" wp14:editId="7133EF97">
            <wp:extent cx="5731510" cy="2743200"/>
            <wp:effectExtent l="0" t="0" r="2540" b="0"/>
            <wp:docPr id="1629624388" name="Chart 1">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E0C658D" w14:textId="71DD2BD2" w:rsidR="00E840CC" w:rsidRPr="00137A05" w:rsidRDefault="00E840CC" w:rsidP="00336DE8">
      <w:pPr>
        <w:spacing w:line="360" w:lineRule="auto"/>
        <w:rPr>
          <w:rFonts w:ascii="Arial" w:hAnsi="Arial" w:cs="Arial"/>
          <w:sz w:val="24"/>
          <w:szCs w:val="24"/>
        </w:rPr>
      </w:pPr>
      <w:r w:rsidRPr="00137A05">
        <w:rPr>
          <w:rFonts w:ascii="Arial" w:hAnsi="Arial" w:cs="Arial"/>
          <w:noProof/>
          <w:sz w:val="24"/>
          <w:szCs w:val="24"/>
        </w:rPr>
        <w:lastRenderedPageBreak/>
        <w:drawing>
          <wp:inline distT="0" distB="0" distL="0" distR="0" wp14:anchorId="4CE71A6A" wp14:editId="4B7C310F">
            <wp:extent cx="5731510" cy="3541986"/>
            <wp:effectExtent l="0" t="0" r="2540" b="1905"/>
            <wp:docPr id="551020275" name="Chart 1">
              <a:extLst xmlns:a="http://schemas.openxmlformats.org/drawingml/2006/main">
                <a:ext uri="{FF2B5EF4-FFF2-40B4-BE49-F238E27FC236}">
                  <a16:creationId xmlns:a16="http://schemas.microsoft.com/office/drawing/2014/main" id="{00000000-0008-0000-01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0F4FE31" w14:textId="77777777" w:rsidR="00A15CB2" w:rsidRPr="00A15CB2" w:rsidRDefault="00A15CB2" w:rsidP="00A15CB2">
      <w:pPr>
        <w:spacing w:line="360" w:lineRule="auto"/>
        <w:jc w:val="both"/>
        <w:rPr>
          <w:rFonts w:ascii="Arial" w:hAnsi="Arial" w:cs="Arial"/>
          <w:sz w:val="24"/>
          <w:szCs w:val="24"/>
        </w:rPr>
      </w:pPr>
      <w:r w:rsidRPr="00A15CB2">
        <w:rPr>
          <w:rFonts w:ascii="Arial" w:hAnsi="Arial" w:cs="Arial"/>
          <w:sz w:val="24"/>
          <w:szCs w:val="24"/>
        </w:rPr>
        <w:t xml:space="preserve">Conventional debt to equity ratio is not useful because the shareholders’ equity is negative for the entire period. The interest-bearing borrowings/asset, total liabilities/asset and interest cover are therefore used in Appendix B. Debt-to-assets increased from 69.21% in 2021 to 86.19% in 2025, while liabilities-to-assets rose from 131.26% to 151.19%. However, despite the increase in interest, it was still lower than the 8.46 times recorded in 2023, but higher than 3.36 times in 2021. IHG's net debt to adjusted EBITDA was 2.5 times in 2025, slightly below the lower end of the target range of 2.5–3.0 times. This suggests that the servicing capacity is currently acceptable, but with still negative equity and rising absolute debt, the resilience when earnings suffer or when credit conditions tighten are reduced (IHG, 2025; IHG, 2026). </w:t>
      </w:r>
    </w:p>
    <w:p w14:paraId="71169C2D" w14:textId="2B727273" w:rsidR="00A4607F" w:rsidRPr="00B27CA9" w:rsidRDefault="00A15CB2" w:rsidP="00A15CB2">
      <w:pPr>
        <w:spacing w:line="360" w:lineRule="auto"/>
        <w:jc w:val="both"/>
        <w:rPr>
          <w:rFonts w:ascii="Arial" w:hAnsi="Arial" w:cs="Arial"/>
        </w:rPr>
      </w:pPr>
      <w:r w:rsidRPr="00A15CB2">
        <w:rPr>
          <w:rFonts w:ascii="Arial" w:hAnsi="Arial" w:cs="Arial"/>
          <w:sz w:val="24"/>
          <w:szCs w:val="24"/>
        </w:rPr>
        <w:t>Investor measures are strong. The basic EPS was up from 145.4 cents to 490.9 cents, while the annual dividend had gone up from 85.9 cents to 184.5 cents. Dividend cover increased from 1.69 times to 2.66 times and payout ratio decreased from 59.08% to 37.58%, indicating that ordinary dividend is maintainable. Buybacks are a bigger concern</w:t>
      </w:r>
      <w:r w:rsidR="00B27CA9">
        <w:rPr>
          <w:rFonts w:ascii="Arial" w:hAnsi="Arial" w:cs="Arial"/>
          <w:sz w:val="24"/>
          <w:szCs w:val="24"/>
        </w:rPr>
        <w:t xml:space="preserve"> </w:t>
      </w:r>
      <w:r w:rsidR="00B27CA9" w:rsidRPr="009E1576">
        <w:rPr>
          <w:rFonts w:ascii="Arial" w:hAnsi="Arial" w:cs="Arial"/>
        </w:rPr>
        <w:t>(Nirino et al., 2021</w:t>
      </w:r>
      <w:r w:rsidR="00B27CA9">
        <w:rPr>
          <w:rFonts w:ascii="Arial" w:hAnsi="Arial" w:cs="Arial"/>
        </w:rPr>
        <w:t>),</w:t>
      </w:r>
      <w:r w:rsidR="00B27CA9" w:rsidRPr="009E1576">
        <w:rPr>
          <w:rFonts w:ascii="Arial" w:hAnsi="Arial" w:cs="Arial"/>
        </w:rPr>
        <w:t xml:space="preserve"> </w:t>
      </w:r>
      <w:r w:rsidRPr="00A15CB2">
        <w:rPr>
          <w:rFonts w:ascii="Arial" w:hAnsi="Arial" w:cs="Arial"/>
          <w:sz w:val="24"/>
          <w:szCs w:val="24"/>
        </w:rPr>
        <w:t xml:space="preserve"> Cash flow from operating activities rose from $636 million in 2021 to $898 million in </w:t>
      </w:r>
      <w:r w:rsidR="00DE161B" w:rsidRPr="00A15CB2">
        <w:rPr>
          <w:rFonts w:ascii="Arial" w:hAnsi="Arial" w:cs="Arial"/>
          <w:sz w:val="24"/>
          <w:szCs w:val="24"/>
        </w:rPr>
        <w:t>2025 and</w:t>
      </w:r>
      <w:r w:rsidRPr="00A15CB2">
        <w:rPr>
          <w:rFonts w:ascii="Arial" w:hAnsi="Arial" w:cs="Arial"/>
          <w:sz w:val="24"/>
          <w:szCs w:val="24"/>
        </w:rPr>
        <w:t xml:space="preserve"> Adjusted Free Cash Flow rose from $589 million to $893 million. Yet dividends and buybacks together exceeded operating cash flow in every year from 2022: the ratio was 110.68% in 2022, 115.90% in 2023, 146.82% in 2024 and 129.96% in 2025. In 2025 alone, $1,167 million was distributed against $898 </w:t>
      </w:r>
      <w:r w:rsidRPr="00A15CB2">
        <w:rPr>
          <w:rFonts w:ascii="Arial" w:hAnsi="Arial" w:cs="Arial"/>
          <w:sz w:val="24"/>
          <w:szCs w:val="24"/>
        </w:rPr>
        <w:lastRenderedPageBreak/>
        <w:t>million of operating cash flow. This policy has aided EPS with a lower share count, but it also accounts for the increase in net debt and increasingly negative equity (IHG, 2023; IHG, 2025; IHG, 2026).</w:t>
      </w:r>
    </w:p>
    <w:p w14:paraId="3E454C6B" w14:textId="77777777" w:rsidR="000F7827" w:rsidRPr="00137A05" w:rsidRDefault="000F7827" w:rsidP="00336DE8">
      <w:pPr>
        <w:pStyle w:val="Heading2"/>
        <w:numPr>
          <w:ilvl w:val="1"/>
          <w:numId w:val="1"/>
        </w:numPr>
        <w:spacing w:line="360" w:lineRule="auto"/>
        <w:jc w:val="both"/>
        <w:rPr>
          <w:rFonts w:ascii="Arial" w:hAnsi="Arial" w:cs="Arial"/>
          <w:sz w:val="24"/>
          <w:szCs w:val="24"/>
        </w:rPr>
      </w:pPr>
      <w:bookmarkStart w:id="6" w:name="_Toc235788210"/>
      <w:r w:rsidRPr="00137A05">
        <w:rPr>
          <w:rFonts w:ascii="Arial" w:hAnsi="Arial" w:cs="Arial"/>
          <w:sz w:val="24"/>
          <w:szCs w:val="24"/>
        </w:rPr>
        <w:t>Liquidity comparison with hospitality-sector peers</w:t>
      </w:r>
      <w:bookmarkEnd w:id="6"/>
    </w:p>
    <w:p w14:paraId="3954F824" w14:textId="4258C906" w:rsidR="003473F0" w:rsidRPr="001C70A0" w:rsidRDefault="00F81106" w:rsidP="00336DE8">
      <w:pPr>
        <w:spacing w:line="360" w:lineRule="auto"/>
        <w:jc w:val="both"/>
        <w:rPr>
          <w:rFonts w:ascii="Arial" w:hAnsi="Arial" w:cs="Arial"/>
        </w:rPr>
      </w:pPr>
      <w:r w:rsidRPr="00F81106">
        <w:rPr>
          <w:rFonts w:ascii="Arial" w:hAnsi="Arial" w:cs="Arial"/>
          <w:sz w:val="24"/>
          <w:szCs w:val="24"/>
        </w:rPr>
        <w:t>Comparing year to year is the most meaningful comparison, not a universal ratio. Table 1 compares IHG with Hilton, Wyndham and Accor on the basis of their official 2025 consolidated balance sheets. Ratios are not in monetary terms. For this calculation, the quick ratio is equal to the current ratio because Hilton and Wyndham have not reported inventory separately in the asset sections of their financial statements</w:t>
      </w:r>
      <w:r w:rsidR="001C70A0">
        <w:rPr>
          <w:rFonts w:ascii="Arial" w:hAnsi="Arial" w:cs="Arial"/>
          <w:sz w:val="24"/>
          <w:szCs w:val="24"/>
        </w:rPr>
        <w:t xml:space="preserve"> </w:t>
      </w:r>
      <w:r w:rsidR="001C70A0" w:rsidRPr="009E1576">
        <w:rPr>
          <w:rFonts w:ascii="Arial" w:hAnsi="Arial" w:cs="Arial"/>
        </w:rPr>
        <w:t>(Ahmad, Mobarek and Roni, 2021</w:t>
      </w:r>
      <w:r w:rsidR="001C70A0">
        <w:rPr>
          <w:rFonts w:ascii="Arial" w:hAnsi="Arial" w:cs="Arial"/>
        </w:rPr>
        <w:t>),</w:t>
      </w:r>
      <w:r w:rsidR="001C70A0" w:rsidRPr="009E1576">
        <w:rPr>
          <w:rFonts w:ascii="Arial" w:hAnsi="Arial" w:cs="Arial"/>
        </w:rPr>
        <w:t xml:space="preserve"> </w:t>
      </w:r>
    </w:p>
    <w:p w14:paraId="7CF97D57" w14:textId="77777777" w:rsidR="000F7827" w:rsidRPr="00137A05" w:rsidRDefault="000F7827" w:rsidP="00336DE8">
      <w:pPr>
        <w:spacing w:line="360" w:lineRule="auto"/>
        <w:jc w:val="both"/>
        <w:rPr>
          <w:rFonts w:ascii="Arial" w:hAnsi="Arial" w:cs="Arial"/>
          <w:b/>
          <w:bCs/>
          <w:sz w:val="24"/>
          <w:szCs w:val="24"/>
        </w:rPr>
      </w:pPr>
      <w:r w:rsidRPr="00137A05">
        <w:rPr>
          <w:rFonts w:ascii="Arial" w:hAnsi="Arial" w:cs="Arial"/>
          <w:b/>
          <w:bCs/>
          <w:sz w:val="24"/>
          <w:szCs w:val="24"/>
        </w:rPr>
        <w:t>Table 1: Hospitality-sector liquidity benchmark, 2025</w:t>
      </w:r>
    </w:p>
    <w:tbl>
      <w:tblPr>
        <w:tblStyle w:val="GridTable4-Accent2"/>
        <w:tblW w:w="9256" w:type="dxa"/>
        <w:tblLook w:val="04A0" w:firstRow="1" w:lastRow="0" w:firstColumn="1" w:lastColumn="0" w:noHBand="0" w:noVBand="1"/>
      </w:tblPr>
      <w:tblGrid>
        <w:gridCol w:w="3615"/>
        <w:gridCol w:w="1794"/>
        <w:gridCol w:w="1579"/>
        <w:gridCol w:w="2268"/>
      </w:tblGrid>
      <w:tr w:rsidR="000F7827" w:rsidRPr="00137A05" w14:paraId="4C0F7289" w14:textId="77777777" w:rsidTr="004300AA">
        <w:trPr>
          <w:cnfStyle w:val="100000000000" w:firstRow="1" w:lastRow="0" w:firstColumn="0" w:lastColumn="0" w:oddVBand="0" w:evenVBand="0" w:oddHBand="0"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0" w:type="auto"/>
            <w:hideMark/>
          </w:tcPr>
          <w:p w14:paraId="0A4A7A74" w14:textId="77777777" w:rsidR="000F7827" w:rsidRPr="00137A05" w:rsidRDefault="000F7827" w:rsidP="00336DE8">
            <w:pPr>
              <w:spacing w:after="160" w:line="360" w:lineRule="auto"/>
              <w:jc w:val="both"/>
              <w:rPr>
                <w:rFonts w:ascii="Arial" w:hAnsi="Arial" w:cs="Arial"/>
                <w:sz w:val="24"/>
                <w:szCs w:val="24"/>
              </w:rPr>
            </w:pPr>
            <w:r w:rsidRPr="00137A05">
              <w:rPr>
                <w:rFonts w:ascii="Arial" w:hAnsi="Arial" w:cs="Arial"/>
                <w:sz w:val="24"/>
                <w:szCs w:val="24"/>
              </w:rPr>
              <w:t>Company</w:t>
            </w:r>
          </w:p>
        </w:tc>
        <w:tc>
          <w:tcPr>
            <w:tcW w:w="0" w:type="auto"/>
            <w:hideMark/>
          </w:tcPr>
          <w:p w14:paraId="664873C1" w14:textId="77777777" w:rsidR="000F7827" w:rsidRPr="00137A05" w:rsidRDefault="000F7827" w:rsidP="00336DE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Current ratio</w:t>
            </w:r>
          </w:p>
        </w:tc>
        <w:tc>
          <w:tcPr>
            <w:tcW w:w="0" w:type="auto"/>
            <w:hideMark/>
          </w:tcPr>
          <w:p w14:paraId="048D9520" w14:textId="77777777" w:rsidR="000F7827" w:rsidRPr="00137A05" w:rsidRDefault="000F7827" w:rsidP="00336DE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Quick ratio</w:t>
            </w:r>
          </w:p>
        </w:tc>
        <w:tc>
          <w:tcPr>
            <w:tcW w:w="0" w:type="auto"/>
            <w:hideMark/>
          </w:tcPr>
          <w:p w14:paraId="469E9037" w14:textId="77777777" w:rsidR="000F7827" w:rsidRPr="00137A05" w:rsidRDefault="000F7827" w:rsidP="00336DE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Cash ratio</w:t>
            </w:r>
          </w:p>
        </w:tc>
      </w:tr>
      <w:tr w:rsidR="000F7827" w:rsidRPr="00137A05" w14:paraId="6BB8AA0A" w14:textId="77777777" w:rsidTr="004300AA">
        <w:trPr>
          <w:cnfStyle w:val="000000100000" w:firstRow="0" w:lastRow="0" w:firstColumn="0" w:lastColumn="0" w:oddVBand="0" w:evenVBand="0" w:oddHBand="1" w:evenHBand="0" w:firstRowFirstColumn="0" w:firstRowLastColumn="0" w:lastRowFirstColumn="0" w:lastRowLastColumn="0"/>
          <w:trHeight w:val="604"/>
        </w:trPr>
        <w:tc>
          <w:tcPr>
            <w:cnfStyle w:val="001000000000" w:firstRow="0" w:lastRow="0" w:firstColumn="1" w:lastColumn="0" w:oddVBand="0" w:evenVBand="0" w:oddHBand="0" w:evenHBand="0" w:firstRowFirstColumn="0" w:firstRowLastColumn="0" w:lastRowFirstColumn="0" w:lastRowLastColumn="0"/>
            <w:tcW w:w="0" w:type="auto"/>
            <w:hideMark/>
          </w:tcPr>
          <w:p w14:paraId="07A9C279" w14:textId="77777777" w:rsidR="000F7827" w:rsidRPr="00137A05" w:rsidRDefault="000F7827" w:rsidP="00336DE8">
            <w:pPr>
              <w:spacing w:after="160" w:line="360" w:lineRule="auto"/>
              <w:jc w:val="both"/>
              <w:rPr>
                <w:rFonts w:ascii="Arial" w:hAnsi="Arial" w:cs="Arial"/>
                <w:sz w:val="24"/>
                <w:szCs w:val="24"/>
              </w:rPr>
            </w:pPr>
            <w:r w:rsidRPr="00137A05">
              <w:rPr>
                <w:rFonts w:ascii="Arial" w:hAnsi="Arial" w:cs="Arial"/>
                <w:sz w:val="24"/>
                <w:szCs w:val="24"/>
              </w:rPr>
              <w:t>IHG</w:t>
            </w:r>
          </w:p>
        </w:tc>
        <w:tc>
          <w:tcPr>
            <w:tcW w:w="0" w:type="auto"/>
            <w:hideMark/>
          </w:tcPr>
          <w:p w14:paraId="16964120" w14:textId="77777777" w:rsidR="000F7827" w:rsidRPr="00137A05" w:rsidRDefault="000F7827" w:rsidP="00336DE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b/>
                <w:bCs/>
                <w:sz w:val="24"/>
                <w:szCs w:val="24"/>
              </w:rPr>
              <w:t>0.976</w:t>
            </w:r>
          </w:p>
        </w:tc>
        <w:tc>
          <w:tcPr>
            <w:tcW w:w="0" w:type="auto"/>
            <w:hideMark/>
          </w:tcPr>
          <w:p w14:paraId="1D4D1FB3" w14:textId="77777777" w:rsidR="000F7827" w:rsidRPr="00137A05" w:rsidRDefault="000F7827" w:rsidP="00336DE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b/>
                <w:bCs/>
                <w:sz w:val="24"/>
                <w:szCs w:val="24"/>
              </w:rPr>
              <w:t>0.973</w:t>
            </w:r>
          </w:p>
        </w:tc>
        <w:tc>
          <w:tcPr>
            <w:tcW w:w="0" w:type="auto"/>
            <w:hideMark/>
          </w:tcPr>
          <w:p w14:paraId="32C5DCE9" w14:textId="77777777" w:rsidR="000F7827" w:rsidRPr="00137A05" w:rsidRDefault="000F7827" w:rsidP="00336DE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b/>
                <w:bCs/>
                <w:sz w:val="24"/>
                <w:szCs w:val="24"/>
              </w:rPr>
              <w:t>0.538</w:t>
            </w:r>
          </w:p>
        </w:tc>
      </w:tr>
      <w:tr w:rsidR="000F7827" w:rsidRPr="00137A05" w14:paraId="56DFEDD9" w14:textId="77777777" w:rsidTr="004300AA">
        <w:trPr>
          <w:trHeight w:val="588"/>
        </w:trPr>
        <w:tc>
          <w:tcPr>
            <w:cnfStyle w:val="001000000000" w:firstRow="0" w:lastRow="0" w:firstColumn="1" w:lastColumn="0" w:oddVBand="0" w:evenVBand="0" w:oddHBand="0" w:evenHBand="0" w:firstRowFirstColumn="0" w:firstRowLastColumn="0" w:lastRowFirstColumn="0" w:lastRowLastColumn="0"/>
            <w:tcW w:w="0" w:type="auto"/>
            <w:hideMark/>
          </w:tcPr>
          <w:p w14:paraId="266021D8" w14:textId="77777777" w:rsidR="000F7827" w:rsidRPr="00137A05" w:rsidRDefault="000F7827" w:rsidP="00336DE8">
            <w:pPr>
              <w:spacing w:after="160" w:line="360" w:lineRule="auto"/>
              <w:jc w:val="both"/>
              <w:rPr>
                <w:rFonts w:ascii="Arial" w:hAnsi="Arial" w:cs="Arial"/>
                <w:sz w:val="24"/>
                <w:szCs w:val="24"/>
              </w:rPr>
            </w:pPr>
            <w:r w:rsidRPr="00137A05">
              <w:rPr>
                <w:rFonts w:ascii="Arial" w:hAnsi="Arial" w:cs="Arial"/>
                <w:sz w:val="24"/>
                <w:szCs w:val="24"/>
              </w:rPr>
              <w:t>Hilton Worldwide</w:t>
            </w:r>
          </w:p>
        </w:tc>
        <w:tc>
          <w:tcPr>
            <w:tcW w:w="0" w:type="auto"/>
            <w:hideMark/>
          </w:tcPr>
          <w:p w14:paraId="50FF17A3" w14:textId="77777777" w:rsidR="000F7827" w:rsidRPr="00137A05" w:rsidRDefault="000F7827" w:rsidP="00336DE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0.665</w:t>
            </w:r>
          </w:p>
        </w:tc>
        <w:tc>
          <w:tcPr>
            <w:tcW w:w="0" w:type="auto"/>
            <w:hideMark/>
          </w:tcPr>
          <w:p w14:paraId="653A9C95" w14:textId="77777777" w:rsidR="000F7827" w:rsidRPr="00137A05" w:rsidRDefault="000F7827" w:rsidP="00336DE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0.665</w:t>
            </w:r>
          </w:p>
        </w:tc>
        <w:tc>
          <w:tcPr>
            <w:tcW w:w="0" w:type="auto"/>
            <w:hideMark/>
          </w:tcPr>
          <w:p w14:paraId="1495EE34" w14:textId="77777777" w:rsidR="000F7827" w:rsidRPr="00137A05" w:rsidRDefault="000F7827" w:rsidP="00336DE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0.204</w:t>
            </w:r>
          </w:p>
        </w:tc>
      </w:tr>
      <w:tr w:rsidR="000F7827" w:rsidRPr="00137A05" w14:paraId="1D497B2C" w14:textId="77777777" w:rsidTr="004300AA">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0" w:type="auto"/>
            <w:hideMark/>
          </w:tcPr>
          <w:p w14:paraId="67B47712" w14:textId="77777777" w:rsidR="000F7827" w:rsidRPr="00137A05" w:rsidRDefault="000F7827" w:rsidP="00336DE8">
            <w:pPr>
              <w:spacing w:after="160" w:line="360" w:lineRule="auto"/>
              <w:jc w:val="both"/>
              <w:rPr>
                <w:rFonts w:ascii="Arial" w:hAnsi="Arial" w:cs="Arial"/>
                <w:sz w:val="24"/>
                <w:szCs w:val="24"/>
              </w:rPr>
            </w:pPr>
            <w:r w:rsidRPr="00137A05">
              <w:rPr>
                <w:rFonts w:ascii="Arial" w:hAnsi="Arial" w:cs="Arial"/>
                <w:sz w:val="24"/>
                <w:szCs w:val="24"/>
              </w:rPr>
              <w:t>Wyndham Hotels &amp; Resorts</w:t>
            </w:r>
          </w:p>
        </w:tc>
        <w:tc>
          <w:tcPr>
            <w:tcW w:w="0" w:type="auto"/>
            <w:hideMark/>
          </w:tcPr>
          <w:p w14:paraId="1148D432" w14:textId="77777777" w:rsidR="000F7827" w:rsidRPr="00137A05" w:rsidRDefault="000F7827" w:rsidP="00336DE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0.858</w:t>
            </w:r>
          </w:p>
        </w:tc>
        <w:tc>
          <w:tcPr>
            <w:tcW w:w="0" w:type="auto"/>
            <w:hideMark/>
          </w:tcPr>
          <w:p w14:paraId="32012FCC" w14:textId="77777777" w:rsidR="000F7827" w:rsidRPr="00137A05" w:rsidRDefault="000F7827" w:rsidP="00336DE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0.858</w:t>
            </w:r>
          </w:p>
        </w:tc>
        <w:tc>
          <w:tcPr>
            <w:tcW w:w="0" w:type="auto"/>
            <w:hideMark/>
          </w:tcPr>
          <w:p w14:paraId="72937056" w14:textId="77777777" w:rsidR="000F7827" w:rsidRPr="00137A05" w:rsidRDefault="000F7827" w:rsidP="00336DE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0.126</w:t>
            </w:r>
          </w:p>
        </w:tc>
      </w:tr>
      <w:tr w:rsidR="000F7827" w:rsidRPr="00137A05" w14:paraId="1171573B" w14:textId="77777777" w:rsidTr="004300AA">
        <w:trPr>
          <w:trHeight w:val="588"/>
        </w:trPr>
        <w:tc>
          <w:tcPr>
            <w:cnfStyle w:val="001000000000" w:firstRow="0" w:lastRow="0" w:firstColumn="1" w:lastColumn="0" w:oddVBand="0" w:evenVBand="0" w:oddHBand="0" w:evenHBand="0" w:firstRowFirstColumn="0" w:firstRowLastColumn="0" w:lastRowFirstColumn="0" w:lastRowLastColumn="0"/>
            <w:tcW w:w="0" w:type="auto"/>
            <w:hideMark/>
          </w:tcPr>
          <w:p w14:paraId="2706F810" w14:textId="77777777" w:rsidR="000F7827" w:rsidRPr="00137A05" w:rsidRDefault="000F7827" w:rsidP="00336DE8">
            <w:pPr>
              <w:spacing w:after="160" w:line="360" w:lineRule="auto"/>
              <w:jc w:val="both"/>
              <w:rPr>
                <w:rFonts w:ascii="Arial" w:hAnsi="Arial" w:cs="Arial"/>
                <w:sz w:val="24"/>
                <w:szCs w:val="24"/>
              </w:rPr>
            </w:pPr>
            <w:r w:rsidRPr="00137A05">
              <w:rPr>
                <w:rFonts w:ascii="Arial" w:hAnsi="Arial" w:cs="Arial"/>
                <w:sz w:val="24"/>
                <w:szCs w:val="24"/>
              </w:rPr>
              <w:t>Accor</w:t>
            </w:r>
          </w:p>
        </w:tc>
        <w:tc>
          <w:tcPr>
            <w:tcW w:w="0" w:type="auto"/>
            <w:hideMark/>
          </w:tcPr>
          <w:p w14:paraId="516756AD" w14:textId="77777777" w:rsidR="000F7827" w:rsidRPr="00137A05" w:rsidRDefault="000F7827" w:rsidP="00336DE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1.048</w:t>
            </w:r>
          </w:p>
        </w:tc>
        <w:tc>
          <w:tcPr>
            <w:tcW w:w="0" w:type="auto"/>
            <w:hideMark/>
          </w:tcPr>
          <w:p w14:paraId="04751506" w14:textId="77777777" w:rsidR="000F7827" w:rsidRPr="00137A05" w:rsidRDefault="000F7827" w:rsidP="00336DE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1.035</w:t>
            </w:r>
          </w:p>
        </w:tc>
        <w:tc>
          <w:tcPr>
            <w:tcW w:w="0" w:type="auto"/>
            <w:hideMark/>
          </w:tcPr>
          <w:p w14:paraId="1AB4496B" w14:textId="77777777" w:rsidR="000F7827" w:rsidRPr="00137A05" w:rsidRDefault="000F7827" w:rsidP="00336DE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0.435</w:t>
            </w:r>
          </w:p>
        </w:tc>
      </w:tr>
      <w:tr w:rsidR="000F7827" w:rsidRPr="00137A05" w14:paraId="47552128" w14:textId="77777777" w:rsidTr="004300AA">
        <w:trPr>
          <w:cnfStyle w:val="000000100000" w:firstRow="0" w:lastRow="0" w:firstColumn="0" w:lastColumn="0" w:oddVBand="0" w:evenVBand="0" w:oddHBand="1" w:evenHBand="0" w:firstRowFirstColumn="0" w:firstRowLastColumn="0" w:lastRowFirstColumn="0" w:lastRowLastColumn="0"/>
          <w:trHeight w:val="604"/>
        </w:trPr>
        <w:tc>
          <w:tcPr>
            <w:cnfStyle w:val="001000000000" w:firstRow="0" w:lastRow="0" w:firstColumn="1" w:lastColumn="0" w:oddVBand="0" w:evenVBand="0" w:oddHBand="0" w:evenHBand="0" w:firstRowFirstColumn="0" w:firstRowLastColumn="0" w:lastRowFirstColumn="0" w:lastRowLastColumn="0"/>
            <w:tcW w:w="0" w:type="auto"/>
            <w:hideMark/>
          </w:tcPr>
          <w:p w14:paraId="442C1F3E" w14:textId="77777777" w:rsidR="000F7827" w:rsidRPr="00137A05" w:rsidRDefault="000F7827" w:rsidP="00336DE8">
            <w:pPr>
              <w:spacing w:after="160" w:line="360" w:lineRule="auto"/>
              <w:jc w:val="both"/>
              <w:rPr>
                <w:rFonts w:ascii="Arial" w:hAnsi="Arial" w:cs="Arial"/>
                <w:sz w:val="24"/>
                <w:szCs w:val="24"/>
              </w:rPr>
            </w:pPr>
            <w:r w:rsidRPr="00137A05">
              <w:rPr>
                <w:rFonts w:ascii="Arial" w:hAnsi="Arial" w:cs="Arial"/>
                <w:sz w:val="24"/>
                <w:szCs w:val="24"/>
              </w:rPr>
              <w:t>Peer median excluding IHG</w:t>
            </w:r>
          </w:p>
        </w:tc>
        <w:tc>
          <w:tcPr>
            <w:tcW w:w="0" w:type="auto"/>
            <w:hideMark/>
          </w:tcPr>
          <w:p w14:paraId="6BB758D3" w14:textId="77777777" w:rsidR="000F7827" w:rsidRPr="00137A05" w:rsidRDefault="000F7827" w:rsidP="00336DE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b/>
                <w:bCs/>
                <w:sz w:val="24"/>
                <w:szCs w:val="24"/>
              </w:rPr>
              <w:t>0.858</w:t>
            </w:r>
          </w:p>
        </w:tc>
        <w:tc>
          <w:tcPr>
            <w:tcW w:w="0" w:type="auto"/>
            <w:hideMark/>
          </w:tcPr>
          <w:p w14:paraId="73D7858B" w14:textId="77777777" w:rsidR="000F7827" w:rsidRPr="00137A05" w:rsidRDefault="000F7827" w:rsidP="00336DE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b/>
                <w:bCs/>
                <w:sz w:val="24"/>
                <w:szCs w:val="24"/>
              </w:rPr>
              <w:t>0.858</w:t>
            </w:r>
          </w:p>
        </w:tc>
        <w:tc>
          <w:tcPr>
            <w:tcW w:w="0" w:type="auto"/>
            <w:hideMark/>
          </w:tcPr>
          <w:p w14:paraId="2E2B1F1B" w14:textId="77777777" w:rsidR="000F7827" w:rsidRPr="00137A05" w:rsidRDefault="000F7827" w:rsidP="00336DE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b/>
                <w:bCs/>
                <w:sz w:val="24"/>
                <w:szCs w:val="24"/>
              </w:rPr>
              <w:t>0.204</w:t>
            </w:r>
          </w:p>
        </w:tc>
      </w:tr>
      <w:tr w:rsidR="000F7827" w:rsidRPr="00137A05" w14:paraId="6FEE5C0A" w14:textId="77777777" w:rsidTr="004300AA">
        <w:trPr>
          <w:trHeight w:val="588"/>
        </w:trPr>
        <w:tc>
          <w:tcPr>
            <w:cnfStyle w:val="001000000000" w:firstRow="0" w:lastRow="0" w:firstColumn="1" w:lastColumn="0" w:oddVBand="0" w:evenVBand="0" w:oddHBand="0" w:evenHBand="0" w:firstRowFirstColumn="0" w:firstRowLastColumn="0" w:lastRowFirstColumn="0" w:lastRowLastColumn="0"/>
            <w:tcW w:w="0" w:type="auto"/>
            <w:hideMark/>
          </w:tcPr>
          <w:p w14:paraId="27E5C6E9" w14:textId="77777777" w:rsidR="000F7827" w:rsidRPr="00137A05" w:rsidRDefault="000F7827" w:rsidP="00336DE8">
            <w:pPr>
              <w:spacing w:after="160" w:line="360" w:lineRule="auto"/>
              <w:jc w:val="both"/>
              <w:rPr>
                <w:rFonts w:ascii="Arial" w:hAnsi="Arial" w:cs="Arial"/>
                <w:sz w:val="24"/>
                <w:szCs w:val="24"/>
              </w:rPr>
            </w:pPr>
            <w:r w:rsidRPr="00137A05">
              <w:rPr>
                <w:rFonts w:ascii="Arial" w:hAnsi="Arial" w:cs="Arial"/>
                <w:sz w:val="24"/>
                <w:szCs w:val="24"/>
              </w:rPr>
              <w:t>General reference point</w:t>
            </w:r>
          </w:p>
        </w:tc>
        <w:tc>
          <w:tcPr>
            <w:tcW w:w="0" w:type="auto"/>
            <w:hideMark/>
          </w:tcPr>
          <w:p w14:paraId="350CA825" w14:textId="77777777" w:rsidR="000F7827" w:rsidRPr="00137A05" w:rsidRDefault="000F7827" w:rsidP="00336DE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1.000</w:t>
            </w:r>
          </w:p>
        </w:tc>
        <w:tc>
          <w:tcPr>
            <w:tcW w:w="0" w:type="auto"/>
            <w:hideMark/>
          </w:tcPr>
          <w:p w14:paraId="419B6291" w14:textId="77777777" w:rsidR="000F7827" w:rsidRPr="00137A05" w:rsidRDefault="000F7827" w:rsidP="00336DE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1.000</w:t>
            </w:r>
          </w:p>
        </w:tc>
        <w:tc>
          <w:tcPr>
            <w:tcW w:w="0" w:type="auto"/>
            <w:hideMark/>
          </w:tcPr>
          <w:p w14:paraId="01212753" w14:textId="77777777" w:rsidR="000F7827" w:rsidRPr="00137A05" w:rsidRDefault="000F7827" w:rsidP="00336DE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No universal level</w:t>
            </w:r>
          </w:p>
        </w:tc>
      </w:tr>
    </w:tbl>
    <w:p w14:paraId="0B742D78" w14:textId="05D85F49" w:rsidR="00F81106" w:rsidRPr="007A4BC9" w:rsidRDefault="00A4607F" w:rsidP="00336DE8">
      <w:pPr>
        <w:spacing w:line="360" w:lineRule="auto"/>
        <w:jc w:val="both"/>
        <w:rPr>
          <w:rFonts w:ascii="Arial" w:hAnsi="Arial" w:cs="Arial"/>
        </w:rPr>
      </w:pPr>
      <w:r w:rsidRPr="00A4607F">
        <w:rPr>
          <w:rFonts w:ascii="Arial" w:hAnsi="Arial" w:cs="Arial"/>
          <w:sz w:val="24"/>
          <w:szCs w:val="24"/>
        </w:rPr>
        <w:t xml:space="preserve">IHG's current ratio of 0.976 and quick ratio of 0.973 fall short of the basic 1.0 benchmark and Accor's ratios </w:t>
      </w:r>
      <w:r w:rsidR="00380702" w:rsidRPr="00A4607F">
        <w:rPr>
          <w:rFonts w:ascii="Arial" w:hAnsi="Arial" w:cs="Arial"/>
          <w:sz w:val="24"/>
          <w:szCs w:val="24"/>
        </w:rPr>
        <w:t>respectively but</w:t>
      </w:r>
      <w:r w:rsidRPr="00A4607F">
        <w:rPr>
          <w:rFonts w:ascii="Arial" w:hAnsi="Arial" w:cs="Arial"/>
          <w:sz w:val="24"/>
          <w:szCs w:val="24"/>
        </w:rPr>
        <w:t xml:space="preserve"> are about 14% higher than the peer median of 0.858. It has the highest cash ratio (0.538) in the </w:t>
      </w:r>
      <w:r w:rsidR="005C7AF2" w:rsidRPr="00A4607F">
        <w:rPr>
          <w:rFonts w:ascii="Arial" w:hAnsi="Arial" w:cs="Arial"/>
          <w:sz w:val="24"/>
          <w:szCs w:val="24"/>
        </w:rPr>
        <w:t>sample,</w:t>
      </w:r>
      <w:r w:rsidRPr="00A4607F">
        <w:rPr>
          <w:rFonts w:ascii="Arial" w:hAnsi="Arial" w:cs="Arial"/>
          <w:sz w:val="24"/>
          <w:szCs w:val="24"/>
        </w:rPr>
        <w:t xml:space="preserve"> and this is 2.64 times the peer median of 0.204. In fact, IHG's liquidity is not weak when compared to other comparable hotel groups. The position is described as adequate but highly controlled, the cash buffer is relatively robust and there is limited coverage of total current assets in case of operations or capital market disruptions</w:t>
      </w:r>
      <w:r w:rsidR="007A4BC9">
        <w:rPr>
          <w:rFonts w:ascii="Arial" w:hAnsi="Arial" w:cs="Arial"/>
          <w:sz w:val="24"/>
          <w:szCs w:val="24"/>
        </w:rPr>
        <w:t xml:space="preserve"> </w:t>
      </w:r>
      <w:r w:rsidR="007A4BC9" w:rsidRPr="009E1576">
        <w:rPr>
          <w:rFonts w:ascii="Arial" w:hAnsi="Arial" w:cs="Arial"/>
        </w:rPr>
        <w:t>(Ahmad, Mobarek and Roni, 2021</w:t>
      </w:r>
      <w:r w:rsidR="007A4BC9">
        <w:rPr>
          <w:rFonts w:ascii="Arial" w:hAnsi="Arial" w:cs="Arial"/>
        </w:rPr>
        <w:t>),</w:t>
      </w:r>
      <w:r w:rsidR="007A4BC9" w:rsidRPr="009E1576">
        <w:rPr>
          <w:rFonts w:ascii="Arial" w:hAnsi="Arial" w:cs="Arial"/>
        </w:rPr>
        <w:t xml:space="preserve"> </w:t>
      </w:r>
    </w:p>
    <w:p w14:paraId="2A093C72" w14:textId="77777777" w:rsidR="00975C08" w:rsidRPr="00137A05" w:rsidRDefault="00975C08" w:rsidP="00336DE8">
      <w:pPr>
        <w:spacing w:line="360" w:lineRule="auto"/>
        <w:jc w:val="both"/>
        <w:rPr>
          <w:rFonts w:ascii="Arial" w:hAnsi="Arial" w:cs="Arial"/>
          <w:sz w:val="24"/>
          <w:szCs w:val="24"/>
        </w:rPr>
      </w:pPr>
    </w:p>
    <w:p w14:paraId="12583C54" w14:textId="77777777" w:rsidR="000F7827" w:rsidRPr="00137A05" w:rsidRDefault="000F7827" w:rsidP="00336DE8">
      <w:pPr>
        <w:pStyle w:val="Heading2"/>
        <w:numPr>
          <w:ilvl w:val="1"/>
          <w:numId w:val="1"/>
        </w:numPr>
        <w:spacing w:line="360" w:lineRule="auto"/>
        <w:jc w:val="both"/>
        <w:rPr>
          <w:rFonts w:ascii="Arial" w:hAnsi="Arial" w:cs="Arial"/>
          <w:sz w:val="24"/>
          <w:szCs w:val="24"/>
        </w:rPr>
      </w:pPr>
      <w:bookmarkStart w:id="7" w:name="_Toc235788211"/>
      <w:r w:rsidRPr="00137A05">
        <w:rPr>
          <w:rFonts w:ascii="Arial" w:hAnsi="Arial" w:cs="Arial"/>
          <w:sz w:val="24"/>
          <w:szCs w:val="24"/>
        </w:rPr>
        <w:lastRenderedPageBreak/>
        <w:t>Overall financial-health judgement</w:t>
      </w:r>
      <w:bookmarkEnd w:id="7"/>
    </w:p>
    <w:p w14:paraId="00DBC14C" w14:textId="44649374" w:rsidR="0001737B" w:rsidRPr="00137A05" w:rsidRDefault="00A4607F" w:rsidP="00336DE8">
      <w:pPr>
        <w:spacing w:line="360" w:lineRule="auto"/>
        <w:jc w:val="both"/>
        <w:rPr>
          <w:rFonts w:ascii="Arial" w:hAnsi="Arial" w:cs="Arial"/>
          <w:sz w:val="24"/>
          <w:szCs w:val="24"/>
        </w:rPr>
      </w:pPr>
      <w:r w:rsidRPr="00A4607F">
        <w:rPr>
          <w:rFonts w:ascii="Arial" w:hAnsi="Arial" w:cs="Arial"/>
          <w:sz w:val="24"/>
          <w:szCs w:val="24"/>
        </w:rPr>
        <w:t>IHG's main advantages are high revenue growth, rising margins, asset productivity, high interest cover, high cash generation and well-covered ordinary dividends. The key dangers are increased net debt, ongoing negative equity, negative working capital, and finance costs and distributions to shareholders that continue to be higher than operating cash generation which occurs annually. The financial situation is thus very healthy yet highly geared. First, as CFO, the focus should be on protecting liquidity and investment-grade capacity, with discretionary repurchases limited to residual free cash flow after dividends, strategic investment and debt reduction, and receivables control tightened, and leverage maintained at the low end of the 2.5–3.0-times range.</w:t>
      </w:r>
    </w:p>
    <w:p w14:paraId="1AC43E05" w14:textId="77777777" w:rsidR="009C39CE" w:rsidRPr="00137A05" w:rsidRDefault="009C39CE" w:rsidP="00336DE8">
      <w:pPr>
        <w:pStyle w:val="Heading1"/>
        <w:numPr>
          <w:ilvl w:val="0"/>
          <w:numId w:val="1"/>
        </w:numPr>
        <w:spacing w:line="360" w:lineRule="auto"/>
        <w:jc w:val="both"/>
        <w:rPr>
          <w:rFonts w:ascii="Arial" w:hAnsi="Arial" w:cs="Arial"/>
          <w:sz w:val="24"/>
          <w:szCs w:val="24"/>
        </w:rPr>
      </w:pPr>
      <w:bookmarkStart w:id="8" w:name="_Toc235788212"/>
      <w:r w:rsidRPr="00137A05">
        <w:rPr>
          <w:rFonts w:ascii="Arial" w:hAnsi="Arial" w:cs="Arial"/>
          <w:sz w:val="24"/>
          <w:szCs w:val="24"/>
        </w:rPr>
        <w:t>Working Capital Management Analysis</w:t>
      </w:r>
      <w:bookmarkEnd w:id="8"/>
    </w:p>
    <w:p w14:paraId="758BF7CA" w14:textId="77777777" w:rsidR="009C39CE" w:rsidRPr="00137A05" w:rsidRDefault="009C39CE" w:rsidP="00336DE8">
      <w:pPr>
        <w:pStyle w:val="Heading2"/>
        <w:numPr>
          <w:ilvl w:val="1"/>
          <w:numId w:val="1"/>
        </w:numPr>
        <w:spacing w:line="360" w:lineRule="auto"/>
        <w:rPr>
          <w:rFonts w:ascii="Arial" w:hAnsi="Arial" w:cs="Arial"/>
          <w:sz w:val="24"/>
          <w:szCs w:val="24"/>
        </w:rPr>
      </w:pPr>
      <w:bookmarkStart w:id="9" w:name="_Toc235788213"/>
      <w:r w:rsidRPr="00137A05">
        <w:rPr>
          <w:rFonts w:ascii="Arial" w:hAnsi="Arial" w:cs="Arial"/>
          <w:sz w:val="24"/>
          <w:szCs w:val="24"/>
        </w:rPr>
        <w:t>Cash operating cycle</w:t>
      </w:r>
      <w:bookmarkEnd w:id="9"/>
    </w:p>
    <w:p w14:paraId="79B164BC" w14:textId="709F9D6C" w:rsidR="00D15353" w:rsidRPr="00137A05" w:rsidRDefault="0048573E" w:rsidP="00336DE8">
      <w:pPr>
        <w:spacing w:line="360" w:lineRule="auto"/>
        <w:jc w:val="both"/>
        <w:rPr>
          <w:rFonts w:ascii="Arial" w:hAnsi="Arial" w:cs="Arial"/>
          <w:sz w:val="24"/>
          <w:szCs w:val="24"/>
        </w:rPr>
      </w:pPr>
      <w:r w:rsidRPr="0048573E">
        <w:rPr>
          <w:rFonts w:ascii="Arial" w:hAnsi="Arial" w:cs="Arial"/>
          <w:sz w:val="24"/>
          <w:szCs w:val="24"/>
        </w:rPr>
        <w:t xml:space="preserve">The cash operating cycle is the number of days from purchasing raw materials to collecting cash from customers. It is determined by adding inventory days to receivables days and subtracting payables days (ACCA, n.d.). Average receivables were about $809 million in IHG, average inventory was $4.5 million, and average current trade and other payables were $663 million. Revenue applied is $5,189 million, cost of sales applied is $764 million, receivables days are 56.9, inventory days are 2.2 and payables days are 316.7. The mechanical cash cycle is therefore negative 257.6 days, as shown in Table </w:t>
      </w:r>
      <w:r>
        <w:rPr>
          <w:rFonts w:ascii="Arial" w:hAnsi="Arial" w:cs="Arial"/>
          <w:sz w:val="24"/>
          <w:szCs w:val="24"/>
        </w:rPr>
        <w:t>2</w:t>
      </w:r>
      <w:r w:rsidRPr="0048573E">
        <w:rPr>
          <w:rFonts w:ascii="Arial" w:hAnsi="Arial" w:cs="Arial"/>
          <w:sz w:val="24"/>
          <w:szCs w:val="24"/>
        </w:rPr>
        <w:t xml:space="preserve"> (IHG, 2026).</w:t>
      </w:r>
    </w:p>
    <w:p w14:paraId="503C6219" w14:textId="2E9B541E" w:rsidR="009C39CE" w:rsidRPr="00137A05" w:rsidRDefault="009C39CE" w:rsidP="00336DE8">
      <w:pPr>
        <w:spacing w:line="360" w:lineRule="auto"/>
        <w:jc w:val="both"/>
        <w:rPr>
          <w:rFonts w:ascii="Arial" w:hAnsi="Arial" w:cs="Arial"/>
          <w:b/>
          <w:bCs/>
          <w:sz w:val="24"/>
          <w:szCs w:val="24"/>
        </w:rPr>
      </w:pPr>
      <w:r w:rsidRPr="00137A05">
        <w:rPr>
          <w:rFonts w:ascii="Arial" w:hAnsi="Arial" w:cs="Arial"/>
          <w:b/>
          <w:bCs/>
          <w:sz w:val="24"/>
          <w:szCs w:val="24"/>
        </w:rPr>
        <w:t xml:space="preserve">Table </w:t>
      </w:r>
      <w:r w:rsidR="0019777B" w:rsidRPr="00137A05">
        <w:rPr>
          <w:rFonts w:ascii="Arial" w:hAnsi="Arial" w:cs="Arial"/>
          <w:b/>
          <w:bCs/>
          <w:sz w:val="24"/>
          <w:szCs w:val="24"/>
        </w:rPr>
        <w:t>2</w:t>
      </w:r>
      <w:r w:rsidRPr="00137A05">
        <w:rPr>
          <w:rFonts w:ascii="Arial" w:hAnsi="Arial" w:cs="Arial"/>
          <w:b/>
          <w:bCs/>
          <w:sz w:val="24"/>
          <w:szCs w:val="24"/>
        </w:rPr>
        <w:t>: IHG’s Indicative Cash Operating Cycle, 2025</w:t>
      </w:r>
    </w:p>
    <w:tbl>
      <w:tblPr>
        <w:tblStyle w:val="GridTable4-Accent2"/>
        <w:tblW w:w="0" w:type="auto"/>
        <w:tblLook w:val="04A0" w:firstRow="1" w:lastRow="0" w:firstColumn="1" w:lastColumn="0" w:noHBand="0" w:noVBand="1"/>
      </w:tblPr>
      <w:tblGrid>
        <w:gridCol w:w="2885"/>
        <w:gridCol w:w="3762"/>
        <w:gridCol w:w="2369"/>
      </w:tblGrid>
      <w:tr w:rsidR="009C39CE" w:rsidRPr="00137A05" w14:paraId="18A4FC39" w14:textId="77777777" w:rsidTr="004300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8C2DC0" w14:textId="77777777" w:rsidR="009C39CE" w:rsidRPr="00137A05" w:rsidRDefault="009C39CE" w:rsidP="00336DE8">
            <w:pPr>
              <w:spacing w:after="160" w:line="360" w:lineRule="auto"/>
              <w:jc w:val="center"/>
              <w:rPr>
                <w:rFonts w:ascii="Arial" w:hAnsi="Arial" w:cs="Arial"/>
                <w:sz w:val="24"/>
                <w:szCs w:val="24"/>
              </w:rPr>
            </w:pPr>
            <w:r w:rsidRPr="00137A05">
              <w:rPr>
                <w:rFonts w:ascii="Arial" w:hAnsi="Arial" w:cs="Arial"/>
                <w:sz w:val="24"/>
                <w:szCs w:val="24"/>
              </w:rPr>
              <w:t>Component</w:t>
            </w:r>
          </w:p>
        </w:tc>
        <w:tc>
          <w:tcPr>
            <w:tcW w:w="0" w:type="auto"/>
            <w:hideMark/>
          </w:tcPr>
          <w:p w14:paraId="17C40255" w14:textId="77777777" w:rsidR="009C39CE" w:rsidRPr="00137A05" w:rsidRDefault="009C39CE" w:rsidP="00336DE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Calculation</w:t>
            </w:r>
          </w:p>
        </w:tc>
        <w:tc>
          <w:tcPr>
            <w:tcW w:w="0" w:type="auto"/>
            <w:hideMark/>
          </w:tcPr>
          <w:p w14:paraId="559A39B7" w14:textId="77777777" w:rsidR="009C39CE" w:rsidRPr="00137A05" w:rsidRDefault="009C39CE" w:rsidP="00336DE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Result</w:t>
            </w:r>
          </w:p>
        </w:tc>
      </w:tr>
      <w:tr w:rsidR="009C39CE" w:rsidRPr="00137A05" w14:paraId="32ED9312" w14:textId="77777777" w:rsidTr="00430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6CC8EA" w14:textId="77777777" w:rsidR="009C39CE" w:rsidRPr="00137A05" w:rsidRDefault="009C39CE" w:rsidP="00336DE8">
            <w:pPr>
              <w:spacing w:after="160" w:line="360" w:lineRule="auto"/>
              <w:jc w:val="center"/>
              <w:rPr>
                <w:rFonts w:ascii="Arial" w:hAnsi="Arial" w:cs="Arial"/>
                <w:sz w:val="24"/>
                <w:szCs w:val="24"/>
              </w:rPr>
            </w:pPr>
            <w:r w:rsidRPr="00137A05">
              <w:rPr>
                <w:rFonts w:ascii="Arial" w:hAnsi="Arial" w:cs="Arial"/>
                <w:sz w:val="24"/>
                <w:szCs w:val="24"/>
              </w:rPr>
              <w:t>Receivables days</w:t>
            </w:r>
          </w:p>
        </w:tc>
        <w:tc>
          <w:tcPr>
            <w:tcW w:w="0" w:type="auto"/>
            <w:hideMark/>
          </w:tcPr>
          <w:p w14:paraId="446460F2" w14:textId="77777777" w:rsidR="009C39CE" w:rsidRPr="00137A05" w:rsidRDefault="009C39CE" w:rsidP="00336DE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$809m ÷ $5,189m × 365</w:t>
            </w:r>
          </w:p>
        </w:tc>
        <w:tc>
          <w:tcPr>
            <w:tcW w:w="0" w:type="auto"/>
            <w:hideMark/>
          </w:tcPr>
          <w:p w14:paraId="59E7F6A2" w14:textId="77777777" w:rsidR="009C39CE" w:rsidRPr="00137A05" w:rsidRDefault="009C39CE" w:rsidP="00336DE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56.9 days</w:t>
            </w:r>
          </w:p>
        </w:tc>
      </w:tr>
      <w:tr w:rsidR="009C39CE" w:rsidRPr="00137A05" w14:paraId="13B6C892" w14:textId="77777777" w:rsidTr="004300AA">
        <w:tc>
          <w:tcPr>
            <w:cnfStyle w:val="001000000000" w:firstRow="0" w:lastRow="0" w:firstColumn="1" w:lastColumn="0" w:oddVBand="0" w:evenVBand="0" w:oddHBand="0" w:evenHBand="0" w:firstRowFirstColumn="0" w:firstRowLastColumn="0" w:lastRowFirstColumn="0" w:lastRowLastColumn="0"/>
            <w:tcW w:w="0" w:type="auto"/>
            <w:hideMark/>
          </w:tcPr>
          <w:p w14:paraId="5F2FFACB" w14:textId="77777777" w:rsidR="009C39CE" w:rsidRPr="00137A05" w:rsidRDefault="009C39CE" w:rsidP="00336DE8">
            <w:pPr>
              <w:spacing w:after="160" w:line="360" w:lineRule="auto"/>
              <w:jc w:val="center"/>
              <w:rPr>
                <w:rFonts w:ascii="Arial" w:hAnsi="Arial" w:cs="Arial"/>
                <w:sz w:val="24"/>
                <w:szCs w:val="24"/>
              </w:rPr>
            </w:pPr>
            <w:r w:rsidRPr="00137A05">
              <w:rPr>
                <w:rFonts w:ascii="Arial" w:hAnsi="Arial" w:cs="Arial"/>
                <w:sz w:val="24"/>
                <w:szCs w:val="24"/>
              </w:rPr>
              <w:t>Inventory days</w:t>
            </w:r>
          </w:p>
        </w:tc>
        <w:tc>
          <w:tcPr>
            <w:tcW w:w="0" w:type="auto"/>
            <w:hideMark/>
          </w:tcPr>
          <w:p w14:paraId="4EB5351B" w14:textId="77777777" w:rsidR="009C39CE" w:rsidRPr="00137A05" w:rsidRDefault="009C39CE" w:rsidP="00336DE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$4.5m ÷ $764m × 365</w:t>
            </w:r>
          </w:p>
        </w:tc>
        <w:tc>
          <w:tcPr>
            <w:tcW w:w="0" w:type="auto"/>
            <w:hideMark/>
          </w:tcPr>
          <w:p w14:paraId="18C33436" w14:textId="77777777" w:rsidR="009C39CE" w:rsidRPr="00137A05" w:rsidRDefault="009C39CE" w:rsidP="00336DE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2.2 days</w:t>
            </w:r>
          </w:p>
        </w:tc>
      </w:tr>
      <w:tr w:rsidR="009C39CE" w:rsidRPr="00137A05" w14:paraId="3589F2C0" w14:textId="77777777" w:rsidTr="00430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39516B" w14:textId="77777777" w:rsidR="009C39CE" w:rsidRPr="00137A05" w:rsidRDefault="009C39CE" w:rsidP="00336DE8">
            <w:pPr>
              <w:spacing w:after="160" w:line="360" w:lineRule="auto"/>
              <w:jc w:val="center"/>
              <w:rPr>
                <w:rFonts w:ascii="Arial" w:hAnsi="Arial" w:cs="Arial"/>
                <w:sz w:val="24"/>
                <w:szCs w:val="24"/>
              </w:rPr>
            </w:pPr>
            <w:r w:rsidRPr="00137A05">
              <w:rPr>
                <w:rFonts w:ascii="Arial" w:hAnsi="Arial" w:cs="Arial"/>
                <w:sz w:val="24"/>
                <w:szCs w:val="24"/>
              </w:rPr>
              <w:t>Payables days</w:t>
            </w:r>
          </w:p>
        </w:tc>
        <w:tc>
          <w:tcPr>
            <w:tcW w:w="0" w:type="auto"/>
            <w:hideMark/>
          </w:tcPr>
          <w:p w14:paraId="3FF5618B" w14:textId="77777777" w:rsidR="009C39CE" w:rsidRPr="00137A05" w:rsidRDefault="009C39CE" w:rsidP="00336DE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$663m ÷ $764m × 365</w:t>
            </w:r>
          </w:p>
        </w:tc>
        <w:tc>
          <w:tcPr>
            <w:tcW w:w="0" w:type="auto"/>
            <w:hideMark/>
          </w:tcPr>
          <w:p w14:paraId="43ABEC02" w14:textId="77777777" w:rsidR="009C39CE" w:rsidRPr="00137A05" w:rsidRDefault="009C39CE" w:rsidP="00336DE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316.7 days</w:t>
            </w:r>
          </w:p>
        </w:tc>
      </w:tr>
      <w:tr w:rsidR="009C39CE" w:rsidRPr="00137A05" w14:paraId="1A6455C8" w14:textId="77777777" w:rsidTr="004300AA">
        <w:tc>
          <w:tcPr>
            <w:cnfStyle w:val="001000000000" w:firstRow="0" w:lastRow="0" w:firstColumn="1" w:lastColumn="0" w:oddVBand="0" w:evenVBand="0" w:oddHBand="0" w:evenHBand="0" w:firstRowFirstColumn="0" w:firstRowLastColumn="0" w:lastRowFirstColumn="0" w:lastRowLastColumn="0"/>
            <w:tcW w:w="0" w:type="auto"/>
            <w:hideMark/>
          </w:tcPr>
          <w:p w14:paraId="08328A6B" w14:textId="77777777" w:rsidR="009C39CE" w:rsidRPr="00137A05" w:rsidRDefault="009C39CE" w:rsidP="00336DE8">
            <w:pPr>
              <w:spacing w:after="160" w:line="360" w:lineRule="auto"/>
              <w:jc w:val="center"/>
              <w:rPr>
                <w:rFonts w:ascii="Arial" w:hAnsi="Arial" w:cs="Arial"/>
                <w:sz w:val="24"/>
                <w:szCs w:val="24"/>
              </w:rPr>
            </w:pPr>
            <w:r w:rsidRPr="00137A05">
              <w:rPr>
                <w:rFonts w:ascii="Arial" w:hAnsi="Arial" w:cs="Arial"/>
                <w:sz w:val="24"/>
                <w:szCs w:val="24"/>
              </w:rPr>
              <w:t>Mechanical cash cycle</w:t>
            </w:r>
          </w:p>
        </w:tc>
        <w:tc>
          <w:tcPr>
            <w:tcW w:w="0" w:type="auto"/>
            <w:hideMark/>
          </w:tcPr>
          <w:p w14:paraId="15F4D61C" w14:textId="77777777" w:rsidR="009C39CE" w:rsidRPr="00137A05" w:rsidRDefault="009C39CE" w:rsidP="00336DE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2.2 + 56.9 − 316.7</w:t>
            </w:r>
          </w:p>
        </w:tc>
        <w:tc>
          <w:tcPr>
            <w:tcW w:w="0" w:type="auto"/>
            <w:hideMark/>
          </w:tcPr>
          <w:p w14:paraId="6CC69C3A" w14:textId="77777777" w:rsidR="009C39CE" w:rsidRPr="00137A05" w:rsidRDefault="009C39CE" w:rsidP="00336DE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b/>
                <w:bCs/>
                <w:sz w:val="24"/>
                <w:szCs w:val="24"/>
              </w:rPr>
              <w:t>(257.6 days)</w:t>
            </w:r>
          </w:p>
        </w:tc>
      </w:tr>
      <w:tr w:rsidR="009C39CE" w:rsidRPr="00137A05" w14:paraId="5603CE26" w14:textId="77777777" w:rsidTr="00430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3BA51D" w14:textId="77777777" w:rsidR="009C39CE" w:rsidRPr="00137A05" w:rsidRDefault="009C39CE" w:rsidP="00336DE8">
            <w:pPr>
              <w:spacing w:after="160" w:line="360" w:lineRule="auto"/>
              <w:jc w:val="center"/>
              <w:rPr>
                <w:rFonts w:ascii="Arial" w:hAnsi="Arial" w:cs="Arial"/>
                <w:sz w:val="24"/>
                <w:szCs w:val="24"/>
              </w:rPr>
            </w:pPr>
            <w:r w:rsidRPr="00137A05">
              <w:rPr>
                <w:rFonts w:ascii="Arial" w:hAnsi="Arial" w:cs="Arial"/>
                <w:sz w:val="24"/>
                <w:szCs w:val="24"/>
              </w:rPr>
              <w:t>Adjusted indicative cycle</w:t>
            </w:r>
          </w:p>
        </w:tc>
        <w:tc>
          <w:tcPr>
            <w:tcW w:w="0" w:type="auto"/>
            <w:hideMark/>
          </w:tcPr>
          <w:p w14:paraId="0939F9A5" w14:textId="77777777" w:rsidR="009C39CE" w:rsidRPr="00137A05" w:rsidRDefault="009C39CE" w:rsidP="00336DE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Using broader operating expenditure</w:t>
            </w:r>
          </w:p>
        </w:tc>
        <w:tc>
          <w:tcPr>
            <w:tcW w:w="0" w:type="auto"/>
            <w:hideMark/>
          </w:tcPr>
          <w:p w14:paraId="102AD396" w14:textId="77777777" w:rsidR="009C39CE" w:rsidRPr="00137A05" w:rsidRDefault="009C39CE" w:rsidP="00336DE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b/>
                <w:bCs/>
                <w:sz w:val="24"/>
                <w:szCs w:val="24"/>
              </w:rPr>
              <w:t>Approximately zero</w:t>
            </w:r>
          </w:p>
        </w:tc>
      </w:tr>
    </w:tbl>
    <w:p w14:paraId="3EAEF0E7" w14:textId="46A9A7D4" w:rsidR="00A71443" w:rsidRPr="00137A05" w:rsidRDefault="0003681C" w:rsidP="00336DE8">
      <w:pPr>
        <w:spacing w:line="360" w:lineRule="auto"/>
        <w:jc w:val="both"/>
        <w:rPr>
          <w:rFonts w:ascii="Arial" w:hAnsi="Arial" w:cs="Arial"/>
          <w:sz w:val="24"/>
          <w:szCs w:val="24"/>
        </w:rPr>
      </w:pPr>
      <w:r w:rsidRPr="0003681C">
        <w:rPr>
          <w:rFonts w:ascii="Arial" w:hAnsi="Arial" w:cs="Arial"/>
          <w:sz w:val="24"/>
          <w:szCs w:val="24"/>
        </w:rPr>
        <w:lastRenderedPageBreak/>
        <w:t xml:space="preserve">This is a cautious result. IHG's trade and other payables comprise commitments that are not directly related to the cost of sales of its hotels, and reported cost of sales excludes significant System Fund, reimbursable and administrative expenditure. This is because all payables is overstating supplier-credit days by dividing by cost of sales. A wider </w:t>
      </w:r>
      <w:r w:rsidR="008B2FA4" w:rsidRPr="0003681C">
        <w:rPr>
          <w:rFonts w:ascii="Arial" w:hAnsi="Arial" w:cs="Arial"/>
          <w:sz w:val="24"/>
          <w:szCs w:val="24"/>
        </w:rPr>
        <w:t>cash-related</w:t>
      </w:r>
      <w:r w:rsidRPr="0003681C">
        <w:rPr>
          <w:rFonts w:ascii="Arial" w:hAnsi="Arial" w:cs="Arial"/>
          <w:sz w:val="24"/>
          <w:szCs w:val="24"/>
        </w:rPr>
        <w:t xml:space="preserve"> operating expenditure suggests an indicative payables period of around 62 days and a near zero cycle</w:t>
      </w:r>
      <w:r w:rsidR="00433142">
        <w:rPr>
          <w:rFonts w:ascii="Arial" w:hAnsi="Arial" w:cs="Arial"/>
          <w:sz w:val="24"/>
          <w:szCs w:val="24"/>
        </w:rPr>
        <w:t xml:space="preserve"> </w:t>
      </w:r>
      <w:r w:rsidR="00433142" w:rsidRPr="009E1576">
        <w:rPr>
          <w:rFonts w:ascii="Arial" w:hAnsi="Arial" w:cs="Arial"/>
        </w:rPr>
        <w:t>(Chen, Yu and Gao, 2023</w:t>
      </w:r>
      <w:r w:rsidR="00433142">
        <w:rPr>
          <w:rFonts w:ascii="Arial" w:hAnsi="Arial" w:cs="Arial"/>
        </w:rPr>
        <w:t>),</w:t>
      </w:r>
      <w:r w:rsidR="00433142" w:rsidRPr="009E1576">
        <w:rPr>
          <w:rFonts w:ascii="Arial" w:hAnsi="Arial" w:cs="Arial"/>
        </w:rPr>
        <w:t xml:space="preserve"> </w:t>
      </w:r>
      <w:r w:rsidRPr="0003681C">
        <w:rPr>
          <w:rFonts w:ascii="Arial" w:hAnsi="Arial" w:cs="Arial"/>
          <w:sz w:val="24"/>
          <w:szCs w:val="24"/>
        </w:rPr>
        <w:t>That reads better IHG's asset-light model, zero inventory and fee-based cash flows. However, the firm's liquidity is still tightly controlled, with current assets totaling $2,049 million, less current liabilities of $2,100 million, meaning it had negative working capital of $51 million. A large proportion of current liabilities, $829 million or 39.5% of current liabilities, was reflected as deferred revenue, which means that a substantial amount is due to be settled in services provided in the future instead of cash (IHG, 2026).</w:t>
      </w:r>
    </w:p>
    <w:p w14:paraId="7EE9A223" w14:textId="77777777" w:rsidR="009C39CE" w:rsidRPr="00137A05" w:rsidRDefault="009C39CE" w:rsidP="00336DE8">
      <w:pPr>
        <w:pStyle w:val="Heading2"/>
        <w:numPr>
          <w:ilvl w:val="1"/>
          <w:numId w:val="1"/>
        </w:numPr>
        <w:spacing w:line="360" w:lineRule="auto"/>
        <w:rPr>
          <w:rFonts w:ascii="Arial" w:hAnsi="Arial" w:cs="Arial"/>
          <w:sz w:val="24"/>
          <w:szCs w:val="24"/>
        </w:rPr>
      </w:pPr>
      <w:bookmarkStart w:id="10" w:name="_Toc235788214"/>
      <w:r w:rsidRPr="00137A05">
        <w:rPr>
          <w:rFonts w:ascii="Arial" w:hAnsi="Arial" w:cs="Arial"/>
          <w:sz w:val="24"/>
          <w:szCs w:val="24"/>
        </w:rPr>
        <w:t>Recommended working-capital reforms</w:t>
      </w:r>
      <w:bookmarkEnd w:id="10"/>
    </w:p>
    <w:p w14:paraId="01F682AD" w14:textId="49AF26F1" w:rsidR="00132C84" w:rsidRPr="00132C84" w:rsidRDefault="00132C84" w:rsidP="00132C84">
      <w:pPr>
        <w:spacing w:line="360" w:lineRule="auto"/>
        <w:jc w:val="both"/>
        <w:rPr>
          <w:rFonts w:ascii="Arial" w:hAnsi="Arial" w:cs="Arial"/>
          <w:sz w:val="24"/>
          <w:szCs w:val="24"/>
        </w:rPr>
      </w:pPr>
      <w:r w:rsidRPr="00132C84">
        <w:rPr>
          <w:rFonts w:ascii="Arial" w:hAnsi="Arial" w:cs="Arial"/>
          <w:sz w:val="24"/>
          <w:szCs w:val="24"/>
        </w:rPr>
        <w:t>IHG can do this initially by implementing credit limits based on risk assessment with franchisees and managed hotel owners, automated invoicing, direct-debit options, improved dispute resolution, and quicker escalation of overdue balances. A decrease in collection days from 56.9 to 50 days would free up about $98 million of cash (based on 2025 revenue). Early payment discounts must only be offered if their annualised cost is less than the company's marginal borrowing cost</w:t>
      </w:r>
      <w:r w:rsidR="0015218B">
        <w:rPr>
          <w:rFonts w:ascii="Arial" w:hAnsi="Arial" w:cs="Arial"/>
          <w:sz w:val="24"/>
          <w:szCs w:val="24"/>
        </w:rPr>
        <w:t xml:space="preserve"> </w:t>
      </w:r>
      <w:r w:rsidR="0015218B" w:rsidRPr="009E1576">
        <w:rPr>
          <w:rFonts w:ascii="Arial" w:hAnsi="Arial" w:cs="Arial"/>
        </w:rPr>
        <w:t>(Ma, Zhang and Yin, 2021</w:t>
      </w:r>
      <w:r w:rsidR="0015218B">
        <w:rPr>
          <w:rFonts w:ascii="Arial" w:hAnsi="Arial" w:cs="Arial"/>
        </w:rPr>
        <w:t>),</w:t>
      </w:r>
      <w:r w:rsidR="0015218B" w:rsidRPr="009E1576">
        <w:rPr>
          <w:rFonts w:ascii="Arial" w:hAnsi="Arial" w:cs="Arial"/>
        </w:rPr>
        <w:t xml:space="preserve"> </w:t>
      </w:r>
    </w:p>
    <w:p w14:paraId="68FFCBEF" w14:textId="77777777" w:rsidR="00132C84" w:rsidRPr="00132C84" w:rsidRDefault="00132C84" w:rsidP="00132C84">
      <w:pPr>
        <w:spacing w:line="360" w:lineRule="auto"/>
        <w:jc w:val="both"/>
        <w:rPr>
          <w:rFonts w:ascii="Arial" w:hAnsi="Arial" w:cs="Arial"/>
          <w:sz w:val="24"/>
          <w:szCs w:val="24"/>
        </w:rPr>
      </w:pPr>
      <w:r w:rsidRPr="00132C84">
        <w:rPr>
          <w:rFonts w:ascii="Arial" w:hAnsi="Arial" w:cs="Arial"/>
          <w:sz w:val="24"/>
          <w:szCs w:val="24"/>
        </w:rPr>
        <w:t>Second, treasury needs to improve 13-week cash forecasting, global cash pooling and multicurrency netting. Forecasts should separate corporate cash and funds for system, deferred revenue from loyalty, taxes, and committed acquisition and technology expenditures. Liquidity buffers should be tied to downside assumptions for RevPAR, owner default and refinancing variables. IHG should also try to negotiate longer contracts with resilient, stronger technology and corporate suppliers, and pay smaller suppliers promptly to maintain resilience and ethical treatment. Excessive payment delays can cause adverse effects on supplier relationships, and corporate reputation (ACCA, n.d.).</w:t>
      </w:r>
    </w:p>
    <w:p w14:paraId="6204B7B3" w14:textId="674F6394" w:rsidR="008975B8" w:rsidRPr="00137A05" w:rsidRDefault="00132C84" w:rsidP="00336DE8">
      <w:pPr>
        <w:spacing w:line="360" w:lineRule="auto"/>
        <w:jc w:val="both"/>
        <w:rPr>
          <w:rFonts w:ascii="Arial" w:hAnsi="Arial" w:cs="Arial"/>
          <w:sz w:val="24"/>
          <w:szCs w:val="24"/>
        </w:rPr>
      </w:pPr>
      <w:r w:rsidRPr="00132C84">
        <w:rPr>
          <w:rFonts w:ascii="Arial" w:hAnsi="Arial" w:cs="Arial"/>
          <w:sz w:val="24"/>
          <w:szCs w:val="24"/>
        </w:rPr>
        <w:t>Last, share repurchases are to be considered as residual distributions. In 2025, IHG paid $900 million for buybacks and $270 million in ordinary dividends, while its operating cash flow amounted to $898 million. Distributions thus exceeded internally generated operating cash by $272 million, which further rose net debt (IHG, 2026).</w:t>
      </w:r>
    </w:p>
    <w:p w14:paraId="06353845" w14:textId="77777777" w:rsidR="009C39CE" w:rsidRPr="00137A05" w:rsidRDefault="009C39CE" w:rsidP="00336DE8">
      <w:pPr>
        <w:pStyle w:val="Heading2"/>
        <w:numPr>
          <w:ilvl w:val="1"/>
          <w:numId w:val="1"/>
        </w:numPr>
        <w:spacing w:line="360" w:lineRule="auto"/>
        <w:rPr>
          <w:rFonts w:ascii="Arial" w:hAnsi="Arial" w:cs="Arial"/>
          <w:sz w:val="24"/>
          <w:szCs w:val="24"/>
        </w:rPr>
      </w:pPr>
      <w:bookmarkStart w:id="11" w:name="_Toc235788215"/>
      <w:r w:rsidRPr="00137A05">
        <w:rPr>
          <w:rFonts w:ascii="Arial" w:hAnsi="Arial" w:cs="Arial"/>
          <w:sz w:val="24"/>
          <w:szCs w:val="24"/>
        </w:rPr>
        <w:lastRenderedPageBreak/>
        <w:t>Short-term versus long-term financing</w:t>
      </w:r>
      <w:bookmarkEnd w:id="11"/>
    </w:p>
    <w:p w14:paraId="0CD54D1F" w14:textId="6CC42FB8" w:rsidR="004D217A" w:rsidRPr="00137A05" w:rsidRDefault="003908FB" w:rsidP="00336DE8">
      <w:pPr>
        <w:spacing w:line="360" w:lineRule="auto"/>
        <w:jc w:val="both"/>
        <w:rPr>
          <w:rFonts w:ascii="Arial" w:hAnsi="Arial" w:cs="Arial"/>
          <w:sz w:val="24"/>
          <w:szCs w:val="24"/>
        </w:rPr>
      </w:pPr>
      <w:r w:rsidRPr="003908FB">
        <w:rPr>
          <w:rFonts w:ascii="Arial" w:hAnsi="Arial" w:cs="Arial"/>
          <w:sz w:val="24"/>
          <w:szCs w:val="24"/>
        </w:rPr>
        <w:t>Table 3 indicates that short-term financing is suitable for seasonal timing differentials, temporary collection slowdowns and unexpected operating needs. Supplier credit and revolving credit drawings provide flexibility, but expose IHG to floating interest rates, rollover risk and potential market disruption. IHG's dedicated $1.5 billion revolving facility, with no financial covenants, will expire in December 2030 and offers contingency headroom with a variable benchmark rate plus margin (IHG, 2026).</w:t>
      </w:r>
    </w:p>
    <w:p w14:paraId="5162118E" w14:textId="74E68BAC" w:rsidR="009C39CE" w:rsidRPr="00137A05" w:rsidRDefault="009C39CE" w:rsidP="00336DE8">
      <w:pPr>
        <w:spacing w:line="360" w:lineRule="auto"/>
        <w:jc w:val="both"/>
        <w:rPr>
          <w:rFonts w:ascii="Arial" w:hAnsi="Arial" w:cs="Arial"/>
          <w:b/>
          <w:bCs/>
          <w:sz w:val="24"/>
          <w:szCs w:val="24"/>
        </w:rPr>
      </w:pPr>
      <w:r w:rsidRPr="00137A05">
        <w:rPr>
          <w:rFonts w:ascii="Arial" w:hAnsi="Arial" w:cs="Arial"/>
          <w:b/>
          <w:bCs/>
          <w:sz w:val="24"/>
          <w:szCs w:val="24"/>
        </w:rPr>
        <w:t xml:space="preserve">Table </w:t>
      </w:r>
      <w:r w:rsidR="0019777B" w:rsidRPr="00137A05">
        <w:rPr>
          <w:rFonts w:ascii="Arial" w:hAnsi="Arial" w:cs="Arial"/>
          <w:b/>
          <w:bCs/>
          <w:sz w:val="24"/>
          <w:szCs w:val="24"/>
        </w:rPr>
        <w:t>3</w:t>
      </w:r>
      <w:r w:rsidRPr="00137A05">
        <w:rPr>
          <w:rFonts w:ascii="Arial" w:hAnsi="Arial" w:cs="Arial"/>
          <w:b/>
          <w:bCs/>
          <w:sz w:val="24"/>
          <w:szCs w:val="24"/>
        </w:rPr>
        <w:t>: Short-Term versus Long-Term Financing</w:t>
      </w:r>
    </w:p>
    <w:tbl>
      <w:tblPr>
        <w:tblStyle w:val="GridTable4-Accent2"/>
        <w:tblW w:w="0" w:type="auto"/>
        <w:tblLook w:val="04A0" w:firstRow="1" w:lastRow="0" w:firstColumn="1" w:lastColumn="0" w:noHBand="0" w:noVBand="1"/>
      </w:tblPr>
      <w:tblGrid>
        <w:gridCol w:w="2190"/>
        <w:gridCol w:w="2954"/>
        <w:gridCol w:w="3872"/>
      </w:tblGrid>
      <w:tr w:rsidR="009C39CE" w:rsidRPr="00137A05" w14:paraId="38BECC1F" w14:textId="77777777" w:rsidTr="004300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4848A8" w14:textId="77777777" w:rsidR="009C39CE" w:rsidRPr="00137A05" w:rsidRDefault="009C39CE" w:rsidP="00336DE8">
            <w:pPr>
              <w:spacing w:after="160" w:line="360" w:lineRule="auto"/>
              <w:jc w:val="center"/>
              <w:rPr>
                <w:rFonts w:ascii="Arial" w:hAnsi="Arial" w:cs="Arial"/>
                <w:sz w:val="24"/>
                <w:szCs w:val="24"/>
              </w:rPr>
            </w:pPr>
            <w:r w:rsidRPr="00137A05">
              <w:rPr>
                <w:rFonts w:ascii="Arial" w:hAnsi="Arial" w:cs="Arial"/>
                <w:sz w:val="24"/>
                <w:szCs w:val="24"/>
              </w:rPr>
              <w:t>Factor</w:t>
            </w:r>
          </w:p>
        </w:tc>
        <w:tc>
          <w:tcPr>
            <w:tcW w:w="0" w:type="auto"/>
            <w:hideMark/>
          </w:tcPr>
          <w:p w14:paraId="0218273B" w14:textId="77777777" w:rsidR="009C39CE" w:rsidRPr="00137A05" w:rsidRDefault="009C39CE" w:rsidP="00336DE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Short-term financing</w:t>
            </w:r>
          </w:p>
        </w:tc>
        <w:tc>
          <w:tcPr>
            <w:tcW w:w="0" w:type="auto"/>
            <w:hideMark/>
          </w:tcPr>
          <w:p w14:paraId="73A5BFDF" w14:textId="77777777" w:rsidR="009C39CE" w:rsidRPr="00137A05" w:rsidRDefault="009C39CE" w:rsidP="00336DE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Long-term financing</w:t>
            </w:r>
          </w:p>
        </w:tc>
      </w:tr>
      <w:tr w:rsidR="009C39CE" w:rsidRPr="00137A05" w14:paraId="7E5F6A84" w14:textId="77777777" w:rsidTr="00430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A98048" w14:textId="77777777" w:rsidR="009C39CE" w:rsidRPr="00137A05" w:rsidRDefault="009C39CE" w:rsidP="00336DE8">
            <w:pPr>
              <w:spacing w:after="160" w:line="360" w:lineRule="auto"/>
              <w:jc w:val="center"/>
              <w:rPr>
                <w:rFonts w:ascii="Arial" w:hAnsi="Arial" w:cs="Arial"/>
                <w:sz w:val="24"/>
                <w:szCs w:val="24"/>
              </w:rPr>
            </w:pPr>
            <w:r w:rsidRPr="00137A05">
              <w:rPr>
                <w:rFonts w:ascii="Arial" w:hAnsi="Arial" w:cs="Arial"/>
                <w:sz w:val="24"/>
                <w:szCs w:val="24"/>
              </w:rPr>
              <w:t>Appropriate use</w:t>
            </w:r>
          </w:p>
        </w:tc>
        <w:tc>
          <w:tcPr>
            <w:tcW w:w="0" w:type="auto"/>
            <w:hideMark/>
          </w:tcPr>
          <w:p w14:paraId="23AAF46B" w14:textId="77777777" w:rsidR="009C39CE" w:rsidRPr="00137A05" w:rsidRDefault="009C39CE" w:rsidP="00336DE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Seasonal and temporary liquidity needs</w:t>
            </w:r>
          </w:p>
        </w:tc>
        <w:tc>
          <w:tcPr>
            <w:tcW w:w="0" w:type="auto"/>
            <w:hideMark/>
          </w:tcPr>
          <w:p w14:paraId="706F716E" w14:textId="77777777" w:rsidR="009C39CE" w:rsidRPr="00137A05" w:rsidRDefault="009C39CE" w:rsidP="00336DE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Permanent working capital and strategic investment</w:t>
            </w:r>
          </w:p>
        </w:tc>
      </w:tr>
      <w:tr w:rsidR="009C39CE" w:rsidRPr="00137A05" w14:paraId="44AA245D" w14:textId="77777777" w:rsidTr="004300AA">
        <w:tc>
          <w:tcPr>
            <w:cnfStyle w:val="001000000000" w:firstRow="0" w:lastRow="0" w:firstColumn="1" w:lastColumn="0" w:oddVBand="0" w:evenVBand="0" w:oddHBand="0" w:evenHBand="0" w:firstRowFirstColumn="0" w:firstRowLastColumn="0" w:lastRowFirstColumn="0" w:lastRowLastColumn="0"/>
            <w:tcW w:w="0" w:type="auto"/>
            <w:hideMark/>
          </w:tcPr>
          <w:p w14:paraId="2D8636FA" w14:textId="77777777" w:rsidR="009C39CE" w:rsidRPr="00137A05" w:rsidRDefault="009C39CE" w:rsidP="00336DE8">
            <w:pPr>
              <w:spacing w:after="160" w:line="360" w:lineRule="auto"/>
              <w:jc w:val="center"/>
              <w:rPr>
                <w:rFonts w:ascii="Arial" w:hAnsi="Arial" w:cs="Arial"/>
                <w:sz w:val="24"/>
                <w:szCs w:val="24"/>
              </w:rPr>
            </w:pPr>
            <w:r w:rsidRPr="00137A05">
              <w:rPr>
                <w:rFonts w:ascii="Arial" w:hAnsi="Arial" w:cs="Arial"/>
                <w:sz w:val="24"/>
                <w:szCs w:val="24"/>
              </w:rPr>
              <w:t>Main instruments</w:t>
            </w:r>
          </w:p>
        </w:tc>
        <w:tc>
          <w:tcPr>
            <w:tcW w:w="0" w:type="auto"/>
            <w:hideMark/>
          </w:tcPr>
          <w:p w14:paraId="10F7D363" w14:textId="77777777" w:rsidR="009C39CE" w:rsidRPr="00137A05" w:rsidRDefault="009C39CE" w:rsidP="00336DE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Supplier credit and revolving facility</w:t>
            </w:r>
          </w:p>
        </w:tc>
        <w:tc>
          <w:tcPr>
            <w:tcW w:w="0" w:type="auto"/>
            <w:hideMark/>
          </w:tcPr>
          <w:p w14:paraId="0E754A25" w14:textId="77777777" w:rsidR="009C39CE" w:rsidRPr="00137A05" w:rsidRDefault="009C39CE" w:rsidP="00336DE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Bonds and retained operating cash</w:t>
            </w:r>
          </w:p>
        </w:tc>
      </w:tr>
      <w:tr w:rsidR="009C39CE" w:rsidRPr="00137A05" w14:paraId="6E3E6E86" w14:textId="77777777" w:rsidTr="00430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41E318" w14:textId="77777777" w:rsidR="009C39CE" w:rsidRPr="00137A05" w:rsidRDefault="009C39CE" w:rsidP="00336DE8">
            <w:pPr>
              <w:spacing w:after="160" w:line="360" w:lineRule="auto"/>
              <w:jc w:val="center"/>
              <w:rPr>
                <w:rFonts w:ascii="Arial" w:hAnsi="Arial" w:cs="Arial"/>
                <w:sz w:val="24"/>
                <w:szCs w:val="24"/>
              </w:rPr>
            </w:pPr>
            <w:r w:rsidRPr="00137A05">
              <w:rPr>
                <w:rFonts w:ascii="Arial" w:hAnsi="Arial" w:cs="Arial"/>
                <w:sz w:val="24"/>
                <w:szCs w:val="24"/>
              </w:rPr>
              <w:t>Advantages</w:t>
            </w:r>
          </w:p>
        </w:tc>
        <w:tc>
          <w:tcPr>
            <w:tcW w:w="0" w:type="auto"/>
            <w:hideMark/>
          </w:tcPr>
          <w:p w14:paraId="50B1EB5B" w14:textId="77777777" w:rsidR="009C39CE" w:rsidRPr="00137A05" w:rsidRDefault="009C39CE" w:rsidP="00336DE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Flexible and interest paid when drawn</w:t>
            </w:r>
          </w:p>
        </w:tc>
        <w:tc>
          <w:tcPr>
            <w:tcW w:w="0" w:type="auto"/>
            <w:hideMark/>
          </w:tcPr>
          <w:p w14:paraId="549EE184" w14:textId="77777777" w:rsidR="009C39CE" w:rsidRPr="00137A05" w:rsidRDefault="009C39CE" w:rsidP="00336DE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Maturity certainty and lower refinancing frequency</w:t>
            </w:r>
          </w:p>
        </w:tc>
      </w:tr>
      <w:tr w:rsidR="009C39CE" w:rsidRPr="00137A05" w14:paraId="7036EAC9" w14:textId="77777777" w:rsidTr="004300AA">
        <w:tc>
          <w:tcPr>
            <w:cnfStyle w:val="001000000000" w:firstRow="0" w:lastRow="0" w:firstColumn="1" w:lastColumn="0" w:oddVBand="0" w:evenVBand="0" w:oddHBand="0" w:evenHBand="0" w:firstRowFirstColumn="0" w:firstRowLastColumn="0" w:lastRowFirstColumn="0" w:lastRowLastColumn="0"/>
            <w:tcW w:w="0" w:type="auto"/>
            <w:hideMark/>
          </w:tcPr>
          <w:p w14:paraId="6C230842" w14:textId="77777777" w:rsidR="009C39CE" w:rsidRPr="00137A05" w:rsidRDefault="009C39CE" w:rsidP="00336DE8">
            <w:pPr>
              <w:spacing w:after="160" w:line="360" w:lineRule="auto"/>
              <w:jc w:val="center"/>
              <w:rPr>
                <w:rFonts w:ascii="Arial" w:hAnsi="Arial" w:cs="Arial"/>
                <w:sz w:val="24"/>
                <w:szCs w:val="24"/>
              </w:rPr>
            </w:pPr>
            <w:r w:rsidRPr="00137A05">
              <w:rPr>
                <w:rFonts w:ascii="Arial" w:hAnsi="Arial" w:cs="Arial"/>
                <w:sz w:val="24"/>
                <w:szCs w:val="24"/>
              </w:rPr>
              <w:t>Risks</w:t>
            </w:r>
          </w:p>
        </w:tc>
        <w:tc>
          <w:tcPr>
            <w:tcW w:w="0" w:type="auto"/>
            <w:hideMark/>
          </w:tcPr>
          <w:p w14:paraId="1700B64D" w14:textId="77777777" w:rsidR="009C39CE" w:rsidRPr="00137A05" w:rsidRDefault="009C39CE" w:rsidP="00336DE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Variable rates and rollover exposure</w:t>
            </w:r>
          </w:p>
        </w:tc>
        <w:tc>
          <w:tcPr>
            <w:tcW w:w="0" w:type="auto"/>
            <w:hideMark/>
          </w:tcPr>
          <w:p w14:paraId="115E7839" w14:textId="77777777" w:rsidR="009C39CE" w:rsidRPr="00137A05" w:rsidRDefault="009C39CE" w:rsidP="00336DE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Fixed commitments, issuance costs and negative carry</w:t>
            </w:r>
          </w:p>
        </w:tc>
      </w:tr>
      <w:tr w:rsidR="009C39CE" w:rsidRPr="00137A05" w14:paraId="1FB3D870" w14:textId="77777777" w:rsidTr="00430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DA172F" w14:textId="77777777" w:rsidR="009C39CE" w:rsidRPr="00137A05" w:rsidRDefault="009C39CE" w:rsidP="00336DE8">
            <w:pPr>
              <w:spacing w:after="160" w:line="360" w:lineRule="auto"/>
              <w:jc w:val="center"/>
              <w:rPr>
                <w:rFonts w:ascii="Arial" w:hAnsi="Arial" w:cs="Arial"/>
                <w:sz w:val="24"/>
                <w:szCs w:val="24"/>
              </w:rPr>
            </w:pPr>
            <w:r w:rsidRPr="00137A05">
              <w:rPr>
                <w:rFonts w:ascii="Arial" w:hAnsi="Arial" w:cs="Arial"/>
                <w:sz w:val="24"/>
                <w:szCs w:val="24"/>
              </w:rPr>
              <w:t>Recommended role</w:t>
            </w:r>
          </w:p>
        </w:tc>
        <w:tc>
          <w:tcPr>
            <w:tcW w:w="0" w:type="auto"/>
            <w:hideMark/>
          </w:tcPr>
          <w:p w14:paraId="1AB82AC9" w14:textId="77777777" w:rsidR="009C39CE" w:rsidRPr="00137A05" w:rsidRDefault="009C39CE" w:rsidP="00336DE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Liquidity contingency</w:t>
            </w:r>
          </w:p>
        </w:tc>
        <w:tc>
          <w:tcPr>
            <w:tcW w:w="0" w:type="auto"/>
            <w:hideMark/>
          </w:tcPr>
          <w:p w14:paraId="264E2A27" w14:textId="77777777" w:rsidR="009C39CE" w:rsidRPr="00137A05" w:rsidRDefault="009C39CE" w:rsidP="00336DE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Core structural funding</w:t>
            </w:r>
          </w:p>
        </w:tc>
      </w:tr>
    </w:tbl>
    <w:p w14:paraId="706D270E" w14:textId="0CAC43C5" w:rsidR="00F814D0" w:rsidRPr="00F814D0" w:rsidRDefault="00F814D0" w:rsidP="00F814D0">
      <w:pPr>
        <w:spacing w:line="360" w:lineRule="auto"/>
        <w:jc w:val="both"/>
        <w:rPr>
          <w:rFonts w:ascii="Arial" w:hAnsi="Arial" w:cs="Arial"/>
          <w:sz w:val="24"/>
          <w:szCs w:val="24"/>
        </w:rPr>
      </w:pPr>
      <w:r w:rsidRPr="00F814D0">
        <w:rPr>
          <w:rFonts w:ascii="Arial" w:hAnsi="Arial" w:cs="Arial"/>
          <w:sz w:val="24"/>
          <w:szCs w:val="24"/>
        </w:rPr>
        <w:t xml:space="preserve">Long-term bonds and retained cash are more appropriate for permanent working capital, acquisitions, technology platforms and hotel-development incentives. They offer certainty of maturity and lower refinancing frequency, but at the cost of sacrificing flexibility due to fixed commitments and issuance costs. The issue of refinancing should be initiated prior to the concentration of large bond issue maturities, which occur between 2026 and 2031 (IHG, </w:t>
      </w:r>
      <w:r w:rsidR="004D307D">
        <w:rPr>
          <w:rFonts w:ascii="Arial" w:hAnsi="Arial" w:cs="Arial"/>
          <w:sz w:val="24"/>
          <w:szCs w:val="24"/>
        </w:rPr>
        <w:t>2026</w:t>
      </w:r>
      <w:r w:rsidRPr="00F814D0">
        <w:rPr>
          <w:rFonts w:ascii="Arial" w:hAnsi="Arial" w:cs="Arial"/>
          <w:sz w:val="24"/>
          <w:szCs w:val="24"/>
        </w:rPr>
        <w:t>).</w:t>
      </w:r>
    </w:p>
    <w:p w14:paraId="7277C642" w14:textId="2CDCA7B4" w:rsidR="0008335E" w:rsidRPr="00936710" w:rsidRDefault="00F814D0" w:rsidP="00336DE8">
      <w:pPr>
        <w:spacing w:line="360" w:lineRule="auto"/>
        <w:jc w:val="both"/>
        <w:rPr>
          <w:rFonts w:ascii="Arial" w:hAnsi="Arial" w:cs="Arial"/>
        </w:rPr>
      </w:pPr>
      <w:r w:rsidRPr="00F814D0">
        <w:rPr>
          <w:rFonts w:ascii="Arial" w:hAnsi="Arial" w:cs="Arial"/>
          <w:sz w:val="24"/>
          <w:szCs w:val="24"/>
        </w:rPr>
        <w:t xml:space="preserve">The suggested policy is that the structural needs should be paid for out of the retained cash and out of </w:t>
      </w:r>
      <w:r w:rsidR="003D30F9" w:rsidRPr="00F814D0">
        <w:rPr>
          <w:rFonts w:ascii="Arial" w:hAnsi="Arial" w:cs="Arial"/>
          <w:sz w:val="24"/>
          <w:szCs w:val="24"/>
        </w:rPr>
        <w:t>long-term</w:t>
      </w:r>
      <w:r w:rsidRPr="00F814D0">
        <w:rPr>
          <w:rFonts w:ascii="Arial" w:hAnsi="Arial" w:cs="Arial"/>
          <w:sz w:val="24"/>
          <w:szCs w:val="24"/>
        </w:rPr>
        <w:t xml:space="preserve"> debt, while the revolving facility should be kept as a temporary facility. IHG should retain investment grade ratings and ensure it has significant undrawn liquidity and a net debt to adjusted EBITDA ratio that remains </w:t>
      </w:r>
      <w:r w:rsidRPr="00F814D0">
        <w:rPr>
          <w:rFonts w:ascii="Arial" w:hAnsi="Arial" w:cs="Arial"/>
          <w:sz w:val="24"/>
          <w:szCs w:val="24"/>
        </w:rPr>
        <w:lastRenderedPageBreak/>
        <w:t>close to the lower end of its 2.5-3.0 times target range before considering further buybacks</w:t>
      </w:r>
      <w:r w:rsidR="00936710">
        <w:rPr>
          <w:rFonts w:ascii="Arial" w:hAnsi="Arial" w:cs="Arial"/>
          <w:sz w:val="24"/>
          <w:szCs w:val="24"/>
        </w:rPr>
        <w:t xml:space="preserve"> </w:t>
      </w:r>
      <w:r w:rsidR="00936710" w:rsidRPr="009E1576">
        <w:rPr>
          <w:rFonts w:ascii="Arial" w:hAnsi="Arial" w:cs="Arial"/>
        </w:rPr>
        <w:t>(Ahmad, Mobarek and Roni, 2021</w:t>
      </w:r>
      <w:r w:rsidR="00936710">
        <w:rPr>
          <w:rFonts w:ascii="Arial" w:hAnsi="Arial" w:cs="Arial"/>
        </w:rPr>
        <w:t>),</w:t>
      </w:r>
      <w:r w:rsidR="00936710" w:rsidRPr="009E1576">
        <w:rPr>
          <w:rFonts w:ascii="Arial" w:hAnsi="Arial" w:cs="Arial"/>
        </w:rPr>
        <w:t xml:space="preserve"> </w:t>
      </w:r>
    </w:p>
    <w:p w14:paraId="05A778C8" w14:textId="77777777" w:rsidR="00654CA6" w:rsidRPr="00137A05" w:rsidRDefault="00654CA6" w:rsidP="00336DE8">
      <w:pPr>
        <w:pStyle w:val="Heading1"/>
        <w:numPr>
          <w:ilvl w:val="0"/>
          <w:numId w:val="1"/>
        </w:numPr>
        <w:spacing w:line="360" w:lineRule="auto"/>
        <w:rPr>
          <w:rFonts w:ascii="Arial" w:hAnsi="Arial" w:cs="Arial"/>
          <w:sz w:val="24"/>
          <w:szCs w:val="24"/>
        </w:rPr>
      </w:pPr>
      <w:bookmarkStart w:id="12" w:name="_Toc235788216"/>
      <w:r w:rsidRPr="00137A05">
        <w:rPr>
          <w:rFonts w:ascii="Arial" w:hAnsi="Arial" w:cs="Arial"/>
          <w:sz w:val="24"/>
          <w:szCs w:val="24"/>
        </w:rPr>
        <w:t>Strategic Financial Restructuring Plan</w:t>
      </w:r>
      <w:bookmarkEnd w:id="12"/>
    </w:p>
    <w:p w14:paraId="04D13EE4" w14:textId="77777777" w:rsidR="00654CA6" w:rsidRPr="00137A05" w:rsidRDefault="00654CA6" w:rsidP="00336DE8">
      <w:pPr>
        <w:pStyle w:val="Heading2"/>
        <w:numPr>
          <w:ilvl w:val="1"/>
          <w:numId w:val="1"/>
        </w:numPr>
        <w:spacing w:line="360" w:lineRule="auto"/>
        <w:rPr>
          <w:rFonts w:ascii="Arial" w:hAnsi="Arial" w:cs="Arial"/>
          <w:sz w:val="24"/>
          <w:szCs w:val="24"/>
        </w:rPr>
      </w:pPr>
      <w:bookmarkStart w:id="13" w:name="_Toc235788217"/>
      <w:r w:rsidRPr="00137A05">
        <w:rPr>
          <w:rFonts w:ascii="Arial" w:hAnsi="Arial" w:cs="Arial"/>
          <w:sz w:val="24"/>
          <w:szCs w:val="24"/>
        </w:rPr>
        <w:t>Recommended restructuring options</w:t>
      </w:r>
      <w:bookmarkEnd w:id="13"/>
    </w:p>
    <w:p w14:paraId="75C2C8E2" w14:textId="77777777" w:rsidR="00D128DE" w:rsidRPr="00D128DE" w:rsidRDefault="00D128DE" w:rsidP="00D128DE">
      <w:pPr>
        <w:spacing w:line="360" w:lineRule="auto"/>
        <w:jc w:val="both"/>
        <w:rPr>
          <w:rFonts w:ascii="Arial" w:hAnsi="Arial" w:cs="Arial"/>
          <w:sz w:val="24"/>
          <w:szCs w:val="24"/>
        </w:rPr>
      </w:pPr>
      <w:r w:rsidRPr="00D128DE">
        <w:rPr>
          <w:rFonts w:ascii="Arial" w:hAnsi="Arial" w:cs="Arial"/>
          <w:sz w:val="24"/>
          <w:szCs w:val="24"/>
        </w:rPr>
        <w:t>First, capital allocation should be changed: The proposed $950 million buyback in 2026 should be reduced, and buyback should be considered as a residual after paying dividends, investing, and paying debt. IHG also repurposed $1.17 billion through buybacks and ordinary dividends in 2025, and net debt grew by $551 million, to $3.33 billion, and net debt to adjusted EBITDA reached 2.5 times (IHG, 2026).</w:t>
      </w:r>
    </w:p>
    <w:p w14:paraId="4CA18F98" w14:textId="77777777" w:rsidR="00D128DE" w:rsidRPr="00D128DE" w:rsidRDefault="00D128DE" w:rsidP="00D128DE">
      <w:pPr>
        <w:spacing w:line="360" w:lineRule="auto"/>
        <w:jc w:val="both"/>
        <w:rPr>
          <w:rFonts w:ascii="Arial" w:hAnsi="Arial" w:cs="Arial"/>
          <w:sz w:val="24"/>
          <w:szCs w:val="24"/>
        </w:rPr>
      </w:pPr>
      <w:r w:rsidRPr="00D128DE">
        <w:rPr>
          <w:rFonts w:ascii="Arial" w:hAnsi="Arial" w:cs="Arial"/>
          <w:sz w:val="24"/>
          <w:szCs w:val="24"/>
        </w:rPr>
        <w:t>Second, IHG's remaining owned or leased hotels, surplus property interests and non-core minority investments should be subject to a selective divestiture review. Its asset-lightness is already quite high: 73% of rooms are franchised, 27% are managed and less than 1% are owned or leased (IHG, 2026). So, disposals may be constrained, but sale and manageback transactions may unlock some capital without sacrificing brands and management fees. When retaining the fees involves a net present value that is higher than the foregone property cash flows plus the foregone disposal taxes, sales should be conducted.</w:t>
      </w:r>
    </w:p>
    <w:p w14:paraId="1889E3B9" w14:textId="7232FCDE" w:rsidR="0039675E" w:rsidRPr="007822D2" w:rsidRDefault="00D128DE" w:rsidP="00D128DE">
      <w:pPr>
        <w:spacing w:line="360" w:lineRule="auto"/>
        <w:jc w:val="both"/>
        <w:rPr>
          <w:rFonts w:ascii="Arial" w:hAnsi="Arial" w:cs="Arial"/>
        </w:rPr>
      </w:pPr>
      <w:r w:rsidRPr="00D128DE">
        <w:rPr>
          <w:rFonts w:ascii="Arial" w:hAnsi="Arial" w:cs="Arial"/>
          <w:sz w:val="24"/>
          <w:szCs w:val="24"/>
        </w:rPr>
        <w:t xml:space="preserve">If leverage is above 3.0 times, credit ratings deteriorate, or a strategically compelling acquisition has occurred, however, a contingent rights issue or equity funded transaction should be prepared. Large mergers must be avoided unless the earnings after cost of integration are better and the investment grade criteria are maintained. A small </w:t>
      </w:r>
      <w:r w:rsidR="00DD1CDB" w:rsidRPr="00D128DE">
        <w:rPr>
          <w:rFonts w:ascii="Arial" w:hAnsi="Arial" w:cs="Arial"/>
          <w:sz w:val="24"/>
          <w:szCs w:val="24"/>
        </w:rPr>
        <w:t>acquisition charge</w:t>
      </w:r>
      <w:r w:rsidRPr="00D128DE">
        <w:rPr>
          <w:rFonts w:ascii="Arial" w:hAnsi="Arial" w:cs="Arial"/>
          <w:sz w:val="24"/>
          <w:szCs w:val="24"/>
        </w:rPr>
        <w:t xml:space="preserve"> could be paid for in part with shares, which would not increase debts and would tie up vendors to longterm performance</w:t>
      </w:r>
      <w:r w:rsidR="007822D2">
        <w:rPr>
          <w:rFonts w:ascii="Arial" w:hAnsi="Arial" w:cs="Arial"/>
          <w:sz w:val="24"/>
          <w:szCs w:val="24"/>
        </w:rPr>
        <w:t xml:space="preserve"> </w:t>
      </w:r>
      <w:r w:rsidR="007822D2" w:rsidRPr="009E1576">
        <w:rPr>
          <w:rFonts w:ascii="Arial" w:hAnsi="Arial" w:cs="Arial"/>
        </w:rPr>
        <w:t>(Ma, Zhang and Yin, 2021</w:t>
      </w:r>
      <w:r w:rsidR="007822D2">
        <w:rPr>
          <w:rFonts w:ascii="Arial" w:hAnsi="Arial" w:cs="Arial"/>
        </w:rPr>
        <w:t>),</w:t>
      </w:r>
      <w:r w:rsidR="007822D2" w:rsidRPr="009E1576">
        <w:rPr>
          <w:rFonts w:ascii="Arial" w:hAnsi="Arial" w:cs="Arial"/>
        </w:rPr>
        <w:t xml:space="preserve"> </w:t>
      </w:r>
    </w:p>
    <w:p w14:paraId="36DBB8C7" w14:textId="77777777" w:rsidR="00654CA6" w:rsidRPr="00137A05" w:rsidRDefault="00654CA6" w:rsidP="00336DE8">
      <w:pPr>
        <w:pStyle w:val="Heading2"/>
        <w:numPr>
          <w:ilvl w:val="1"/>
          <w:numId w:val="1"/>
        </w:numPr>
        <w:spacing w:line="360" w:lineRule="auto"/>
        <w:rPr>
          <w:rFonts w:ascii="Arial" w:hAnsi="Arial" w:cs="Arial"/>
          <w:sz w:val="24"/>
          <w:szCs w:val="24"/>
        </w:rPr>
      </w:pPr>
      <w:bookmarkStart w:id="14" w:name="_Toc235788218"/>
      <w:r w:rsidRPr="00137A05">
        <w:rPr>
          <w:rFonts w:ascii="Arial" w:hAnsi="Arial" w:cs="Arial"/>
          <w:sz w:val="24"/>
          <w:szCs w:val="24"/>
        </w:rPr>
        <w:t>Impact on value, debt and flexibility</w:t>
      </w:r>
      <w:bookmarkEnd w:id="14"/>
    </w:p>
    <w:p w14:paraId="40C67DC2" w14:textId="10CB29D5" w:rsidR="00EC7555" w:rsidRPr="009F491E" w:rsidRDefault="004C4B50" w:rsidP="00336DE8">
      <w:pPr>
        <w:spacing w:line="360" w:lineRule="auto"/>
        <w:jc w:val="both"/>
        <w:rPr>
          <w:rFonts w:ascii="Arial" w:hAnsi="Arial" w:cs="Arial"/>
        </w:rPr>
      </w:pPr>
      <w:r w:rsidRPr="004C4B50">
        <w:rPr>
          <w:rFonts w:ascii="Arial" w:hAnsi="Arial" w:cs="Arial"/>
          <w:sz w:val="24"/>
          <w:szCs w:val="24"/>
        </w:rPr>
        <w:br/>
        <w:t xml:space="preserve">Share buyback reductions should benefit IHG's sustainable shareholder value by freeing up cash, lowering interest costs and bolstering the company's investment-grade credit quality, while impacting short-term EPS growth negatively by fewer shares being cancelled. Net debt rose to $3.33 billion in 2025, and shareholder distributions were larger than operating cash flow, suggesting that continued heavy buybacks may </w:t>
      </w:r>
      <w:r w:rsidRPr="004C4B50">
        <w:rPr>
          <w:rFonts w:ascii="Arial" w:hAnsi="Arial" w:cs="Arial"/>
          <w:sz w:val="24"/>
          <w:szCs w:val="24"/>
        </w:rPr>
        <w:lastRenderedPageBreak/>
        <w:t>limit financial resilience (IHG, 2026). If some of the future buyback spend is channeled toward debt reduction, it will improve liquidity, lower refinancing risk and free up investment in technology, loyalty-platform, and hotel development</w:t>
      </w:r>
      <w:r w:rsidR="009F491E">
        <w:rPr>
          <w:rFonts w:ascii="Arial" w:hAnsi="Arial" w:cs="Arial"/>
          <w:sz w:val="24"/>
          <w:szCs w:val="24"/>
        </w:rPr>
        <w:t xml:space="preserve"> </w:t>
      </w:r>
      <w:r w:rsidR="009F491E" w:rsidRPr="009E1576">
        <w:rPr>
          <w:rFonts w:ascii="Arial" w:hAnsi="Arial" w:cs="Arial"/>
        </w:rPr>
        <w:t>(Ahmad, Mobarek and Roni, 2021</w:t>
      </w:r>
      <w:r w:rsidR="009F491E">
        <w:rPr>
          <w:rFonts w:ascii="Arial" w:hAnsi="Arial" w:cs="Arial"/>
        </w:rPr>
        <w:t>),</w:t>
      </w:r>
      <w:r w:rsidR="009F491E" w:rsidRPr="009E1576">
        <w:rPr>
          <w:rFonts w:ascii="Arial" w:hAnsi="Arial" w:cs="Arial"/>
        </w:rPr>
        <w:t xml:space="preserve"> </w:t>
      </w:r>
      <w:r w:rsidRPr="004C4B50">
        <w:rPr>
          <w:rFonts w:ascii="Arial" w:hAnsi="Arial" w:cs="Arial"/>
          <w:sz w:val="24"/>
          <w:szCs w:val="24"/>
        </w:rPr>
        <w:t xml:space="preserve"> Selective divestitures may also free up capital, reduce capital intensity and improve returns, </w:t>
      </w:r>
      <w:r w:rsidR="00C86516" w:rsidRPr="004C4B50">
        <w:rPr>
          <w:rFonts w:ascii="Arial" w:hAnsi="Arial" w:cs="Arial"/>
          <w:sz w:val="24"/>
          <w:szCs w:val="24"/>
        </w:rPr>
        <w:t>if</w:t>
      </w:r>
      <w:r w:rsidRPr="004C4B50">
        <w:rPr>
          <w:rFonts w:ascii="Arial" w:hAnsi="Arial" w:cs="Arial"/>
          <w:sz w:val="24"/>
          <w:szCs w:val="24"/>
        </w:rPr>
        <w:t xml:space="preserve"> assets are divested at acceptable valuations and recurring management and franchise income is preserved. Equity </w:t>
      </w:r>
      <w:r w:rsidR="00B7220D" w:rsidRPr="004C4B50">
        <w:rPr>
          <w:rFonts w:ascii="Arial" w:hAnsi="Arial" w:cs="Arial"/>
          <w:sz w:val="24"/>
          <w:szCs w:val="24"/>
        </w:rPr>
        <w:t>issues</w:t>
      </w:r>
      <w:r w:rsidRPr="004C4B50">
        <w:rPr>
          <w:rFonts w:ascii="Arial" w:hAnsi="Arial" w:cs="Arial"/>
          <w:sz w:val="24"/>
          <w:szCs w:val="24"/>
        </w:rPr>
        <w:t xml:space="preserve"> would also have a positive immediate effect on gearing, but it would also involve shareholder dilution so should be kept on the table. Accordingly, IHG should refinance short-term maturities early, consider staggered bond repayments, maintain revolving-credit availability and, if feasible, align borrowing and repayment currencies with cash flow (IHG, 2026).</w:t>
      </w:r>
    </w:p>
    <w:p w14:paraId="5E289889" w14:textId="77777777" w:rsidR="00654CA6" w:rsidRPr="00137A05" w:rsidRDefault="00654CA6" w:rsidP="00336DE8">
      <w:pPr>
        <w:pStyle w:val="Heading2"/>
        <w:numPr>
          <w:ilvl w:val="1"/>
          <w:numId w:val="1"/>
        </w:numPr>
        <w:spacing w:line="360" w:lineRule="auto"/>
        <w:rPr>
          <w:rFonts w:ascii="Arial" w:hAnsi="Arial" w:cs="Arial"/>
          <w:sz w:val="24"/>
          <w:szCs w:val="24"/>
        </w:rPr>
      </w:pPr>
      <w:bookmarkStart w:id="15" w:name="_Toc235788219"/>
      <w:r w:rsidRPr="00137A05">
        <w:rPr>
          <w:rFonts w:ascii="Arial" w:hAnsi="Arial" w:cs="Arial"/>
          <w:sz w:val="24"/>
          <w:szCs w:val="24"/>
        </w:rPr>
        <w:t>International and ethical considerations</w:t>
      </w:r>
      <w:bookmarkEnd w:id="15"/>
    </w:p>
    <w:p w14:paraId="357744DF" w14:textId="51DACB31" w:rsidR="000162C1" w:rsidRPr="000162C1" w:rsidRDefault="000162C1" w:rsidP="000162C1">
      <w:pPr>
        <w:spacing w:line="360" w:lineRule="auto"/>
        <w:jc w:val="both"/>
        <w:rPr>
          <w:rFonts w:ascii="Arial" w:hAnsi="Arial" w:cs="Arial"/>
          <w:sz w:val="24"/>
          <w:szCs w:val="24"/>
        </w:rPr>
      </w:pPr>
      <w:r w:rsidRPr="000162C1">
        <w:rPr>
          <w:rFonts w:ascii="Arial" w:hAnsi="Arial" w:cs="Arial"/>
          <w:sz w:val="24"/>
          <w:szCs w:val="24"/>
        </w:rPr>
        <w:t xml:space="preserve">IHG are global players in over 100 countries, which means exchange rates, taxes, inflation and regulatory differences increase the risk of restructuring results. Foreign-exchange movements added $69 million to net debt, highlighting the importance of natural hedging, currency-matched debt and forward contracts (IHG, </w:t>
      </w:r>
      <w:r w:rsidR="004D307D">
        <w:rPr>
          <w:rFonts w:ascii="Arial" w:hAnsi="Arial" w:cs="Arial"/>
          <w:sz w:val="24"/>
          <w:szCs w:val="24"/>
        </w:rPr>
        <w:t>2026</w:t>
      </w:r>
      <w:r w:rsidRPr="000162C1">
        <w:rPr>
          <w:rFonts w:ascii="Arial" w:hAnsi="Arial" w:cs="Arial"/>
          <w:sz w:val="24"/>
          <w:szCs w:val="24"/>
        </w:rPr>
        <w:t>). Supplier and technology contracts should be inflation-linked and include caps, reopening clauses and regional benchmarking.</w:t>
      </w:r>
    </w:p>
    <w:p w14:paraId="3B99EE5D" w14:textId="33E7E40D" w:rsidR="000162C1" w:rsidRPr="000F7E3A" w:rsidRDefault="000162C1" w:rsidP="000162C1">
      <w:pPr>
        <w:spacing w:line="360" w:lineRule="auto"/>
        <w:jc w:val="both"/>
        <w:rPr>
          <w:rFonts w:ascii="Arial" w:hAnsi="Arial" w:cs="Arial"/>
        </w:rPr>
      </w:pPr>
      <w:r w:rsidRPr="000162C1">
        <w:rPr>
          <w:rFonts w:ascii="Arial" w:hAnsi="Arial" w:cs="Arial"/>
          <w:sz w:val="24"/>
          <w:szCs w:val="24"/>
        </w:rPr>
        <w:t xml:space="preserve">Tax restructuring should reflect economic substance, not aggressive profit shifting. IHG stated its 2025 adjusted tax rate of 27%, and OECD Pillar Two sets minimum effective tax at 15% of in-scope multinational income (IHG, </w:t>
      </w:r>
      <w:r w:rsidR="004D307D">
        <w:rPr>
          <w:rFonts w:ascii="Arial" w:hAnsi="Arial" w:cs="Arial"/>
          <w:sz w:val="24"/>
          <w:szCs w:val="24"/>
        </w:rPr>
        <w:t>2026</w:t>
      </w:r>
      <w:r w:rsidRPr="000162C1">
        <w:rPr>
          <w:rFonts w:ascii="Arial" w:hAnsi="Arial" w:cs="Arial"/>
          <w:sz w:val="24"/>
          <w:szCs w:val="24"/>
        </w:rPr>
        <w:t xml:space="preserve">; OECD, 2026). Legitimacy must be safeguarded </w:t>
      </w:r>
      <w:r w:rsidR="006B1314" w:rsidRPr="000162C1">
        <w:rPr>
          <w:rFonts w:ascii="Arial" w:hAnsi="Arial" w:cs="Arial"/>
          <w:sz w:val="24"/>
          <w:szCs w:val="24"/>
        </w:rPr>
        <w:t>with</w:t>
      </w:r>
      <w:r w:rsidRPr="000162C1">
        <w:rPr>
          <w:rFonts w:ascii="Arial" w:hAnsi="Arial" w:cs="Arial"/>
          <w:sz w:val="24"/>
          <w:szCs w:val="24"/>
        </w:rPr>
        <w:t xml:space="preserve"> oversight, country-by-country controls and transparent tax-policy reporting</w:t>
      </w:r>
      <w:r w:rsidR="000F7E3A">
        <w:rPr>
          <w:rFonts w:ascii="Arial" w:hAnsi="Arial" w:cs="Arial"/>
          <w:sz w:val="24"/>
          <w:szCs w:val="24"/>
        </w:rPr>
        <w:t xml:space="preserve"> </w:t>
      </w:r>
      <w:r w:rsidR="000F7E3A" w:rsidRPr="009E1576">
        <w:rPr>
          <w:rFonts w:ascii="Arial" w:hAnsi="Arial" w:cs="Arial"/>
        </w:rPr>
        <w:t>(Ahmad, Mobarek and Roni, 2021</w:t>
      </w:r>
      <w:r w:rsidR="000F7E3A">
        <w:rPr>
          <w:rFonts w:ascii="Arial" w:hAnsi="Arial" w:cs="Arial"/>
        </w:rPr>
        <w:t>),</w:t>
      </w:r>
      <w:r w:rsidR="000F7E3A" w:rsidRPr="009E1576">
        <w:rPr>
          <w:rFonts w:ascii="Arial" w:hAnsi="Arial" w:cs="Arial"/>
        </w:rPr>
        <w:t xml:space="preserve"> </w:t>
      </w:r>
    </w:p>
    <w:p w14:paraId="6B4F5C6C" w14:textId="241FF4C8" w:rsidR="002F1516" w:rsidRPr="00696B17" w:rsidRDefault="000162C1" w:rsidP="000162C1">
      <w:pPr>
        <w:spacing w:line="360" w:lineRule="auto"/>
        <w:jc w:val="both"/>
        <w:rPr>
          <w:rFonts w:ascii="Arial" w:hAnsi="Arial" w:cs="Arial"/>
        </w:rPr>
      </w:pPr>
      <w:r w:rsidRPr="000162C1">
        <w:rPr>
          <w:rFonts w:ascii="Arial" w:hAnsi="Arial" w:cs="Arial"/>
          <w:sz w:val="24"/>
          <w:szCs w:val="24"/>
        </w:rPr>
        <w:t>Last, but not least, the divestment should maintain the rights of employees, the owner's relationship and community commitments. Proceeds should partly finance energy efficiency and renewable-energy support. IHG has set a 46% absolute emissions reduction target by 2030, but emissions in 2025 were 7.7% higher than 2019, highlighting the financial and ethical need for ESG investments (IHG, 2026). Executive incentives should link leverage reduction, cash conversion and verified carbon progress</w:t>
      </w:r>
      <w:r w:rsidR="00696B17">
        <w:rPr>
          <w:rFonts w:ascii="Arial" w:hAnsi="Arial" w:cs="Arial"/>
          <w:sz w:val="24"/>
          <w:szCs w:val="24"/>
        </w:rPr>
        <w:t xml:space="preserve"> </w:t>
      </w:r>
      <w:r w:rsidR="00696B17" w:rsidRPr="009E1576">
        <w:rPr>
          <w:rFonts w:ascii="Arial" w:hAnsi="Arial" w:cs="Arial"/>
        </w:rPr>
        <w:t>(Ma, Zhang and Yin, 2021</w:t>
      </w:r>
      <w:r w:rsidR="00696B17">
        <w:rPr>
          <w:rFonts w:ascii="Arial" w:hAnsi="Arial" w:cs="Arial"/>
        </w:rPr>
        <w:t>),</w:t>
      </w:r>
      <w:r w:rsidR="00696B17" w:rsidRPr="009E1576">
        <w:rPr>
          <w:rFonts w:ascii="Arial" w:hAnsi="Arial" w:cs="Arial"/>
        </w:rPr>
        <w:t xml:space="preserve"> </w:t>
      </w:r>
    </w:p>
    <w:p w14:paraId="7A73ACA8" w14:textId="77777777" w:rsidR="00654CA6" w:rsidRPr="00137A05" w:rsidRDefault="00654CA6" w:rsidP="00336DE8">
      <w:pPr>
        <w:spacing w:line="360" w:lineRule="auto"/>
        <w:jc w:val="both"/>
        <w:rPr>
          <w:rFonts w:ascii="Arial" w:hAnsi="Arial" w:cs="Arial"/>
          <w:b/>
          <w:bCs/>
          <w:sz w:val="24"/>
          <w:szCs w:val="24"/>
        </w:rPr>
      </w:pPr>
      <w:r w:rsidRPr="00137A05">
        <w:rPr>
          <w:rFonts w:ascii="Arial" w:hAnsi="Arial" w:cs="Arial"/>
          <w:b/>
          <w:bCs/>
          <w:sz w:val="24"/>
          <w:szCs w:val="24"/>
        </w:rPr>
        <w:t>Table 4: Restructuring Impact Summary</w:t>
      </w:r>
    </w:p>
    <w:tbl>
      <w:tblPr>
        <w:tblStyle w:val="GridTable4-Accent2"/>
        <w:tblW w:w="0" w:type="auto"/>
        <w:tblLook w:val="04A0" w:firstRow="1" w:lastRow="0" w:firstColumn="1" w:lastColumn="0" w:noHBand="0" w:noVBand="1"/>
      </w:tblPr>
      <w:tblGrid>
        <w:gridCol w:w="1540"/>
        <w:gridCol w:w="1801"/>
        <w:gridCol w:w="1668"/>
        <w:gridCol w:w="1752"/>
        <w:gridCol w:w="2255"/>
      </w:tblGrid>
      <w:tr w:rsidR="00654CA6" w:rsidRPr="00137A05" w14:paraId="7FBF6C98" w14:textId="77777777" w:rsidTr="009F5D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B3AFE7" w14:textId="77777777" w:rsidR="00654CA6" w:rsidRPr="00137A05" w:rsidRDefault="00654CA6" w:rsidP="00336DE8">
            <w:pPr>
              <w:spacing w:after="160" w:line="360" w:lineRule="auto"/>
              <w:jc w:val="center"/>
              <w:rPr>
                <w:rFonts w:ascii="Arial" w:hAnsi="Arial" w:cs="Arial"/>
                <w:sz w:val="24"/>
                <w:szCs w:val="24"/>
              </w:rPr>
            </w:pPr>
            <w:r w:rsidRPr="00137A05">
              <w:rPr>
                <w:rFonts w:ascii="Arial" w:hAnsi="Arial" w:cs="Arial"/>
                <w:sz w:val="24"/>
                <w:szCs w:val="24"/>
              </w:rPr>
              <w:lastRenderedPageBreak/>
              <w:t>Option</w:t>
            </w:r>
          </w:p>
        </w:tc>
        <w:tc>
          <w:tcPr>
            <w:tcW w:w="0" w:type="auto"/>
            <w:vAlign w:val="center"/>
            <w:hideMark/>
          </w:tcPr>
          <w:p w14:paraId="027008F6" w14:textId="77777777" w:rsidR="00654CA6" w:rsidRPr="00137A05" w:rsidRDefault="00654CA6" w:rsidP="00336DE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Shareholder value</w:t>
            </w:r>
          </w:p>
        </w:tc>
        <w:tc>
          <w:tcPr>
            <w:tcW w:w="0" w:type="auto"/>
            <w:vAlign w:val="center"/>
            <w:hideMark/>
          </w:tcPr>
          <w:p w14:paraId="1F148941" w14:textId="77777777" w:rsidR="00654CA6" w:rsidRPr="00137A05" w:rsidRDefault="00654CA6" w:rsidP="00336DE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Debt structure</w:t>
            </w:r>
          </w:p>
        </w:tc>
        <w:tc>
          <w:tcPr>
            <w:tcW w:w="0" w:type="auto"/>
            <w:vAlign w:val="center"/>
            <w:hideMark/>
          </w:tcPr>
          <w:p w14:paraId="71E24BD1" w14:textId="77777777" w:rsidR="00654CA6" w:rsidRPr="00137A05" w:rsidRDefault="00654CA6" w:rsidP="00336DE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Operational flexibility</w:t>
            </w:r>
          </w:p>
        </w:tc>
        <w:tc>
          <w:tcPr>
            <w:tcW w:w="0" w:type="auto"/>
            <w:vAlign w:val="center"/>
            <w:hideMark/>
          </w:tcPr>
          <w:p w14:paraId="11839387" w14:textId="77777777" w:rsidR="00654CA6" w:rsidRPr="00137A05" w:rsidRDefault="00654CA6" w:rsidP="00336DE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Recommendation</w:t>
            </w:r>
          </w:p>
        </w:tc>
      </w:tr>
      <w:tr w:rsidR="00654CA6" w:rsidRPr="00137A05" w14:paraId="18E31907" w14:textId="77777777" w:rsidTr="009F5D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B5F927" w14:textId="77777777" w:rsidR="00654CA6" w:rsidRPr="00137A05" w:rsidRDefault="00654CA6" w:rsidP="00336DE8">
            <w:pPr>
              <w:spacing w:after="160" w:line="360" w:lineRule="auto"/>
              <w:jc w:val="center"/>
              <w:rPr>
                <w:rFonts w:ascii="Arial" w:hAnsi="Arial" w:cs="Arial"/>
                <w:sz w:val="24"/>
                <w:szCs w:val="24"/>
              </w:rPr>
            </w:pPr>
            <w:r w:rsidRPr="00137A05">
              <w:rPr>
                <w:rFonts w:ascii="Arial" w:hAnsi="Arial" w:cs="Arial"/>
                <w:sz w:val="24"/>
                <w:szCs w:val="24"/>
              </w:rPr>
              <w:t>Reduce buybacks</w:t>
            </w:r>
          </w:p>
        </w:tc>
        <w:tc>
          <w:tcPr>
            <w:tcW w:w="0" w:type="auto"/>
            <w:vAlign w:val="center"/>
            <w:hideMark/>
          </w:tcPr>
          <w:p w14:paraId="792449C5" w14:textId="77777777" w:rsidR="00654CA6" w:rsidRPr="00137A05" w:rsidRDefault="00654CA6" w:rsidP="00336DE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Lower near-term EPS support; stronger sustainable value</w:t>
            </w:r>
          </w:p>
        </w:tc>
        <w:tc>
          <w:tcPr>
            <w:tcW w:w="0" w:type="auto"/>
            <w:vAlign w:val="center"/>
            <w:hideMark/>
          </w:tcPr>
          <w:p w14:paraId="002F0D78" w14:textId="77777777" w:rsidR="00654CA6" w:rsidRPr="00137A05" w:rsidRDefault="00654CA6" w:rsidP="00336DE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Accelerates deleveraging</w:t>
            </w:r>
          </w:p>
        </w:tc>
        <w:tc>
          <w:tcPr>
            <w:tcW w:w="0" w:type="auto"/>
            <w:vAlign w:val="center"/>
            <w:hideMark/>
          </w:tcPr>
          <w:p w14:paraId="282474A9" w14:textId="77777777" w:rsidR="00654CA6" w:rsidRPr="00137A05" w:rsidRDefault="00654CA6" w:rsidP="00336DE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Increases cash headroom</w:t>
            </w:r>
          </w:p>
        </w:tc>
        <w:tc>
          <w:tcPr>
            <w:tcW w:w="0" w:type="auto"/>
            <w:vAlign w:val="center"/>
            <w:hideMark/>
          </w:tcPr>
          <w:p w14:paraId="199C367D" w14:textId="77777777" w:rsidR="00654CA6" w:rsidRPr="00137A05" w:rsidRDefault="00654CA6" w:rsidP="00336DE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Implement immediately</w:t>
            </w:r>
          </w:p>
        </w:tc>
      </w:tr>
      <w:tr w:rsidR="00654CA6" w:rsidRPr="00137A05" w14:paraId="0D885370" w14:textId="77777777" w:rsidTr="009F5D37">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43DD2F" w14:textId="77777777" w:rsidR="00654CA6" w:rsidRPr="00137A05" w:rsidRDefault="00654CA6" w:rsidP="00336DE8">
            <w:pPr>
              <w:spacing w:after="160" w:line="360" w:lineRule="auto"/>
              <w:jc w:val="center"/>
              <w:rPr>
                <w:rFonts w:ascii="Arial" w:hAnsi="Arial" w:cs="Arial"/>
                <w:sz w:val="24"/>
                <w:szCs w:val="24"/>
              </w:rPr>
            </w:pPr>
            <w:r w:rsidRPr="00137A05">
              <w:rPr>
                <w:rFonts w:ascii="Arial" w:hAnsi="Arial" w:cs="Arial"/>
                <w:sz w:val="24"/>
                <w:szCs w:val="24"/>
              </w:rPr>
              <w:t>Selective divestiture</w:t>
            </w:r>
          </w:p>
        </w:tc>
        <w:tc>
          <w:tcPr>
            <w:tcW w:w="0" w:type="auto"/>
            <w:vAlign w:val="center"/>
            <w:hideMark/>
          </w:tcPr>
          <w:p w14:paraId="55894464" w14:textId="77777777" w:rsidR="00654CA6" w:rsidRPr="00137A05" w:rsidRDefault="00654CA6" w:rsidP="00336DE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Releases value if pricing is attractive</w:t>
            </w:r>
          </w:p>
        </w:tc>
        <w:tc>
          <w:tcPr>
            <w:tcW w:w="0" w:type="auto"/>
            <w:vAlign w:val="center"/>
            <w:hideMark/>
          </w:tcPr>
          <w:p w14:paraId="0E1194E3" w14:textId="77777777" w:rsidR="00654CA6" w:rsidRPr="00137A05" w:rsidRDefault="00654CA6" w:rsidP="00336DE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Proceeds repay debt</w:t>
            </w:r>
          </w:p>
        </w:tc>
        <w:tc>
          <w:tcPr>
            <w:tcW w:w="0" w:type="auto"/>
            <w:vAlign w:val="center"/>
            <w:hideMark/>
          </w:tcPr>
          <w:p w14:paraId="538972CC" w14:textId="77777777" w:rsidR="00654CA6" w:rsidRPr="00137A05" w:rsidRDefault="00654CA6" w:rsidP="00336DE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Reduces capital intensity</w:t>
            </w:r>
          </w:p>
        </w:tc>
        <w:tc>
          <w:tcPr>
            <w:tcW w:w="0" w:type="auto"/>
            <w:vAlign w:val="center"/>
            <w:hideMark/>
          </w:tcPr>
          <w:p w14:paraId="5B05EE00" w14:textId="77777777" w:rsidR="00654CA6" w:rsidRPr="00137A05" w:rsidRDefault="00654CA6" w:rsidP="00336DE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Implement selectively</w:t>
            </w:r>
          </w:p>
        </w:tc>
      </w:tr>
      <w:tr w:rsidR="00654CA6" w:rsidRPr="00137A05" w14:paraId="21988BA8" w14:textId="77777777" w:rsidTr="009F5D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F5B692" w14:textId="77777777" w:rsidR="00654CA6" w:rsidRPr="00137A05" w:rsidRDefault="00654CA6" w:rsidP="00336DE8">
            <w:pPr>
              <w:spacing w:after="160" w:line="360" w:lineRule="auto"/>
              <w:jc w:val="center"/>
              <w:rPr>
                <w:rFonts w:ascii="Arial" w:hAnsi="Arial" w:cs="Arial"/>
                <w:sz w:val="24"/>
                <w:szCs w:val="24"/>
              </w:rPr>
            </w:pPr>
            <w:r w:rsidRPr="00137A05">
              <w:rPr>
                <w:rFonts w:ascii="Arial" w:hAnsi="Arial" w:cs="Arial"/>
                <w:sz w:val="24"/>
                <w:szCs w:val="24"/>
              </w:rPr>
              <w:t>Contingent equity issue</w:t>
            </w:r>
          </w:p>
        </w:tc>
        <w:tc>
          <w:tcPr>
            <w:tcW w:w="0" w:type="auto"/>
            <w:vAlign w:val="center"/>
            <w:hideMark/>
          </w:tcPr>
          <w:p w14:paraId="0A69D270" w14:textId="77777777" w:rsidR="00654CA6" w:rsidRPr="00137A05" w:rsidRDefault="00654CA6" w:rsidP="00336DE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Dilutive initially; lowers financial risk</w:t>
            </w:r>
          </w:p>
        </w:tc>
        <w:tc>
          <w:tcPr>
            <w:tcW w:w="0" w:type="auto"/>
            <w:vAlign w:val="center"/>
            <w:hideMark/>
          </w:tcPr>
          <w:p w14:paraId="18BACC89" w14:textId="77777777" w:rsidR="00654CA6" w:rsidRPr="00137A05" w:rsidRDefault="00654CA6" w:rsidP="00336DE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Strengthens equity and gearing</w:t>
            </w:r>
          </w:p>
        </w:tc>
        <w:tc>
          <w:tcPr>
            <w:tcW w:w="0" w:type="auto"/>
            <w:vAlign w:val="center"/>
            <w:hideMark/>
          </w:tcPr>
          <w:p w14:paraId="51455FF0" w14:textId="77777777" w:rsidR="00654CA6" w:rsidRPr="00137A05" w:rsidRDefault="00654CA6" w:rsidP="00336DE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Funds strategic opportunities</w:t>
            </w:r>
          </w:p>
        </w:tc>
        <w:tc>
          <w:tcPr>
            <w:tcW w:w="0" w:type="auto"/>
            <w:vAlign w:val="center"/>
            <w:hideMark/>
          </w:tcPr>
          <w:p w14:paraId="6D7E4E8E" w14:textId="77777777" w:rsidR="00654CA6" w:rsidRPr="00137A05" w:rsidRDefault="00654CA6" w:rsidP="00336DE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Maintain as contingency</w:t>
            </w:r>
          </w:p>
        </w:tc>
      </w:tr>
      <w:tr w:rsidR="00654CA6" w:rsidRPr="00137A05" w14:paraId="54A92E80" w14:textId="77777777" w:rsidTr="009F5D37">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327F6C" w14:textId="77777777" w:rsidR="00654CA6" w:rsidRPr="00137A05" w:rsidRDefault="00654CA6" w:rsidP="00336DE8">
            <w:pPr>
              <w:spacing w:after="160" w:line="360" w:lineRule="auto"/>
              <w:jc w:val="center"/>
              <w:rPr>
                <w:rFonts w:ascii="Arial" w:hAnsi="Arial" w:cs="Arial"/>
                <w:sz w:val="24"/>
                <w:szCs w:val="24"/>
              </w:rPr>
            </w:pPr>
            <w:r w:rsidRPr="00137A05">
              <w:rPr>
                <w:rFonts w:ascii="Arial" w:hAnsi="Arial" w:cs="Arial"/>
                <w:sz w:val="24"/>
                <w:szCs w:val="24"/>
              </w:rPr>
              <w:t>Large merger</w:t>
            </w:r>
          </w:p>
        </w:tc>
        <w:tc>
          <w:tcPr>
            <w:tcW w:w="0" w:type="auto"/>
            <w:vAlign w:val="center"/>
            <w:hideMark/>
          </w:tcPr>
          <w:p w14:paraId="504F58CE" w14:textId="77777777" w:rsidR="00654CA6" w:rsidRPr="00137A05" w:rsidRDefault="00654CA6" w:rsidP="00336DE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Potential scale benefits; substantial execution risk</w:t>
            </w:r>
          </w:p>
        </w:tc>
        <w:tc>
          <w:tcPr>
            <w:tcW w:w="0" w:type="auto"/>
            <w:vAlign w:val="center"/>
            <w:hideMark/>
          </w:tcPr>
          <w:p w14:paraId="0F0EB95F" w14:textId="77777777" w:rsidR="00654CA6" w:rsidRPr="00137A05" w:rsidRDefault="00654CA6" w:rsidP="00336DE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Could increase leverage</w:t>
            </w:r>
          </w:p>
        </w:tc>
        <w:tc>
          <w:tcPr>
            <w:tcW w:w="0" w:type="auto"/>
            <w:vAlign w:val="center"/>
            <w:hideMark/>
          </w:tcPr>
          <w:p w14:paraId="42EA1F85" w14:textId="77777777" w:rsidR="00654CA6" w:rsidRPr="00137A05" w:rsidRDefault="00654CA6" w:rsidP="00336DE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Integration may restrict management capacity</w:t>
            </w:r>
          </w:p>
        </w:tc>
        <w:tc>
          <w:tcPr>
            <w:tcW w:w="0" w:type="auto"/>
            <w:vAlign w:val="center"/>
            <w:hideMark/>
          </w:tcPr>
          <w:p w14:paraId="2AC7F906" w14:textId="77777777" w:rsidR="00654CA6" w:rsidRPr="00137A05" w:rsidRDefault="00654CA6" w:rsidP="00336DE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Avoid unless exceptional</w:t>
            </w:r>
          </w:p>
        </w:tc>
      </w:tr>
    </w:tbl>
    <w:p w14:paraId="02C774C5" w14:textId="606CABB9" w:rsidR="009F5D37" w:rsidRPr="00137A05" w:rsidRDefault="0026022B" w:rsidP="00336DE8">
      <w:pPr>
        <w:pStyle w:val="Heading1"/>
        <w:spacing w:line="360" w:lineRule="auto"/>
        <w:rPr>
          <w:rFonts w:ascii="Arial" w:hAnsi="Arial" w:cs="Arial"/>
          <w:sz w:val="24"/>
          <w:szCs w:val="24"/>
        </w:rPr>
      </w:pPr>
      <w:bookmarkStart w:id="16" w:name="_Toc235788220"/>
      <w:r w:rsidRPr="00137A05">
        <w:rPr>
          <w:rFonts w:ascii="Arial" w:hAnsi="Arial" w:cs="Arial"/>
          <w:sz w:val="24"/>
          <w:szCs w:val="24"/>
        </w:rPr>
        <w:t>Investment Appraisal and Capital Budgeting</w:t>
      </w:r>
      <w:bookmarkEnd w:id="16"/>
    </w:p>
    <w:p w14:paraId="38D75B2B" w14:textId="77777777" w:rsidR="009F5D37" w:rsidRPr="00137A05" w:rsidRDefault="009F5D37" w:rsidP="00336DE8">
      <w:pPr>
        <w:pStyle w:val="Heading2"/>
        <w:numPr>
          <w:ilvl w:val="1"/>
          <w:numId w:val="1"/>
        </w:numPr>
        <w:spacing w:line="360" w:lineRule="auto"/>
        <w:jc w:val="both"/>
        <w:rPr>
          <w:rFonts w:ascii="Arial" w:hAnsi="Arial" w:cs="Arial"/>
          <w:sz w:val="24"/>
          <w:szCs w:val="24"/>
        </w:rPr>
      </w:pPr>
      <w:bookmarkStart w:id="17" w:name="_Toc235788221"/>
      <w:r w:rsidRPr="00137A05">
        <w:rPr>
          <w:rFonts w:ascii="Arial" w:hAnsi="Arial" w:cs="Arial"/>
          <w:sz w:val="24"/>
          <w:szCs w:val="24"/>
        </w:rPr>
        <w:t>Appraisal Basis and Methodology</w:t>
      </w:r>
      <w:bookmarkEnd w:id="17"/>
    </w:p>
    <w:p w14:paraId="23C1D372" w14:textId="0DD9544F" w:rsidR="006750B5" w:rsidRPr="006C6375" w:rsidRDefault="00850EE5" w:rsidP="00336DE8">
      <w:pPr>
        <w:spacing w:line="360" w:lineRule="auto"/>
        <w:jc w:val="both"/>
        <w:rPr>
          <w:rFonts w:ascii="Arial" w:hAnsi="Arial" w:cs="Arial"/>
        </w:rPr>
      </w:pPr>
      <w:r w:rsidRPr="00850EE5">
        <w:rPr>
          <w:rFonts w:ascii="Arial" w:hAnsi="Arial" w:cs="Arial"/>
          <w:sz w:val="24"/>
          <w:szCs w:val="24"/>
        </w:rPr>
        <w:t>Investment Appraisal should recognise the project that generates the highest financial value, given the risks associated with it and within the financial limits of IHG. They are based on the cash flows contained within the provided Excel model, the discount rate of eight per cent, appraisal horizon of five years, no residual value and straight-line depreciation of £10 million annually. Payback period is the length of time it takes for the system to pay back the initial investment. Average annual accounting profit/Initial investment of £50 million</w:t>
      </w:r>
      <w:r w:rsidR="006C6375">
        <w:rPr>
          <w:rFonts w:ascii="Arial" w:hAnsi="Arial" w:cs="Arial"/>
          <w:sz w:val="24"/>
          <w:szCs w:val="24"/>
        </w:rPr>
        <w:t xml:space="preserve"> </w:t>
      </w:r>
      <w:r w:rsidR="006C6375" w:rsidRPr="009E1576">
        <w:rPr>
          <w:rFonts w:ascii="Arial" w:hAnsi="Arial" w:cs="Arial"/>
        </w:rPr>
        <w:t>(Ma, Zhang and Yin, 2021</w:t>
      </w:r>
      <w:r w:rsidR="006C6375">
        <w:rPr>
          <w:rFonts w:ascii="Arial" w:hAnsi="Arial" w:cs="Arial"/>
        </w:rPr>
        <w:t>),</w:t>
      </w:r>
      <w:r w:rsidR="006C6375" w:rsidRPr="009E1576">
        <w:rPr>
          <w:rFonts w:ascii="Arial" w:hAnsi="Arial" w:cs="Arial"/>
        </w:rPr>
        <w:t xml:space="preserve"> </w:t>
      </w:r>
      <w:r w:rsidRPr="00850EE5">
        <w:rPr>
          <w:rFonts w:ascii="Arial" w:hAnsi="Arial" w:cs="Arial"/>
          <w:sz w:val="24"/>
          <w:szCs w:val="24"/>
        </w:rPr>
        <w:t xml:space="preserve"> NPV compares the present value of inflows to the initial cost, and the profitability index is the present value of inflows divided by the cost. The rate of discount that gives a zero value of NPV is the internal rate of return. Payback and ARR are still relevant but less so than NPV, which </w:t>
      </w:r>
      <w:r w:rsidRPr="00850EE5">
        <w:rPr>
          <w:rFonts w:ascii="Arial" w:hAnsi="Arial" w:cs="Arial"/>
          <w:sz w:val="24"/>
          <w:szCs w:val="24"/>
        </w:rPr>
        <w:lastRenderedPageBreak/>
        <w:t>accounts for the time value of money and evaluates the additional value to the shareholders (ACCA, n.d.-a; ACCA, n.d.-b).</w:t>
      </w:r>
    </w:p>
    <w:tbl>
      <w:tblPr>
        <w:tblW w:w="0" w:type="auto"/>
        <w:jc w:val="center"/>
        <w:tblLook w:val="04A0" w:firstRow="1" w:lastRow="0" w:firstColumn="1" w:lastColumn="0" w:noHBand="0" w:noVBand="1"/>
      </w:tblPr>
      <w:tblGrid>
        <w:gridCol w:w="9026"/>
      </w:tblGrid>
      <w:tr w:rsidR="009F5D37" w:rsidRPr="00137A05" w14:paraId="1822480C" w14:textId="77777777" w:rsidTr="009E706C">
        <w:trPr>
          <w:cantSplit/>
          <w:jc w:val="center"/>
        </w:trPr>
        <w:tc>
          <w:tcPr>
            <w:tcW w:w="9994" w:type="dxa"/>
            <w:shd w:val="clear" w:color="auto" w:fill="EAF2F8"/>
          </w:tcPr>
          <w:p w14:paraId="53F2793F"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sz w:val="24"/>
                <w:szCs w:val="24"/>
              </w:rPr>
              <w:t>Core formulas: PBP = full years before recovery + unrecovered amount / next inflow; ARR = average annual accounting profit / initial investment; NPV = Σ CFt/(1+0.08)t − £50m; PI = PV inflows / £50m; IRR = rate where NPV = 0.</w:t>
            </w:r>
          </w:p>
        </w:tc>
      </w:tr>
    </w:tbl>
    <w:p w14:paraId="7632A5E2" w14:textId="67BF9CCF" w:rsidR="009F5D37" w:rsidRPr="00137A05" w:rsidRDefault="009F5D37" w:rsidP="00336DE8">
      <w:pPr>
        <w:pStyle w:val="Caption"/>
        <w:keepNext/>
        <w:spacing w:line="360" w:lineRule="auto"/>
        <w:jc w:val="center"/>
        <w:rPr>
          <w:rFonts w:ascii="Arial" w:hAnsi="Arial" w:cs="Arial"/>
          <w:i w:val="0"/>
          <w:iCs w:val="0"/>
          <w:sz w:val="24"/>
          <w:szCs w:val="24"/>
        </w:rPr>
      </w:pPr>
      <w:r w:rsidRPr="00137A05">
        <w:rPr>
          <w:rFonts w:ascii="Arial" w:hAnsi="Arial" w:cs="Arial"/>
          <w:b/>
          <w:i w:val="0"/>
          <w:iCs w:val="0"/>
          <w:sz w:val="24"/>
          <w:szCs w:val="24"/>
        </w:rPr>
        <w:t xml:space="preserve">Table </w:t>
      </w:r>
      <w:r w:rsidR="00F707D0" w:rsidRPr="00137A05">
        <w:rPr>
          <w:rFonts w:ascii="Arial" w:hAnsi="Arial" w:cs="Arial"/>
          <w:b/>
          <w:i w:val="0"/>
          <w:iCs w:val="0"/>
          <w:sz w:val="24"/>
          <w:szCs w:val="24"/>
        </w:rPr>
        <w:t>5</w:t>
      </w:r>
      <w:r w:rsidRPr="00137A05">
        <w:rPr>
          <w:rFonts w:ascii="Arial" w:hAnsi="Arial" w:cs="Arial"/>
          <w:b/>
          <w:i w:val="0"/>
          <w:iCs w:val="0"/>
          <w:sz w:val="24"/>
          <w:szCs w:val="24"/>
        </w:rPr>
        <w:t>: Undiscounted and Accounting Appraisal Results</w:t>
      </w:r>
    </w:p>
    <w:tbl>
      <w:tblPr>
        <w:tblStyle w:val="TableGrid"/>
        <w:tblW w:w="0" w:type="auto"/>
        <w:jc w:val="center"/>
        <w:tblLook w:val="04A0" w:firstRow="1" w:lastRow="0" w:firstColumn="1" w:lastColumn="0" w:noHBand="0" w:noVBand="1"/>
      </w:tblPr>
      <w:tblGrid>
        <w:gridCol w:w="1395"/>
        <w:gridCol w:w="1701"/>
        <w:gridCol w:w="1525"/>
        <w:gridCol w:w="1541"/>
        <w:gridCol w:w="1859"/>
        <w:gridCol w:w="995"/>
      </w:tblGrid>
      <w:tr w:rsidR="009F5D37" w:rsidRPr="00137A05" w14:paraId="3F4B6BF6" w14:textId="77777777" w:rsidTr="009E706C">
        <w:trPr>
          <w:cantSplit/>
          <w:tblHeader/>
          <w:jc w:val="center"/>
        </w:trPr>
        <w:tc>
          <w:tcPr>
            <w:tcW w:w="1440" w:type="dxa"/>
            <w:shd w:val="clear" w:color="auto" w:fill="17365D"/>
            <w:vAlign w:val="center"/>
          </w:tcPr>
          <w:p w14:paraId="1012D1C8"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color w:val="FFFFFF"/>
                <w:sz w:val="24"/>
                <w:szCs w:val="24"/>
              </w:rPr>
              <w:t>Project</w:t>
            </w:r>
          </w:p>
        </w:tc>
        <w:tc>
          <w:tcPr>
            <w:tcW w:w="1728" w:type="dxa"/>
            <w:shd w:val="clear" w:color="auto" w:fill="17365D"/>
            <w:vAlign w:val="center"/>
          </w:tcPr>
          <w:p w14:paraId="3D0690BE"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color w:val="FFFFFF"/>
                <w:sz w:val="24"/>
                <w:szCs w:val="24"/>
              </w:rPr>
              <w:t>Initial investment (£m)</w:t>
            </w:r>
          </w:p>
        </w:tc>
        <w:tc>
          <w:tcPr>
            <w:tcW w:w="1584" w:type="dxa"/>
            <w:shd w:val="clear" w:color="auto" w:fill="17365D"/>
            <w:vAlign w:val="center"/>
          </w:tcPr>
          <w:p w14:paraId="3FEB8D82"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color w:val="FFFFFF"/>
                <w:sz w:val="24"/>
                <w:szCs w:val="24"/>
              </w:rPr>
              <w:t>Total inflows (£m)</w:t>
            </w:r>
          </w:p>
        </w:tc>
        <w:tc>
          <w:tcPr>
            <w:tcW w:w="1584" w:type="dxa"/>
            <w:shd w:val="clear" w:color="auto" w:fill="17365D"/>
            <w:vAlign w:val="center"/>
          </w:tcPr>
          <w:p w14:paraId="4AA08ED1"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color w:val="FFFFFF"/>
                <w:sz w:val="24"/>
                <w:szCs w:val="24"/>
              </w:rPr>
              <w:t>Payback period</w:t>
            </w:r>
          </w:p>
        </w:tc>
        <w:tc>
          <w:tcPr>
            <w:tcW w:w="1944" w:type="dxa"/>
            <w:shd w:val="clear" w:color="auto" w:fill="17365D"/>
            <w:vAlign w:val="center"/>
          </w:tcPr>
          <w:p w14:paraId="0C93B28F"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color w:val="FFFFFF"/>
                <w:sz w:val="24"/>
                <w:szCs w:val="24"/>
              </w:rPr>
              <w:t>Average annual profit (£m)</w:t>
            </w:r>
          </w:p>
        </w:tc>
        <w:tc>
          <w:tcPr>
            <w:tcW w:w="1007" w:type="dxa"/>
            <w:shd w:val="clear" w:color="auto" w:fill="17365D"/>
            <w:vAlign w:val="center"/>
          </w:tcPr>
          <w:p w14:paraId="1935C821"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color w:val="FFFFFF"/>
                <w:sz w:val="24"/>
                <w:szCs w:val="24"/>
              </w:rPr>
              <w:t>ARR</w:t>
            </w:r>
          </w:p>
        </w:tc>
      </w:tr>
      <w:tr w:rsidR="009F5D37" w:rsidRPr="00137A05" w14:paraId="68712CDE" w14:textId="77777777" w:rsidTr="009E706C">
        <w:trPr>
          <w:cantSplit/>
          <w:jc w:val="center"/>
        </w:trPr>
        <w:tc>
          <w:tcPr>
            <w:tcW w:w="1440" w:type="dxa"/>
            <w:vAlign w:val="center"/>
          </w:tcPr>
          <w:p w14:paraId="4B798B44"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Project A</w:t>
            </w:r>
          </w:p>
        </w:tc>
        <w:tc>
          <w:tcPr>
            <w:tcW w:w="1728" w:type="dxa"/>
            <w:vAlign w:val="center"/>
          </w:tcPr>
          <w:p w14:paraId="10E093CF"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£50</w:t>
            </w:r>
          </w:p>
        </w:tc>
        <w:tc>
          <w:tcPr>
            <w:tcW w:w="1584" w:type="dxa"/>
            <w:vAlign w:val="center"/>
          </w:tcPr>
          <w:p w14:paraId="12933974"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£54</w:t>
            </w:r>
          </w:p>
        </w:tc>
        <w:tc>
          <w:tcPr>
            <w:tcW w:w="1584" w:type="dxa"/>
            <w:vAlign w:val="center"/>
          </w:tcPr>
          <w:p w14:paraId="350FD508"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4.50 years</w:t>
            </w:r>
          </w:p>
        </w:tc>
        <w:tc>
          <w:tcPr>
            <w:tcW w:w="1944" w:type="dxa"/>
            <w:vAlign w:val="center"/>
          </w:tcPr>
          <w:p w14:paraId="3B6C6F18"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£0.8</w:t>
            </w:r>
          </w:p>
        </w:tc>
        <w:tc>
          <w:tcPr>
            <w:tcW w:w="1007" w:type="dxa"/>
            <w:vAlign w:val="center"/>
          </w:tcPr>
          <w:p w14:paraId="49EEC7BB"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1.60%</w:t>
            </w:r>
          </w:p>
        </w:tc>
      </w:tr>
      <w:tr w:rsidR="009F5D37" w:rsidRPr="00137A05" w14:paraId="26287350" w14:textId="77777777" w:rsidTr="009E706C">
        <w:trPr>
          <w:cantSplit/>
          <w:jc w:val="center"/>
        </w:trPr>
        <w:tc>
          <w:tcPr>
            <w:tcW w:w="1440" w:type="dxa"/>
            <w:vAlign w:val="center"/>
          </w:tcPr>
          <w:p w14:paraId="58D33BFB"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Project B</w:t>
            </w:r>
          </w:p>
        </w:tc>
        <w:tc>
          <w:tcPr>
            <w:tcW w:w="1728" w:type="dxa"/>
            <w:vAlign w:val="center"/>
          </w:tcPr>
          <w:p w14:paraId="3AB0E546"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£50</w:t>
            </w:r>
          </w:p>
        </w:tc>
        <w:tc>
          <w:tcPr>
            <w:tcW w:w="1584" w:type="dxa"/>
            <w:vAlign w:val="center"/>
          </w:tcPr>
          <w:p w14:paraId="2F588725"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£55</w:t>
            </w:r>
          </w:p>
        </w:tc>
        <w:tc>
          <w:tcPr>
            <w:tcW w:w="1584" w:type="dxa"/>
            <w:vAlign w:val="center"/>
          </w:tcPr>
          <w:p w14:paraId="724572AD"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4.55 years</w:t>
            </w:r>
          </w:p>
        </w:tc>
        <w:tc>
          <w:tcPr>
            <w:tcW w:w="1944" w:type="dxa"/>
            <w:vAlign w:val="center"/>
          </w:tcPr>
          <w:p w14:paraId="6D4D47B0"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£1.0</w:t>
            </w:r>
          </w:p>
        </w:tc>
        <w:tc>
          <w:tcPr>
            <w:tcW w:w="1007" w:type="dxa"/>
            <w:vAlign w:val="center"/>
          </w:tcPr>
          <w:p w14:paraId="48C41A0E"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2.00%</w:t>
            </w:r>
          </w:p>
        </w:tc>
      </w:tr>
      <w:tr w:rsidR="009F5D37" w:rsidRPr="00137A05" w14:paraId="30482074" w14:textId="77777777" w:rsidTr="009E706C">
        <w:trPr>
          <w:cantSplit/>
          <w:jc w:val="center"/>
        </w:trPr>
        <w:tc>
          <w:tcPr>
            <w:tcW w:w="1440" w:type="dxa"/>
            <w:shd w:val="clear" w:color="auto" w:fill="E2F0D9"/>
            <w:vAlign w:val="center"/>
          </w:tcPr>
          <w:p w14:paraId="78DC90F0"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sz w:val="24"/>
                <w:szCs w:val="24"/>
              </w:rPr>
              <w:t>Project C</w:t>
            </w:r>
          </w:p>
        </w:tc>
        <w:tc>
          <w:tcPr>
            <w:tcW w:w="1728" w:type="dxa"/>
            <w:shd w:val="clear" w:color="auto" w:fill="E2F0D9"/>
            <w:vAlign w:val="center"/>
          </w:tcPr>
          <w:p w14:paraId="40B12EF7"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sz w:val="24"/>
                <w:szCs w:val="24"/>
              </w:rPr>
              <w:t>£50</w:t>
            </w:r>
          </w:p>
        </w:tc>
        <w:tc>
          <w:tcPr>
            <w:tcW w:w="1584" w:type="dxa"/>
            <w:shd w:val="clear" w:color="auto" w:fill="E2F0D9"/>
            <w:vAlign w:val="center"/>
          </w:tcPr>
          <w:p w14:paraId="6863833C"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sz w:val="24"/>
                <w:szCs w:val="24"/>
              </w:rPr>
              <w:t>£65</w:t>
            </w:r>
          </w:p>
        </w:tc>
        <w:tc>
          <w:tcPr>
            <w:tcW w:w="1584" w:type="dxa"/>
            <w:shd w:val="clear" w:color="auto" w:fill="E2F0D9"/>
            <w:vAlign w:val="center"/>
          </w:tcPr>
          <w:p w14:paraId="4CAE75E7"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sz w:val="24"/>
                <w:szCs w:val="24"/>
              </w:rPr>
              <w:t>3.60 years</w:t>
            </w:r>
          </w:p>
        </w:tc>
        <w:tc>
          <w:tcPr>
            <w:tcW w:w="1944" w:type="dxa"/>
            <w:shd w:val="clear" w:color="auto" w:fill="E2F0D9"/>
            <w:vAlign w:val="center"/>
          </w:tcPr>
          <w:p w14:paraId="5BEE0857"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sz w:val="24"/>
                <w:szCs w:val="24"/>
              </w:rPr>
              <w:t>£3.0</w:t>
            </w:r>
          </w:p>
        </w:tc>
        <w:tc>
          <w:tcPr>
            <w:tcW w:w="1007" w:type="dxa"/>
            <w:shd w:val="clear" w:color="auto" w:fill="E2F0D9"/>
            <w:vAlign w:val="center"/>
          </w:tcPr>
          <w:p w14:paraId="55C2E13F"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sz w:val="24"/>
                <w:szCs w:val="24"/>
              </w:rPr>
              <w:t>6.00%</w:t>
            </w:r>
          </w:p>
        </w:tc>
      </w:tr>
    </w:tbl>
    <w:p w14:paraId="5A11D190" w14:textId="77777777" w:rsidR="009F5D37" w:rsidRPr="00137A05" w:rsidRDefault="009F5D37" w:rsidP="00336DE8">
      <w:pPr>
        <w:pStyle w:val="CaptionSource"/>
        <w:spacing w:line="360" w:lineRule="auto"/>
        <w:jc w:val="center"/>
        <w:rPr>
          <w:rFonts w:cs="Arial"/>
          <w:i w:val="0"/>
          <w:sz w:val="24"/>
          <w:szCs w:val="24"/>
        </w:rPr>
      </w:pPr>
      <w:r w:rsidRPr="00137A05">
        <w:rPr>
          <w:rFonts w:cs="Arial"/>
          <w:i w:val="0"/>
          <w:sz w:val="24"/>
          <w:szCs w:val="24"/>
        </w:rPr>
        <w:t>Source: Author’s calculations from the supplied Excel investment-appraisal model and project cash flows.</w:t>
      </w:r>
    </w:p>
    <w:p w14:paraId="78A16FD4" w14:textId="4EC6B882" w:rsidR="009F5D37" w:rsidRPr="00137A05" w:rsidRDefault="009F5D37" w:rsidP="00336DE8">
      <w:pPr>
        <w:pStyle w:val="Caption"/>
        <w:keepNext/>
        <w:spacing w:line="360" w:lineRule="auto"/>
        <w:jc w:val="center"/>
        <w:rPr>
          <w:rFonts w:ascii="Arial" w:hAnsi="Arial" w:cs="Arial"/>
          <w:i w:val="0"/>
          <w:iCs w:val="0"/>
          <w:sz w:val="24"/>
          <w:szCs w:val="24"/>
        </w:rPr>
      </w:pPr>
      <w:r w:rsidRPr="00137A05">
        <w:rPr>
          <w:rFonts w:ascii="Arial" w:hAnsi="Arial" w:cs="Arial"/>
          <w:b/>
          <w:i w:val="0"/>
          <w:iCs w:val="0"/>
          <w:sz w:val="24"/>
          <w:szCs w:val="24"/>
        </w:rPr>
        <w:t xml:space="preserve">Table </w:t>
      </w:r>
      <w:r w:rsidR="00F707D0" w:rsidRPr="00137A05">
        <w:rPr>
          <w:rFonts w:ascii="Arial" w:hAnsi="Arial" w:cs="Arial"/>
          <w:b/>
          <w:i w:val="0"/>
          <w:iCs w:val="0"/>
          <w:sz w:val="24"/>
          <w:szCs w:val="24"/>
        </w:rPr>
        <w:t>6</w:t>
      </w:r>
      <w:r w:rsidRPr="00137A05">
        <w:rPr>
          <w:rFonts w:ascii="Arial" w:hAnsi="Arial" w:cs="Arial"/>
          <w:b/>
          <w:i w:val="0"/>
          <w:iCs w:val="0"/>
          <w:sz w:val="24"/>
          <w:szCs w:val="24"/>
        </w:rPr>
        <w:t>: Discounted Cash-Flow Results at 8%</w:t>
      </w:r>
    </w:p>
    <w:tbl>
      <w:tblPr>
        <w:tblStyle w:val="TableGrid"/>
        <w:tblW w:w="0" w:type="auto"/>
        <w:jc w:val="center"/>
        <w:tblLook w:val="04A0" w:firstRow="1" w:lastRow="0" w:firstColumn="1" w:lastColumn="0" w:noHBand="0" w:noVBand="1"/>
      </w:tblPr>
      <w:tblGrid>
        <w:gridCol w:w="1440"/>
        <w:gridCol w:w="1872"/>
        <w:gridCol w:w="1440"/>
        <w:gridCol w:w="1080"/>
        <w:gridCol w:w="1152"/>
        <w:gridCol w:w="1728"/>
      </w:tblGrid>
      <w:tr w:rsidR="009F5D37" w:rsidRPr="00137A05" w14:paraId="5A80A545" w14:textId="77777777" w:rsidTr="009E706C">
        <w:trPr>
          <w:cantSplit/>
          <w:tblHeader/>
          <w:jc w:val="center"/>
        </w:trPr>
        <w:tc>
          <w:tcPr>
            <w:tcW w:w="1440" w:type="dxa"/>
            <w:shd w:val="clear" w:color="auto" w:fill="17365D"/>
            <w:vAlign w:val="center"/>
          </w:tcPr>
          <w:p w14:paraId="644C1525"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color w:val="FFFFFF"/>
                <w:sz w:val="24"/>
                <w:szCs w:val="24"/>
              </w:rPr>
              <w:t>Project</w:t>
            </w:r>
          </w:p>
        </w:tc>
        <w:tc>
          <w:tcPr>
            <w:tcW w:w="1872" w:type="dxa"/>
            <w:shd w:val="clear" w:color="auto" w:fill="17365D"/>
            <w:vAlign w:val="center"/>
          </w:tcPr>
          <w:p w14:paraId="55D41378"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color w:val="FFFFFF"/>
                <w:sz w:val="24"/>
                <w:szCs w:val="24"/>
              </w:rPr>
              <w:t>PV of inflows (£m)</w:t>
            </w:r>
          </w:p>
        </w:tc>
        <w:tc>
          <w:tcPr>
            <w:tcW w:w="1440" w:type="dxa"/>
            <w:shd w:val="clear" w:color="auto" w:fill="17365D"/>
            <w:vAlign w:val="center"/>
          </w:tcPr>
          <w:p w14:paraId="43FBB311"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color w:val="FFFFFF"/>
                <w:sz w:val="24"/>
                <w:szCs w:val="24"/>
              </w:rPr>
              <w:t>NPV (£m)</w:t>
            </w:r>
          </w:p>
        </w:tc>
        <w:tc>
          <w:tcPr>
            <w:tcW w:w="1080" w:type="dxa"/>
            <w:shd w:val="clear" w:color="auto" w:fill="17365D"/>
            <w:vAlign w:val="center"/>
          </w:tcPr>
          <w:p w14:paraId="2A11702A"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color w:val="FFFFFF"/>
                <w:sz w:val="24"/>
                <w:szCs w:val="24"/>
              </w:rPr>
              <w:t>PI</w:t>
            </w:r>
          </w:p>
        </w:tc>
        <w:tc>
          <w:tcPr>
            <w:tcW w:w="1152" w:type="dxa"/>
            <w:shd w:val="clear" w:color="auto" w:fill="17365D"/>
            <w:vAlign w:val="center"/>
          </w:tcPr>
          <w:p w14:paraId="7A08BEB1"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color w:val="FFFFFF"/>
                <w:sz w:val="24"/>
                <w:szCs w:val="24"/>
              </w:rPr>
              <w:t>IRR</w:t>
            </w:r>
          </w:p>
        </w:tc>
        <w:tc>
          <w:tcPr>
            <w:tcW w:w="1728" w:type="dxa"/>
            <w:shd w:val="clear" w:color="auto" w:fill="17365D"/>
            <w:vAlign w:val="center"/>
          </w:tcPr>
          <w:p w14:paraId="3C88786C"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color w:val="FFFFFF"/>
                <w:sz w:val="24"/>
                <w:szCs w:val="24"/>
              </w:rPr>
              <w:t>Decision</w:t>
            </w:r>
          </w:p>
        </w:tc>
      </w:tr>
      <w:tr w:rsidR="009F5D37" w:rsidRPr="00137A05" w14:paraId="66667E8C" w14:textId="77777777" w:rsidTr="009E706C">
        <w:trPr>
          <w:cantSplit/>
          <w:jc w:val="center"/>
        </w:trPr>
        <w:tc>
          <w:tcPr>
            <w:tcW w:w="1440" w:type="dxa"/>
            <w:vAlign w:val="center"/>
          </w:tcPr>
          <w:p w14:paraId="14512056"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Project A</w:t>
            </w:r>
          </w:p>
        </w:tc>
        <w:tc>
          <w:tcPr>
            <w:tcW w:w="1872" w:type="dxa"/>
            <w:vAlign w:val="center"/>
          </w:tcPr>
          <w:p w14:paraId="075235AC"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£43.456</w:t>
            </w:r>
          </w:p>
        </w:tc>
        <w:tc>
          <w:tcPr>
            <w:tcW w:w="1440" w:type="dxa"/>
            <w:shd w:val="clear" w:color="auto" w:fill="FCE4D6"/>
            <w:vAlign w:val="center"/>
          </w:tcPr>
          <w:p w14:paraId="77E1C453"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(£6.544)</w:t>
            </w:r>
          </w:p>
        </w:tc>
        <w:tc>
          <w:tcPr>
            <w:tcW w:w="1080" w:type="dxa"/>
            <w:vAlign w:val="center"/>
          </w:tcPr>
          <w:p w14:paraId="2B3590E0"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0.869x</w:t>
            </w:r>
          </w:p>
        </w:tc>
        <w:tc>
          <w:tcPr>
            <w:tcW w:w="1152" w:type="dxa"/>
            <w:vAlign w:val="center"/>
          </w:tcPr>
          <w:p w14:paraId="4103AA6E"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2.72%</w:t>
            </w:r>
          </w:p>
        </w:tc>
        <w:tc>
          <w:tcPr>
            <w:tcW w:w="1728" w:type="dxa"/>
            <w:shd w:val="clear" w:color="auto" w:fill="FCE4D6"/>
            <w:vAlign w:val="center"/>
          </w:tcPr>
          <w:p w14:paraId="44AE1B9F"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Reject</w:t>
            </w:r>
          </w:p>
        </w:tc>
      </w:tr>
      <w:tr w:rsidR="009F5D37" w:rsidRPr="00137A05" w14:paraId="77637C09" w14:textId="77777777" w:rsidTr="009E706C">
        <w:trPr>
          <w:cantSplit/>
          <w:jc w:val="center"/>
        </w:trPr>
        <w:tc>
          <w:tcPr>
            <w:tcW w:w="1440" w:type="dxa"/>
            <w:vAlign w:val="center"/>
          </w:tcPr>
          <w:p w14:paraId="0511AE42"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Project B</w:t>
            </w:r>
          </w:p>
        </w:tc>
        <w:tc>
          <w:tcPr>
            <w:tcW w:w="1872" w:type="dxa"/>
            <w:vAlign w:val="center"/>
          </w:tcPr>
          <w:p w14:paraId="1256D4F3"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£43.920</w:t>
            </w:r>
          </w:p>
        </w:tc>
        <w:tc>
          <w:tcPr>
            <w:tcW w:w="1440" w:type="dxa"/>
            <w:shd w:val="clear" w:color="auto" w:fill="FCE4D6"/>
            <w:vAlign w:val="center"/>
          </w:tcPr>
          <w:p w14:paraId="28341FE2"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(£6.080)</w:t>
            </w:r>
          </w:p>
        </w:tc>
        <w:tc>
          <w:tcPr>
            <w:tcW w:w="1080" w:type="dxa"/>
            <w:vAlign w:val="center"/>
          </w:tcPr>
          <w:p w14:paraId="72B7DE04"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0.878x</w:t>
            </w:r>
          </w:p>
        </w:tc>
        <w:tc>
          <w:tcPr>
            <w:tcW w:w="1152" w:type="dxa"/>
            <w:vAlign w:val="center"/>
          </w:tcPr>
          <w:p w14:paraId="12CD3325"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3.26%</w:t>
            </w:r>
          </w:p>
        </w:tc>
        <w:tc>
          <w:tcPr>
            <w:tcW w:w="1728" w:type="dxa"/>
            <w:shd w:val="clear" w:color="auto" w:fill="FCE4D6"/>
            <w:vAlign w:val="center"/>
          </w:tcPr>
          <w:p w14:paraId="652FD74C"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Reject</w:t>
            </w:r>
          </w:p>
        </w:tc>
      </w:tr>
      <w:tr w:rsidR="009F5D37" w:rsidRPr="00137A05" w14:paraId="005E0939" w14:textId="77777777" w:rsidTr="009E706C">
        <w:trPr>
          <w:cantSplit/>
          <w:jc w:val="center"/>
        </w:trPr>
        <w:tc>
          <w:tcPr>
            <w:tcW w:w="1440" w:type="dxa"/>
            <w:shd w:val="clear" w:color="auto" w:fill="E2F0D9"/>
            <w:vAlign w:val="center"/>
          </w:tcPr>
          <w:p w14:paraId="3E9A6805"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sz w:val="24"/>
                <w:szCs w:val="24"/>
              </w:rPr>
              <w:t>Project C</w:t>
            </w:r>
          </w:p>
        </w:tc>
        <w:tc>
          <w:tcPr>
            <w:tcW w:w="1872" w:type="dxa"/>
            <w:shd w:val="clear" w:color="auto" w:fill="E2F0D9"/>
            <w:vAlign w:val="center"/>
          </w:tcPr>
          <w:p w14:paraId="4495604F"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sz w:val="24"/>
                <w:szCs w:val="24"/>
              </w:rPr>
              <w:t>£50.858</w:t>
            </w:r>
          </w:p>
        </w:tc>
        <w:tc>
          <w:tcPr>
            <w:tcW w:w="1440" w:type="dxa"/>
            <w:shd w:val="clear" w:color="auto" w:fill="E2F0D9"/>
            <w:vAlign w:val="center"/>
          </w:tcPr>
          <w:p w14:paraId="319C7E08"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sz w:val="24"/>
                <w:szCs w:val="24"/>
              </w:rPr>
              <w:t>£0.858</w:t>
            </w:r>
          </w:p>
        </w:tc>
        <w:tc>
          <w:tcPr>
            <w:tcW w:w="1080" w:type="dxa"/>
            <w:shd w:val="clear" w:color="auto" w:fill="E2F0D9"/>
            <w:vAlign w:val="center"/>
          </w:tcPr>
          <w:p w14:paraId="5B9BCFBF"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sz w:val="24"/>
                <w:szCs w:val="24"/>
              </w:rPr>
              <w:t>1.017x</w:t>
            </w:r>
          </w:p>
        </w:tc>
        <w:tc>
          <w:tcPr>
            <w:tcW w:w="1152" w:type="dxa"/>
            <w:shd w:val="clear" w:color="auto" w:fill="E2F0D9"/>
            <w:vAlign w:val="center"/>
          </w:tcPr>
          <w:p w14:paraId="037DC03C"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sz w:val="24"/>
                <w:szCs w:val="24"/>
              </w:rPr>
              <w:t>8.59%</w:t>
            </w:r>
          </w:p>
        </w:tc>
        <w:tc>
          <w:tcPr>
            <w:tcW w:w="1728" w:type="dxa"/>
            <w:shd w:val="clear" w:color="auto" w:fill="E2F0D9"/>
            <w:vAlign w:val="center"/>
          </w:tcPr>
          <w:p w14:paraId="0A447C37"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sz w:val="24"/>
                <w:szCs w:val="24"/>
              </w:rPr>
              <w:t>Accept conditionally</w:t>
            </w:r>
          </w:p>
        </w:tc>
      </w:tr>
    </w:tbl>
    <w:p w14:paraId="32948EDF" w14:textId="77777777" w:rsidR="009F5D37" w:rsidRPr="00137A05" w:rsidRDefault="009F5D37" w:rsidP="00336DE8">
      <w:pPr>
        <w:pStyle w:val="Heading2"/>
        <w:numPr>
          <w:ilvl w:val="1"/>
          <w:numId w:val="1"/>
        </w:numPr>
        <w:spacing w:line="360" w:lineRule="auto"/>
        <w:jc w:val="both"/>
        <w:rPr>
          <w:rFonts w:ascii="Arial" w:hAnsi="Arial" w:cs="Arial"/>
          <w:sz w:val="24"/>
          <w:szCs w:val="24"/>
        </w:rPr>
      </w:pPr>
      <w:bookmarkStart w:id="18" w:name="_Toc235788222"/>
      <w:r w:rsidRPr="00137A05">
        <w:rPr>
          <w:rFonts w:ascii="Arial" w:hAnsi="Arial" w:cs="Arial"/>
          <w:sz w:val="24"/>
          <w:szCs w:val="24"/>
        </w:rPr>
        <w:t>Evaluation of the Three Projects</w:t>
      </w:r>
      <w:bookmarkEnd w:id="18"/>
    </w:p>
    <w:p w14:paraId="2AE0D38F" w14:textId="7D1DAA96" w:rsidR="005D3034" w:rsidRPr="005D3034" w:rsidRDefault="005D3034" w:rsidP="005D3034">
      <w:pPr>
        <w:spacing w:line="360" w:lineRule="auto"/>
        <w:jc w:val="both"/>
        <w:rPr>
          <w:rFonts w:ascii="Arial" w:hAnsi="Arial" w:cs="Arial"/>
          <w:sz w:val="24"/>
          <w:szCs w:val="24"/>
        </w:rPr>
      </w:pPr>
      <w:r w:rsidRPr="005D3034">
        <w:rPr>
          <w:rFonts w:ascii="Arial" w:hAnsi="Arial" w:cs="Arial"/>
          <w:sz w:val="24"/>
          <w:szCs w:val="24"/>
        </w:rPr>
        <w:t>Total undiscounted inflows from Project A are £54 million. After Year 4, cumulative inflows are £46 million and £4 million will need to be recovered from Year 5 inflows, the payback period is thus 4.50 years. The total accounting profit is lowered to £4 million with straight-line depreciation, which results in an average annual profit of £0.8 million and ARR of 1.60 per cent. Discounting the inflows at eight per cent gives a present value of £43.456 million, the NPV is negative £6.544 million and the PI is 0.869. It has an IRR of 2.72 per cent. Project A has failed all of its cost-cutting acceptance tests and would lead to a decrease in shareholder wealth</w:t>
      </w:r>
      <w:r w:rsidR="006C09AA">
        <w:rPr>
          <w:rFonts w:ascii="Arial" w:hAnsi="Arial" w:cs="Arial"/>
          <w:sz w:val="24"/>
          <w:szCs w:val="24"/>
        </w:rPr>
        <w:t xml:space="preserve"> </w:t>
      </w:r>
      <w:r w:rsidR="006C09AA" w:rsidRPr="009E1576">
        <w:rPr>
          <w:rFonts w:ascii="Arial" w:hAnsi="Arial" w:cs="Arial"/>
        </w:rPr>
        <w:t>(Ma, Zhang and Yin, 2021</w:t>
      </w:r>
      <w:r w:rsidR="006C09AA">
        <w:rPr>
          <w:rFonts w:ascii="Arial" w:hAnsi="Arial" w:cs="Arial"/>
        </w:rPr>
        <w:t>),</w:t>
      </w:r>
      <w:r w:rsidR="006C09AA" w:rsidRPr="009E1576">
        <w:rPr>
          <w:rFonts w:ascii="Arial" w:hAnsi="Arial" w:cs="Arial"/>
        </w:rPr>
        <w:t xml:space="preserve"> </w:t>
      </w:r>
    </w:p>
    <w:p w14:paraId="0E20EF64" w14:textId="1E4FB6BD" w:rsidR="005D3034" w:rsidRPr="00EA3483" w:rsidRDefault="005D3034" w:rsidP="005D3034">
      <w:pPr>
        <w:spacing w:line="360" w:lineRule="auto"/>
        <w:jc w:val="both"/>
        <w:rPr>
          <w:rFonts w:ascii="Arial" w:hAnsi="Arial" w:cs="Arial"/>
        </w:rPr>
      </w:pPr>
      <w:r w:rsidRPr="005D3034">
        <w:rPr>
          <w:rFonts w:ascii="Arial" w:hAnsi="Arial" w:cs="Arial"/>
          <w:sz w:val="24"/>
          <w:szCs w:val="24"/>
        </w:rPr>
        <w:lastRenderedPageBreak/>
        <w:t xml:space="preserve">The annual inflow for project B is £11 million per year and £55 million per year. Following Year 4, £44 million has been recovered with the remaining £6 million being 0.545 of the final inflow, resulting in a payback time of 4.55 years. The annual accounting profit is £1 </w:t>
      </w:r>
      <w:r w:rsidR="00D1432B" w:rsidRPr="005D3034">
        <w:rPr>
          <w:rFonts w:ascii="Arial" w:hAnsi="Arial" w:cs="Arial"/>
          <w:sz w:val="24"/>
          <w:szCs w:val="24"/>
        </w:rPr>
        <w:t>million,</w:t>
      </w:r>
      <w:r w:rsidRPr="005D3034">
        <w:rPr>
          <w:rFonts w:ascii="Arial" w:hAnsi="Arial" w:cs="Arial"/>
          <w:sz w:val="24"/>
          <w:szCs w:val="24"/>
        </w:rPr>
        <w:t xml:space="preserve"> and the ARR is 2.00 per cent. The PV of inflows is £43.920m, with negative NPV of -£6.080m and PI of 0.878 and IRR of 3.26 per cent. The predictable nature of its profile might make predicting it easier than Project A, but predictability doesn't equal a return that is materially below IHG's eight per cent</w:t>
      </w:r>
      <w:r w:rsidR="00EA3483">
        <w:rPr>
          <w:rFonts w:ascii="Arial" w:hAnsi="Arial" w:cs="Arial"/>
          <w:sz w:val="24"/>
          <w:szCs w:val="24"/>
        </w:rPr>
        <w:t xml:space="preserve"> </w:t>
      </w:r>
      <w:r w:rsidR="00EA3483" w:rsidRPr="009E1576">
        <w:rPr>
          <w:rFonts w:ascii="Arial" w:hAnsi="Arial" w:cs="Arial"/>
        </w:rPr>
        <w:t>(Whelan, Atz and Clark, 2021</w:t>
      </w:r>
      <w:r w:rsidR="00EA3483">
        <w:rPr>
          <w:rFonts w:ascii="Arial" w:hAnsi="Arial" w:cs="Arial"/>
        </w:rPr>
        <w:t>),</w:t>
      </w:r>
      <w:r w:rsidR="00EA3483" w:rsidRPr="009E1576">
        <w:rPr>
          <w:rFonts w:ascii="Arial" w:hAnsi="Arial" w:cs="Arial"/>
        </w:rPr>
        <w:t xml:space="preserve"> </w:t>
      </w:r>
    </w:p>
    <w:p w14:paraId="1064553E" w14:textId="189AFC55" w:rsidR="005C5F9E" w:rsidRPr="0042370E" w:rsidRDefault="005D3034" w:rsidP="005D3034">
      <w:pPr>
        <w:spacing w:line="360" w:lineRule="auto"/>
        <w:jc w:val="both"/>
        <w:rPr>
          <w:rFonts w:ascii="Arial" w:hAnsi="Arial" w:cs="Arial"/>
        </w:rPr>
      </w:pPr>
      <w:r w:rsidRPr="005D3034">
        <w:rPr>
          <w:rFonts w:ascii="Arial" w:hAnsi="Arial" w:cs="Arial"/>
          <w:sz w:val="24"/>
          <w:szCs w:val="24"/>
        </w:rPr>
        <w:t xml:space="preserve">Project C has £65 </w:t>
      </w:r>
      <w:r w:rsidR="00C4487A" w:rsidRPr="005D3034">
        <w:rPr>
          <w:rFonts w:ascii="Arial" w:hAnsi="Arial" w:cs="Arial"/>
          <w:sz w:val="24"/>
          <w:szCs w:val="24"/>
        </w:rPr>
        <w:t>million</w:t>
      </w:r>
      <w:r w:rsidRPr="005D3034">
        <w:rPr>
          <w:rFonts w:ascii="Arial" w:hAnsi="Arial" w:cs="Arial"/>
          <w:sz w:val="24"/>
          <w:szCs w:val="24"/>
        </w:rPr>
        <w:t xml:space="preserve"> undiscounted inflows, comprising £20 million in Year 3 and £25 million in Year 4. It brings it back to £35 million by Year 3, and the remaining £15 million is 60 per cent of the Year 4 inflow, resulting in the lowest payback of 3.60 years. The total accounting profit is £15m, average annual profit is £3m and the ARR is 6.00 per cent. Discounted inflows are £50.858 million, giving positive NPV of £0.858 million, PI of 1.017 and IRR of 8.59 per cent. Project C is then the only project that meets the NPV, PI and IRR requirements. The ranking is consistent across all five methods, making Project C the preferred standalone investment</w:t>
      </w:r>
      <w:r w:rsidR="0042370E">
        <w:rPr>
          <w:rFonts w:ascii="Arial" w:hAnsi="Arial" w:cs="Arial"/>
          <w:sz w:val="24"/>
          <w:szCs w:val="24"/>
        </w:rPr>
        <w:t xml:space="preserve"> </w:t>
      </w:r>
      <w:r w:rsidR="0042370E" w:rsidRPr="009E1576">
        <w:rPr>
          <w:rFonts w:ascii="Arial" w:hAnsi="Arial" w:cs="Arial"/>
        </w:rPr>
        <w:t>(Whelan, Atz and Clark, 2021</w:t>
      </w:r>
      <w:r w:rsidR="0042370E">
        <w:rPr>
          <w:rFonts w:ascii="Arial" w:hAnsi="Arial" w:cs="Arial"/>
        </w:rPr>
        <w:t>),</w:t>
      </w:r>
      <w:r w:rsidR="0042370E" w:rsidRPr="009E1576">
        <w:rPr>
          <w:rFonts w:ascii="Arial" w:hAnsi="Arial" w:cs="Arial"/>
        </w:rPr>
        <w:t xml:space="preserve"> </w:t>
      </w:r>
    </w:p>
    <w:p w14:paraId="508DF9A4" w14:textId="042F4459" w:rsidR="009F5D37" w:rsidRPr="00137A05" w:rsidRDefault="009F5D37" w:rsidP="00336DE8">
      <w:pPr>
        <w:pStyle w:val="Caption"/>
        <w:keepNext/>
        <w:spacing w:line="360" w:lineRule="auto"/>
        <w:jc w:val="center"/>
        <w:rPr>
          <w:rFonts w:ascii="Arial" w:hAnsi="Arial" w:cs="Arial"/>
          <w:i w:val="0"/>
          <w:iCs w:val="0"/>
          <w:sz w:val="24"/>
          <w:szCs w:val="24"/>
        </w:rPr>
      </w:pPr>
      <w:r w:rsidRPr="00137A05">
        <w:rPr>
          <w:rFonts w:ascii="Arial" w:hAnsi="Arial" w:cs="Arial"/>
          <w:b/>
          <w:i w:val="0"/>
          <w:iCs w:val="0"/>
          <w:sz w:val="24"/>
          <w:szCs w:val="24"/>
        </w:rPr>
        <w:lastRenderedPageBreak/>
        <w:t>Figure 1</w:t>
      </w:r>
      <w:r w:rsidR="00085B91" w:rsidRPr="00137A05">
        <w:rPr>
          <w:rFonts w:ascii="Arial" w:hAnsi="Arial" w:cs="Arial"/>
          <w:b/>
          <w:i w:val="0"/>
          <w:iCs w:val="0"/>
          <w:sz w:val="24"/>
          <w:szCs w:val="24"/>
        </w:rPr>
        <w:t>0</w:t>
      </w:r>
      <w:r w:rsidRPr="00137A05">
        <w:rPr>
          <w:rFonts w:ascii="Arial" w:hAnsi="Arial" w:cs="Arial"/>
          <w:b/>
          <w:i w:val="0"/>
          <w:iCs w:val="0"/>
          <w:sz w:val="24"/>
          <w:szCs w:val="24"/>
        </w:rPr>
        <w:t>: Annual Net Cash Inflow Profiles</w:t>
      </w:r>
    </w:p>
    <w:p w14:paraId="71AED7D9" w14:textId="77777777" w:rsidR="009F5D37" w:rsidRPr="00137A05" w:rsidRDefault="009F5D37" w:rsidP="00336DE8">
      <w:pPr>
        <w:keepNext/>
        <w:spacing w:line="360" w:lineRule="auto"/>
        <w:jc w:val="center"/>
        <w:rPr>
          <w:rFonts w:ascii="Arial" w:hAnsi="Arial" w:cs="Arial"/>
          <w:sz w:val="24"/>
          <w:szCs w:val="24"/>
        </w:rPr>
      </w:pPr>
      <w:r w:rsidRPr="00137A05">
        <w:rPr>
          <w:rFonts w:ascii="Arial" w:hAnsi="Arial" w:cs="Arial"/>
          <w:noProof/>
          <w:sz w:val="24"/>
          <w:szCs w:val="24"/>
        </w:rPr>
        <w:drawing>
          <wp:inline distT="0" distB="0" distL="0" distR="0" wp14:anchorId="43C519A9" wp14:editId="5637E072">
            <wp:extent cx="6346190" cy="3212465"/>
            <wp:effectExtent l="0" t="0" r="16510" b="6985"/>
            <wp:docPr id="518905421" name="Chart 1">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B9BA6C7" w14:textId="7425956C" w:rsidR="009F5D37" w:rsidRPr="00137A05" w:rsidRDefault="009F5D37" w:rsidP="00336DE8">
      <w:pPr>
        <w:pStyle w:val="Caption"/>
        <w:keepNext/>
        <w:spacing w:line="360" w:lineRule="auto"/>
        <w:jc w:val="center"/>
        <w:rPr>
          <w:rFonts w:ascii="Arial" w:hAnsi="Arial" w:cs="Arial"/>
          <w:i w:val="0"/>
          <w:iCs w:val="0"/>
          <w:sz w:val="24"/>
          <w:szCs w:val="24"/>
        </w:rPr>
      </w:pPr>
      <w:r w:rsidRPr="00137A05">
        <w:rPr>
          <w:rFonts w:ascii="Arial" w:hAnsi="Arial" w:cs="Arial"/>
          <w:b/>
          <w:i w:val="0"/>
          <w:iCs w:val="0"/>
          <w:sz w:val="24"/>
          <w:szCs w:val="24"/>
        </w:rPr>
        <w:t xml:space="preserve">Figure </w:t>
      </w:r>
      <w:r w:rsidR="00085B91" w:rsidRPr="00137A05">
        <w:rPr>
          <w:rFonts w:ascii="Arial" w:hAnsi="Arial" w:cs="Arial"/>
          <w:b/>
          <w:i w:val="0"/>
          <w:iCs w:val="0"/>
          <w:sz w:val="24"/>
          <w:szCs w:val="24"/>
        </w:rPr>
        <w:t>11</w:t>
      </w:r>
      <w:r w:rsidRPr="00137A05">
        <w:rPr>
          <w:rFonts w:ascii="Arial" w:hAnsi="Arial" w:cs="Arial"/>
          <w:b/>
          <w:i w:val="0"/>
          <w:iCs w:val="0"/>
          <w:sz w:val="24"/>
          <w:szCs w:val="24"/>
        </w:rPr>
        <w:t>: NPV Comparison at the 8% Required Return</w:t>
      </w:r>
    </w:p>
    <w:p w14:paraId="7D59FF60" w14:textId="77777777" w:rsidR="009F5D37" w:rsidRPr="00137A05" w:rsidRDefault="009F5D37" w:rsidP="00336DE8">
      <w:pPr>
        <w:keepNext/>
        <w:spacing w:line="360" w:lineRule="auto"/>
        <w:jc w:val="center"/>
        <w:rPr>
          <w:rFonts w:ascii="Arial" w:hAnsi="Arial" w:cs="Arial"/>
          <w:sz w:val="24"/>
          <w:szCs w:val="24"/>
        </w:rPr>
      </w:pPr>
      <w:r w:rsidRPr="00137A05">
        <w:rPr>
          <w:rFonts w:ascii="Arial" w:hAnsi="Arial" w:cs="Arial"/>
          <w:noProof/>
          <w:sz w:val="24"/>
          <w:szCs w:val="24"/>
        </w:rPr>
        <w:drawing>
          <wp:inline distT="0" distB="0" distL="0" distR="0" wp14:anchorId="0042A738" wp14:editId="096A87F1">
            <wp:extent cx="6346190" cy="3255010"/>
            <wp:effectExtent l="0" t="0" r="16510" b="2540"/>
            <wp:docPr id="1062381444" name="Chart 1">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0A6F2FA" w14:textId="77777777" w:rsidR="009F5D37" w:rsidRPr="00137A05" w:rsidRDefault="009F5D37" w:rsidP="00336DE8">
      <w:pPr>
        <w:pStyle w:val="Heading2"/>
        <w:numPr>
          <w:ilvl w:val="1"/>
          <w:numId w:val="1"/>
        </w:numPr>
        <w:spacing w:line="360" w:lineRule="auto"/>
        <w:jc w:val="both"/>
        <w:rPr>
          <w:rFonts w:ascii="Arial" w:hAnsi="Arial" w:cs="Arial"/>
          <w:sz w:val="24"/>
          <w:szCs w:val="24"/>
        </w:rPr>
      </w:pPr>
      <w:bookmarkStart w:id="19" w:name="_Toc235788223"/>
      <w:r w:rsidRPr="00137A05">
        <w:rPr>
          <w:rFonts w:ascii="Arial" w:hAnsi="Arial" w:cs="Arial"/>
          <w:sz w:val="24"/>
          <w:szCs w:val="24"/>
        </w:rPr>
        <w:t>Recommendation and Financial Capacity</w:t>
      </w:r>
      <w:bookmarkEnd w:id="19"/>
    </w:p>
    <w:p w14:paraId="64329DB3" w14:textId="49E71878" w:rsidR="00712EF0" w:rsidRPr="003B7A65" w:rsidRDefault="00712EF0" w:rsidP="00712EF0">
      <w:pPr>
        <w:spacing w:line="360" w:lineRule="auto"/>
        <w:jc w:val="both"/>
        <w:rPr>
          <w:rFonts w:ascii="Arial" w:hAnsi="Arial" w:cs="Arial"/>
        </w:rPr>
      </w:pPr>
      <w:r w:rsidRPr="00712EF0">
        <w:rPr>
          <w:rFonts w:ascii="Arial" w:hAnsi="Arial" w:cs="Arial"/>
          <w:sz w:val="24"/>
          <w:szCs w:val="24"/>
        </w:rPr>
        <w:t xml:space="preserve">However, approval should be contingent since Project C has restricted budget. The NPV of it is just 1.7 per cent of the present value of the inflows. The Excel sensitivity analysis indicates that if all inflows were reduced by five per cent, NPV came in at </w:t>
      </w:r>
      <w:r w:rsidRPr="00712EF0">
        <w:rPr>
          <w:rFonts w:ascii="Arial" w:hAnsi="Arial" w:cs="Arial"/>
          <w:sz w:val="24"/>
          <w:szCs w:val="24"/>
        </w:rPr>
        <w:lastRenderedPageBreak/>
        <w:t>negative £1.685 million, and if there was a delay by one year, NPV came in at negative £2.909 million. A higher discount rate of nine per cent also results in a negative NPV of £0.592 million. The results demonstrate that the apparent positive headline return is not as significant as the execution timing and reliability of the forecast. The Board should insist on phased funding, contractual milestones, an updated NPV prior to each significant commitment and benefit tracking quarterly</w:t>
      </w:r>
      <w:r w:rsidR="003B7A65">
        <w:rPr>
          <w:rFonts w:ascii="Arial" w:hAnsi="Arial" w:cs="Arial"/>
          <w:sz w:val="24"/>
          <w:szCs w:val="24"/>
        </w:rPr>
        <w:t xml:space="preserve"> </w:t>
      </w:r>
      <w:r w:rsidR="003B7A65" w:rsidRPr="009E1576">
        <w:rPr>
          <w:rFonts w:ascii="Arial" w:hAnsi="Arial" w:cs="Arial"/>
        </w:rPr>
        <w:t>(Liu et al., 2022</w:t>
      </w:r>
      <w:r w:rsidR="003B7A65">
        <w:rPr>
          <w:rFonts w:ascii="Arial" w:hAnsi="Arial" w:cs="Arial"/>
        </w:rPr>
        <w:t>),</w:t>
      </w:r>
      <w:r w:rsidR="003B7A65" w:rsidRPr="009E1576">
        <w:rPr>
          <w:rFonts w:ascii="Arial" w:hAnsi="Arial" w:cs="Arial"/>
        </w:rPr>
        <w:t xml:space="preserve"> </w:t>
      </w:r>
    </w:p>
    <w:p w14:paraId="2978F613" w14:textId="3078B9C6" w:rsidR="009B4463" w:rsidRPr="00137A05" w:rsidRDefault="00712EF0" w:rsidP="00336DE8">
      <w:pPr>
        <w:spacing w:line="360" w:lineRule="auto"/>
        <w:jc w:val="both"/>
        <w:rPr>
          <w:rFonts w:ascii="Arial" w:hAnsi="Arial" w:cs="Arial"/>
          <w:sz w:val="24"/>
          <w:szCs w:val="24"/>
        </w:rPr>
      </w:pPr>
      <w:r w:rsidRPr="00712EF0">
        <w:rPr>
          <w:rFonts w:ascii="Arial" w:hAnsi="Arial" w:cs="Arial"/>
          <w:sz w:val="24"/>
          <w:szCs w:val="24"/>
        </w:rPr>
        <w:t xml:space="preserve">The financial performance of IHG suggests that £50 million is a manageable investment but discipline on capital is still required. IHG's 2025 IFRS operating profit was $1.198 billion, cash from operating activities were $898 million and adjusted free cash flow were $893 million. Net debt rose by $551 million to $3.333 billion following over $1.1 billion in shareholder returns, acquisition-related spending and unfavorable foreign-exchange transactions (IHG, </w:t>
      </w:r>
      <w:r w:rsidR="004D307D">
        <w:rPr>
          <w:rFonts w:ascii="Arial" w:hAnsi="Arial" w:cs="Arial"/>
          <w:sz w:val="24"/>
          <w:szCs w:val="24"/>
        </w:rPr>
        <w:t>2026</w:t>
      </w:r>
      <w:r w:rsidRPr="00712EF0">
        <w:rPr>
          <w:rFonts w:ascii="Arial" w:hAnsi="Arial" w:cs="Arial"/>
          <w:sz w:val="24"/>
          <w:szCs w:val="24"/>
        </w:rPr>
        <w:t>). Project C should thus be funded from retained cash after ordinary dividends and necessary investment, not extra short-term borrowing. By rejecting Projects A and B, they will not further exacerbate the leverage of unsuccessful investments that do not provide the required return. The positive but narrow NPV also supports keeping the remaining budget as liquidity or using it for debt reduction.</w:t>
      </w:r>
    </w:p>
    <w:p w14:paraId="7FA821C9" w14:textId="75D477ED" w:rsidR="009F5D37" w:rsidRPr="00137A05" w:rsidRDefault="009F5D37" w:rsidP="00336DE8">
      <w:pPr>
        <w:pStyle w:val="Caption"/>
        <w:keepNext/>
        <w:spacing w:line="360" w:lineRule="auto"/>
        <w:jc w:val="center"/>
        <w:rPr>
          <w:rFonts w:ascii="Arial" w:hAnsi="Arial" w:cs="Arial"/>
          <w:i w:val="0"/>
          <w:iCs w:val="0"/>
          <w:sz w:val="24"/>
          <w:szCs w:val="24"/>
        </w:rPr>
      </w:pPr>
      <w:r w:rsidRPr="00137A05">
        <w:rPr>
          <w:rFonts w:ascii="Arial" w:hAnsi="Arial" w:cs="Arial"/>
          <w:b/>
          <w:i w:val="0"/>
          <w:iCs w:val="0"/>
          <w:sz w:val="24"/>
          <w:szCs w:val="24"/>
        </w:rPr>
        <w:t xml:space="preserve">Table </w:t>
      </w:r>
      <w:r w:rsidR="00CA31CA" w:rsidRPr="00137A05">
        <w:rPr>
          <w:rFonts w:ascii="Arial" w:hAnsi="Arial" w:cs="Arial"/>
          <w:b/>
          <w:i w:val="0"/>
          <w:iCs w:val="0"/>
          <w:sz w:val="24"/>
          <w:szCs w:val="24"/>
        </w:rPr>
        <w:t>7</w:t>
      </w:r>
      <w:r w:rsidRPr="00137A05">
        <w:rPr>
          <w:rFonts w:ascii="Arial" w:hAnsi="Arial" w:cs="Arial"/>
          <w:b/>
          <w:i w:val="0"/>
          <w:iCs w:val="0"/>
          <w:sz w:val="24"/>
          <w:szCs w:val="24"/>
        </w:rPr>
        <w:t>: Project C Sensitivity Analysis</w:t>
      </w:r>
    </w:p>
    <w:tbl>
      <w:tblPr>
        <w:tblStyle w:val="TableGrid"/>
        <w:tblW w:w="0" w:type="auto"/>
        <w:jc w:val="center"/>
        <w:tblLook w:val="04A0" w:firstRow="1" w:lastRow="0" w:firstColumn="1" w:lastColumn="0" w:noHBand="0" w:noVBand="1"/>
      </w:tblPr>
      <w:tblGrid>
        <w:gridCol w:w="6115"/>
        <w:gridCol w:w="2038"/>
      </w:tblGrid>
      <w:tr w:rsidR="009F5D37" w:rsidRPr="00137A05" w14:paraId="6130C4F5" w14:textId="77777777" w:rsidTr="0090033C">
        <w:trPr>
          <w:cantSplit/>
          <w:trHeight w:val="454"/>
          <w:tblHeader/>
          <w:jc w:val="center"/>
        </w:trPr>
        <w:tc>
          <w:tcPr>
            <w:tcW w:w="6115" w:type="dxa"/>
            <w:shd w:val="clear" w:color="auto" w:fill="17365D"/>
            <w:vAlign w:val="center"/>
          </w:tcPr>
          <w:p w14:paraId="7025061E"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color w:val="FFFFFF"/>
                <w:sz w:val="24"/>
                <w:szCs w:val="24"/>
              </w:rPr>
              <w:t>Scenario</w:t>
            </w:r>
          </w:p>
        </w:tc>
        <w:tc>
          <w:tcPr>
            <w:tcW w:w="2038" w:type="dxa"/>
            <w:shd w:val="clear" w:color="auto" w:fill="17365D"/>
            <w:vAlign w:val="center"/>
          </w:tcPr>
          <w:p w14:paraId="57688E87"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color w:val="FFFFFF"/>
                <w:sz w:val="24"/>
                <w:szCs w:val="24"/>
              </w:rPr>
              <w:t>NPV (£m)</w:t>
            </w:r>
          </w:p>
        </w:tc>
      </w:tr>
      <w:tr w:rsidR="009F5D37" w:rsidRPr="00137A05" w14:paraId="2DA42894" w14:textId="77777777" w:rsidTr="0090033C">
        <w:trPr>
          <w:cantSplit/>
          <w:trHeight w:val="434"/>
          <w:jc w:val="center"/>
        </w:trPr>
        <w:tc>
          <w:tcPr>
            <w:tcW w:w="6115" w:type="dxa"/>
            <w:vAlign w:val="center"/>
          </w:tcPr>
          <w:p w14:paraId="2700C4C5" w14:textId="77777777" w:rsidR="009F5D37" w:rsidRPr="00137A05" w:rsidRDefault="009F5D37" w:rsidP="00336DE8">
            <w:pPr>
              <w:spacing w:line="360" w:lineRule="auto"/>
              <w:rPr>
                <w:rFonts w:ascii="Arial" w:hAnsi="Arial" w:cs="Arial"/>
                <w:sz w:val="24"/>
                <w:szCs w:val="24"/>
              </w:rPr>
            </w:pPr>
            <w:r w:rsidRPr="00137A05">
              <w:rPr>
                <w:rFonts w:ascii="Arial" w:hAnsi="Arial" w:cs="Arial"/>
                <w:sz w:val="24"/>
                <w:szCs w:val="24"/>
              </w:rPr>
              <w:t>Base case</w:t>
            </w:r>
          </w:p>
        </w:tc>
        <w:tc>
          <w:tcPr>
            <w:tcW w:w="2038" w:type="dxa"/>
            <w:shd w:val="clear" w:color="auto" w:fill="E2F0D9"/>
            <w:vAlign w:val="center"/>
          </w:tcPr>
          <w:p w14:paraId="63898445"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sz w:val="24"/>
                <w:szCs w:val="24"/>
              </w:rPr>
              <w:t>£0.858</w:t>
            </w:r>
          </w:p>
        </w:tc>
      </w:tr>
      <w:tr w:rsidR="009F5D37" w:rsidRPr="00137A05" w14:paraId="640A8E11" w14:textId="77777777" w:rsidTr="0090033C">
        <w:trPr>
          <w:cantSplit/>
          <w:trHeight w:val="454"/>
          <w:jc w:val="center"/>
        </w:trPr>
        <w:tc>
          <w:tcPr>
            <w:tcW w:w="6115" w:type="dxa"/>
            <w:vAlign w:val="center"/>
          </w:tcPr>
          <w:p w14:paraId="0DB5839F" w14:textId="77777777" w:rsidR="009F5D37" w:rsidRPr="00137A05" w:rsidRDefault="009F5D37" w:rsidP="00336DE8">
            <w:pPr>
              <w:spacing w:line="360" w:lineRule="auto"/>
              <w:rPr>
                <w:rFonts w:ascii="Arial" w:hAnsi="Arial" w:cs="Arial"/>
                <w:sz w:val="24"/>
                <w:szCs w:val="24"/>
              </w:rPr>
            </w:pPr>
            <w:r w:rsidRPr="00137A05">
              <w:rPr>
                <w:rFonts w:ascii="Arial" w:hAnsi="Arial" w:cs="Arial"/>
                <w:sz w:val="24"/>
                <w:szCs w:val="24"/>
              </w:rPr>
              <w:t>5% lower inflows</w:t>
            </w:r>
          </w:p>
        </w:tc>
        <w:tc>
          <w:tcPr>
            <w:tcW w:w="2038" w:type="dxa"/>
            <w:shd w:val="clear" w:color="auto" w:fill="FCE4D6"/>
            <w:vAlign w:val="center"/>
          </w:tcPr>
          <w:p w14:paraId="078713AD"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(£1.685)</w:t>
            </w:r>
          </w:p>
        </w:tc>
      </w:tr>
      <w:tr w:rsidR="009F5D37" w:rsidRPr="00137A05" w14:paraId="1A57EA79" w14:textId="77777777" w:rsidTr="0090033C">
        <w:trPr>
          <w:cantSplit/>
          <w:trHeight w:val="434"/>
          <w:jc w:val="center"/>
        </w:trPr>
        <w:tc>
          <w:tcPr>
            <w:tcW w:w="6115" w:type="dxa"/>
            <w:vAlign w:val="center"/>
          </w:tcPr>
          <w:p w14:paraId="03F90130" w14:textId="77777777" w:rsidR="009F5D37" w:rsidRPr="00137A05" w:rsidRDefault="009F5D37" w:rsidP="00336DE8">
            <w:pPr>
              <w:spacing w:line="360" w:lineRule="auto"/>
              <w:rPr>
                <w:rFonts w:ascii="Arial" w:hAnsi="Arial" w:cs="Arial"/>
                <w:sz w:val="24"/>
                <w:szCs w:val="24"/>
              </w:rPr>
            </w:pPr>
            <w:r w:rsidRPr="00137A05">
              <w:rPr>
                <w:rFonts w:ascii="Arial" w:hAnsi="Arial" w:cs="Arial"/>
                <w:sz w:val="24"/>
                <w:szCs w:val="24"/>
              </w:rPr>
              <w:t>10% lower inflows</w:t>
            </w:r>
          </w:p>
        </w:tc>
        <w:tc>
          <w:tcPr>
            <w:tcW w:w="2038" w:type="dxa"/>
            <w:shd w:val="clear" w:color="auto" w:fill="FCE4D6"/>
            <w:vAlign w:val="center"/>
          </w:tcPr>
          <w:p w14:paraId="02AF4E35"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(£4.228)</w:t>
            </w:r>
          </w:p>
        </w:tc>
      </w:tr>
      <w:tr w:rsidR="009F5D37" w:rsidRPr="00137A05" w14:paraId="39AAB58D" w14:textId="77777777" w:rsidTr="0090033C">
        <w:trPr>
          <w:cantSplit/>
          <w:trHeight w:val="454"/>
          <w:jc w:val="center"/>
        </w:trPr>
        <w:tc>
          <w:tcPr>
            <w:tcW w:w="6115" w:type="dxa"/>
            <w:vAlign w:val="center"/>
          </w:tcPr>
          <w:p w14:paraId="39CAE5AC" w14:textId="77777777" w:rsidR="009F5D37" w:rsidRPr="00137A05" w:rsidRDefault="009F5D37" w:rsidP="00336DE8">
            <w:pPr>
              <w:spacing w:line="360" w:lineRule="auto"/>
              <w:rPr>
                <w:rFonts w:ascii="Arial" w:hAnsi="Arial" w:cs="Arial"/>
                <w:sz w:val="24"/>
                <w:szCs w:val="24"/>
              </w:rPr>
            </w:pPr>
            <w:r w:rsidRPr="00137A05">
              <w:rPr>
                <w:rFonts w:ascii="Arial" w:hAnsi="Arial" w:cs="Arial"/>
                <w:sz w:val="24"/>
                <w:szCs w:val="24"/>
              </w:rPr>
              <w:t>All inflows delayed one year</w:t>
            </w:r>
          </w:p>
        </w:tc>
        <w:tc>
          <w:tcPr>
            <w:tcW w:w="2038" w:type="dxa"/>
            <w:shd w:val="clear" w:color="auto" w:fill="FCE4D6"/>
            <w:vAlign w:val="center"/>
          </w:tcPr>
          <w:p w14:paraId="37D9CD6E"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(£2.909)</w:t>
            </w:r>
          </w:p>
        </w:tc>
      </w:tr>
      <w:tr w:rsidR="009F5D37" w:rsidRPr="00137A05" w14:paraId="1F94D946" w14:textId="77777777" w:rsidTr="0090033C">
        <w:trPr>
          <w:cantSplit/>
          <w:trHeight w:val="434"/>
          <w:jc w:val="center"/>
        </w:trPr>
        <w:tc>
          <w:tcPr>
            <w:tcW w:w="6115" w:type="dxa"/>
            <w:vAlign w:val="center"/>
          </w:tcPr>
          <w:p w14:paraId="6503ABBA" w14:textId="77777777" w:rsidR="009F5D37" w:rsidRPr="00137A05" w:rsidRDefault="009F5D37" w:rsidP="00336DE8">
            <w:pPr>
              <w:spacing w:line="360" w:lineRule="auto"/>
              <w:rPr>
                <w:rFonts w:ascii="Arial" w:hAnsi="Arial" w:cs="Arial"/>
                <w:sz w:val="24"/>
                <w:szCs w:val="24"/>
              </w:rPr>
            </w:pPr>
            <w:r w:rsidRPr="00137A05">
              <w:rPr>
                <w:rFonts w:ascii="Arial" w:hAnsi="Arial" w:cs="Arial"/>
                <w:sz w:val="24"/>
                <w:szCs w:val="24"/>
              </w:rPr>
              <w:t>Discount rate 9%</w:t>
            </w:r>
          </w:p>
        </w:tc>
        <w:tc>
          <w:tcPr>
            <w:tcW w:w="2038" w:type="dxa"/>
            <w:shd w:val="clear" w:color="auto" w:fill="FCE4D6"/>
            <w:vAlign w:val="center"/>
          </w:tcPr>
          <w:p w14:paraId="58DFDFAD"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(£0.592)</w:t>
            </w:r>
          </w:p>
        </w:tc>
      </w:tr>
      <w:tr w:rsidR="009F5D37" w:rsidRPr="00137A05" w14:paraId="5BB7D636" w14:textId="77777777" w:rsidTr="0090033C">
        <w:trPr>
          <w:cantSplit/>
          <w:trHeight w:val="434"/>
          <w:jc w:val="center"/>
        </w:trPr>
        <w:tc>
          <w:tcPr>
            <w:tcW w:w="6115" w:type="dxa"/>
            <w:vAlign w:val="center"/>
          </w:tcPr>
          <w:p w14:paraId="2C601BB6" w14:textId="77777777" w:rsidR="009F5D37" w:rsidRPr="00137A05" w:rsidRDefault="009F5D37" w:rsidP="00336DE8">
            <w:pPr>
              <w:spacing w:line="360" w:lineRule="auto"/>
              <w:rPr>
                <w:rFonts w:ascii="Arial" w:hAnsi="Arial" w:cs="Arial"/>
                <w:sz w:val="24"/>
                <w:szCs w:val="24"/>
              </w:rPr>
            </w:pPr>
            <w:r w:rsidRPr="00137A05">
              <w:rPr>
                <w:rFonts w:ascii="Arial" w:hAnsi="Arial" w:cs="Arial"/>
                <w:sz w:val="24"/>
                <w:szCs w:val="24"/>
              </w:rPr>
              <w:t>Discount rate 10%</w:t>
            </w:r>
          </w:p>
        </w:tc>
        <w:tc>
          <w:tcPr>
            <w:tcW w:w="2038" w:type="dxa"/>
            <w:shd w:val="clear" w:color="auto" w:fill="FCE4D6"/>
            <w:vAlign w:val="center"/>
          </w:tcPr>
          <w:p w14:paraId="7E13E151"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(£1.984)</w:t>
            </w:r>
          </w:p>
        </w:tc>
      </w:tr>
    </w:tbl>
    <w:p w14:paraId="36A1C423" w14:textId="77777777" w:rsidR="009F5D37" w:rsidRPr="00137A05" w:rsidRDefault="009F5D37" w:rsidP="00336DE8">
      <w:pPr>
        <w:pStyle w:val="Heading2"/>
        <w:numPr>
          <w:ilvl w:val="1"/>
          <w:numId w:val="1"/>
        </w:numPr>
        <w:spacing w:line="360" w:lineRule="auto"/>
        <w:rPr>
          <w:rFonts w:ascii="Arial" w:hAnsi="Arial" w:cs="Arial"/>
          <w:sz w:val="24"/>
          <w:szCs w:val="24"/>
        </w:rPr>
      </w:pPr>
      <w:bookmarkStart w:id="20" w:name="_Toc235788224"/>
      <w:r w:rsidRPr="00137A05">
        <w:rPr>
          <w:rFonts w:ascii="Arial" w:hAnsi="Arial" w:cs="Arial"/>
          <w:sz w:val="24"/>
          <w:szCs w:val="24"/>
        </w:rPr>
        <w:t>Non-Financial Risk Assessment</w:t>
      </w:r>
      <w:bookmarkEnd w:id="20"/>
    </w:p>
    <w:p w14:paraId="0DCF00A6" w14:textId="7C68EF63" w:rsidR="00B315EB" w:rsidRPr="00E36C40" w:rsidRDefault="00B315EB" w:rsidP="00B315EB">
      <w:pPr>
        <w:spacing w:line="360" w:lineRule="auto"/>
        <w:jc w:val="both"/>
        <w:rPr>
          <w:rFonts w:ascii="Arial" w:hAnsi="Arial" w:cs="Arial"/>
        </w:rPr>
      </w:pPr>
      <w:r w:rsidRPr="00B315EB">
        <w:rPr>
          <w:rFonts w:ascii="Arial" w:hAnsi="Arial" w:cs="Arial"/>
          <w:sz w:val="24"/>
          <w:szCs w:val="24"/>
        </w:rPr>
        <w:t>The cash-flow forecasts could be changed by non-financial risks. IHG is present in over 100 countries, and political instability, regulation, sanctions, planning delays, taxation and currency volatility can impact project delivery</w:t>
      </w:r>
      <w:r w:rsidR="00BD6E3C">
        <w:rPr>
          <w:rFonts w:ascii="Arial" w:hAnsi="Arial" w:cs="Arial"/>
          <w:sz w:val="24"/>
          <w:szCs w:val="24"/>
        </w:rPr>
        <w:t xml:space="preserve"> </w:t>
      </w:r>
      <w:r w:rsidR="00BD6E3C" w:rsidRPr="009E1576">
        <w:rPr>
          <w:rFonts w:ascii="Arial" w:hAnsi="Arial" w:cs="Arial"/>
        </w:rPr>
        <w:t>(Ma, Zhang and Yin, 2021</w:t>
      </w:r>
      <w:r w:rsidR="00BD6E3C">
        <w:rPr>
          <w:rFonts w:ascii="Arial" w:hAnsi="Arial" w:cs="Arial"/>
        </w:rPr>
        <w:t>),</w:t>
      </w:r>
      <w:r w:rsidR="00BD6E3C" w:rsidRPr="009E1576">
        <w:rPr>
          <w:rFonts w:ascii="Arial" w:hAnsi="Arial" w:cs="Arial"/>
        </w:rPr>
        <w:t xml:space="preserve"> </w:t>
      </w:r>
      <w:r w:rsidRPr="00B315EB">
        <w:rPr>
          <w:rFonts w:ascii="Arial" w:hAnsi="Arial" w:cs="Arial"/>
          <w:sz w:val="24"/>
          <w:szCs w:val="24"/>
        </w:rPr>
        <w:t xml:space="preserve">Management recognises that there is a level of short-term uncertainty due to geopolitical and economic factors (IHG, </w:t>
      </w:r>
      <w:r w:rsidR="004D307D">
        <w:rPr>
          <w:rFonts w:ascii="Arial" w:hAnsi="Arial" w:cs="Arial"/>
          <w:sz w:val="24"/>
          <w:szCs w:val="24"/>
        </w:rPr>
        <w:t>2026</w:t>
      </w:r>
      <w:r w:rsidRPr="00B315EB">
        <w:rPr>
          <w:rFonts w:ascii="Arial" w:hAnsi="Arial" w:cs="Arial"/>
          <w:sz w:val="24"/>
          <w:szCs w:val="24"/>
        </w:rPr>
        <w:t xml:space="preserve">). Project C is particularly vulnerable as </w:t>
      </w:r>
      <w:r w:rsidR="00D62A43" w:rsidRPr="00B315EB">
        <w:rPr>
          <w:rFonts w:ascii="Arial" w:hAnsi="Arial" w:cs="Arial"/>
          <w:sz w:val="24"/>
          <w:szCs w:val="24"/>
        </w:rPr>
        <w:lastRenderedPageBreak/>
        <w:t>most of</w:t>
      </w:r>
      <w:r w:rsidRPr="00B315EB">
        <w:rPr>
          <w:rFonts w:ascii="Arial" w:hAnsi="Arial" w:cs="Arial"/>
          <w:sz w:val="24"/>
          <w:szCs w:val="24"/>
        </w:rPr>
        <w:t xml:space="preserve"> the value comes in Year 3 and 4. Approval must include country-risk assessment, inflation-linked contracts with appropriate caps, currency matching or hedging, and political-risk insurance, as appropriate and clearly defined termination rights. The rate of discount should be adjusted up when project-specific country risk is greater than that included in the eight per cent hurdle</w:t>
      </w:r>
      <w:r w:rsidR="00E36C40">
        <w:rPr>
          <w:rFonts w:ascii="Arial" w:hAnsi="Arial" w:cs="Arial"/>
          <w:sz w:val="24"/>
          <w:szCs w:val="24"/>
        </w:rPr>
        <w:t xml:space="preserve"> </w:t>
      </w:r>
      <w:r w:rsidR="00E36C40" w:rsidRPr="009E1576">
        <w:rPr>
          <w:rFonts w:ascii="Arial" w:hAnsi="Arial" w:cs="Arial"/>
        </w:rPr>
        <w:t>(Kyere and Ausloos, 2020</w:t>
      </w:r>
      <w:r w:rsidR="00E36C40">
        <w:rPr>
          <w:rFonts w:ascii="Arial" w:hAnsi="Arial" w:cs="Arial"/>
        </w:rPr>
        <w:t>),</w:t>
      </w:r>
      <w:r w:rsidR="00E36C40" w:rsidRPr="009E1576">
        <w:rPr>
          <w:rFonts w:ascii="Arial" w:hAnsi="Arial" w:cs="Arial"/>
        </w:rPr>
        <w:t xml:space="preserve"> </w:t>
      </w:r>
    </w:p>
    <w:p w14:paraId="59589727" w14:textId="1136515D" w:rsidR="00B315EB" w:rsidRPr="00360CE1" w:rsidRDefault="00B315EB" w:rsidP="00B315EB">
      <w:pPr>
        <w:spacing w:line="360" w:lineRule="auto"/>
        <w:jc w:val="both"/>
        <w:rPr>
          <w:rFonts w:ascii="Arial" w:hAnsi="Arial" w:cs="Arial"/>
        </w:rPr>
      </w:pPr>
      <w:r w:rsidRPr="00B315EB">
        <w:rPr>
          <w:rFonts w:ascii="Arial" w:hAnsi="Arial" w:cs="Arial"/>
          <w:sz w:val="24"/>
          <w:szCs w:val="24"/>
        </w:rPr>
        <w:t>Customer loyalty is another material consideration. IHG One Rewards' member numbers have surpassed 160 million by 2025 and the loyalty penetration rate is 66 per cent of room nights booked. When it comes to booking direct, the data shows that loyalty members spend approximately 20 per cent more in hotels and are significantly more likely to do so, which is why trust and service quality are key factors in project value (IHG, 2026). Therefore, review of privacy, cyber security, accessibility and algorithmic-fairness should be conducted on any digital or customer-facing project. The property investment should show consistency of service, the advantages for the hotel owners, but if executed poorly, it can lead to a loss of loyalty and impact the anticipated flow of guests</w:t>
      </w:r>
      <w:r w:rsidR="00360CE1">
        <w:rPr>
          <w:rFonts w:ascii="Arial" w:hAnsi="Arial" w:cs="Arial"/>
          <w:sz w:val="24"/>
          <w:szCs w:val="24"/>
        </w:rPr>
        <w:t xml:space="preserve"> </w:t>
      </w:r>
      <w:r w:rsidR="00360CE1" w:rsidRPr="009E1576">
        <w:rPr>
          <w:rFonts w:ascii="Arial" w:hAnsi="Arial" w:cs="Arial"/>
        </w:rPr>
        <w:t>(Liu et al., 2022</w:t>
      </w:r>
      <w:r w:rsidR="00360CE1">
        <w:rPr>
          <w:rFonts w:ascii="Arial" w:hAnsi="Arial" w:cs="Arial"/>
        </w:rPr>
        <w:t>),</w:t>
      </w:r>
      <w:r w:rsidR="00360CE1" w:rsidRPr="009E1576">
        <w:rPr>
          <w:rFonts w:ascii="Arial" w:hAnsi="Arial" w:cs="Arial"/>
        </w:rPr>
        <w:t xml:space="preserve"> </w:t>
      </w:r>
    </w:p>
    <w:p w14:paraId="3A012251" w14:textId="1869AC1F" w:rsidR="00F42AA8" w:rsidRPr="00137A05" w:rsidRDefault="00B315EB" w:rsidP="00336DE8">
      <w:pPr>
        <w:spacing w:line="360" w:lineRule="auto"/>
        <w:jc w:val="both"/>
        <w:rPr>
          <w:rFonts w:ascii="Arial" w:hAnsi="Arial" w:cs="Arial"/>
          <w:sz w:val="24"/>
          <w:szCs w:val="24"/>
        </w:rPr>
      </w:pPr>
      <w:r w:rsidRPr="00B315EB">
        <w:rPr>
          <w:rFonts w:ascii="Arial" w:hAnsi="Arial" w:cs="Arial"/>
          <w:sz w:val="24"/>
          <w:szCs w:val="24"/>
        </w:rPr>
        <w:t>Due diligence in the field of environment and social aspects must also be incorporated into approval. IHG's responsible business framework includes energy, carbon, water and waste, supply-chain due diligence, ethical recruitment and human rights. In 2030, the company is set to cut its absolute carbon emissions by 46 per cent, although it reported total emissions in 2025 are still 7.7 per cent higher than 2019 (IHG, 2026). The final business case for Project C should cover lifecycle energy costs, carbon implications, responsible procurement and labour standards. These controls can contribute to initial costs, but can also lower operating costs, regulatory exposure and reputational risk, while supporting the IHG purpose of True Hospitality for Good.</w:t>
      </w:r>
    </w:p>
    <w:p w14:paraId="0E77B1EF" w14:textId="77777777" w:rsidR="009F5D37" w:rsidRPr="00137A05" w:rsidRDefault="009F5D37" w:rsidP="00336DE8">
      <w:pPr>
        <w:pStyle w:val="Heading2"/>
        <w:numPr>
          <w:ilvl w:val="1"/>
          <w:numId w:val="1"/>
        </w:numPr>
        <w:spacing w:line="360" w:lineRule="auto"/>
        <w:jc w:val="both"/>
        <w:rPr>
          <w:rFonts w:ascii="Arial" w:hAnsi="Arial" w:cs="Arial"/>
          <w:sz w:val="24"/>
          <w:szCs w:val="24"/>
        </w:rPr>
      </w:pPr>
      <w:bookmarkStart w:id="21" w:name="_Toc235788225"/>
      <w:r w:rsidRPr="00137A05">
        <w:rPr>
          <w:rFonts w:ascii="Arial" w:hAnsi="Arial" w:cs="Arial"/>
          <w:sz w:val="24"/>
          <w:szCs w:val="24"/>
        </w:rPr>
        <w:t>Capital Rationing and Portfolio Selection</w:t>
      </w:r>
      <w:bookmarkEnd w:id="21"/>
    </w:p>
    <w:p w14:paraId="41F235C5" w14:textId="2D77805C" w:rsidR="00137A05" w:rsidRPr="005E158C" w:rsidRDefault="00DC451B" w:rsidP="00336DE8">
      <w:pPr>
        <w:spacing w:line="360" w:lineRule="auto"/>
        <w:jc w:val="both"/>
        <w:rPr>
          <w:rFonts w:ascii="Arial" w:hAnsi="Arial" w:cs="Arial"/>
        </w:rPr>
      </w:pPr>
      <w:r w:rsidRPr="00DC451B">
        <w:rPr>
          <w:rFonts w:ascii="Arial" w:hAnsi="Arial" w:cs="Arial"/>
          <w:sz w:val="24"/>
          <w:szCs w:val="24"/>
        </w:rPr>
        <w:t xml:space="preserve">All individual projects and all combinations of two projects are technically within the £100 million capital ceiling. A + B = negative £12.624 million, A + C = negative £5.686 million and B + C = negative £5.222 million. While B plus C is the least damaging two project portfolio, it is still value destructive and should not be chosen. Capital rationing does not mean management should spend all the capital budget, it means that management should spend the capital budget in such a way as to maximise total NPV. Project C is therefore the best choice of portfolio as it has a maximum PI of 1.017, a </w:t>
      </w:r>
      <w:r w:rsidRPr="00DC451B">
        <w:rPr>
          <w:rFonts w:ascii="Arial" w:hAnsi="Arial" w:cs="Arial"/>
          <w:sz w:val="24"/>
          <w:szCs w:val="24"/>
        </w:rPr>
        <w:lastRenderedPageBreak/>
        <w:t>positive NPV of £0.858 million and requires £50 million. The unspent £50m should be held aside for debt reduction, for liquidity, or for a future NPV positive opportunity. This recommendation maximises shareholder wealth, preserves flexibility and prevents scarce capital from being committed to projects whose returns do not compensate IHG for financial and operational risk</w:t>
      </w:r>
      <w:r w:rsidR="005E158C">
        <w:rPr>
          <w:rFonts w:ascii="Arial" w:hAnsi="Arial" w:cs="Arial"/>
          <w:sz w:val="24"/>
          <w:szCs w:val="24"/>
        </w:rPr>
        <w:t xml:space="preserve"> </w:t>
      </w:r>
      <w:r w:rsidR="005E158C" w:rsidRPr="009E1576">
        <w:rPr>
          <w:rFonts w:ascii="Arial" w:hAnsi="Arial" w:cs="Arial"/>
        </w:rPr>
        <w:t>(Nirino et al., 2021</w:t>
      </w:r>
      <w:r w:rsidR="005E158C">
        <w:rPr>
          <w:rFonts w:ascii="Arial" w:hAnsi="Arial" w:cs="Arial"/>
        </w:rPr>
        <w:t>),</w:t>
      </w:r>
      <w:r w:rsidR="005E158C" w:rsidRPr="009E1576">
        <w:rPr>
          <w:rFonts w:ascii="Arial" w:hAnsi="Arial" w:cs="Arial"/>
        </w:rPr>
        <w:t xml:space="preserve"> </w:t>
      </w:r>
    </w:p>
    <w:p w14:paraId="79A0B580" w14:textId="0CC2064B" w:rsidR="009F5D37" w:rsidRPr="00137A05" w:rsidRDefault="009F5D37" w:rsidP="00336DE8">
      <w:pPr>
        <w:pStyle w:val="Caption"/>
        <w:keepNext/>
        <w:spacing w:line="360" w:lineRule="auto"/>
        <w:jc w:val="center"/>
        <w:rPr>
          <w:rFonts w:ascii="Arial" w:hAnsi="Arial" w:cs="Arial"/>
          <w:i w:val="0"/>
          <w:iCs w:val="0"/>
          <w:sz w:val="24"/>
          <w:szCs w:val="24"/>
        </w:rPr>
      </w:pPr>
      <w:r w:rsidRPr="00137A05">
        <w:rPr>
          <w:rFonts w:ascii="Arial" w:hAnsi="Arial" w:cs="Arial"/>
          <w:b/>
          <w:i w:val="0"/>
          <w:iCs w:val="0"/>
          <w:sz w:val="24"/>
          <w:szCs w:val="24"/>
        </w:rPr>
        <w:t xml:space="preserve">Table </w:t>
      </w:r>
      <w:r w:rsidR="00867906" w:rsidRPr="00137A05">
        <w:rPr>
          <w:rFonts w:ascii="Arial" w:hAnsi="Arial" w:cs="Arial"/>
          <w:b/>
          <w:i w:val="0"/>
          <w:iCs w:val="0"/>
          <w:sz w:val="24"/>
          <w:szCs w:val="24"/>
        </w:rPr>
        <w:t>9</w:t>
      </w:r>
      <w:r w:rsidRPr="00137A05">
        <w:rPr>
          <w:rFonts w:ascii="Arial" w:hAnsi="Arial" w:cs="Arial"/>
          <w:b/>
          <w:i w:val="0"/>
          <w:iCs w:val="0"/>
          <w:sz w:val="24"/>
          <w:szCs w:val="24"/>
        </w:rPr>
        <w:t>: Capital-Rationing Portfolio Analysis</w:t>
      </w:r>
    </w:p>
    <w:tbl>
      <w:tblPr>
        <w:tblStyle w:val="TableGrid"/>
        <w:tblW w:w="9177" w:type="dxa"/>
        <w:jc w:val="center"/>
        <w:tblLook w:val="04A0" w:firstRow="1" w:lastRow="0" w:firstColumn="1" w:lastColumn="0" w:noHBand="0" w:noVBand="1"/>
      </w:tblPr>
      <w:tblGrid>
        <w:gridCol w:w="2193"/>
        <w:gridCol w:w="1787"/>
        <w:gridCol w:w="2030"/>
        <w:gridCol w:w="1543"/>
        <w:gridCol w:w="1624"/>
      </w:tblGrid>
      <w:tr w:rsidR="009F5D37" w:rsidRPr="00137A05" w14:paraId="148DEBB7" w14:textId="77777777" w:rsidTr="0090033C">
        <w:trPr>
          <w:cantSplit/>
          <w:trHeight w:val="889"/>
          <w:tblHeader/>
          <w:jc w:val="center"/>
        </w:trPr>
        <w:tc>
          <w:tcPr>
            <w:tcW w:w="2193" w:type="dxa"/>
            <w:shd w:val="clear" w:color="auto" w:fill="17365D"/>
            <w:vAlign w:val="center"/>
          </w:tcPr>
          <w:p w14:paraId="255FF327"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color w:val="FFFFFF"/>
                <w:sz w:val="24"/>
                <w:szCs w:val="24"/>
              </w:rPr>
              <w:t>Portfolio</w:t>
            </w:r>
          </w:p>
        </w:tc>
        <w:tc>
          <w:tcPr>
            <w:tcW w:w="1787" w:type="dxa"/>
            <w:shd w:val="clear" w:color="auto" w:fill="17365D"/>
            <w:vAlign w:val="center"/>
          </w:tcPr>
          <w:p w14:paraId="6CFFD830"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color w:val="FFFFFF"/>
                <w:sz w:val="24"/>
                <w:szCs w:val="24"/>
              </w:rPr>
              <w:t>Investment (£m)</w:t>
            </w:r>
          </w:p>
        </w:tc>
        <w:tc>
          <w:tcPr>
            <w:tcW w:w="2030" w:type="dxa"/>
            <w:shd w:val="clear" w:color="auto" w:fill="17365D"/>
            <w:vAlign w:val="center"/>
          </w:tcPr>
          <w:p w14:paraId="2E158C0B"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color w:val="FFFFFF"/>
                <w:sz w:val="24"/>
                <w:szCs w:val="24"/>
              </w:rPr>
              <w:t>Combined NPV (£m)</w:t>
            </w:r>
          </w:p>
        </w:tc>
        <w:tc>
          <w:tcPr>
            <w:tcW w:w="1543" w:type="dxa"/>
            <w:shd w:val="clear" w:color="auto" w:fill="17365D"/>
            <w:vAlign w:val="center"/>
          </w:tcPr>
          <w:p w14:paraId="0BAA5D56"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color w:val="FFFFFF"/>
                <w:sz w:val="24"/>
                <w:szCs w:val="24"/>
              </w:rPr>
              <w:t>Portfolio PI</w:t>
            </w:r>
          </w:p>
        </w:tc>
        <w:tc>
          <w:tcPr>
            <w:tcW w:w="1624" w:type="dxa"/>
            <w:shd w:val="clear" w:color="auto" w:fill="17365D"/>
            <w:vAlign w:val="center"/>
          </w:tcPr>
          <w:p w14:paraId="21CB6FD4"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color w:val="FFFFFF"/>
                <w:sz w:val="24"/>
                <w:szCs w:val="24"/>
              </w:rPr>
              <w:t>Decision</w:t>
            </w:r>
          </w:p>
        </w:tc>
      </w:tr>
      <w:tr w:rsidR="009F5D37" w:rsidRPr="00137A05" w14:paraId="405309F8" w14:textId="77777777" w:rsidTr="0090033C">
        <w:trPr>
          <w:cantSplit/>
          <w:trHeight w:val="425"/>
          <w:jc w:val="center"/>
        </w:trPr>
        <w:tc>
          <w:tcPr>
            <w:tcW w:w="2193" w:type="dxa"/>
            <w:vAlign w:val="center"/>
          </w:tcPr>
          <w:p w14:paraId="23987AD6"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A only</w:t>
            </w:r>
          </w:p>
        </w:tc>
        <w:tc>
          <w:tcPr>
            <w:tcW w:w="1787" w:type="dxa"/>
            <w:vAlign w:val="center"/>
          </w:tcPr>
          <w:p w14:paraId="2BAD35CA"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£50</w:t>
            </w:r>
          </w:p>
        </w:tc>
        <w:tc>
          <w:tcPr>
            <w:tcW w:w="2030" w:type="dxa"/>
            <w:shd w:val="clear" w:color="auto" w:fill="FCE4D6"/>
            <w:vAlign w:val="center"/>
          </w:tcPr>
          <w:p w14:paraId="2EF55C41"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(£6.544)</w:t>
            </w:r>
          </w:p>
        </w:tc>
        <w:tc>
          <w:tcPr>
            <w:tcW w:w="1543" w:type="dxa"/>
            <w:vAlign w:val="center"/>
          </w:tcPr>
          <w:p w14:paraId="15E0E33C"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0.869x</w:t>
            </w:r>
          </w:p>
        </w:tc>
        <w:tc>
          <w:tcPr>
            <w:tcW w:w="1624" w:type="dxa"/>
            <w:vAlign w:val="center"/>
          </w:tcPr>
          <w:p w14:paraId="6F7A426C"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Reject</w:t>
            </w:r>
          </w:p>
        </w:tc>
      </w:tr>
      <w:tr w:rsidR="009F5D37" w:rsidRPr="00137A05" w14:paraId="15715FFB" w14:textId="77777777" w:rsidTr="0090033C">
        <w:trPr>
          <w:cantSplit/>
          <w:trHeight w:val="444"/>
          <w:jc w:val="center"/>
        </w:trPr>
        <w:tc>
          <w:tcPr>
            <w:tcW w:w="2193" w:type="dxa"/>
            <w:vAlign w:val="center"/>
          </w:tcPr>
          <w:p w14:paraId="4CB235C0"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B only</w:t>
            </w:r>
          </w:p>
        </w:tc>
        <w:tc>
          <w:tcPr>
            <w:tcW w:w="1787" w:type="dxa"/>
            <w:vAlign w:val="center"/>
          </w:tcPr>
          <w:p w14:paraId="6BC4EB9A"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£50</w:t>
            </w:r>
          </w:p>
        </w:tc>
        <w:tc>
          <w:tcPr>
            <w:tcW w:w="2030" w:type="dxa"/>
            <w:shd w:val="clear" w:color="auto" w:fill="FCE4D6"/>
            <w:vAlign w:val="center"/>
          </w:tcPr>
          <w:p w14:paraId="7C8F5F83"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(£6.080)</w:t>
            </w:r>
          </w:p>
        </w:tc>
        <w:tc>
          <w:tcPr>
            <w:tcW w:w="1543" w:type="dxa"/>
            <w:vAlign w:val="center"/>
          </w:tcPr>
          <w:p w14:paraId="23502C70"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0.878x</w:t>
            </w:r>
          </w:p>
        </w:tc>
        <w:tc>
          <w:tcPr>
            <w:tcW w:w="1624" w:type="dxa"/>
            <w:vAlign w:val="center"/>
          </w:tcPr>
          <w:p w14:paraId="55C5844D"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Reject</w:t>
            </w:r>
          </w:p>
        </w:tc>
      </w:tr>
      <w:tr w:rsidR="009F5D37" w:rsidRPr="00137A05" w14:paraId="22236C79" w14:textId="77777777" w:rsidTr="0090033C">
        <w:trPr>
          <w:cantSplit/>
          <w:trHeight w:val="425"/>
          <w:jc w:val="center"/>
        </w:trPr>
        <w:tc>
          <w:tcPr>
            <w:tcW w:w="2193" w:type="dxa"/>
            <w:shd w:val="clear" w:color="auto" w:fill="E2F0D9"/>
            <w:vAlign w:val="center"/>
          </w:tcPr>
          <w:p w14:paraId="397BEA23"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sz w:val="24"/>
                <w:szCs w:val="24"/>
              </w:rPr>
              <w:t>C only</w:t>
            </w:r>
          </w:p>
        </w:tc>
        <w:tc>
          <w:tcPr>
            <w:tcW w:w="1787" w:type="dxa"/>
            <w:shd w:val="clear" w:color="auto" w:fill="E2F0D9"/>
            <w:vAlign w:val="center"/>
          </w:tcPr>
          <w:p w14:paraId="61D22544"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sz w:val="24"/>
                <w:szCs w:val="24"/>
              </w:rPr>
              <w:t>£50</w:t>
            </w:r>
          </w:p>
        </w:tc>
        <w:tc>
          <w:tcPr>
            <w:tcW w:w="2030" w:type="dxa"/>
            <w:shd w:val="clear" w:color="auto" w:fill="E2F0D9"/>
            <w:vAlign w:val="center"/>
          </w:tcPr>
          <w:p w14:paraId="55EC98C3"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sz w:val="24"/>
                <w:szCs w:val="24"/>
              </w:rPr>
              <w:t>£0.858</w:t>
            </w:r>
          </w:p>
        </w:tc>
        <w:tc>
          <w:tcPr>
            <w:tcW w:w="1543" w:type="dxa"/>
            <w:shd w:val="clear" w:color="auto" w:fill="E2F0D9"/>
            <w:vAlign w:val="center"/>
          </w:tcPr>
          <w:p w14:paraId="70AD62BA"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sz w:val="24"/>
                <w:szCs w:val="24"/>
              </w:rPr>
              <w:t>1.017x</w:t>
            </w:r>
          </w:p>
        </w:tc>
        <w:tc>
          <w:tcPr>
            <w:tcW w:w="1624" w:type="dxa"/>
            <w:shd w:val="clear" w:color="auto" w:fill="E2F0D9"/>
            <w:vAlign w:val="center"/>
          </w:tcPr>
          <w:p w14:paraId="46B17D5E"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b/>
                <w:sz w:val="24"/>
                <w:szCs w:val="24"/>
              </w:rPr>
              <w:t>Select</w:t>
            </w:r>
          </w:p>
        </w:tc>
      </w:tr>
      <w:tr w:rsidR="009F5D37" w:rsidRPr="00137A05" w14:paraId="1218711D" w14:textId="77777777" w:rsidTr="0090033C">
        <w:trPr>
          <w:cantSplit/>
          <w:trHeight w:val="444"/>
          <w:jc w:val="center"/>
        </w:trPr>
        <w:tc>
          <w:tcPr>
            <w:tcW w:w="2193" w:type="dxa"/>
            <w:vAlign w:val="center"/>
          </w:tcPr>
          <w:p w14:paraId="440511F5"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A + B</w:t>
            </w:r>
          </w:p>
        </w:tc>
        <w:tc>
          <w:tcPr>
            <w:tcW w:w="1787" w:type="dxa"/>
            <w:vAlign w:val="center"/>
          </w:tcPr>
          <w:p w14:paraId="118EC018"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£100</w:t>
            </w:r>
          </w:p>
        </w:tc>
        <w:tc>
          <w:tcPr>
            <w:tcW w:w="2030" w:type="dxa"/>
            <w:shd w:val="clear" w:color="auto" w:fill="FCE4D6"/>
            <w:vAlign w:val="center"/>
          </w:tcPr>
          <w:p w14:paraId="2C6C1543"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(£12.624)</w:t>
            </w:r>
          </w:p>
        </w:tc>
        <w:tc>
          <w:tcPr>
            <w:tcW w:w="1543" w:type="dxa"/>
            <w:vAlign w:val="center"/>
          </w:tcPr>
          <w:p w14:paraId="49787C30"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0.874x</w:t>
            </w:r>
          </w:p>
        </w:tc>
        <w:tc>
          <w:tcPr>
            <w:tcW w:w="1624" w:type="dxa"/>
            <w:vAlign w:val="center"/>
          </w:tcPr>
          <w:p w14:paraId="2E4116E7"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Reject</w:t>
            </w:r>
          </w:p>
        </w:tc>
      </w:tr>
      <w:tr w:rsidR="009F5D37" w:rsidRPr="00137A05" w14:paraId="46A79E9D" w14:textId="77777777" w:rsidTr="0090033C">
        <w:trPr>
          <w:cantSplit/>
          <w:trHeight w:val="425"/>
          <w:jc w:val="center"/>
        </w:trPr>
        <w:tc>
          <w:tcPr>
            <w:tcW w:w="2193" w:type="dxa"/>
            <w:vAlign w:val="center"/>
          </w:tcPr>
          <w:p w14:paraId="4EB82D2B"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A + C</w:t>
            </w:r>
          </w:p>
        </w:tc>
        <w:tc>
          <w:tcPr>
            <w:tcW w:w="1787" w:type="dxa"/>
            <w:vAlign w:val="center"/>
          </w:tcPr>
          <w:p w14:paraId="0AA996FA"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£100</w:t>
            </w:r>
          </w:p>
        </w:tc>
        <w:tc>
          <w:tcPr>
            <w:tcW w:w="2030" w:type="dxa"/>
            <w:shd w:val="clear" w:color="auto" w:fill="FCE4D6"/>
            <w:vAlign w:val="center"/>
          </w:tcPr>
          <w:p w14:paraId="2711ABD2"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(£5.686)</w:t>
            </w:r>
          </w:p>
        </w:tc>
        <w:tc>
          <w:tcPr>
            <w:tcW w:w="1543" w:type="dxa"/>
            <w:vAlign w:val="center"/>
          </w:tcPr>
          <w:p w14:paraId="6BF95733"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0.943x</w:t>
            </w:r>
          </w:p>
        </w:tc>
        <w:tc>
          <w:tcPr>
            <w:tcW w:w="1624" w:type="dxa"/>
            <w:vAlign w:val="center"/>
          </w:tcPr>
          <w:p w14:paraId="57933D68"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Reject</w:t>
            </w:r>
          </w:p>
        </w:tc>
      </w:tr>
      <w:tr w:rsidR="009F5D37" w:rsidRPr="00137A05" w14:paraId="334C0C00" w14:textId="77777777" w:rsidTr="0090033C">
        <w:trPr>
          <w:cantSplit/>
          <w:trHeight w:val="425"/>
          <w:jc w:val="center"/>
        </w:trPr>
        <w:tc>
          <w:tcPr>
            <w:tcW w:w="2193" w:type="dxa"/>
            <w:vAlign w:val="center"/>
          </w:tcPr>
          <w:p w14:paraId="277CD317"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B + C</w:t>
            </w:r>
          </w:p>
        </w:tc>
        <w:tc>
          <w:tcPr>
            <w:tcW w:w="1787" w:type="dxa"/>
            <w:vAlign w:val="center"/>
          </w:tcPr>
          <w:p w14:paraId="7ABADBF7"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£100</w:t>
            </w:r>
          </w:p>
        </w:tc>
        <w:tc>
          <w:tcPr>
            <w:tcW w:w="2030" w:type="dxa"/>
            <w:shd w:val="clear" w:color="auto" w:fill="FCE4D6"/>
            <w:vAlign w:val="center"/>
          </w:tcPr>
          <w:p w14:paraId="6D957EED"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(£5.222)</w:t>
            </w:r>
          </w:p>
        </w:tc>
        <w:tc>
          <w:tcPr>
            <w:tcW w:w="1543" w:type="dxa"/>
            <w:vAlign w:val="center"/>
          </w:tcPr>
          <w:p w14:paraId="1B332F07"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0.948x</w:t>
            </w:r>
          </w:p>
        </w:tc>
        <w:tc>
          <w:tcPr>
            <w:tcW w:w="1624" w:type="dxa"/>
            <w:vAlign w:val="center"/>
          </w:tcPr>
          <w:p w14:paraId="159FECCC" w14:textId="77777777" w:rsidR="009F5D37" w:rsidRPr="00137A05" w:rsidRDefault="009F5D37" w:rsidP="00336DE8">
            <w:pPr>
              <w:spacing w:line="360" w:lineRule="auto"/>
              <w:jc w:val="center"/>
              <w:rPr>
                <w:rFonts w:ascii="Arial" w:hAnsi="Arial" w:cs="Arial"/>
                <w:sz w:val="24"/>
                <w:szCs w:val="24"/>
              </w:rPr>
            </w:pPr>
            <w:r w:rsidRPr="00137A05">
              <w:rPr>
                <w:rFonts w:ascii="Arial" w:hAnsi="Arial" w:cs="Arial"/>
                <w:sz w:val="24"/>
                <w:szCs w:val="24"/>
              </w:rPr>
              <w:t>Reject</w:t>
            </w:r>
          </w:p>
        </w:tc>
      </w:tr>
    </w:tbl>
    <w:p w14:paraId="36D30873" w14:textId="78B8BE4C" w:rsidR="009F5D37" w:rsidRPr="00137A05" w:rsidRDefault="009F5D37" w:rsidP="00336DE8">
      <w:pPr>
        <w:pStyle w:val="Caption"/>
        <w:keepNext/>
        <w:spacing w:line="360" w:lineRule="auto"/>
        <w:jc w:val="center"/>
        <w:rPr>
          <w:rFonts w:ascii="Arial" w:hAnsi="Arial" w:cs="Arial"/>
          <w:i w:val="0"/>
          <w:iCs w:val="0"/>
          <w:sz w:val="24"/>
          <w:szCs w:val="24"/>
        </w:rPr>
      </w:pPr>
      <w:r w:rsidRPr="00137A05">
        <w:rPr>
          <w:rFonts w:ascii="Arial" w:hAnsi="Arial" w:cs="Arial"/>
          <w:b/>
          <w:i w:val="0"/>
          <w:iCs w:val="0"/>
          <w:sz w:val="24"/>
          <w:szCs w:val="24"/>
        </w:rPr>
        <w:t xml:space="preserve">Figure </w:t>
      </w:r>
      <w:r w:rsidR="0090033C" w:rsidRPr="00137A05">
        <w:rPr>
          <w:rFonts w:ascii="Arial" w:hAnsi="Arial" w:cs="Arial"/>
          <w:b/>
          <w:i w:val="0"/>
          <w:iCs w:val="0"/>
          <w:sz w:val="24"/>
          <w:szCs w:val="24"/>
        </w:rPr>
        <w:t>12</w:t>
      </w:r>
      <w:r w:rsidRPr="00137A05">
        <w:rPr>
          <w:rFonts w:ascii="Arial" w:hAnsi="Arial" w:cs="Arial"/>
          <w:b/>
          <w:i w:val="0"/>
          <w:iCs w:val="0"/>
          <w:sz w:val="24"/>
          <w:szCs w:val="24"/>
        </w:rPr>
        <w:t>: NPV of Feasible Portfolios</w:t>
      </w:r>
    </w:p>
    <w:p w14:paraId="58F7FFB7" w14:textId="77777777" w:rsidR="009F5D37" w:rsidRPr="00137A05" w:rsidRDefault="009F5D37" w:rsidP="00336DE8">
      <w:pPr>
        <w:keepNext/>
        <w:spacing w:line="360" w:lineRule="auto"/>
        <w:jc w:val="center"/>
        <w:rPr>
          <w:rFonts w:ascii="Arial" w:hAnsi="Arial" w:cs="Arial"/>
          <w:sz w:val="24"/>
          <w:szCs w:val="24"/>
        </w:rPr>
      </w:pPr>
      <w:r w:rsidRPr="00137A05">
        <w:rPr>
          <w:rFonts w:ascii="Arial" w:hAnsi="Arial" w:cs="Arial"/>
          <w:noProof/>
          <w:sz w:val="24"/>
          <w:szCs w:val="24"/>
        </w:rPr>
        <w:drawing>
          <wp:inline distT="0" distB="0" distL="0" distR="0" wp14:anchorId="141F5824" wp14:editId="7E271A73">
            <wp:extent cx="6346190" cy="2743200"/>
            <wp:effectExtent l="0" t="0" r="16510" b="0"/>
            <wp:docPr id="66380139" name="Chart 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D19E473" w14:textId="77777777" w:rsidR="009F5D37" w:rsidRPr="00137A05" w:rsidRDefault="009F5D37" w:rsidP="00336DE8">
      <w:pPr>
        <w:pStyle w:val="Heading2"/>
        <w:spacing w:line="360" w:lineRule="auto"/>
        <w:rPr>
          <w:rFonts w:ascii="Arial" w:hAnsi="Arial" w:cs="Arial"/>
          <w:sz w:val="24"/>
          <w:szCs w:val="24"/>
        </w:rPr>
      </w:pPr>
      <w:bookmarkStart w:id="22" w:name="_Toc235788226"/>
      <w:r w:rsidRPr="00137A05">
        <w:rPr>
          <w:rFonts w:ascii="Arial" w:hAnsi="Arial" w:cs="Arial"/>
          <w:sz w:val="24"/>
          <w:szCs w:val="24"/>
        </w:rPr>
        <w:t>Final Recommendation</w:t>
      </w:r>
      <w:bookmarkEnd w:id="22"/>
    </w:p>
    <w:p w14:paraId="5798937E" w14:textId="66502ED3" w:rsidR="0026022B" w:rsidRPr="00137A05" w:rsidRDefault="009F5D37" w:rsidP="00336DE8">
      <w:pPr>
        <w:spacing w:line="360" w:lineRule="auto"/>
        <w:jc w:val="both"/>
        <w:rPr>
          <w:rFonts w:ascii="Arial" w:hAnsi="Arial" w:cs="Arial"/>
          <w:sz w:val="24"/>
          <w:szCs w:val="24"/>
        </w:rPr>
      </w:pPr>
      <w:r w:rsidRPr="00137A05">
        <w:rPr>
          <w:rFonts w:ascii="Arial" w:hAnsi="Arial" w:cs="Arial"/>
          <w:sz w:val="24"/>
          <w:szCs w:val="24"/>
        </w:rPr>
        <w:t>Overall, Project C should receive approval because it is the only proposal that creates value at the eight per cent hurdle and offers the fastest recovery. The investment committee should release funds in stages, monitor cash flows against the Excel model, and cancel or redesign the project if NPV becomes negative.</w:t>
      </w:r>
    </w:p>
    <w:p w14:paraId="32443D58" w14:textId="77777777" w:rsidR="00B00250" w:rsidRPr="00137A05" w:rsidRDefault="00B00250" w:rsidP="00B00250">
      <w:pPr>
        <w:pStyle w:val="Heading1"/>
        <w:numPr>
          <w:ilvl w:val="0"/>
          <w:numId w:val="1"/>
        </w:numPr>
        <w:spacing w:line="360" w:lineRule="auto"/>
        <w:rPr>
          <w:rFonts w:ascii="Arial" w:hAnsi="Arial" w:cs="Arial"/>
          <w:sz w:val="24"/>
          <w:szCs w:val="24"/>
        </w:rPr>
      </w:pPr>
      <w:bookmarkStart w:id="23" w:name="_Toc235788227"/>
      <w:r w:rsidRPr="00137A05">
        <w:rPr>
          <w:rFonts w:ascii="Arial" w:hAnsi="Arial" w:cs="Arial"/>
          <w:sz w:val="24"/>
          <w:szCs w:val="24"/>
        </w:rPr>
        <w:lastRenderedPageBreak/>
        <w:t>Critical Reflection on AI Usage</w:t>
      </w:r>
      <w:bookmarkEnd w:id="23"/>
    </w:p>
    <w:p w14:paraId="7EF21D3A" w14:textId="77777777" w:rsidR="00B00250" w:rsidRPr="00137A05" w:rsidRDefault="00B00250" w:rsidP="00B00250">
      <w:pPr>
        <w:pStyle w:val="Heading2"/>
        <w:numPr>
          <w:ilvl w:val="1"/>
          <w:numId w:val="1"/>
        </w:numPr>
        <w:spacing w:line="360" w:lineRule="auto"/>
        <w:rPr>
          <w:rFonts w:ascii="Arial" w:hAnsi="Arial" w:cs="Arial"/>
          <w:sz w:val="24"/>
          <w:szCs w:val="24"/>
        </w:rPr>
      </w:pPr>
      <w:bookmarkStart w:id="24" w:name="_Toc235788228"/>
      <w:r w:rsidRPr="00137A05">
        <w:rPr>
          <w:rFonts w:ascii="Arial" w:hAnsi="Arial" w:cs="Arial"/>
          <w:sz w:val="24"/>
          <w:szCs w:val="24"/>
        </w:rPr>
        <w:t>Tool Disclosure</w:t>
      </w:r>
      <w:bookmarkEnd w:id="24"/>
    </w:p>
    <w:p w14:paraId="37E3A0EB" w14:textId="1A8FB9FC" w:rsidR="00311BC7" w:rsidRPr="00137A05" w:rsidRDefault="00BD6542" w:rsidP="00B00250">
      <w:pPr>
        <w:spacing w:line="360" w:lineRule="auto"/>
        <w:jc w:val="both"/>
        <w:rPr>
          <w:rFonts w:ascii="Arial" w:hAnsi="Arial" w:cs="Arial"/>
          <w:sz w:val="24"/>
          <w:szCs w:val="24"/>
        </w:rPr>
      </w:pPr>
      <w:r w:rsidRPr="00137A05">
        <w:rPr>
          <w:rFonts w:ascii="Arial" w:hAnsi="Arial" w:cs="Arial"/>
          <w:sz w:val="24"/>
          <w:szCs w:val="24"/>
        </w:rPr>
        <w:t>I used ChatGPT as a supporting tool during the development of this report. It was only used to assist me with organisation of sections, to clarify my content and to ensure that all the necessary financial topics had been covered, and to present calculations and tables in a professional manner. The investment calculations, ratio, capital rationing analysis and graphs were prepared using Microsoft Excel. All outputs checked prior to inclusion. The AI-use acknowledgement should therefore state that ChatGPT supported drafting, structuring and checking, while I retained responsibility for the final analysis, evidence selection, calculations and recommendations. OpenAI offers controls for managing their interactions with ChatGPT, which further emphasizes the need for people to use the tool transparently and with caution (OpenAI, 2026).</w:t>
      </w:r>
    </w:p>
    <w:p w14:paraId="35BB240A" w14:textId="77777777" w:rsidR="00B00250" w:rsidRPr="00137A05" w:rsidRDefault="00B00250" w:rsidP="00B00250">
      <w:pPr>
        <w:pStyle w:val="Heading2"/>
        <w:numPr>
          <w:ilvl w:val="1"/>
          <w:numId w:val="1"/>
        </w:numPr>
        <w:spacing w:line="360" w:lineRule="auto"/>
        <w:rPr>
          <w:rFonts w:ascii="Arial" w:hAnsi="Arial" w:cs="Arial"/>
          <w:sz w:val="24"/>
          <w:szCs w:val="24"/>
        </w:rPr>
      </w:pPr>
      <w:bookmarkStart w:id="25" w:name="_Toc235788229"/>
      <w:r w:rsidRPr="00137A05">
        <w:rPr>
          <w:rFonts w:ascii="Arial" w:hAnsi="Arial" w:cs="Arial"/>
          <w:sz w:val="24"/>
          <w:szCs w:val="24"/>
        </w:rPr>
        <w:t>Critical Evaluation of AI Output</w:t>
      </w:r>
      <w:bookmarkEnd w:id="25"/>
    </w:p>
    <w:p w14:paraId="543820B9" w14:textId="32623F2D" w:rsidR="00410BF9" w:rsidRPr="005D6524" w:rsidRDefault="00410BF9" w:rsidP="00410BF9">
      <w:pPr>
        <w:spacing w:line="360" w:lineRule="auto"/>
        <w:jc w:val="both"/>
        <w:rPr>
          <w:rFonts w:ascii="Arial" w:hAnsi="Arial" w:cs="Arial"/>
        </w:rPr>
      </w:pPr>
      <w:r w:rsidRPr="00137A05">
        <w:rPr>
          <w:rFonts w:ascii="Arial" w:hAnsi="Arial" w:cs="Arial"/>
          <w:sz w:val="24"/>
          <w:szCs w:val="24"/>
        </w:rPr>
        <w:t>I did not assume that AI-generated statements were accurate. Financials were verified with IHG annual reports, results announcements and the Excel model. Re-calculated ratios, NPV, IRR, Profitability Index, ARR and Payback period and compared with the spreadsheet formula. I also checked currencies, reporting years, definitions and whether each interpretation logically followed from the evidence</w:t>
      </w:r>
      <w:r w:rsidR="005D6524">
        <w:rPr>
          <w:rFonts w:ascii="Arial" w:hAnsi="Arial" w:cs="Arial"/>
          <w:sz w:val="24"/>
          <w:szCs w:val="24"/>
        </w:rPr>
        <w:t xml:space="preserve"> </w:t>
      </w:r>
      <w:r w:rsidR="005D6524" w:rsidRPr="009E1576">
        <w:rPr>
          <w:rFonts w:ascii="Arial" w:hAnsi="Arial" w:cs="Arial"/>
        </w:rPr>
        <w:t>(Whelan, Atz and Clark, 2021</w:t>
      </w:r>
      <w:r w:rsidR="005D6524">
        <w:rPr>
          <w:rFonts w:ascii="Arial" w:hAnsi="Arial" w:cs="Arial"/>
        </w:rPr>
        <w:t>),</w:t>
      </w:r>
      <w:r w:rsidR="005D6524" w:rsidRPr="009E1576">
        <w:rPr>
          <w:rFonts w:ascii="Arial" w:hAnsi="Arial" w:cs="Arial"/>
        </w:rPr>
        <w:t xml:space="preserve"> </w:t>
      </w:r>
    </w:p>
    <w:p w14:paraId="424769C8" w14:textId="70BE233C" w:rsidR="00B203B0" w:rsidRPr="00137A05" w:rsidRDefault="00410BF9" w:rsidP="00410BF9">
      <w:pPr>
        <w:spacing w:line="360" w:lineRule="auto"/>
        <w:jc w:val="both"/>
        <w:rPr>
          <w:rFonts w:ascii="Arial" w:hAnsi="Arial" w:cs="Arial"/>
          <w:sz w:val="24"/>
          <w:szCs w:val="24"/>
        </w:rPr>
      </w:pPr>
      <w:r w:rsidRPr="00137A05">
        <w:rPr>
          <w:rFonts w:ascii="Arial" w:hAnsi="Arial" w:cs="Arial"/>
          <w:sz w:val="24"/>
          <w:szCs w:val="24"/>
        </w:rPr>
        <w:t xml:space="preserve">Hallucinations were considered where the AI response included an unsupported number, mixed up reported and adjusted measures, or used an incorrect formula. For </w:t>
      </w:r>
      <w:r w:rsidR="006A1136" w:rsidRPr="00137A05">
        <w:rPr>
          <w:rFonts w:ascii="Arial" w:hAnsi="Arial" w:cs="Arial"/>
          <w:sz w:val="24"/>
          <w:szCs w:val="24"/>
        </w:rPr>
        <w:t>instance,</w:t>
      </w:r>
      <w:r w:rsidRPr="00137A05">
        <w:rPr>
          <w:rFonts w:ascii="Arial" w:hAnsi="Arial" w:cs="Arial"/>
          <w:sz w:val="24"/>
          <w:szCs w:val="24"/>
        </w:rPr>
        <w:t xml:space="preserve"> in the case of IHG, conventional debt-to-equity analysis was not applicable as the company had negative equity. In the same way, the cash operating cycle needed qualification because there was no complete matching of payables and cost of sales. These problems have been addressed by source checking, recalculation and better limitations. The reason for this verification is the fact that professional accountants are still held accountable for judgment in the use of technology (IESBA, 2026).</w:t>
      </w:r>
    </w:p>
    <w:p w14:paraId="6C245DFD" w14:textId="77777777" w:rsidR="00B00250" w:rsidRPr="00137A05" w:rsidRDefault="00B00250" w:rsidP="00B00250">
      <w:pPr>
        <w:pStyle w:val="Heading2"/>
        <w:numPr>
          <w:ilvl w:val="1"/>
          <w:numId w:val="1"/>
        </w:numPr>
        <w:spacing w:line="360" w:lineRule="auto"/>
        <w:rPr>
          <w:rFonts w:ascii="Arial" w:hAnsi="Arial" w:cs="Arial"/>
          <w:sz w:val="24"/>
          <w:szCs w:val="24"/>
        </w:rPr>
      </w:pPr>
      <w:bookmarkStart w:id="26" w:name="_Toc235788230"/>
      <w:r w:rsidRPr="00137A05">
        <w:rPr>
          <w:rFonts w:ascii="Arial" w:hAnsi="Arial" w:cs="Arial"/>
          <w:sz w:val="24"/>
          <w:szCs w:val="24"/>
        </w:rPr>
        <w:lastRenderedPageBreak/>
        <w:t>Contribution Analysis</w:t>
      </w:r>
      <w:bookmarkEnd w:id="26"/>
    </w:p>
    <w:p w14:paraId="31383EC7" w14:textId="77777777" w:rsidR="00041AB4" w:rsidRPr="00137A05" w:rsidRDefault="00041AB4" w:rsidP="00041AB4">
      <w:pPr>
        <w:spacing w:line="360" w:lineRule="auto"/>
        <w:jc w:val="both"/>
        <w:rPr>
          <w:rFonts w:ascii="Arial" w:hAnsi="Arial" w:cs="Arial"/>
          <w:sz w:val="24"/>
          <w:szCs w:val="24"/>
        </w:rPr>
      </w:pPr>
      <w:r w:rsidRPr="00137A05">
        <w:rPr>
          <w:rFonts w:ascii="Arial" w:hAnsi="Arial" w:cs="Arial"/>
          <w:sz w:val="24"/>
          <w:szCs w:val="24"/>
        </w:rPr>
        <w:t>AI helped with structure, wording, summaries and presentation. However, I made the final decisions about which evidence was relevant, how financial trends should be interpreted and which strategy should be recommended. I was responsible for the links between increasing profitability and the poor liquidity, assessing the shareholder distribution in relation to operating cash flow, analyzing the restructuring options and choosing Project C under capital rationing.</w:t>
      </w:r>
    </w:p>
    <w:p w14:paraId="2CEC8EA0" w14:textId="5FB91037" w:rsidR="00886DE7" w:rsidRPr="00445816" w:rsidRDefault="00041AB4" w:rsidP="00041AB4">
      <w:pPr>
        <w:spacing w:line="360" w:lineRule="auto"/>
        <w:jc w:val="both"/>
        <w:rPr>
          <w:rFonts w:ascii="Arial" w:hAnsi="Arial" w:cs="Arial"/>
        </w:rPr>
      </w:pPr>
      <w:r w:rsidRPr="00137A05">
        <w:rPr>
          <w:rFonts w:ascii="Arial" w:hAnsi="Arial" w:cs="Arial"/>
          <w:sz w:val="24"/>
          <w:szCs w:val="24"/>
        </w:rPr>
        <w:t>I also calculated the impact of non-financial risks such as political uncertainty, currency exposure, customer loyalty and ESG responsibilities on the recommendation. So, the final strategic synthesis is my interpretation of the evidence. I understand that AI acted as a supporting tool rather than a decision-making entity, and that I personally was responsible for all of the conclusions I included in the report</w:t>
      </w:r>
      <w:r w:rsidR="00445816">
        <w:rPr>
          <w:rFonts w:ascii="Arial" w:hAnsi="Arial" w:cs="Arial"/>
          <w:sz w:val="24"/>
          <w:szCs w:val="24"/>
        </w:rPr>
        <w:t xml:space="preserve"> </w:t>
      </w:r>
      <w:r w:rsidR="00445816" w:rsidRPr="009E1576">
        <w:rPr>
          <w:rFonts w:ascii="Arial" w:hAnsi="Arial" w:cs="Arial"/>
        </w:rPr>
        <w:t>(Nirino et al., 2021</w:t>
      </w:r>
      <w:r w:rsidR="00445816">
        <w:rPr>
          <w:rFonts w:ascii="Arial" w:hAnsi="Arial" w:cs="Arial"/>
        </w:rPr>
        <w:t>),</w:t>
      </w:r>
      <w:r w:rsidR="00445816" w:rsidRPr="009E1576">
        <w:rPr>
          <w:rFonts w:ascii="Arial" w:hAnsi="Arial" w:cs="Arial"/>
        </w:rPr>
        <w:t xml:space="preserve"> </w:t>
      </w:r>
    </w:p>
    <w:p w14:paraId="67DC3B03" w14:textId="77777777" w:rsidR="00B00250" w:rsidRPr="00137A05" w:rsidRDefault="00B00250" w:rsidP="00B00250">
      <w:pPr>
        <w:pStyle w:val="Heading2"/>
        <w:numPr>
          <w:ilvl w:val="1"/>
          <w:numId w:val="1"/>
        </w:numPr>
        <w:spacing w:line="360" w:lineRule="auto"/>
        <w:rPr>
          <w:rFonts w:ascii="Arial" w:hAnsi="Arial" w:cs="Arial"/>
          <w:sz w:val="24"/>
          <w:szCs w:val="24"/>
        </w:rPr>
      </w:pPr>
      <w:bookmarkStart w:id="27" w:name="_Toc235788231"/>
      <w:r w:rsidRPr="00137A05">
        <w:rPr>
          <w:rFonts w:ascii="Arial" w:hAnsi="Arial" w:cs="Arial"/>
          <w:sz w:val="24"/>
          <w:szCs w:val="24"/>
        </w:rPr>
        <w:t>Ethical and Professional Reflection</w:t>
      </w:r>
      <w:bookmarkEnd w:id="27"/>
    </w:p>
    <w:p w14:paraId="1BFC5A06" w14:textId="77777777" w:rsidR="00F374E0" w:rsidRPr="00137A05" w:rsidRDefault="00F374E0" w:rsidP="00F374E0">
      <w:pPr>
        <w:spacing w:line="360" w:lineRule="auto"/>
        <w:jc w:val="both"/>
        <w:rPr>
          <w:rFonts w:ascii="Arial" w:hAnsi="Arial" w:cs="Arial"/>
          <w:sz w:val="24"/>
          <w:szCs w:val="24"/>
        </w:rPr>
      </w:pPr>
      <w:r w:rsidRPr="00137A05">
        <w:rPr>
          <w:rFonts w:ascii="Arial" w:hAnsi="Arial" w:cs="Arial"/>
          <w:sz w:val="24"/>
          <w:szCs w:val="24"/>
        </w:rPr>
        <w:t>Ethical implications of AI in finance include transparency, confidentiality, and accountability. AI support must be clearly indicated and not claimed to be an independent piece of work. Financial, employee or customer data should never be fed into public AI tools without consent. When using AI systems to process personal data, the ICO highlights the importance of adhering to the principles of data minimisation, data security, and protection of individual rights (ICO, n.d.).</w:t>
      </w:r>
    </w:p>
    <w:p w14:paraId="5B785EAD" w14:textId="3B1663A2" w:rsidR="00362727" w:rsidRPr="00137A05" w:rsidRDefault="00F374E0" w:rsidP="00F374E0">
      <w:pPr>
        <w:spacing w:line="360" w:lineRule="auto"/>
        <w:jc w:val="both"/>
        <w:rPr>
          <w:rFonts w:ascii="Arial" w:hAnsi="Arial" w:cs="Arial"/>
          <w:sz w:val="24"/>
          <w:szCs w:val="24"/>
        </w:rPr>
      </w:pPr>
      <w:r w:rsidRPr="00137A05">
        <w:rPr>
          <w:rFonts w:ascii="Arial" w:hAnsi="Arial" w:cs="Arial"/>
          <w:sz w:val="24"/>
          <w:szCs w:val="24"/>
        </w:rPr>
        <w:t>While AI can offer convincing conclusions, lack of understanding of the organization context or false precision when using it for decision making at the CFO level can be dangerous. Transparent, robust, accountable and meaningful human oversight are highlighted as principles of the OECD principles (OECD, 2024). I therefore treated AI as an administrative and analytical support tool, while retaining independent judgement, professional scepticism and responsibility for the final recommendations.</w:t>
      </w:r>
    </w:p>
    <w:p w14:paraId="0EF57AA9" w14:textId="77777777" w:rsidR="00362727" w:rsidRPr="00137A05" w:rsidRDefault="00362727" w:rsidP="00B00250">
      <w:pPr>
        <w:spacing w:line="360" w:lineRule="auto"/>
        <w:jc w:val="both"/>
        <w:rPr>
          <w:rFonts w:ascii="Arial" w:hAnsi="Arial" w:cs="Arial"/>
          <w:sz w:val="24"/>
          <w:szCs w:val="24"/>
        </w:rPr>
      </w:pPr>
    </w:p>
    <w:p w14:paraId="52178D37" w14:textId="77777777" w:rsidR="00B00250" w:rsidRPr="00137A05" w:rsidRDefault="00B00250" w:rsidP="00B00250">
      <w:pPr>
        <w:spacing w:line="360" w:lineRule="auto"/>
        <w:jc w:val="both"/>
        <w:rPr>
          <w:rFonts w:ascii="Arial" w:hAnsi="Arial" w:cs="Arial"/>
          <w:sz w:val="24"/>
          <w:szCs w:val="24"/>
        </w:rPr>
      </w:pPr>
    </w:p>
    <w:p w14:paraId="5192ADCC" w14:textId="77777777" w:rsidR="00864FD7" w:rsidRPr="00137A05" w:rsidRDefault="00864FD7" w:rsidP="00867906">
      <w:pPr>
        <w:spacing w:line="360" w:lineRule="auto"/>
        <w:jc w:val="both"/>
        <w:rPr>
          <w:rFonts w:ascii="Arial" w:hAnsi="Arial" w:cs="Arial"/>
          <w:sz w:val="24"/>
          <w:szCs w:val="24"/>
        </w:rPr>
      </w:pPr>
    </w:p>
    <w:p w14:paraId="0FE543F0" w14:textId="77777777" w:rsidR="003310E6" w:rsidRPr="00137A05" w:rsidRDefault="003310E6" w:rsidP="00F83209">
      <w:pPr>
        <w:spacing w:line="360" w:lineRule="auto"/>
        <w:rPr>
          <w:rFonts w:ascii="Arial" w:hAnsi="Arial" w:cs="Arial"/>
          <w:sz w:val="24"/>
          <w:szCs w:val="24"/>
        </w:rPr>
      </w:pPr>
    </w:p>
    <w:p w14:paraId="5F0FEB3E" w14:textId="77777777" w:rsidR="00E54F87" w:rsidRPr="00137A05" w:rsidRDefault="00E54F87" w:rsidP="00F83209">
      <w:pPr>
        <w:spacing w:line="360" w:lineRule="auto"/>
        <w:rPr>
          <w:rFonts w:ascii="Arial" w:hAnsi="Arial" w:cs="Arial"/>
          <w:sz w:val="24"/>
          <w:szCs w:val="24"/>
        </w:rPr>
      </w:pPr>
    </w:p>
    <w:p w14:paraId="52690F9C" w14:textId="74D14EB0" w:rsidR="0026022B" w:rsidRPr="00137A05" w:rsidRDefault="0026022B" w:rsidP="001F432E">
      <w:pPr>
        <w:pStyle w:val="Heading1"/>
        <w:spacing w:line="360" w:lineRule="auto"/>
        <w:jc w:val="both"/>
        <w:rPr>
          <w:rFonts w:ascii="Arial" w:hAnsi="Arial" w:cs="Arial"/>
          <w:sz w:val="24"/>
          <w:szCs w:val="24"/>
        </w:rPr>
      </w:pPr>
      <w:bookmarkStart w:id="28" w:name="_Toc235788232"/>
      <w:r w:rsidRPr="00137A05">
        <w:rPr>
          <w:rFonts w:ascii="Arial" w:hAnsi="Arial" w:cs="Arial"/>
          <w:sz w:val="24"/>
          <w:szCs w:val="24"/>
        </w:rPr>
        <w:lastRenderedPageBreak/>
        <w:t>References</w:t>
      </w:r>
      <w:bookmarkEnd w:id="28"/>
    </w:p>
    <w:p w14:paraId="641FE49A" w14:textId="77777777" w:rsidR="00084005" w:rsidRPr="00C45398" w:rsidRDefault="00084005" w:rsidP="00084005">
      <w:pPr>
        <w:spacing w:line="360" w:lineRule="auto"/>
        <w:jc w:val="both"/>
        <w:rPr>
          <w:rFonts w:ascii="Arial" w:hAnsi="Arial" w:cs="Arial"/>
          <w:sz w:val="24"/>
          <w:szCs w:val="24"/>
        </w:rPr>
      </w:pPr>
      <w:r w:rsidRPr="00C45398">
        <w:rPr>
          <w:rFonts w:ascii="Arial" w:hAnsi="Arial" w:cs="Arial"/>
          <w:sz w:val="24"/>
          <w:szCs w:val="24"/>
        </w:rPr>
        <w:t xml:space="preserve">Accor (2026) Consolidated financial statements and notes for the year ended 31 December 2025. Paris: Accor. Available at: </w:t>
      </w:r>
      <w:hyperlink r:id="rId21" w:history="1">
        <w:r w:rsidRPr="00C45398">
          <w:rPr>
            <w:rStyle w:val="Hyperlink"/>
            <w:rFonts w:ascii="Arial" w:hAnsi="Arial" w:cs="Arial"/>
            <w:sz w:val="24"/>
            <w:szCs w:val="24"/>
          </w:rPr>
          <w:t>https://assets.group.accor.com/yrj0orc8tx24/4il2zwx4sZhjt12PKcRaOQ/b79b3fe310c1e296d7149c608b1f2150/Accor-2025_Notes_to_Financial_Statements.pdf</w:t>
        </w:r>
      </w:hyperlink>
      <w:r w:rsidRPr="00C45398">
        <w:rPr>
          <w:rFonts w:ascii="Arial" w:hAnsi="Arial" w:cs="Arial"/>
          <w:sz w:val="24"/>
          <w:szCs w:val="24"/>
        </w:rPr>
        <w:t xml:space="preserve"> (Accessed: 20 July 2026).</w:t>
      </w:r>
    </w:p>
    <w:p w14:paraId="3691D591" w14:textId="77777777" w:rsidR="00084005" w:rsidRPr="00CA1FEA" w:rsidRDefault="00084005" w:rsidP="00084005">
      <w:pPr>
        <w:spacing w:line="360" w:lineRule="auto"/>
        <w:jc w:val="both"/>
        <w:rPr>
          <w:rFonts w:ascii="Arial" w:hAnsi="Arial" w:cs="Arial"/>
          <w:sz w:val="24"/>
          <w:szCs w:val="24"/>
        </w:rPr>
      </w:pPr>
      <w:r w:rsidRPr="00CA1FEA">
        <w:rPr>
          <w:rFonts w:ascii="Arial" w:hAnsi="Arial" w:cs="Arial"/>
          <w:sz w:val="24"/>
          <w:szCs w:val="24"/>
        </w:rPr>
        <w:t>Ahmad, N., Mobarek, A. and Roni, N.N. (2021). Revisiting the impact of ESG on financial performance of FTSE350 UK firms: Static and dynamic panel data analysis. Cogent Business &amp; Management, 8(1), p.1900500. doi:10.1080/23311975.2021.1900500.</w:t>
      </w:r>
    </w:p>
    <w:p w14:paraId="13BAEB8D" w14:textId="77777777" w:rsidR="00084005" w:rsidRPr="00C45398" w:rsidRDefault="00084005" w:rsidP="00084005">
      <w:pPr>
        <w:spacing w:line="360" w:lineRule="auto"/>
        <w:jc w:val="both"/>
        <w:rPr>
          <w:rFonts w:ascii="Arial" w:hAnsi="Arial" w:cs="Arial"/>
          <w:sz w:val="24"/>
          <w:szCs w:val="24"/>
        </w:rPr>
      </w:pPr>
      <w:r w:rsidRPr="00C45398">
        <w:rPr>
          <w:rFonts w:ascii="Arial" w:hAnsi="Arial" w:cs="Arial"/>
          <w:sz w:val="24"/>
          <w:szCs w:val="24"/>
        </w:rPr>
        <w:t xml:space="preserve">Association of Chartered Certified Accountants (ACCA) (n.d.) Ratio analysis. Available at: </w:t>
      </w:r>
      <w:hyperlink r:id="rId22" w:history="1">
        <w:r w:rsidRPr="00C45398">
          <w:rPr>
            <w:rStyle w:val="Hyperlink"/>
            <w:rFonts w:ascii="Arial" w:hAnsi="Arial" w:cs="Arial"/>
            <w:sz w:val="24"/>
            <w:szCs w:val="24"/>
          </w:rPr>
          <w:t>https://www.accaglobal.com/gb/en/student/exam-support-resources/fundamentals-exams-study-resources/f2/technical-articles/ratio-analysis.html</w:t>
        </w:r>
      </w:hyperlink>
      <w:r w:rsidRPr="00C45398">
        <w:rPr>
          <w:rFonts w:ascii="Arial" w:hAnsi="Arial" w:cs="Arial"/>
          <w:sz w:val="24"/>
          <w:szCs w:val="24"/>
        </w:rPr>
        <w:t xml:space="preserve"> (Accessed: 20 July 2026).</w:t>
      </w:r>
    </w:p>
    <w:p w14:paraId="04EB4BD4" w14:textId="77777777" w:rsidR="00084005" w:rsidRPr="00C45398" w:rsidRDefault="00084005" w:rsidP="00084005">
      <w:pPr>
        <w:spacing w:line="360" w:lineRule="auto"/>
        <w:jc w:val="both"/>
        <w:rPr>
          <w:rFonts w:ascii="Arial" w:hAnsi="Arial" w:cs="Arial"/>
          <w:sz w:val="24"/>
          <w:szCs w:val="24"/>
        </w:rPr>
      </w:pPr>
      <w:r w:rsidRPr="00C45398">
        <w:rPr>
          <w:rFonts w:ascii="Arial" w:hAnsi="Arial" w:cs="Arial"/>
          <w:sz w:val="24"/>
          <w:szCs w:val="24"/>
        </w:rPr>
        <w:t xml:space="preserve">Association of Chartered Certified Accountants (ACCA) (n.d.) The internal rate of return. Available at: </w:t>
      </w:r>
      <w:hyperlink r:id="rId23" w:history="1">
        <w:r w:rsidRPr="00C45398">
          <w:rPr>
            <w:rStyle w:val="Hyperlink"/>
            <w:rFonts w:ascii="Arial" w:hAnsi="Arial" w:cs="Arial"/>
            <w:sz w:val="24"/>
            <w:szCs w:val="24"/>
          </w:rPr>
          <w:t>https://www.accaglobal.com/gb/en/student/exam-support-resources/foundation-level-study-resources/ffm/ffm-technical-articles/the-internal-rate-of-return.html</w:t>
        </w:r>
      </w:hyperlink>
      <w:r w:rsidRPr="00C45398">
        <w:rPr>
          <w:rFonts w:ascii="Arial" w:hAnsi="Arial" w:cs="Arial"/>
          <w:sz w:val="24"/>
          <w:szCs w:val="24"/>
        </w:rPr>
        <w:t xml:space="preserve"> (Accessed: 20 July 2026).</w:t>
      </w:r>
    </w:p>
    <w:p w14:paraId="51C8C20E" w14:textId="77777777" w:rsidR="00084005" w:rsidRPr="00C45398" w:rsidRDefault="00084005" w:rsidP="00084005">
      <w:pPr>
        <w:spacing w:line="360" w:lineRule="auto"/>
        <w:jc w:val="both"/>
        <w:rPr>
          <w:rFonts w:ascii="Arial" w:hAnsi="Arial" w:cs="Arial"/>
          <w:sz w:val="24"/>
          <w:szCs w:val="24"/>
        </w:rPr>
      </w:pPr>
      <w:r w:rsidRPr="00C45398">
        <w:rPr>
          <w:rFonts w:ascii="Arial" w:hAnsi="Arial" w:cs="Arial"/>
          <w:sz w:val="24"/>
          <w:szCs w:val="24"/>
        </w:rPr>
        <w:t xml:space="preserve">Association of Chartered Certified Accountants (ACCA) (n.d.-a) Advanced investment appraisal. Available at: </w:t>
      </w:r>
      <w:hyperlink r:id="rId24" w:history="1">
        <w:r w:rsidRPr="00C45398">
          <w:rPr>
            <w:rStyle w:val="Hyperlink"/>
            <w:rFonts w:ascii="Arial" w:hAnsi="Arial" w:cs="Arial"/>
            <w:sz w:val="24"/>
            <w:szCs w:val="24"/>
          </w:rPr>
          <w:t>https://www.accaglobal.com/gb/en/student/exam-support-resources/fundamentals-exams-study-resources/f9/technical-articles/advanced-investment-appraisal.html</w:t>
        </w:r>
      </w:hyperlink>
      <w:r w:rsidRPr="00C45398">
        <w:rPr>
          <w:rFonts w:ascii="Arial" w:hAnsi="Arial" w:cs="Arial"/>
          <w:sz w:val="24"/>
          <w:szCs w:val="24"/>
        </w:rPr>
        <w:t xml:space="preserve"> (Accessed: 20 July 2026).</w:t>
      </w:r>
    </w:p>
    <w:p w14:paraId="1DC97C36" w14:textId="77777777" w:rsidR="00084005" w:rsidRPr="00C45398" w:rsidRDefault="00084005" w:rsidP="00084005">
      <w:pPr>
        <w:spacing w:line="360" w:lineRule="auto"/>
        <w:jc w:val="both"/>
        <w:rPr>
          <w:rFonts w:ascii="Arial" w:hAnsi="Arial" w:cs="Arial"/>
          <w:sz w:val="24"/>
          <w:szCs w:val="24"/>
        </w:rPr>
      </w:pPr>
      <w:r w:rsidRPr="00C45398">
        <w:rPr>
          <w:rFonts w:ascii="Arial" w:hAnsi="Arial" w:cs="Arial"/>
          <w:sz w:val="24"/>
          <w:szCs w:val="24"/>
        </w:rPr>
        <w:t xml:space="preserve">Association of Chartered Certified Accountants (ACCA) (n.d.-d) Working capital management. Available at: </w:t>
      </w:r>
      <w:hyperlink r:id="rId25" w:history="1">
        <w:r w:rsidRPr="00C45398">
          <w:rPr>
            <w:rStyle w:val="Hyperlink"/>
            <w:rFonts w:ascii="Arial" w:hAnsi="Arial" w:cs="Arial"/>
            <w:sz w:val="24"/>
            <w:szCs w:val="24"/>
          </w:rPr>
          <w:t>https://www.accaglobal.com/gb/en/student/exam-support-resources/fundamentals-exams-study-resources/f9/technical-articles/wcm.html</w:t>
        </w:r>
      </w:hyperlink>
      <w:r w:rsidRPr="00C45398">
        <w:rPr>
          <w:rFonts w:ascii="Arial" w:hAnsi="Arial" w:cs="Arial"/>
          <w:sz w:val="24"/>
          <w:szCs w:val="24"/>
        </w:rPr>
        <w:t xml:space="preserve"> (Accessed: 20 July 2026).</w:t>
      </w:r>
    </w:p>
    <w:p w14:paraId="55AEF763" w14:textId="77777777" w:rsidR="00084005" w:rsidRPr="00CA1FEA" w:rsidRDefault="00084005" w:rsidP="00084005">
      <w:pPr>
        <w:spacing w:line="360" w:lineRule="auto"/>
        <w:jc w:val="both"/>
        <w:rPr>
          <w:rFonts w:ascii="Arial" w:hAnsi="Arial" w:cs="Arial"/>
          <w:sz w:val="24"/>
          <w:szCs w:val="24"/>
        </w:rPr>
      </w:pPr>
      <w:r w:rsidRPr="00CA1FEA">
        <w:rPr>
          <w:rFonts w:ascii="Arial" w:hAnsi="Arial" w:cs="Arial"/>
          <w:sz w:val="24"/>
          <w:szCs w:val="24"/>
        </w:rPr>
        <w:t>Atz, U., Van Holt, T., Liu, Z.Z. and Bruno, C.C. (2022). Does sustainability generate better financial performance? review, meta-analysis, and propositions. Journal of Sustainable Finance &amp; Investment, 13(1), pp.1–24.</w:t>
      </w:r>
    </w:p>
    <w:p w14:paraId="34556DA7" w14:textId="77777777" w:rsidR="00084005" w:rsidRPr="00CA1FEA" w:rsidRDefault="00084005" w:rsidP="00084005">
      <w:pPr>
        <w:spacing w:line="360" w:lineRule="auto"/>
        <w:jc w:val="both"/>
        <w:rPr>
          <w:rFonts w:ascii="Arial" w:hAnsi="Arial" w:cs="Arial"/>
          <w:sz w:val="24"/>
          <w:szCs w:val="24"/>
        </w:rPr>
      </w:pPr>
      <w:r w:rsidRPr="00CA1FEA">
        <w:rPr>
          <w:rFonts w:ascii="Arial" w:hAnsi="Arial" w:cs="Arial"/>
          <w:sz w:val="24"/>
          <w:szCs w:val="24"/>
        </w:rPr>
        <w:lastRenderedPageBreak/>
        <w:t>Chairani, C. and Siregar, S.V. (2021). The effect of enterprise risk management on financial performance and firm value: the role of environmental, social and governance performance. Meditari Accountancy Research, 29(3), pp.647–670. doi:10.1108/medar-09-2019-0549.</w:t>
      </w:r>
    </w:p>
    <w:p w14:paraId="4C5C6D98" w14:textId="77777777" w:rsidR="00084005" w:rsidRPr="00CA1FEA" w:rsidRDefault="00084005" w:rsidP="00084005">
      <w:pPr>
        <w:spacing w:line="360" w:lineRule="auto"/>
        <w:jc w:val="both"/>
        <w:rPr>
          <w:rFonts w:ascii="Arial" w:hAnsi="Arial" w:cs="Arial"/>
          <w:sz w:val="24"/>
          <w:szCs w:val="24"/>
        </w:rPr>
      </w:pPr>
      <w:r w:rsidRPr="00CA1FEA">
        <w:rPr>
          <w:rFonts w:ascii="Arial" w:hAnsi="Arial" w:cs="Arial"/>
          <w:sz w:val="24"/>
          <w:szCs w:val="24"/>
        </w:rPr>
        <w:t>Chen, S., Yu, S. and Gao, P. (2023). Environmental, social, and Governance (ESG) Performance and Financial outcomes: Analyzing the Impact of ESG on Financial Performance. Journal of Environmental Management, 345(1), pp.118829–118829. doi:10.1016/j.jenvman.2023.118829.</w:t>
      </w:r>
    </w:p>
    <w:p w14:paraId="10E53677" w14:textId="77777777" w:rsidR="00084005" w:rsidRPr="00CA1FEA" w:rsidRDefault="00084005" w:rsidP="00084005">
      <w:pPr>
        <w:spacing w:line="360" w:lineRule="auto"/>
        <w:jc w:val="both"/>
        <w:rPr>
          <w:rFonts w:ascii="Arial" w:hAnsi="Arial" w:cs="Arial"/>
          <w:sz w:val="24"/>
          <w:szCs w:val="24"/>
        </w:rPr>
      </w:pPr>
      <w:r w:rsidRPr="00CA1FEA">
        <w:rPr>
          <w:rFonts w:ascii="Arial" w:hAnsi="Arial" w:cs="Arial"/>
          <w:sz w:val="24"/>
          <w:szCs w:val="24"/>
        </w:rPr>
        <w:t>Coelho, R., Jayantilal, S. and Ferreira, J.J. (2023). The impact of social responsibility on corporate financial performance: A systematic literature review. Corporate Social Responsibility and Environmental Management, 30(4), pp.1535–1560.</w:t>
      </w:r>
    </w:p>
    <w:p w14:paraId="44672954" w14:textId="77777777" w:rsidR="00084005" w:rsidRPr="00C45398" w:rsidRDefault="00084005" w:rsidP="00084005">
      <w:pPr>
        <w:spacing w:line="360" w:lineRule="auto"/>
        <w:jc w:val="both"/>
        <w:rPr>
          <w:rFonts w:ascii="Arial" w:hAnsi="Arial" w:cs="Arial"/>
          <w:sz w:val="24"/>
          <w:szCs w:val="24"/>
        </w:rPr>
      </w:pPr>
      <w:r w:rsidRPr="00C45398">
        <w:rPr>
          <w:rFonts w:ascii="Arial" w:hAnsi="Arial" w:cs="Arial"/>
          <w:sz w:val="24"/>
          <w:szCs w:val="24"/>
        </w:rPr>
        <w:t xml:space="preserve">Hilton Worldwide Holdings Inc. (2026) Annual report on Form 10-K for the fiscal year ended 31 December 2025. McLean, VA: Hilton Worldwide Holdings Inc. Available at: </w:t>
      </w:r>
      <w:hyperlink r:id="rId26" w:history="1">
        <w:r w:rsidRPr="00C45398">
          <w:rPr>
            <w:rStyle w:val="Hyperlink"/>
            <w:rFonts w:ascii="Arial" w:hAnsi="Arial" w:cs="Arial"/>
            <w:sz w:val="24"/>
            <w:szCs w:val="24"/>
          </w:rPr>
          <w:t>https://stories.hilton.com/2025-10K</w:t>
        </w:r>
      </w:hyperlink>
      <w:r w:rsidRPr="00C45398">
        <w:rPr>
          <w:rFonts w:ascii="Arial" w:hAnsi="Arial" w:cs="Arial"/>
          <w:sz w:val="24"/>
          <w:szCs w:val="24"/>
        </w:rPr>
        <w:t xml:space="preserve"> (Accessed: 20 July 2026).</w:t>
      </w:r>
    </w:p>
    <w:p w14:paraId="44A95AE6" w14:textId="77777777" w:rsidR="00084005" w:rsidRPr="00C45398" w:rsidRDefault="00084005" w:rsidP="00084005">
      <w:pPr>
        <w:spacing w:line="360" w:lineRule="auto"/>
        <w:jc w:val="both"/>
        <w:rPr>
          <w:rFonts w:ascii="Arial" w:hAnsi="Arial" w:cs="Arial"/>
          <w:sz w:val="24"/>
          <w:szCs w:val="24"/>
        </w:rPr>
      </w:pPr>
      <w:r w:rsidRPr="00C45398">
        <w:rPr>
          <w:rFonts w:ascii="Arial" w:hAnsi="Arial" w:cs="Arial"/>
          <w:sz w:val="24"/>
          <w:szCs w:val="24"/>
        </w:rPr>
        <w:t xml:space="preserve">Information Commissioner’s Office (ICO) (n.d.) Guidance on AI and data protection: About this guidance. Wilmslow: Information Commissioner’s Office. Available at: </w:t>
      </w:r>
      <w:hyperlink r:id="rId27" w:history="1">
        <w:r w:rsidRPr="00C45398">
          <w:rPr>
            <w:rStyle w:val="Hyperlink"/>
            <w:rFonts w:ascii="Arial" w:hAnsi="Arial" w:cs="Arial"/>
            <w:sz w:val="24"/>
            <w:szCs w:val="24"/>
          </w:rPr>
          <w:t>https://ico.org.uk/for-organisations/uk-gdpr-guidance-and-resources/artificial-intelligence/guidance-on-ai-and-data-protection/about-this-guidance/</w:t>
        </w:r>
      </w:hyperlink>
      <w:r w:rsidRPr="00C45398">
        <w:rPr>
          <w:rFonts w:ascii="Arial" w:hAnsi="Arial" w:cs="Arial"/>
          <w:sz w:val="24"/>
          <w:szCs w:val="24"/>
        </w:rPr>
        <w:t xml:space="preserve"> (Accessed: 20 July 2026).</w:t>
      </w:r>
    </w:p>
    <w:p w14:paraId="30110C29" w14:textId="77777777" w:rsidR="00084005" w:rsidRPr="00C45398" w:rsidRDefault="00084005" w:rsidP="00084005">
      <w:pPr>
        <w:spacing w:line="360" w:lineRule="auto"/>
        <w:jc w:val="both"/>
        <w:rPr>
          <w:rFonts w:ascii="Arial" w:hAnsi="Arial" w:cs="Arial"/>
          <w:sz w:val="24"/>
          <w:szCs w:val="24"/>
        </w:rPr>
      </w:pPr>
      <w:r w:rsidRPr="00C45398">
        <w:rPr>
          <w:rFonts w:ascii="Arial" w:hAnsi="Arial" w:cs="Arial"/>
          <w:sz w:val="24"/>
          <w:szCs w:val="24"/>
        </w:rPr>
        <w:t xml:space="preserve">InterContinental Hotels Group PLC (IHG) (2022) Annual report and Form 20-F 2021. Windsor: InterContinental Hotels Group PLC. Available at: </w:t>
      </w:r>
      <w:hyperlink r:id="rId28" w:history="1">
        <w:r w:rsidRPr="00C45398">
          <w:rPr>
            <w:rStyle w:val="Hyperlink"/>
            <w:rFonts w:ascii="Arial" w:hAnsi="Arial" w:cs="Arial"/>
            <w:sz w:val="24"/>
            <w:szCs w:val="24"/>
          </w:rPr>
          <w:t>https://www.ihgplc.com/en/investors/2021-annual-report</w:t>
        </w:r>
      </w:hyperlink>
      <w:r w:rsidRPr="00C45398">
        <w:rPr>
          <w:rFonts w:ascii="Arial" w:hAnsi="Arial" w:cs="Arial"/>
          <w:sz w:val="24"/>
          <w:szCs w:val="24"/>
        </w:rPr>
        <w:t xml:space="preserve"> (Accessed: 20 July 2026).</w:t>
      </w:r>
    </w:p>
    <w:p w14:paraId="190C5C3C" w14:textId="77777777" w:rsidR="00084005" w:rsidRPr="00C45398" w:rsidRDefault="00084005" w:rsidP="00084005">
      <w:pPr>
        <w:spacing w:line="360" w:lineRule="auto"/>
        <w:jc w:val="both"/>
        <w:rPr>
          <w:rFonts w:ascii="Arial" w:hAnsi="Arial" w:cs="Arial"/>
          <w:sz w:val="24"/>
          <w:szCs w:val="24"/>
        </w:rPr>
      </w:pPr>
      <w:r w:rsidRPr="00C45398">
        <w:rPr>
          <w:rFonts w:ascii="Arial" w:hAnsi="Arial" w:cs="Arial"/>
          <w:sz w:val="24"/>
          <w:szCs w:val="24"/>
        </w:rPr>
        <w:t xml:space="preserve">InterContinental Hotels Group PLC (IHG) (2023) Annual report and Form 20-F 2022. Windsor: InterContinental Hotels Group PLC. Available at: </w:t>
      </w:r>
      <w:hyperlink r:id="rId29" w:history="1">
        <w:r w:rsidRPr="00C45398">
          <w:rPr>
            <w:rStyle w:val="Hyperlink"/>
            <w:rFonts w:ascii="Arial" w:hAnsi="Arial" w:cs="Arial"/>
            <w:sz w:val="24"/>
            <w:szCs w:val="24"/>
          </w:rPr>
          <w:t>https://www.ihgplc.com/~/media/Files/I/Ihg-Plc/investors/annual-report/annual-report-2022.pdf</w:t>
        </w:r>
      </w:hyperlink>
      <w:r w:rsidRPr="00C45398">
        <w:rPr>
          <w:rFonts w:ascii="Arial" w:hAnsi="Arial" w:cs="Arial"/>
          <w:sz w:val="24"/>
          <w:szCs w:val="24"/>
        </w:rPr>
        <w:t xml:space="preserve"> (Accessed: 20 July 2026).</w:t>
      </w:r>
    </w:p>
    <w:p w14:paraId="0A3B2D63" w14:textId="77777777" w:rsidR="00084005" w:rsidRPr="00C45398" w:rsidRDefault="00084005" w:rsidP="00084005">
      <w:pPr>
        <w:spacing w:line="360" w:lineRule="auto"/>
        <w:jc w:val="both"/>
        <w:rPr>
          <w:rFonts w:ascii="Arial" w:hAnsi="Arial" w:cs="Arial"/>
          <w:sz w:val="24"/>
          <w:szCs w:val="24"/>
        </w:rPr>
      </w:pPr>
      <w:r w:rsidRPr="00C45398">
        <w:rPr>
          <w:rFonts w:ascii="Arial" w:hAnsi="Arial" w:cs="Arial"/>
          <w:sz w:val="24"/>
          <w:szCs w:val="24"/>
        </w:rPr>
        <w:t xml:space="preserve">InterContinental Hotels Group PLC (IHG) (2025) Annual report and Form 20-F 2024. Windsor: InterContinental Hotels Group PLC. Available at: </w:t>
      </w:r>
      <w:hyperlink r:id="rId30" w:history="1">
        <w:r w:rsidRPr="00C45398">
          <w:rPr>
            <w:rStyle w:val="Hyperlink"/>
            <w:rFonts w:ascii="Arial" w:hAnsi="Arial" w:cs="Arial"/>
            <w:sz w:val="24"/>
            <w:szCs w:val="24"/>
          </w:rPr>
          <w:t>https://www.ihgplc.com/~/media/Files/I/Ihg-Plc/investors/annual-report/2024/ihg-ar-2024.pdf</w:t>
        </w:r>
      </w:hyperlink>
      <w:r w:rsidRPr="00C45398">
        <w:rPr>
          <w:rFonts w:ascii="Arial" w:hAnsi="Arial" w:cs="Arial"/>
          <w:sz w:val="24"/>
          <w:szCs w:val="24"/>
        </w:rPr>
        <w:t xml:space="preserve"> (Accessed: 20 July 2026).</w:t>
      </w:r>
    </w:p>
    <w:p w14:paraId="1B48DC4D" w14:textId="77777777" w:rsidR="00084005" w:rsidRPr="00C45398" w:rsidRDefault="00084005" w:rsidP="00084005">
      <w:pPr>
        <w:spacing w:line="360" w:lineRule="auto"/>
        <w:jc w:val="both"/>
        <w:rPr>
          <w:rFonts w:ascii="Arial" w:hAnsi="Arial" w:cs="Arial"/>
          <w:sz w:val="24"/>
          <w:szCs w:val="24"/>
        </w:rPr>
      </w:pPr>
      <w:r w:rsidRPr="00C45398">
        <w:rPr>
          <w:rFonts w:ascii="Arial" w:hAnsi="Arial" w:cs="Arial"/>
          <w:sz w:val="24"/>
          <w:szCs w:val="24"/>
        </w:rPr>
        <w:lastRenderedPageBreak/>
        <w:t xml:space="preserve">InterContinental Hotels Group PLC (IHG) (2026) Annual report and Form 20-F 2025. Windsor: InterContinental Hotels Group PLC. Available at: </w:t>
      </w:r>
      <w:hyperlink r:id="rId31" w:history="1">
        <w:r w:rsidRPr="00C45398">
          <w:rPr>
            <w:rStyle w:val="Hyperlink"/>
            <w:rFonts w:ascii="Arial" w:hAnsi="Arial" w:cs="Arial"/>
            <w:sz w:val="24"/>
            <w:szCs w:val="24"/>
          </w:rPr>
          <w:t>https://www.ihgplc.com/~/media/Files/I/Ihg-Plc/investors/annual-report/2025/ihg-ar25-interactive.pdf</w:t>
        </w:r>
      </w:hyperlink>
      <w:r w:rsidRPr="00C45398">
        <w:rPr>
          <w:rFonts w:ascii="Arial" w:hAnsi="Arial" w:cs="Arial"/>
          <w:sz w:val="24"/>
          <w:szCs w:val="24"/>
        </w:rPr>
        <w:t xml:space="preserve"> (Accessed: 20 July 2026).</w:t>
      </w:r>
    </w:p>
    <w:p w14:paraId="55382554" w14:textId="77777777" w:rsidR="00084005" w:rsidRPr="00C45398" w:rsidRDefault="00084005" w:rsidP="00084005">
      <w:pPr>
        <w:spacing w:line="360" w:lineRule="auto"/>
        <w:jc w:val="both"/>
        <w:rPr>
          <w:rFonts w:ascii="Arial" w:hAnsi="Arial" w:cs="Arial"/>
          <w:sz w:val="24"/>
          <w:szCs w:val="24"/>
        </w:rPr>
      </w:pPr>
      <w:r w:rsidRPr="00C45398">
        <w:rPr>
          <w:rFonts w:ascii="Arial" w:hAnsi="Arial" w:cs="Arial"/>
          <w:sz w:val="24"/>
          <w:szCs w:val="24"/>
        </w:rPr>
        <w:t xml:space="preserve">InterContinental Hotels Group PLC (IHG) (2026) Debt investors. Available at: </w:t>
      </w:r>
      <w:hyperlink r:id="rId32" w:history="1">
        <w:r w:rsidRPr="00C45398">
          <w:rPr>
            <w:rStyle w:val="Hyperlink"/>
            <w:rFonts w:ascii="Arial" w:hAnsi="Arial" w:cs="Arial"/>
            <w:sz w:val="24"/>
            <w:szCs w:val="24"/>
          </w:rPr>
          <w:t>https://www.ihgplc.com/en/investors/debt-investor</w:t>
        </w:r>
      </w:hyperlink>
      <w:r w:rsidRPr="00C45398">
        <w:rPr>
          <w:rFonts w:ascii="Arial" w:hAnsi="Arial" w:cs="Arial"/>
          <w:sz w:val="24"/>
          <w:szCs w:val="24"/>
        </w:rPr>
        <w:t xml:space="preserve"> (Accessed: 20 July 2026).</w:t>
      </w:r>
    </w:p>
    <w:p w14:paraId="65FCD98F" w14:textId="77777777" w:rsidR="00084005" w:rsidRPr="00C45398" w:rsidRDefault="00084005" w:rsidP="00084005">
      <w:pPr>
        <w:spacing w:line="360" w:lineRule="auto"/>
        <w:jc w:val="both"/>
        <w:rPr>
          <w:rFonts w:ascii="Arial" w:hAnsi="Arial" w:cs="Arial"/>
          <w:sz w:val="24"/>
          <w:szCs w:val="24"/>
        </w:rPr>
      </w:pPr>
      <w:r w:rsidRPr="00C45398">
        <w:rPr>
          <w:rFonts w:ascii="Arial" w:hAnsi="Arial" w:cs="Arial"/>
          <w:sz w:val="24"/>
          <w:szCs w:val="24"/>
        </w:rPr>
        <w:t xml:space="preserve">InterContinental Hotels Group PLC (IHG) (2026) Full year results for the year to 31 December 2025. 17 February. Available at: </w:t>
      </w:r>
      <w:hyperlink r:id="rId33" w:history="1">
        <w:r w:rsidRPr="00C45398">
          <w:rPr>
            <w:rStyle w:val="Hyperlink"/>
            <w:rFonts w:ascii="Arial" w:hAnsi="Arial" w:cs="Arial"/>
            <w:sz w:val="24"/>
            <w:szCs w:val="24"/>
          </w:rPr>
          <w:t>https://www.ihgplc.com/en/news-and-media/news-releases/2026/full-year-results-for-the-year-to-31-dec-2025</w:t>
        </w:r>
      </w:hyperlink>
      <w:r w:rsidRPr="00C45398">
        <w:rPr>
          <w:rFonts w:ascii="Arial" w:hAnsi="Arial" w:cs="Arial"/>
          <w:sz w:val="24"/>
          <w:szCs w:val="24"/>
        </w:rPr>
        <w:t xml:space="preserve"> (Accessed: 20 July 2026).</w:t>
      </w:r>
    </w:p>
    <w:p w14:paraId="30333F2E" w14:textId="77777777" w:rsidR="00084005" w:rsidRPr="00C45398" w:rsidRDefault="00084005" w:rsidP="00084005">
      <w:pPr>
        <w:spacing w:line="360" w:lineRule="auto"/>
        <w:jc w:val="both"/>
        <w:rPr>
          <w:rFonts w:ascii="Arial" w:hAnsi="Arial" w:cs="Arial"/>
          <w:sz w:val="24"/>
          <w:szCs w:val="24"/>
        </w:rPr>
      </w:pPr>
      <w:r w:rsidRPr="00C45398">
        <w:rPr>
          <w:rFonts w:ascii="Arial" w:hAnsi="Arial" w:cs="Arial"/>
          <w:sz w:val="24"/>
          <w:szCs w:val="24"/>
        </w:rPr>
        <w:t xml:space="preserve">InterContinental Hotels Group PLC (IHG) (2026) IHG 2025 Responsible Business Report. Windsor: InterContinental Hotels Group PLC. Available at: </w:t>
      </w:r>
      <w:hyperlink r:id="rId34" w:history="1">
        <w:r w:rsidRPr="00C45398">
          <w:rPr>
            <w:rStyle w:val="Hyperlink"/>
            <w:rFonts w:ascii="Arial" w:hAnsi="Arial" w:cs="Arial"/>
            <w:sz w:val="24"/>
            <w:szCs w:val="24"/>
          </w:rPr>
          <w:t>https://www.ihgplc.com/~/media/Files/I/Ihg-Plc/responsible-business/ihg-2025-responsible-business-report.pdf</w:t>
        </w:r>
      </w:hyperlink>
      <w:r w:rsidRPr="00C45398">
        <w:rPr>
          <w:rFonts w:ascii="Arial" w:hAnsi="Arial" w:cs="Arial"/>
          <w:sz w:val="24"/>
          <w:szCs w:val="24"/>
        </w:rPr>
        <w:t xml:space="preserve"> (Accessed: 20 July 2026).</w:t>
      </w:r>
    </w:p>
    <w:p w14:paraId="390BA7B2" w14:textId="77777777" w:rsidR="00084005" w:rsidRPr="00C45398" w:rsidRDefault="00084005" w:rsidP="00084005">
      <w:pPr>
        <w:spacing w:line="360" w:lineRule="auto"/>
        <w:jc w:val="both"/>
        <w:rPr>
          <w:rFonts w:ascii="Arial" w:hAnsi="Arial" w:cs="Arial"/>
          <w:sz w:val="24"/>
          <w:szCs w:val="24"/>
        </w:rPr>
      </w:pPr>
      <w:r w:rsidRPr="00C45398">
        <w:rPr>
          <w:rFonts w:ascii="Arial" w:hAnsi="Arial" w:cs="Arial"/>
          <w:sz w:val="24"/>
          <w:szCs w:val="24"/>
        </w:rPr>
        <w:t xml:space="preserve">InterContinental Hotels Group PLC (IHG) (2026d) How our business works. Available at: </w:t>
      </w:r>
      <w:hyperlink r:id="rId35" w:history="1">
        <w:r w:rsidRPr="00C45398">
          <w:rPr>
            <w:rStyle w:val="Hyperlink"/>
            <w:rFonts w:ascii="Arial" w:hAnsi="Arial" w:cs="Arial"/>
            <w:sz w:val="24"/>
            <w:szCs w:val="24"/>
          </w:rPr>
          <w:t>https://www.ihgplc.com/en/about-us/how-our-business-works</w:t>
        </w:r>
      </w:hyperlink>
      <w:r w:rsidRPr="00C45398">
        <w:rPr>
          <w:rFonts w:ascii="Arial" w:hAnsi="Arial" w:cs="Arial"/>
          <w:sz w:val="24"/>
          <w:szCs w:val="24"/>
        </w:rPr>
        <w:t xml:space="preserve"> (Accessed: 20 July 2026).</w:t>
      </w:r>
    </w:p>
    <w:p w14:paraId="0F2D254B" w14:textId="77777777" w:rsidR="00084005" w:rsidRPr="00C45398" w:rsidRDefault="00084005" w:rsidP="00084005">
      <w:pPr>
        <w:spacing w:line="360" w:lineRule="auto"/>
        <w:jc w:val="both"/>
        <w:rPr>
          <w:rFonts w:ascii="Arial" w:hAnsi="Arial" w:cs="Arial"/>
          <w:sz w:val="24"/>
          <w:szCs w:val="24"/>
        </w:rPr>
      </w:pPr>
      <w:r w:rsidRPr="00C45398">
        <w:rPr>
          <w:rFonts w:ascii="Arial" w:hAnsi="Arial" w:cs="Arial"/>
          <w:sz w:val="24"/>
          <w:szCs w:val="24"/>
        </w:rPr>
        <w:t xml:space="preserve">International Ethics Standards Board for Accountants (IESBA) (n.d.) Technology: Ethics and independence considerations. New York: International Ethics Standards Board for Accountants. Available at: </w:t>
      </w:r>
      <w:hyperlink r:id="rId36" w:history="1">
        <w:r w:rsidRPr="00C45398">
          <w:rPr>
            <w:rStyle w:val="Hyperlink"/>
            <w:rFonts w:ascii="Arial" w:hAnsi="Arial" w:cs="Arial"/>
            <w:sz w:val="24"/>
            <w:szCs w:val="24"/>
          </w:rPr>
          <w:t>https://www.ethicsboard.org/focus-areas/technology-ethics-independence-considerations</w:t>
        </w:r>
      </w:hyperlink>
      <w:r w:rsidRPr="00C45398">
        <w:rPr>
          <w:rFonts w:ascii="Arial" w:hAnsi="Arial" w:cs="Arial"/>
          <w:sz w:val="24"/>
          <w:szCs w:val="24"/>
        </w:rPr>
        <w:t xml:space="preserve"> (Accessed: 20 July 2026).</w:t>
      </w:r>
    </w:p>
    <w:p w14:paraId="51FC689D" w14:textId="77777777" w:rsidR="00084005" w:rsidRPr="00CA1FEA" w:rsidRDefault="00084005" w:rsidP="00084005">
      <w:pPr>
        <w:spacing w:line="360" w:lineRule="auto"/>
        <w:jc w:val="both"/>
        <w:rPr>
          <w:rFonts w:ascii="Arial" w:hAnsi="Arial" w:cs="Arial"/>
          <w:sz w:val="24"/>
          <w:szCs w:val="24"/>
        </w:rPr>
      </w:pPr>
      <w:r w:rsidRPr="00CA1FEA">
        <w:rPr>
          <w:rFonts w:ascii="Arial" w:hAnsi="Arial" w:cs="Arial"/>
          <w:sz w:val="24"/>
          <w:szCs w:val="24"/>
        </w:rPr>
        <w:t xml:space="preserve">Kyere, M. and Ausloos, M. (2020). Corporate governance and firms financial performance in the United Kingdom. International Journal of Finance &amp; Economics, 26(2), pp.1871–1885. doi: </w:t>
      </w:r>
      <w:hyperlink r:id="rId37" w:history="1">
        <w:r w:rsidRPr="005229E8">
          <w:rPr>
            <w:rStyle w:val="Hyperlink"/>
            <w:rFonts w:ascii="Arial" w:hAnsi="Arial" w:cs="Arial"/>
            <w:sz w:val="24"/>
            <w:szCs w:val="24"/>
          </w:rPr>
          <w:t>https://doi.org/10.1002/ijfe.1883</w:t>
        </w:r>
      </w:hyperlink>
      <w:r w:rsidRPr="00CA1FEA">
        <w:rPr>
          <w:rFonts w:ascii="Arial" w:hAnsi="Arial" w:cs="Arial"/>
          <w:sz w:val="24"/>
          <w:szCs w:val="24"/>
        </w:rPr>
        <w:t>.</w:t>
      </w:r>
      <w:r>
        <w:rPr>
          <w:rFonts w:ascii="Arial" w:hAnsi="Arial" w:cs="Arial"/>
          <w:sz w:val="24"/>
          <w:szCs w:val="24"/>
        </w:rPr>
        <w:t xml:space="preserve"> </w:t>
      </w:r>
    </w:p>
    <w:p w14:paraId="5B463BFB" w14:textId="77777777" w:rsidR="00084005" w:rsidRPr="00CA1FEA" w:rsidRDefault="00084005" w:rsidP="00084005">
      <w:pPr>
        <w:spacing w:line="360" w:lineRule="auto"/>
        <w:jc w:val="both"/>
        <w:rPr>
          <w:rFonts w:ascii="Arial" w:hAnsi="Arial" w:cs="Arial"/>
          <w:sz w:val="24"/>
          <w:szCs w:val="24"/>
        </w:rPr>
      </w:pPr>
      <w:r w:rsidRPr="00CA1FEA">
        <w:rPr>
          <w:rFonts w:ascii="Arial" w:hAnsi="Arial" w:cs="Arial"/>
          <w:sz w:val="24"/>
          <w:szCs w:val="24"/>
        </w:rPr>
        <w:t>Liu, Y., Kim, C.Y., Lee, E.H. and Yoo, J.W. (2022). Relationship between Sustainable Management Activities and Financial Performance: Mediating Effects of Non-Financial Performance and Moderating Effects of Institutional Environment. Sustainability, 14(3), p.1168. doi:10.3390/su14031168.</w:t>
      </w:r>
    </w:p>
    <w:p w14:paraId="3077EA12" w14:textId="77777777" w:rsidR="00084005" w:rsidRPr="00CA1FEA" w:rsidRDefault="00084005" w:rsidP="00084005">
      <w:pPr>
        <w:spacing w:line="360" w:lineRule="auto"/>
        <w:jc w:val="both"/>
        <w:rPr>
          <w:rFonts w:ascii="Arial" w:hAnsi="Arial" w:cs="Arial"/>
          <w:sz w:val="24"/>
          <w:szCs w:val="24"/>
        </w:rPr>
      </w:pPr>
      <w:r w:rsidRPr="00CA1FEA">
        <w:rPr>
          <w:rFonts w:ascii="Arial" w:hAnsi="Arial" w:cs="Arial"/>
          <w:sz w:val="24"/>
          <w:szCs w:val="24"/>
        </w:rPr>
        <w:lastRenderedPageBreak/>
        <w:t>Ma, Y., Zhang, Q. and Yin, Q. (2021). Top management team faultlines, green technology innovation and firm financial performance. Journal of Environmental Management, 285, p.112095. doi:10.1016/j.jenvman.2021.112095.</w:t>
      </w:r>
    </w:p>
    <w:p w14:paraId="035B7EDF" w14:textId="77777777" w:rsidR="00084005" w:rsidRPr="00CA1FEA" w:rsidRDefault="00084005" w:rsidP="00084005">
      <w:pPr>
        <w:spacing w:line="360" w:lineRule="auto"/>
        <w:jc w:val="both"/>
        <w:rPr>
          <w:rFonts w:ascii="Arial" w:hAnsi="Arial" w:cs="Arial"/>
          <w:sz w:val="24"/>
          <w:szCs w:val="24"/>
        </w:rPr>
      </w:pPr>
      <w:r w:rsidRPr="00CA1FEA">
        <w:rPr>
          <w:rFonts w:ascii="Arial" w:hAnsi="Arial" w:cs="Arial"/>
          <w:sz w:val="24"/>
          <w:szCs w:val="24"/>
        </w:rPr>
        <w:t>Nirino, N., Santoro, G., Miglietta, N. and Quaglia, R. (2021). Corporate Controversies and company’s Financial performance: Exploring the Moderating Role of ESG Practices. Technological Forecasting and Social Change, [online] 162(162), p.120341. doi:10.1016/j.techfore.2020.120341.</w:t>
      </w:r>
    </w:p>
    <w:p w14:paraId="681EEBAE" w14:textId="77777777" w:rsidR="00084005" w:rsidRPr="00C45398" w:rsidRDefault="00084005" w:rsidP="00084005">
      <w:pPr>
        <w:spacing w:line="360" w:lineRule="auto"/>
        <w:jc w:val="both"/>
        <w:rPr>
          <w:rFonts w:ascii="Arial" w:hAnsi="Arial" w:cs="Arial"/>
          <w:sz w:val="24"/>
          <w:szCs w:val="24"/>
        </w:rPr>
      </w:pPr>
      <w:r w:rsidRPr="00C45398">
        <w:rPr>
          <w:rFonts w:ascii="Arial" w:hAnsi="Arial" w:cs="Arial"/>
          <w:sz w:val="24"/>
          <w:szCs w:val="24"/>
        </w:rPr>
        <w:t xml:space="preserve">OpenAI (2026) Data Controls FAQ. Available at: </w:t>
      </w:r>
      <w:hyperlink r:id="rId38" w:history="1">
        <w:r w:rsidRPr="00C45398">
          <w:rPr>
            <w:rStyle w:val="Hyperlink"/>
            <w:rFonts w:ascii="Arial" w:hAnsi="Arial" w:cs="Arial"/>
            <w:sz w:val="24"/>
            <w:szCs w:val="24"/>
          </w:rPr>
          <w:t>https://help.openai.com/en/articles/7730893-data-controls-faq</w:t>
        </w:r>
      </w:hyperlink>
      <w:r w:rsidRPr="00C45398">
        <w:rPr>
          <w:rFonts w:ascii="Arial" w:hAnsi="Arial" w:cs="Arial"/>
          <w:sz w:val="24"/>
          <w:szCs w:val="24"/>
        </w:rPr>
        <w:t xml:space="preserve"> (Accessed: 20 July 2026).</w:t>
      </w:r>
    </w:p>
    <w:p w14:paraId="054454AC" w14:textId="77777777" w:rsidR="00084005" w:rsidRPr="00C45398" w:rsidRDefault="00084005" w:rsidP="00084005">
      <w:pPr>
        <w:spacing w:line="360" w:lineRule="auto"/>
        <w:jc w:val="both"/>
        <w:rPr>
          <w:rFonts w:ascii="Arial" w:hAnsi="Arial" w:cs="Arial"/>
          <w:sz w:val="24"/>
          <w:szCs w:val="24"/>
        </w:rPr>
      </w:pPr>
      <w:r w:rsidRPr="00C45398">
        <w:rPr>
          <w:rFonts w:ascii="Arial" w:hAnsi="Arial" w:cs="Arial"/>
          <w:sz w:val="24"/>
          <w:szCs w:val="24"/>
        </w:rPr>
        <w:t xml:space="preserve">Organisation for Economic Co-operation and Development (OECD) (2024) AI principles. Paris: OECD. Available at: </w:t>
      </w:r>
      <w:hyperlink r:id="rId39" w:history="1">
        <w:r w:rsidRPr="00C45398">
          <w:rPr>
            <w:rStyle w:val="Hyperlink"/>
            <w:rFonts w:ascii="Arial" w:hAnsi="Arial" w:cs="Arial"/>
            <w:sz w:val="24"/>
            <w:szCs w:val="24"/>
          </w:rPr>
          <w:t>https://www.oecd.org/en/topics/ai-principles.html</w:t>
        </w:r>
      </w:hyperlink>
      <w:r w:rsidRPr="00C45398">
        <w:rPr>
          <w:rFonts w:ascii="Arial" w:hAnsi="Arial" w:cs="Arial"/>
          <w:sz w:val="24"/>
          <w:szCs w:val="24"/>
        </w:rPr>
        <w:t xml:space="preserve"> (Accessed: 20 July 2026).</w:t>
      </w:r>
    </w:p>
    <w:p w14:paraId="2970F186" w14:textId="77777777" w:rsidR="00084005" w:rsidRPr="00C45398" w:rsidRDefault="00084005" w:rsidP="00084005">
      <w:pPr>
        <w:spacing w:line="360" w:lineRule="auto"/>
        <w:jc w:val="both"/>
        <w:rPr>
          <w:rFonts w:ascii="Arial" w:hAnsi="Arial" w:cs="Arial"/>
          <w:sz w:val="24"/>
          <w:szCs w:val="24"/>
        </w:rPr>
      </w:pPr>
      <w:r w:rsidRPr="00C45398">
        <w:rPr>
          <w:rFonts w:ascii="Arial" w:hAnsi="Arial" w:cs="Arial"/>
          <w:sz w:val="24"/>
          <w:szCs w:val="24"/>
        </w:rPr>
        <w:t xml:space="preserve">Organisation for Economic Co-operation and Development (OECD) (2026) Global Anti-Base Erosion Model Rules (Pillar Two). Paris: OECD. Available at: </w:t>
      </w:r>
      <w:hyperlink r:id="rId40" w:history="1">
        <w:r w:rsidRPr="00C45398">
          <w:rPr>
            <w:rStyle w:val="Hyperlink"/>
            <w:rFonts w:ascii="Arial" w:hAnsi="Arial" w:cs="Arial"/>
            <w:sz w:val="24"/>
            <w:szCs w:val="24"/>
          </w:rPr>
          <w:t>https://www.oecd.org/en/topics/sub-issues/global-minimum-tax/global-anti-base-erosion-model-rules-pillar-two.html</w:t>
        </w:r>
      </w:hyperlink>
      <w:r w:rsidRPr="00C45398">
        <w:rPr>
          <w:rFonts w:ascii="Arial" w:hAnsi="Arial" w:cs="Arial"/>
          <w:sz w:val="24"/>
          <w:szCs w:val="24"/>
        </w:rPr>
        <w:t xml:space="preserve"> (Accessed: 20 July 2026).</w:t>
      </w:r>
    </w:p>
    <w:p w14:paraId="6CEE6D81" w14:textId="77777777" w:rsidR="00084005" w:rsidRPr="00CA1FEA" w:rsidRDefault="00084005" w:rsidP="00084005">
      <w:pPr>
        <w:spacing w:line="360" w:lineRule="auto"/>
        <w:jc w:val="both"/>
        <w:rPr>
          <w:rFonts w:ascii="Arial" w:hAnsi="Arial" w:cs="Arial"/>
          <w:sz w:val="24"/>
          <w:szCs w:val="24"/>
        </w:rPr>
      </w:pPr>
      <w:r w:rsidRPr="00CA1FEA">
        <w:rPr>
          <w:rFonts w:ascii="Arial" w:hAnsi="Arial" w:cs="Arial"/>
          <w:sz w:val="24"/>
          <w:szCs w:val="24"/>
        </w:rPr>
        <w:t xml:space="preserve">Whelan, T., Atz, U. and Clark, C. (2021). ESG AND FINANCIAL PERFORMANCE: Uncovering the Relationship by Aggregating Evidence from 1,000 Plus Studies. [online] Available at: </w:t>
      </w:r>
      <w:hyperlink r:id="rId41" w:history="1">
        <w:r w:rsidRPr="005229E8">
          <w:rPr>
            <w:rStyle w:val="Hyperlink"/>
            <w:rFonts w:ascii="Arial" w:hAnsi="Arial" w:cs="Arial"/>
            <w:sz w:val="24"/>
            <w:szCs w:val="24"/>
          </w:rPr>
          <w:t>https://sri360.com/wp-content/uploads/2022/10/NYU-RAM_ESG-Paper_2021-2.pdf</w:t>
        </w:r>
      </w:hyperlink>
      <w:r>
        <w:rPr>
          <w:rFonts w:ascii="Arial" w:hAnsi="Arial" w:cs="Arial"/>
          <w:sz w:val="24"/>
          <w:szCs w:val="24"/>
        </w:rPr>
        <w:t xml:space="preserve"> </w:t>
      </w:r>
      <w:r w:rsidRPr="00CA1FEA">
        <w:rPr>
          <w:rFonts w:ascii="Arial" w:hAnsi="Arial" w:cs="Arial"/>
          <w:sz w:val="24"/>
          <w:szCs w:val="24"/>
        </w:rPr>
        <w:t>[Accessed 20 July 2026].</w:t>
      </w:r>
    </w:p>
    <w:p w14:paraId="11EBE72D" w14:textId="77777777" w:rsidR="00084005" w:rsidRDefault="00084005" w:rsidP="00084005">
      <w:pPr>
        <w:spacing w:line="360" w:lineRule="auto"/>
        <w:jc w:val="both"/>
        <w:rPr>
          <w:rFonts w:ascii="Arial" w:hAnsi="Arial" w:cs="Arial"/>
          <w:sz w:val="24"/>
          <w:szCs w:val="24"/>
        </w:rPr>
      </w:pPr>
      <w:r w:rsidRPr="00C45398">
        <w:rPr>
          <w:rFonts w:ascii="Arial" w:hAnsi="Arial" w:cs="Arial"/>
          <w:sz w:val="24"/>
          <w:szCs w:val="24"/>
        </w:rPr>
        <w:t xml:space="preserve">Wyndham Hotels &amp; Resorts, Inc. (2026) 2025 annual report. Parsippany, NJ: Wyndham Hotels &amp; Resorts, Inc. Available at: </w:t>
      </w:r>
      <w:hyperlink r:id="rId42" w:history="1">
        <w:r w:rsidRPr="00C45398">
          <w:rPr>
            <w:rStyle w:val="Hyperlink"/>
            <w:rFonts w:ascii="Arial" w:hAnsi="Arial" w:cs="Arial"/>
            <w:sz w:val="24"/>
            <w:szCs w:val="24"/>
          </w:rPr>
          <w:t>https://www.sec.gov/Archives/edgar/data/1722684/000172268426000052/a2025annualreport.pdf</w:t>
        </w:r>
      </w:hyperlink>
      <w:r w:rsidRPr="00C45398">
        <w:rPr>
          <w:rFonts w:ascii="Arial" w:hAnsi="Arial" w:cs="Arial"/>
          <w:sz w:val="24"/>
          <w:szCs w:val="24"/>
        </w:rPr>
        <w:t xml:space="preserve"> (Accessed: 20 July 2026).</w:t>
      </w:r>
    </w:p>
    <w:p w14:paraId="7EEEAA4B" w14:textId="77777777" w:rsidR="00084005" w:rsidRPr="00CA1FEA" w:rsidRDefault="00084005" w:rsidP="00084005">
      <w:pPr>
        <w:spacing w:line="360" w:lineRule="auto"/>
        <w:jc w:val="both"/>
        <w:rPr>
          <w:rFonts w:ascii="Arial" w:hAnsi="Arial" w:cs="Arial"/>
          <w:sz w:val="24"/>
          <w:szCs w:val="24"/>
        </w:rPr>
      </w:pPr>
    </w:p>
    <w:p w14:paraId="36CF4806" w14:textId="77777777" w:rsidR="00084005" w:rsidRPr="00C45398" w:rsidRDefault="00084005" w:rsidP="001F432E">
      <w:pPr>
        <w:spacing w:line="360" w:lineRule="auto"/>
        <w:jc w:val="both"/>
        <w:rPr>
          <w:rFonts w:ascii="Arial" w:hAnsi="Arial" w:cs="Arial"/>
          <w:sz w:val="24"/>
          <w:szCs w:val="24"/>
        </w:rPr>
      </w:pPr>
    </w:p>
    <w:p w14:paraId="0AA08594" w14:textId="77777777" w:rsidR="0007710D" w:rsidRPr="00137A05" w:rsidRDefault="0007710D" w:rsidP="0026022B">
      <w:pPr>
        <w:spacing w:line="360" w:lineRule="auto"/>
        <w:rPr>
          <w:rFonts w:ascii="Arial" w:hAnsi="Arial" w:cs="Arial"/>
          <w:sz w:val="24"/>
          <w:szCs w:val="24"/>
        </w:rPr>
      </w:pPr>
    </w:p>
    <w:p w14:paraId="7421C060" w14:textId="77777777" w:rsidR="000F7827" w:rsidRPr="00137A05" w:rsidRDefault="000F7827" w:rsidP="00145589">
      <w:pPr>
        <w:pStyle w:val="Heading1"/>
        <w:numPr>
          <w:ilvl w:val="0"/>
          <w:numId w:val="1"/>
        </w:numPr>
        <w:spacing w:line="360" w:lineRule="auto"/>
        <w:rPr>
          <w:rFonts w:ascii="Arial" w:hAnsi="Arial" w:cs="Arial"/>
          <w:sz w:val="24"/>
          <w:szCs w:val="24"/>
        </w:rPr>
      </w:pPr>
      <w:bookmarkStart w:id="29" w:name="_Toc235788233"/>
      <w:r w:rsidRPr="00137A05">
        <w:rPr>
          <w:rFonts w:ascii="Arial" w:hAnsi="Arial" w:cs="Arial"/>
          <w:sz w:val="24"/>
          <w:szCs w:val="24"/>
        </w:rPr>
        <w:lastRenderedPageBreak/>
        <w:t>Appendices</w:t>
      </w:r>
      <w:bookmarkEnd w:id="29"/>
    </w:p>
    <w:p w14:paraId="4DDE0C86" w14:textId="77777777" w:rsidR="000F7827" w:rsidRPr="00137A05" w:rsidRDefault="000F7827" w:rsidP="00145589">
      <w:pPr>
        <w:pStyle w:val="Heading2"/>
        <w:numPr>
          <w:ilvl w:val="1"/>
          <w:numId w:val="1"/>
        </w:numPr>
        <w:spacing w:line="360" w:lineRule="auto"/>
        <w:jc w:val="both"/>
        <w:rPr>
          <w:rFonts w:ascii="Arial" w:hAnsi="Arial" w:cs="Arial"/>
          <w:sz w:val="24"/>
          <w:szCs w:val="24"/>
        </w:rPr>
      </w:pPr>
      <w:bookmarkStart w:id="30" w:name="_Toc235788234"/>
      <w:r w:rsidRPr="00137A05">
        <w:rPr>
          <w:rFonts w:ascii="Arial" w:hAnsi="Arial" w:cs="Arial"/>
          <w:sz w:val="24"/>
          <w:szCs w:val="24"/>
        </w:rPr>
        <w:t>Appendix A: Original financial-statement values</w:t>
      </w:r>
      <w:bookmarkEnd w:id="30"/>
    </w:p>
    <w:p w14:paraId="5A934F03" w14:textId="77777777" w:rsidR="000F7827" w:rsidRPr="00137A05" w:rsidRDefault="000F7827" w:rsidP="00145589">
      <w:pPr>
        <w:pStyle w:val="Heading3"/>
        <w:numPr>
          <w:ilvl w:val="2"/>
          <w:numId w:val="1"/>
        </w:numPr>
        <w:spacing w:line="360" w:lineRule="auto"/>
        <w:jc w:val="both"/>
        <w:rPr>
          <w:rFonts w:ascii="Arial" w:hAnsi="Arial" w:cs="Arial"/>
          <w:sz w:val="24"/>
          <w:szCs w:val="24"/>
        </w:rPr>
      </w:pPr>
      <w:bookmarkStart w:id="31" w:name="_Toc235788235"/>
      <w:r w:rsidRPr="00137A05">
        <w:rPr>
          <w:rFonts w:ascii="Arial" w:hAnsi="Arial" w:cs="Arial"/>
          <w:sz w:val="24"/>
          <w:szCs w:val="24"/>
        </w:rPr>
        <w:t>Appendix A1: Income statement, cash flow and investor values</w:t>
      </w:r>
      <w:bookmarkEnd w:id="31"/>
    </w:p>
    <w:p w14:paraId="604B1A3A" w14:textId="77777777" w:rsidR="000F7827" w:rsidRPr="00137A05" w:rsidRDefault="000F7827" w:rsidP="00145589">
      <w:pPr>
        <w:spacing w:line="360" w:lineRule="auto"/>
        <w:jc w:val="both"/>
        <w:rPr>
          <w:rFonts w:ascii="Arial" w:hAnsi="Arial" w:cs="Arial"/>
          <w:sz w:val="24"/>
          <w:szCs w:val="24"/>
        </w:rPr>
      </w:pPr>
      <w:r w:rsidRPr="00137A05">
        <w:rPr>
          <w:rFonts w:ascii="Arial" w:hAnsi="Arial" w:cs="Arial"/>
          <w:b/>
          <w:bCs/>
          <w:sz w:val="24"/>
          <w:szCs w:val="24"/>
        </w:rPr>
        <w:t>US$ million, except EPS and DPS</w:t>
      </w:r>
    </w:p>
    <w:tbl>
      <w:tblPr>
        <w:tblStyle w:val="GridTable4-Accent2"/>
        <w:tblW w:w="9743" w:type="dxa"/>
        <w:tblLook w:val="04A0" w:firstRow="1" w:lastRow="0" w:firstColumn="1" w:lastColumn="0" w:noHBand="0" w:noVBand="1"/>
      </w:tblPr>
      <w:tblGrid>
        <w:gridCol w:w="4863"/>
        <w:gridCol w:w="976"/>
        <w:gridCol w:w="976"/>
        <w:gridCol w:w="976"/>
        <w:gridCol w:w="976"/>
        <w:gridCol w:w="976"/>
      </w:tblGrid>
      <w:tr w:rsidR="000F7827" w:rsidRPr="00137A05" w14:paraId="411C89B8" w14:textId="77777777" w:rsidTr="004300AA">
        <w:trPr>
          <w:cnfStyle w:val="100000000000" w:firstRow="1" w:lastRow="0" w:firstColumn="0" w:lastColumn="0" w:oddVBand="0" w:evenVBand="0" w:oddHBand="0"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hideMark/>
          </w:tcPr>
          <w:p w14:paraId="3C3A11BD"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Original reported value</w:t>
            </w:r>
          </w:p>
        </w:tc>
        <w:tc>
          <w:tcPr>
            <w:tcW w:w="0" w:type="auto"/>
            <w:hideMark/>
          </w:tcPr>
          <w:p w14:paraId="1AC7645E" w14:textId="77777777" w:rsidR="000F7827" w:rsidRPr="00137A05" w:rsidRDefault="000F7827"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2021</w:t>
            </w:r>
          </w:p>
        </w:tc>
        <w:tc>
          <w:tcPr>
            <w:tcW w:w="0" w:type="auto"/>
            <w:hideMark/>
          </w:tcPr>
          <w:p w14:paraId="6E62226B" w14:textId="77777777" w:rsidR="000F7827" w:rsidRPr="00137A05" w:rsidRDefault="000F7827"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2022</w:t>
            </w:r>
          </w:p>
        </w:tc>
        <w:tc>
          <w:tcPr>
            <w:tcW w:w="0" w:type="auto"/>
            <w:hideMark/>
          </w:tcPr>
          <w:p w14:paraId="45CF4C85" w14:textId="77777777" w:rsidR="000F7827" w:rsidRPr="00137A05" w:rsidRDefault="000F7827"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2023</w:t>
            </w:r>
          </w:p>
        </w:tc>
        <w:tc>
          <w:tcPr>
            <w:tcW w:w="0" w:type="auto"/>
            <w:hideMark/>
          </w:tcPr>
          <w:p w14:paraId="3CB768A7" w14:textId="77777777" w:rsidR="000F7827" w:rsidRPr="00137A05" w:rsidRDefault="000F7827"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2024</w:t>
            </w:r>
          </w:p>
        </w:tc>
        <w:tc>
          <w:tcPr>
            <w:tcW w:w="0" w:type="auto"/>
            <w:hideMark/>
          </w:tcPr>
          <w:p w14:paraId="63369C71" w14:textId="77777777" w:rsidR="000F7827" w:rsidRPr="00137A05" w:rsidRDefault="000F7827"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2025</w:t>
            </w:r>
          </w:p>
        </w:tc>
      </w:tr>
      <w:tr w:rsidR="000F7827" w:rsidRPr="00137A05" w14:paraId="558B9408" w14:textId="77777777" w:rsidTr="004300AA">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0" w:type="auto"/>
            <w:hideMark/>
          </w:tcPr>
          <w:p w14:paraId="7EDC3C8B"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Total revenue</w:t>
            </w:r>
          </w:p>
        </w:tc>
        <w:tc>
          <w:tcPr>
            <w:tcW w:w="0" w:type="auto"/>
            <w:hideMark/>
          </w:tcPr>
          <w:p w14:paraId="620BA57E"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2,907</w:t>
            </w:r>
          </w:p>
        </w:tc>
        <w:tc>
          <w:tcPr>
            <w:tcW w:w="0" w:type="auto"/>
            <w:hideMark/>
          </w:tcPr>
          <w:p w14:paraId="73D8BC7F"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3,892</w:t>
            </w:r>
          </w:p>
        </w:tc>
        <w:tc>
          <w:tcPr>
            <w:tcW w:w="0" w:type="auto"/>
            <w:hideMark/>
          </w:tcPr>
          <w:p w14:paraId="5CC4394A"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4,624</w:t>
            </w:r>
          </w:p>
        </w:tc>
        <w:tc>
          <w:tcPr>
            <w:tcW w:w="0" w:type="auto"/>
            <w:hideMark/>
          </w:tcPr>
          <w:p w14:paraId="6ED6AE1C"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4,923</w:t>
            </w:r>
          </w:p>
        </w:tc>
        <w:tc>
          <w:tcPr>
            <w:tcW w:w="0" w:type="auto"/>
            <w:hideMark/>
          </w:tcPr>
          <w:p w14:paraId="3CE26D65"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5,189</w:t>
            </w:r>
          </w:p>
        </w:tc>
      </w:tr>
      <w:tr w:rsidR="000F7827" w:rsidRPr="00137A05" w14:paraId="0E9550FE" w14:textId="77777777" w:rsidTr="004300AA">
        <w:trPr>
          <w:trHeight w:val="573"/>
        </w:trPr>
        <w:tc>
          <w:tcPr>
            <w:cnfStyle w:val="001000000000" w:firstRow="0" w:lastRow="0" w:firstColumn="1" w:lastColumn="0" w:oddVBand="0" w:evenVBand="0" w:oddHBand="0" w:evenHBand="0" w:firstRowFirstColumn="0" w:firstRowLastColumn="0" w:lastRowFirstColumn="0" w:lastRowLastColumn="0"/>
            <w:tcW w:w="0" w:type="auto"/>
            <w:hideMark/>
          </w:tcPr>
          <w:p w14:paraId="66BAD6AA"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Operating profit</w:t>
            </w:r>
          </w:p>
        </w:tc>
        <w:tc>
          <w:tcPr>
            <w:tcW w:w="0" w:type="auto"/>
            <w:hideMark/>
          </w:tcPr>
          <w:p w14:paraId="28CA16D8"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494</w:t>
            </w:r>
          </w:p>
        </w:tc>
        <w:tc>
          <w:tcPr>
            <w:tcW w:w="0" w:type="auto"/>
            <w:hideMark/>
          </w:tcPr>
          <w:p w14:paraId="6BDB2333"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628</w:t>
            </w:r>
          </w:p>
        </w:tc>
        <w:tc>
          <w:tcPr>
            <w:tcW w:w="0" w:type="auto"/>
            <w:hideMark/>
          </w:tcPr>
          <w:p w14:paraId="50E24759"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1,066</w:t>
            </w:r>
          </w:p>
        </w:tc>
        <w:tc>
          <w:tcPr>
            <w:tcW w:w="0" w:type="auto"/>
            <w:hideMark/>
          </w:tcPr>
          <w:p w14:paraId="13D809DC"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1,041</w:t>
            </w:r>
          </w:p>
        </w:tc>
        <w:tc>
          <w:tcPr>
            <w:tcW w:w="0" w:type="auto"/>
            <w:hideMark/>
          </w:tcPr>
          <w:p w14:paraId="61FEFF4E"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1,198</w:t>
            </w:r>
          </w:p>
        </w:tc>
      </w:tr>
      <w:tr w:rsidR="000F7827" w:rsidRPr="00137A05" w14:paraId="07E2A658" w14:textId="77777777" w:rsidTr="004300AA">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hideMark/>
          </w:tcPr>
          <w:p w14:paraId="1150EB34"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Profit after tax</w:t>
            </w:r>
          </w:p>
        </w:tc>
        <w:tc>
          <w:tcPr>
            <w:tcW w:w="0" w:type="auto"/>
            <w:hideMark/>
          </w:tcPr>
          <w:p w14:paraId="685BF5F1"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265</w:t>
            </w:r>
          </w:p>
        </w:tc>
        <w:tc>
          <w:tcPr>
            <w:tcW w:w="0" w:type="auto"/>
            <w:hideMark/>
          </w:tcPr>
          <w:p w14:paraId="2AF70667"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376</w:t>
            </w:r>
          </w:p>
        </w:tc>
        <w:tc>
          <w:tcPr>
            <w:tcW w:w="0" w:type="auto"/>
            <w:hideMark/>
          </w:tcPr>
          <w:p w14:paraId="61BD6DD0"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750</w:t>
            </w:r>
          </w:p>
        </w:tc>
        <w:tc>
          <w:tcPr>
            <w:tcW w:w="0" w:type="auto"/>
            <w:hideMark/>
          </w:tcPr>
          <w:p w14:paraId="3B2AC0F2"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628</w:t>
            </w:r>
          </w:p>
        </w:tc>
        <w:tc>
          <w:tcPr>
            <w:tcW w:w="0" w:type="auto"/>
            <w:hideMark/>
          </w:tcPr>
          <w:p w14:paraId="7238CB78"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759</w:t>
            </w:r>
          </w:p>
        </w:tc>
      </w:tr>
      <w:tr w:rsidR="000F7827" w:rsidRPr="00137A05" w14:paraId="73A08C70" w14:textId="77777777" w:rsidTr="004300AA">
        <w:trPr>
          <w:trHeight w:val="573"/>
        </w:trPr>
        <w:tc>
          <w:tcPr>
            <w:cnfStyle w:val="001000000000" w:firstRow="0" w:lastRow="0" w:firstColumn="1" w:lastColumn="0" w:oddVBand="0" w:evenVBand="0" w:oddHBand="0" w:evenHBand="0" w:firstRowFirstColumn="0" w:firstRowLastColumn="0" w:lastRowFirstColumn="0" w:lastRowLastColumn="0"/>
            <w:tcW w:w="0" w:type="auto"/>
            <w:hideMark/>
          </w:tcPr>
          <w:p w14:paraId="1D14393D"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Financial expenses</w:t>
            </w:r>
          </w:p>
        </w:tc>
        <w:tc>
          <w:tcPr>
            <w:tcW w:w="0" w:type="auto"/>
            <w:hideMark/>
          </w:tcPr>
          <w:p w14:paraId="2BE4A6A3"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147</w:t>
            </w:r>
          </w:p>
        </w:tc>
        <w:tc>
          <w:tcPr>
            <w:tcW w:w="0" w:type="auto"/>
            <w:hideMark/>
          </w:tcPr>
          <w:p w14:paraId="7DD98E02"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118</w:t>
            </w:r>
          </w:p>
        </w:tc>
        <w:tc>
          <w:tcPr>
            <w:tcW w:w="0" w:type="auto"/>
            <w:hideMark/>
          </w:tcPr>
          <w:p w14:paraId="1E29D7EB"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126</w:t>
            </w:r>
          </w:p>
        </w:tc>
        <w:tc>
          <w:tcPr>
            <w:tcW w:w="0" w:type="auto"/>
            <w:hideMark/>
          </w:tcPr>
          <w:p w14:paraId="464D0925"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178</w:t>
            </w:r>
          </w:p>
        </w:tc>
        <w:tc>
          <w:tcPr>
            <w:tcW w:w="0" w:type="auto"/>
            <w:hideMark/>
          </w:tcPr>
          <w:p w14:paraId="1464A1D1"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202</w:t>
            </w:r>
          </w:p>
        </w:tc>
      </w:tr>
      <w:tr w:rsidR="000F7827" w:rsidRPr="00137A05" w14:paraId="61AE03EB" w14:textId="77777777" w:rsidTr="004300AA">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0" w:type="auto"/>
            <w:hideMark/>
          </w:tcPr>
          <w:p w14:paraId="7138A9C2"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Net cash from operating activities</w:t>
            </w:r>
          </w:p>
        </w:tc>
        <w:tc>
          <w:tcPr>
            <w:tcW w:w="0" w:type="auto"/>
            <w:hideMark/>
          </w:tcPr>
          <w:p w14:paraId="25D56819"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636</w:t>
            </w:r>
          </w:p>
        </w:tc>
        <w:tc>
          <w:tcPr>
            <w:tcW w:w="0" w:type="auto"/>
            <w:hideMark/>
          </w:tcPr>
          <w:p w14:paraId="07073ADC"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646</w:t>
            </w:r>
          </w:p>
        </w:tc>
        <w:tc>
          <w:tcPr>
            <w:tcW w:w="0" w:type="auto"/>
            <w:hideMark/>
          </w:tcPr>
          <w:p w14:paraId="3B69D11B"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893</w:t>
            </w:r>
          </w:p>
        </w:tc>
        <w:tc>
          <w:tcPr>
            <w:tcW w:w="0" w:type="auto"/>
            <w:hideMark/>
          </w:tcPr>
          <w:p w14:paraId="6587C1B6"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724</w:t>
            </w:r>
          </w:p>
        </w:tc>
        <w:tc>
          <w:tcPr>
            <w:tcW w:w="0" w:type="auto"/>
            <w:hideMark/>
          </w:tcPr>
          <w:p w14:paraId="241F5935"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898</w:t>
            </w:r>
          </w:p>
        </w:tc>
      </w:tr>
      <w:tr w:rsidR="000F7827" w:rsidRPr="00137A05" w14:paraId="44BB1F29" w14:textId="77777777" w:rsidTr="004300AA">
        <w:trPr>
          <w:trHeight w:val="573"/>
        </w:trPr>
        <w:tc>
          <w:tcPr>
            <w:cnfStyle w:val="001000000000" w:firstRow="0" w:lastRow="0" w:firstColumn="1" w:lastColumn="0" w:oddVBand="0" w:evenVBand="0" w:oddHBand="0" w:evenHBand="0" w:firstRowFirstColumn="0" w:firstRowLastColumn="0" w:lastRowFirstColumn="0" w:lastRowLastColumn="0"/>
            <w:tcW w:w="0" w:type="auto"/>
            <w:hideMark/>
          </w:tcPr>
          <w:p w14:paraId="6BD93B04"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Adjusted free cash flow</w:t>
            </w:r>
          </w:p>
        </w:tc>
        <w:tc>
          <w:tcPr>
            <w:tcW w:w="0" w:type="auto"/>
            <w:hideMark/>
          </w:tcPr>
          <w:p w14:paraId="07B9F0D5"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589</w:t>
            </w:r>
          </w:p>
        </w:tc>
        <w:tc>
          <w:tcPr>
            <w:tcW w:w="0" w:type="auto"/>
            <w:hideMark/>
          </w:tcPr>
          <w:p w14:paraId="0358CFE8"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615</w:t>
            </w:r>
          </w:p>
        </w:tc>
        <w:tc>
          <w:tcPr>
            <w:tcW w:w="0" w:type="auto"/>
            <w:hideMark/>
          </w:tcPr>
          <w:p w14:paraId="012CB76D"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837</w:t>
            </w:r>
          </w:p>
        </w:tc>
        <w:tc>
          <w:tcPr>
            <w:tcW w:w="0" w:type="auto"/>
            <w:hideMark/>
          </w:tcPr>
          <w:p w14:paraId="2B85704B"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655</w:t>
            </w:r>
          </w:p>
        </w:tc>
        <w:tc>
          <w:tcPr>
            <w:tcW w:w="0" w:type="auto"/>
            <w:hideMark/>
          </w:tcPr>
          <w:p w14:paraId="3931C0B8"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893</w:t>
            </w:r>
          </w:p>
        </w:tc>
      </w:tr>
      <w:tr w:rsidR="000F7827" w:rsidRPr="00137A05" w14:paraId="36302C5E" w14:textId="77777777" w:rsidTr="004300AA">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hideMark/>
          </w:tcPr>
          <w:p w14:paraId="59A72EA0"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Share repurchases paid</w:t>
            </w:r>
          </w:p>
        </w:tc>
        <w:tc>
          <w:tcPr>
            <w:tcW w:w="0" w:type="auto"/>
            <w:hideMark/>
          </w:tcPr>
          <w:p w14:paraId="7DB49BF2"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0</w:t>
            </w:r>
          </w:p>
        </w:tc>
        <w:tc>
          <w:tcPr>
            <w:tcW w:w="0" w:type="auto"/>
            <w:hideMark/>
          </w:tcPr>
          <w:p w14:paraId="14CF7B5E"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482</w:t>
            </w:r>
          </w:p>
        </w:tc>
        <w:tc>
          <w:tcPr>
            <w:tcW w:w="0" w:type="auto"/>
            <w:hideMark/>
          </w:tcPr>
          <w:p w14:paraId="76BC80B7"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790</w:t>
            </w:r>
          </w:p>
        </w:tc>
        <w:tc>
          <w:tcPr>
            <w:tcW w:w="0" w:type="auto"/>
            <w:hideMark/>
          </w:tcPr>
          <w:p w14:paraId="38A2D5D5"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804</w:t>
            </w:r>
          </w:p>
        </w:tc>
        <w:tc>
          <w:tcPr>
            <w:tcW w:w="0" w:type="auto"/>
            <w:hideMark/>
          </w:tcPr>
          <w:p w14:paraId="59F20ED7"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897</w:t>
            </w:r>
          </w:p>
        </w:tc>
      </w:tr>
      <w:tr w:rsidR="000F7827" w:rsidRPr="00137A05" w14:paraId="2FD6DC98" w14:textId="77777777" w:rsidTr="004300AA">
        <w:trPr>
          <w:trHeight w:val="589"/>
        </w:trPr>
        <w:tc>
          <w:tcPr>
            <w:cnfStyle w:val="001000000000" w:firstRow="0" w:lastRow="0" w:firstColumn="1" w:lastColumn="0" w:oddVBand="0" w:evenVBand="0" w:oddHBand="0" w:evenHBand="0" w:firstRowFirstColumn="0" w:firstRowLastColumn="0" w:lastRowFirstColumn="0" w:lastRowLastColumn="0"/>
            <w:tcW w:w="0" w:type="auto"/>
            <w:hideMark/>
          </w:tcPr>
          <w:p w14:paraId="7122D8F4"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Ordinary dividends paid</w:t>
            </w:r>
          </w:p>
        </w:tc>
        <w:tc>
          <w:tcPr>
            <w:tcW w:w="0" w:type="auto"/>
            <w:hideMark/>
          </w:tcPr>
          <w:p w14:paraId="60E9FB6E"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0</w:t>
            </w:r>
          </w:p>
        </w:tc>
        <w:tc>
          <w:tcPr>
            <w:tcW w:w="0" w:type="auto"/>
            <w:hideMark/>
          </w:tcPr>
          <w:p w14:paraId="0B5F8F4B"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233</w:t>
            </w:r>
          </w:p>
        </w:tc>
        <w:tc>
          <w:tcPr>
            <w:tcW w:w="0" w:type="auto"/>
            <w:hideMark/>
          </w:tcPr>
          <w:p w14:paraId="6C08EC09"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245</w:t>
            </w:r>
          </w:p>
        </w:tc>
        <w:tc>
          <w:tcPr>
            <w:tcW w:w="0" w:type="auto"/>
            <w:hideMark/>
          </w:tcPr>
          <w:p w14:paraId="2D541386"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259</w:t>
            </w:r>
          </w:p>
        </w:tc>
        <w:tc>
          <w:tcPr>
            <w:tcW w:w="0" w:type="auto"/>
            <w:hideMark/>
          </w:tcPr>
          <w:p w14:paraId="0D7DD812"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270</w:t>
            </w:r>
          </w:p>
        </w:tc>
      </w:tr>
      <w:tr w:rsidR="000F7827" w:rsidRPr="00137A05" w14:paraId="28E9CA59" w14:textId="77777777" w:rsidTr="004300AA">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hideMark/>
          </w:tcPr>
          <w:p w14:paraId="60D97395"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Basic EPS, cents</w:t>
            </w:r>
          </w:p>
        </w:tc>
        <w:tc>
          <w:tcPr>
            <w:tcW w:w="0" w:type="auto"/>
            <w:hideMark/>
          </w:tcPr>
          <w:p w14:paraId="1133F618"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145.4</w:t>
            </w:r>
          </w:p>
        </w:tc>
        <w:tc>
          <w:tcPr>
            <w:tcW w:w="0" w:type="auto"/>
            <w:hideMark/>
          </w:tcPr>
          <w:p w14:paraId="1174BDD4"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207.2</w:t>
            </w:r>
          </w:p>
        </w:tc>
        <w:tc>
          <w:tcPr>
            <w:tcW w:w="0" w:type="auto"/>
            <w:hideMark/>
          </w:tcPr>
          <w:p w14:paraId="46A32FF4"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443.8</w:t>
            </w:r>
          </w:p>
        </w:tc>
        <w:tc>
          <w:tcPr>
            <w:tcW w:w="0" w:type="auto"/>
            <w:hideMark/>
          </w:tcPr>
          <w:p w14:paraId="7D73777B"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389.6</w:t>
            </w:r>
          </w:p>
        </w:tc>
        <w:tc>
          <w:tcPr>
            <w:tcW w:w="0" w:type="auto"/>
            <w:hideMark/>
          </w:tcPr>
          <w:p w14:paraId="51BBB3B3"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490.9</w:t>
            </w:r>
          </w:p>
        </w:tc>
      </w:tr>
      <w:tr w:rsidR="000F7827" w:rsidRPr="00137A05" w14:paraId="46FC158C" w14:textId="77777777" w:rsidTr="004300AA">
        <w:trPr>
          <w:trHeight w:val="573"/>
        </w:trPr>
        <w:tc>
          <w:tcPr>
            <w:cnfStyle w:val="001000000000" w:firstRow="0" w:lastRow="0" w:firstColumn="1" w:lastColumn="0" w:oddVBand="0" w:evenVBand="0" w:oddHBand="0" w:evenHBand="0" w:firstRowFirstColumn="0" w:firstRowLastColumn="0" w:lastRowFirstColumn="0" w:lastRowLastColumn="0"/>
            <w:tcW w:w="0" w:type="auto"/>
            <w:hideMark/>
          </w:tcPr>
          <w:p w14:paraId="2C047686"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Total DPS, cents</w:t>
            </w:r>
          </w:p>
        </w:tc>
        <w:tc>
          <w:tcPr>
            <w:tcW w:w="0" w:type="auto"/>
            <w:hideMark/>
          </w:tcPr>
          <w:p w14:paraId="4243C361"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85.9</w:t>
            </w:r>
          </w:p>
        </w:tc>
        <w:tc>
          <w:tcPr>
            <w:tcW w:w="0" w:type="auto"/>
            <w:hideMark/>
          </w:tcPr>
          <w:p w14:paraId="3CAB2BC4"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138.4</w:t>
            </w:r>
          </w:p>
        </w:tc>
        <w:tc>
          <w:tcPr>
            <w:tcW w:w="0" w:type="auto"/>
            <w:hideMark/>
          </w:tcPr>
          <w:p w14:paraId="0DBADBA4"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152.3</w:t>
            </w:r>
          </w:p>
        </w:tc>
        <w:tc>
          <w:tcPr>
            <w:tcW w:w="0" w:type="auto"/>
            <w:hideMark/>
          </w:tcPr>
          <w:p w14:paraId="5488E976"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167.6</w:t>
            </w:r>
          </w:p>
        </w:tc>
        <w:tc>
          <w:tcPr>
            <w:tcW w:w="0" w:type="auto"/>
            <w:hideMark/>
          </w:tcPr>
          <w:p w14:paraId="23712744"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184.5</w:t>
            </w:r>
          </w:p>
        </w:tc>
      </w:tr>
    </w:tbl>
    <w:p w14:paraId="4FD37E64" w14:textId="77777777" w:rsidR="000F7827" w:rsidRPr="00137A05" w:rsidRDefault="000F7827" w:rsidP="00145589">
      <w:pPr>
        <w:pStyle w:val="Heading3"/>
        <w:numPr>
          <w:ilvl w:val="2"/>
          <w:numId w:val="1"/>
        </w:numPr>
        <w:spacing w:line="360" w:lineRule="auto"/>
        <w:jc w:val="both"/>
        <w:rPr>
          <w:rFonts w:ascii="Arial" w:hAnsi="Arial" w:cs="Arial"/>
          <w:sz w:val="24"/>
          <w:szCs w:val="24"/>
        </w:rPr>
      </w:pPr>
      <w:bookmarkStart w:id="32" w:name="_Toc235788236"/>
      <w:r w:rsidRPr="00137A05">
        <w:rPr>
          <w:rFonts w:ascii="Arial" w:hAnsi="Arial" w:cs="Arial"/>
          <w:sz w:val="24"/>
          <w:szCs w:val="24"/>
        </w:rPr>
        <w:t>Appendix A2: Statement of financial position values</w:t>
      </w:r>
      <w:bookmarkEnd w:id="32"/>
    </w:p>
    <w:p w14:paraId="7FA496B2" w14:textId="77777777" w:rsidR="000F7827" w:rsidRPr="00137A05" w:rsidRDefault="000F7827" w:rsidP="00145589">
      <w:pPr>
        <w:spacing w:line="360" w:lineRule="auto"/>
        <w:jc w:val="both"/>
        <w:rPr>
          <w:rFonts w:ascii="Arial" w:hAnsi="Arial" w:cs="Arial"/>
          <w:sz w:val="24"/>
          <w:szCs w:val="24"/>
        </w:rPr>
      </w:pPr>
      <w:r w:rsidRPr="00137A05">
        <w:rPr>
          <w:rFonts w:ascii="Arial" w:hAnsi="Arial" w:cs="Arial"/>
          <w:b/>
          <w:bCs/>
          <w:sz w:val="24"/>
          <w:szCs w:val="24"/>
        </w:rPr>
        <w:t>US$ million</w:t>
      </w:r>
    </w:p>
    <w:tbl>
      <w:tblPr>
        <w:tblStyle w:val="GridTable4-Accent2"/>
        <w:tblW w:w="9359" w:type="dxa"/>
        <w:tblLook w:val="04A0" w:firstRow="1" w:lastRow="0" w:firstColumn="1" w:lastColumn="0" w:noHBand="0" w:noVBand="1"/>
      </w:tblPr>
      <w:tblGrid>
        <w:gridCol w:w="3879"/>
        <w:gridCol w:w="1096"/>
        <w:gridCol w:w="1096"/>
        <w:gridCol w:w="1096"/>
        <w:gridCol w:w="1096"/>
        <w:gridCol w:w="1096"/>
      </w:tblGrid>
      <w:tr w:rsidR="000F7827" w:rsidRPr="00137A05" w14:paraId="78103573" w14:textId="77777777" w:rsidTr="004300AA">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0" w:type="auto"/>
            <w:hideMark/>
          </w:tcPr>
          <w:p w14:paraId="683618BB"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Original reported value</w:t>
            </w:r>
          </w:p>
        </w:tc>
        <w:tc>
          <w:tcPr>
            <w:tcW w:w="0" w:type="auto"/>
            <w:hideMark/>
          </w:tcPr>
          <w:p w14:paraId="7E5FB7B0" w14:textId="77777777" w:rsidR="000F7827" w:rsidRPr="00137A05" w:rsidRDefault="000F7827"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2021</w:t>
            </w:r>
          </w:p>
        </w:tc>
        <w:tc>
          <w:tcPr>
            <w:tcW w:w="0" w:type="auto"/>
            <w:hideMark/>
          </w:tcPr>
          <w:p w14:paraId="3916E182" w14:textId="77777777" w:rsidR="000F7827" w:rsidRPr="00137A05" w:rsidRDefault="000F7827"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2022</w:t>
            </w:r>
          </w:p>
        </w:tc>
        <w:tc>
          <w:tcPr>
            <w:tcW w:w="0" w:type="auto"/>
            <w:hideMark/>
          </w:tcPr>
          <w:p w14:paraId="3DD61AC2" w14:textId="77777777" w:rsidR="000F7827" w:rsidRPr="00137A05" w:rsidRDefault="000F7827"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2023</w:t>
            </w:r>
          </w:p>
        </w:tc>
        <w:tc>
          <w:tcPr>
            <w:tcW w:w="0" w:type="auto"/>
            <w:hideMark/>
          </w:tcPr>
          <w:p w14:paraId="59CD58D8" w14:textId="77777777" w:rsidR="000F7827" w:rsidRPr="00137A05" w:rsidRDefault="000F7827"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2024</w:t>
            </w:r>
          </w:p>
        </w:tc>
        <w:tc>
          <w:tcPr>
            <w:tcW w:w="0" w:type="auto"/>
            <w:hideMark/>
          </w:tcPr>
          <w:p w14:paraId="35D6448A" w14:textId="77777777" w:rsidR="000F7827" w:rsidRPr="00137A05" w:rsidRDefault="000F7827"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2025</w:t>
            </w:r>
          </w:p>
        </w:tc>
      </w:tr>
      <w:tr w:rsidR="000F7827" w:rsidRPr="00137A05" w14:paraId="59596E6D" w14:textId="77777777" w:rsidTr="004300AA">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0" w:type="auto"/>
            <w:hideMark/>
          </w:tcPr>
          <w:p w14:paraId="20DF7C62"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Current assets</w:t>
            </w:r>
          </w:p>
        </w:tc>
        <w:tc>
          <w:tcPr>
            <w:tcW w:w="0" w:type="auto"/>
            <w:hideMark/>
          </w:tcPr>
          <w:p w14:paraId="38B37BF7"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2,066</w:t>
            </w:r>
          </w:p>
        </w:tc>
        <w:tc>
          <w:tcPr>
            <w:tcW w:w="0" w:type="auto"/>
            <w:hideMark/>
          </w:tcPr>
          <w:p w14:paraId="58A78DB1"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1,678</w:t>
            </w:r>
          </w:p>
        </w:tc>
        <w:tc>
          <w:tcPr>
            <w:tcW w:w="0" w:type="auto"/>
            <w:hideMark/>
          </w:tcPr>
          <w:p w14:paraId="2EF3ACC6"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2,129</w:t>
            </w:r>
          </w:p>
        </w:tc>
        <w:tc>
          <w:tcPr>
            <w:tcW w:w="0" w:type="auto"/>
            <w:hideMark/>
          </w:tcPr>
          <w:p w14:paraId="5537E9DE"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1,869</w:t>
            </w:r>
          </w:p>
        </w:tc>
        <w:tc>
          <w:tcPr>
            <w:tcW w:w="0" w:type="auto"/>
            <w:hideMark/>
          </w:tcPr>
          <w:p w14:paraId="5D13BD7E"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2,049</w:t>
            </w:r>
          </w:p>
        </w:tc>
      </w:tr>
      <w:tr w:rsidR="000F7827" w:rsidRPr="00137A05" w14:paraId="20D75E37" w14:textId="77777777" w:rsidTr="004300AA">
        <w:trPr>
          <w:trHeight w:val="586"/>
        </w:trPr>
        <w:tc>
          <w:tcPr>
            <w:cnfStyle w:val="001000000000" w:firstRow="0" w:lastRow="0" w:firstColumn="1" w:lastColumn="0" w:oddVBand="0" w:evenVBand="0" w:oddHBand="0" w:evenHBand="0" w:firstRowFirstColumn="0" w:firstRowLastColumn="0" w:lastRowFirstColumn="0" w:lastRowLastColumn="0"/>
            <w:tcW w:w="0" w:type="auto"/>
            <w:hideMark/>
          </w:tcPr>
          <w:p w14:paraId="56EE3BC4"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Inventory</w:t>
            </w:r>
          </w:p>
        </w:tc>
        <w:tc>
          <w:tcPr>
            <w:tcW w:w="0" w:type="auto"/>
            <w:hideMark/>
          </w:tcPr>
          <w:p w14:paraId="0C77A4D3"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4</w:t>
            </w:r>
          </w:p>
        </w:tc>
        <w:tc>
          <w:tcPr>
            <w:tcW w:w="0" w:type="auto"/>
            <w:hideMark/>
          </w:tcPr>
          <w:p w14:paraId="64FAE53A"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4</w:t>
            </w:r>
          </w:p>
        </w:tc>
        <w:tc>
          <w:tcPr>
            <w:tcW w:w="0" w:type="auto"/>
            <w:hideMark/>
          </w:tcPr>
          <w:p w14:paraId="0838D337"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5</w:t>
            </w:r>
          </w:p>
        </w:tc>
        <w:tc>
          <w:tcPr>
            <w:tcW w:w="0" w:type="auto"/>
            <w:hideMark/>
          </w:tcPr>
          <w:p w14:paraId="070BA31A"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4</w:t>
            </w:r>
          </w:p>
        </w:tc>
        <w:tc>
          <w:tcPr>
            <w:tcW w:w="0" w:type="auto"/>
            <w:hideMark/>
          </w:tcPr>
          <w:p w14:paraId="647CBFCF"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5</w:t>
            </w:r>
          </w:p>
        </w:tc>
      </w:tr>
      <w:tr w:rsidR="000F7827" w:rsidRPr="00137A05" w14:paraId="52E7E88A" w14:textId="77777777" w:rsidTr="004300AA">
        <w:trPr>
          <w:cnfStyle w:val="000000100000" w:firstRow="0" w:lastRow="0" w:firstColumn="0" w:lastColumn="0" w:oddVBand="0" w:evenVBand="0" w:oddHBand="1"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0" w:type="auto"/>
            <w:hideMark/>
          </w:tcPr>
          <w:p w14:paraId="01461AAF"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Trade and other receivables</w:t>
            </w:r>
          </w:p>
        </w:tc>
        <w:tc>
          <w:tcPr>
            <w:tcW w:w="0" w:type="auto"/>
            <w:hideMark/>
          </w:tcPr>
          <w:p w14:paraId="797A4F9D"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574</w:t>
            </w:r>
          </w:p>
        </w:tc>
        <w:tc>
          <w:tcPr>
            <w:tcW w:w="0" w:type="auto"/>
            <w:hideMark/>
          </w:tcPr>
          <w:p w14:paraId="644D2209"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646</w:t>
            </w:r>
          </w:p>
        </w:tc>
        <w:tc>
          <w:tcPr>
            <w:tcW w:w="0" w:type="auto"/>
            <w:hideMark/>
          </w:tcPr>
          <w:p w14:paraId="7E1F9D24"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740</w:t>
            </w:r>
          </w:p>
        </w:tc>
        <w:tc>
          <w:tcPr>
            <w:tcW w:w="0" w:type="auto"/>
            <w:hideMark/>
          </w:tcPr>
          <w:p w14:paraId="1DDC612C"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785</w:t>
            </w:r>
          </w:p>
        </w:tc>
        <w:tc>
          <w:tcPr>
            <w:tcW w:w="0" w:type="auto"/>
            <w:hideMark/>
          </w:tcPr>
          <w:p w14:paraId="2A888876"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833</w:t>
            </w:r>
          </w:p>
        </w:tc>
      </w:tr>
      <w:tr w:rsidR="000F7827" w:rsidRPr="00137A05" w14:paraId="1C1226A3" w14:textId="77777777" w:rsidTr="004300AA">
        <w:trPr>
          <w:trHeight w:val="596"/>
        </w:trPr>
        <w:tc>
          <w:tcPr>
            <w:cnfStyle w:val="001000000000" w:firstRow="0" w:lastRow="0" w:firstColumn="1" w:lastColumn="0" w:oddVBand="0" w:evenVBand="0" w:oddHBand="0" w:evenHBand="0" w:firstRowFirstColumn="0" w:firstRowLastColumn="0" w:lastRowFirstColumn="0" w:lastRowLastColumn="0"/>
            <w:tcW w:w="0" w:type="auto"/>
            <w:hideMark/>
          </w:tcPr>
          <w:p w14:paraId="25D0CF86"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Cash and cash equivalents</w:t>
            </w:r>
          </w:p>
        </w:tc>
        <w:tc>
          <w:tcPr>
            <w:tcW w:w="0" w:type="auto"/>
            <w:hideMark/>
          </w:tcPr>
          <w:p w14:paraId="56B615E7"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1,450</w:t>
            </w:r>
          </w:p>
        </w:tc>
        <w:tc>
          <w:tcPr>
            <w:tcW w:w="0" w:type="auto"/>
            <w:hideMark/>
          </w:tcPr>
          <w:p w14:paraId="22733109"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976</w:t>
            </w:r>
          </w:p>
        </w:tc>
        <w:tc>
          <w:tcPr>
            <w:tcW w:w="0" w:type="auto"/>
            <w:hideMark/>
          </w:tcPr>
          <w:p w14:paraId="382CF23F"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1,322</w:t>
            </w:r>
          </w:p>
        </w:tc>
        <w:tc>
          <w:tcPr>
            <w:tcW w:w="0" w:type="auto"/>
            <w:hideMark/>
          </w:tcPr>
          <w:p w14:paraId="2F563BC5"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1,008</w:t>
            </w:r>
          </w:p>
        </w:tc>
        <w:tc>
          <w:tcPr>
            <w:tcW w:w="0" w:type="auto"/>
            <w:hideMark/>
          </w:tcPr>
          <w:p w14:paraId="1A3FC917"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1,129</w:t>
            </w:r>
          </w:p>
        </w:tc>
      </w:tr>
      <w:tr w:rsidR="000F7827" w:rsidRPr="00137A05" w14:paraId="65586FB4" w14:textId="77777777" w:rsidTr="004300AA">
        <w:trPr>
          <w:cnfStyle w:val="000000100000" w:firstRow="0" w:lastRow="0" w:firstColumn="0" w:lastColumn="0" w:oddVBand="0" w:evenVBand="0" w:oddHBand="1"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0" w:type="auto"/>
            <w:hideMark/>
          </w:tcPr>
          <w:p w14:paraId="7F61064A"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Current liabilities</w:t>
            </w:r>
          </w:p>
        </w:tc>
        <w:tc>
          <w:tcPr>
            <w:tcW w:w="0" w:type="auto"/>
            <w:hideMark/>
          </w:tcPr>
          <w:p w14:paraId="483B453C"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1,624</w:t>
            </w:r>
          </w:p>
        </w:tc>
        <w:tc>
          <w:tcPr>
            <w:tcW w:w="0" w:type="auto"/>
            <w:hideMark/>
          </w:tcPr>
          <w:p w14:paraId="24DBEE7B"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1,544</w:t>
            </w:r>
          </w:p>
        </w:tc>
        <w:tc>
          <w:tcPr>
            <w:tcW w:w="0" w:type="auto"/>
            <w:hideMark/>
          </w:tcPr>
          <w:p w14:paraId="2458BCCD"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2,190</w:t>
            </w:r>
          </w:p>
        </w:tc>
        <w:tc>
          <w:tcPr>
            <w:tcW w:w="0" w:type="auto"/>
            <w:hideMark/>
          </w:tcPr>
          <w:p w14:paraId="7B4FCF53"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1,928</w:t>
            </w:r>
          </w:p>
        </w:tc>
        <w:tc>
          <w:tcPr>
            <w:tcW w:w="0" w:type="auto"/>
            <w:hideMark/>
          </w:tcPr>
          <w:p w14:paraId="3FD18E9A"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2,100</w:t>
            </w:r>
          </w:p>
        </w:tc>
      </w:tr>
      <w:tr w:rsidR="000F7827" w:rsidRPr="00137A05" w14:paraId="7BF4FC80" w14:textId="77777777" w:rsidTr="004300AA">
        <w:trPr>
          <w:trHeight w:val="586"/>
        </w:trPr>
        <w:tc>
          <w:tcPr>
            <w:cnfStyle w:val="001000000000" w:firstRow="0" w:lastRow="0" w:firstColumn="1" w:lastColumn="0" w:oddVBand="0" w:evenVBand="0" w:oddHBand="0" w:evenHBand="0" w:firstRowFirstColumn="0" w:firstRowLastColumn="0" w:lastRowFirstColumn="0" w:lastRowLastColumn="0"/>
            <w:tcW w:w="0" w:type="auto"/>
            <w:hideMark/>
          </w:tcPr>
          <w:p w14:paraId="0CC22A5B"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lastRenderedPageBreak/>
              <w:t>Total assets</w:t>
            </w:r>
          </w:p>
        </w:tc>
        <w:tc>
          <w:tcPr>
            <w:tcW w:w="0" w:type="auto"/>
            <w:hideMark/>
          </w:tcPr>
          <w:p w14:paraId="0FDF8FFF"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4,716</w:t>
            </w:r>
          </w:p>
        </w:tc>
        <w:tc>
          <w:tcPr>
            <w:tcW w:w="0" w:type="auto"/>
            <w:hideMark/>
          </w:tcPr>
          <w:p w14:paraId="0EA3E030"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4,216</w:t>
            </w:r>
          </w:p>
        </w:tc>
        <w:tc>
          <w:tcPr>
            <w:tcW w:w="0" w:type="auto"/>
            <w:hideMark/>
          </w:tcPr>
          <w:p w14:paraId="3FDC4DE8"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4,813</w:t>
            </w:r>
          </w:p>
        </w:tc>
        <w:tc>
          <w:tcPr>
            <w:tcW w:w="0" w:type="auto"/>
            <w:hideMark/>
          </w:tcPr>
          <w:p w14:paraId="01A5872A"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4,748</w:t>
            </w:r>
          </w:p>
        </w:tc>
        <w:tc>
          <w:tcPr>
            <w:tcW w:w="0" w:type="auto"/>
            <w:hideMark/>
          </w:tcPr>
          <w:p w14:paraId="463F0D7B"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5,345</w:t>
            </w:r>
          </w:p>
        </w:tc>
      </w:tr>
      <w:tr w:rsidR="000F7827" w:rsidRPr="00137A05" w14:paraId="3FB67C69" w14:textId="77777777" w:rsidTr="004300AA">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0" w:type="auto"/>
            <w:hideMark/>
          </w:tcPr>
          <w:p w14:paraId="0087B77C"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Total liabilities</w:t>
            </w:r>
          </w:p>
        </w:tc>
        <w:tc>
          <w:tcPr>
            <w:tcW w:w="0" w:type="auto"/>
            <w:hideMark/>
          </w:tcPr>
          <w:p w14:paraId="7196C29F"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6,190</w:t>
            </w:r>
          </w:p>
        </w:tc>
        <w:tc>
          <w:tcPr>
            <w:tcW w:w="0" w:type="auto"/>
            <w:hideMark/>
          </w:tcPr>
          <w:p w14:paraId="3FB53EE8"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5,824</w:t>
            </w:r>
          </w:p>
        </w:tc>
        <w:tc>
          <w:tcPr>
            <w:tcW w:w="0" w:type="auto"/>
            <w:hideMark/>
          </w:tcPr>
          <w:p w14:paraId="273B13F0"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6,759</w:t>
            </w:r>
          </w:p>
        </w:tc>
        <w:tc>
          <w:tcPr>
            <w:tcW w:w="0" w:type="auto"/>
            <w:hideMark/>
          </w:tcPr>
          <w:p w14:paraId="2078A6DF"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7,056</w:t>
            </w:r>
          </w:p>
        </w:tc>
        <w:tc>
          <w:tcPr>
            <w:tcW w:w="0" w:type="auto"/>
            <w:hideMark/>
          </w:tcPr>
          <w:p w14:paraId="4FA673D4"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8,081</w:t>
            </w:r>
          </w:p>
        </w:tc>
      </w:tr>
      <w:tr w:rsidR="000F7827" w:rsidRPr="00137A05" w14:paraId="228FD66F" w14:textId="77777777" w:rsidTr="004300AA">
        <w:trPr>
          <w:trHeight w:val="586"/>
        </w:trPr>
        <w:tc>
          <w:tcPr>
            <w:cnfStyle w:val="001000000000" w:firstRow="0" w:lastRow="0" w:firstColumn="1" w:lastColumn="0" w:oddVBand="0" w:evenVBand="0" w:oddHBand="0" w:evenHBand="0" w:firstRowFirstColumn="0" w:firstRowLastColumn="0" w:lastRowFirstColumn="0" w:lastRowLastColumn="0"/>
            <w:tcW w:w="0" w:type="auto"/>
            <w:hideMark/>
          </w:tcPr>
          <w:p w14:paraId="56CF8D4D"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Current borrowings</w:t>
            </w:r>
          </w:p>
        </w:tc>
        <w:tc>
          <w:tcPr>
            <w:tcW w:w="0" w:type="auto"/>
            <w:hideMark/>
          </w:tcPr>
          <w:p w14:paraId="736CB5E9"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292</w:t>
            </w:r>
          </w:p>
        </w:tc>
        <w:tc>
          <w:tcPr>
            <w:tcW w:w="0" w:type="auto"/>
            <w:hideMark/>
          </w:tcPr>
          <w:p w14:paraId="2C8B9DE9"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55</w:t>
            </w:r>
          </w:p>
        </w:tc>
        <w:tc>
          <w:tcPr>
            <w:tcW w:w="0" w:type="auto"/>
            <w:hideMark/>
          </w:tcPr>
          <w:p w14:paraId="0335CDA3"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599</w:t>
            </w:r>
          </w:p>
        </w:tc>
        <w:tc>
          <w:tcPr>
            <w:tcW w:w="0" w:type="auto"/>
            <w:hideMark/>
          </w:tcPr>
          <w:p w14:paraId="421E9F76"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398</w:t>
            </w:r>
          </w:p>
        </w:tc>
        <w:tc>
          <w:tcPr>
            <w:tcW w:w="0" w:type="auto"/>
            <w:hideMark/>
          </w:tcPr>
          <w:p w14:paraId="2BD84305"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478</w:t>
            </w:r>
          </w:p>
        </w:tc>
      </w:tr>
      <w:tr w:rsidR="000F7827" w:rsidRPr="00137A05" w14:paraId="2C18865A" w14:textId="77777777" w:rsidTr="004300AA">
        <w:trPr>
          <w:cnfStyle w:val="000000100000" w:firstRow="0" w:lastRow="0" w:firstColumn="0" w:lastColumn="0" w:oddVBand="0" w:evenVBand="0" w:oddHBand="1"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0" w:type="auto"/>
            <w:hideMark/>
          </w:tcPr>
          <w:p w14:paraId="03221BF9"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Current lease liabilities</w:t>
            </w:r>
          </w:p>
        </w:tc>
        <w:tc>
          <w:tcPr>
            <w:tcW w:w="0" w:type="auto"/>
            <w:hideMark/>
          </w:tcPr>
          <w:p w14:paraId="4E97C30C"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35</w:t>
            </w:r>
          </w:p>
        </w:tc>
        <w:tc>
          <w:tcPr>
            <w:tcW w:w="0" w:type="auto"/>
            <w:hideMark/>
          </w:tcPr>
          <w:p w14:paraId="2F2287EB"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26</w:t>
            </w:r>
          </w:p>
        </w:tc>
        <w:tc>
          <w:tcPr>
            <w:tcW w:w="0" w:type="auto"/>
            <w:hideMark/>
          </w:tcPr>
          <w:p w14:paraId="5AC503B5"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30</w:t>
            </w:r>
          </w:p>
        </w:tc>
        <w:tc>
          <w:tcPr>
            <w:tcW w:w="0" w:type="auto"/>
            <w:hideMark/>
          </w:tcPr>
          <w:p w14:paraId="532C1F94"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26</w:t>
            </w:r>
          </w:p>
        </w:tc>
        <w:tc>
          <w:tcPr>
            <w:tcW w:w="0" w:type="auto"/>
            <w:hideMark/>
          </w:tcPr>
          <w:p w14:paraId="5EC44F06"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28</w:t>
            </w:r>
          </w:p>
        </w:tc>
      </w:tr>
      <w:tr w:rsidR="000F7827" w:rsidRPr="00137A05" w14:paraId="78BC6DF9" w14:textId="77777777" w:rsidTr="004300AA">
        <w:trPr>
          <w:trHeight w:val="596"/>
        </w:trPr>
        <w:tc>
          <w:tcPr>
            <w:cnfStyle w:val="001000000000" w:firstRow="0" w:lastRow="0" w:firstColumn="1" w:lastColumn="0" w:oddVBand="0" w:evenVBand="0" w:oddHBand="0" w:evenHBand="0" w:firstRowFirstColumn="0" w:firstRowLastColumn="0" w:lastRowFirstColumn="0" w:lastRowLastColumn="0"/>
            <w:tcW w:w="0" w:type="auto"/>
            <w:hideMark/>
          </w:tcPr>
          <w:p w14:paraId="43E6F71F"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Non-current borrowings</w:t>
            </w:r>
          </w:p>
        </w:tc>
        <w:tc>
          <w:tcPr>
            <w:tcW w:w="0" w:type="auto"/>
            <w:hideMark/>
          </w:tcPr>
          <w:p w14:paraId="0EA34498"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2,553</w:t>
            </w:r>
          </w:p>
        </w:tc>
        <w:tc>
          <w:tcPr>
            <w:tcW w:w="0" w:type="auto"/>
            <w:hideMark/>
          </w:tcPr>
          <w:p w14:paraId="288B3703"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2,341</w:t>
            </w:r>
          </w:p>
        </w:tc>
        <w:tc>
          <w:tcPr>
            <w:tcW w:w="0" w:type="auto"/>
            <w:hideMark/>
          </w:tcPr>
          <w:p w14:paraId="7FCA45FA"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2,567</w:t>
            </w:r>
          </w:p>
        </w:tc>
        <w:tc>
          <w:tcPr>
            <w:tcW w:w="0" w:type="auto"/>
            <w:hideMark/>
          </w:tcPr>
          <w:p w14:paraId="0DEB8A80"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2,876</w:t>
            </w:r>
          </w:p>
        </w:tc>
        <w:tc>
          <w:tcPr>
            <w:tcW w:w="0" w:type="auto"/>
            <w:hideMark/>
          </w:tcPr>
          <w:p w14:paraId="202CFB96"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3,723</w:t>
            </w:r>
          </w:p>
        </w:tc>
      </w:tr>
      <w:tr w:rsidR="000F7827" w:rsidRPr="00137A05" w14:paraId="7401C591" w14:textId="77777777" w:rsidTr="004300AA">
        <w:trPr>
          <w:cnfStyle w:val="000000100000" w:firstRow="0" w:lastRow="0" w:firstColumn="0" w:lastColumn="0" w:oddVBand="0" w:evenVBand="0" w:oddHBand="1"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0" w:type="auto"/>
            <w:hideMark/>
          </w:tcPr>
          <w:p w14:paraId="6FD3EA68"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Non-current lease liabilities</w:t>
            </w:r>
          </w:p>
        </w:tc>
        <w:tc>
          <w:tcPr>
            <w:tcW w:w="0" w:type="auto"/>
            <w:hideMark/>
          </w:tcPr>
          <w:p w14:paraId="2FD488D9"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384</w:t>
            </w:r>
          </w:p>
        </w:tc>
        <w:tc>
          <w:tcPr>
            <w:tcW w:w="0" w:type="auto"/>
            <w:hideMark/>
          </w:tcPr>
          <w:p w14:paraId="0792CA6C"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401</w:t>
            </w:r>
          </w:p>
        </w:tc>
        <w:tc>
          <w:tcPr>
            <w:tcW w:w="0" w:type="auto"/>
            <w:hideMark/>
          </w:tcPr>
          <w:p w14:paraId="256C3FB1"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396</w:t>
            </w:r>
          </w:p>
        </w:tc>
        <w:tc>
          <w:tcPr>
            <w:tcW w:w="0" w:type="auto"/>
            <w:hideMark/>
          </w:tcPr>
          <w:p w14:paraId="44D43474"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388</w:t>
            </w:r>
          </w:p>
        </w:tc>
        <w:tc>
          <w:tcPr>
            <w:tcW w:w="0" w:type="auto"/>
            <w:hideMark/>
          </w:tcPr>
          <w:p w14:paraId="1BED271A"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378</w:t>
            </w:r>
          </w:p>
        </w:tc>
      </w:tr>
      <w:tr w:rsidR="000F7827" w:rsidRPr="00137A05" w14:paraId="16B46E87" w14:textId="77777777" w:rsidTr="004300AA">
        <w:trPr>
          <w:trHeight w:val="586"/>
        </w:trPr>
        <w:tc>
          <w:tcPr>
            <w:cnfStyle w:val="001000000000" w:firstRow="0" w:lastRow="0" w:firstColumn="1" w:lastColumn="0" w:oddVBand="0" w:evenVBand="0" w:oddHBand="0" w:evenHBand="0" w:firstRowFirstColumn="0" w:firstRowLastColumn="0" w:lastRowFirstColumn="0" w:lastRowLastColumn="0"/>
            <w:tcW w:w="0" w:type="auto"/>
            <w:hideMark/>
          </w:tcPr>
          <w:p w14:paraId="03054391"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Total borrowings and leases</w:t>
            </w:r>
          </w:p>
        </w:tc>
        <w:tc>
          <w:tcPr>
            <w:tcW w:w="0" w:type="auto"/>
            <w:hideMark/>
          </w:tcPr>
          <w:p w14:paraId="7BFDB6C3"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b/>
                <w:bCs/>
                <w:sz w:val="24"/>
                <w:szCs w:val="24"/>
              </w:rPr>
              <w:t>3,264</w:t>
            </w:r>
          </w:p>
        </w:tc>
        <w:tc>
          <w:tcPr>
            <w:tcW w:w="0" w:type="auto"/>
            <w:hideMark/>
          </w:tcPr>
          <w:p w14:paraId="4F5953AC"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b/>
                <w:bCs/>
                <w:sz w:val="24"/>
                <w:szCs w:val="24"/>
              </w:rPr>
              <w:t>2,823</w:t>
            </w:r>
          </w:p>
        </w:tc>
        <w:tc>
          <w:tcPr>
            <w:tcW w:w="0" w:type="auto"/>
            <w:hideMark/>
          </w:tcPr>
          <w:p w14:paraId="30EBCF91"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b/>
                <w:bCs/>
                <w:sz w:val="24"/>
                <w:szCs w:val="24"/>
              </w:rPr>
              <w:t>3,592</w:t>
            </w:r>
          </w:p>
        </w:tc>
        <w:tc>
          <w:tcPr>
            <w:tcW w:w="0" w:type="auto"/>
            <w:hideMark/>
          </w:tcPr>
          <w:p w14:paraId="6186BE99"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b/>
                <w:bCs/>
                <w:sz w:val="24"/>
                <w:szCs w:val="24"/>
              </w:rPr>
              <w:t>3,688</w:t>
            </w:r>
          </w:p>
        </w:tc>
        <w:tc>
          <w:tcPr>
            <w:tcW w:w="0" w:type="auto"/>
            <w:hideMark/>
          </w:tcPr>
          <w:p w14:paraId="094AD405"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b/>
                <w:bCs/>
                <w:sz w:val="24"/>
                <w:szCs w:val="24"/>
              </w:rPr>
              <w:t>4,607</w:t>
            </w:r>
          </w:p>
        </w:tc>
      </w:tr>
      <w:tr w:rsidR="000F7827" w:rsidRPr="00137A05" w14:paraId="453063D5" w14:textId="77777777" w:rsidTr="004300AA">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0" w:type="auto"/>
            <w:hideMark/>
          </w:tcPr>
          <w:p w14:paraId="2300F90D"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Official net debt</w:t>
            </w:r>
          </w:p>
        </w:tc>
        <w:tc>
          <w:tcPr>
            <w:tcW w:w="0" w:type="auto"/>
            <w:hideMark/>
          </w:tcPr>
          <w:p w14:paraId="775F308D"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1,881</w:t>
            </w:r>
          </w:p>
        </w:tc>
        <w:tc>
          <w:tcPr>
            <w:tcW w:w="0" w:type="auto"/>
            <w:hideMark/>
          </w:tcPr>
          <w:p w14:paraId="19D68058"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1,851</w:t>
            </w:r>
          </w:p>
        </w:tc>
        <w:tc>
          <w:tcPr>
            <w:tcW w:w="0" w:type="auto"/>
            <w:hideMark/>
          </w:tcPr>
          <w:p w14:paraId="550671D4"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2,272</w:t>
            </w:r>
          </w:p>
        </w:tc>
        <w:tc>
          <w:tcPr>
            <w:tcW w:w="0" w:type="auto"/>
            <w:hideMark/>
          </w:tcPr>
          <w:p w14:paraId="7349C541"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2,782</w:t>
            </w:r>
          </w:p>
        </w:tc>
        <w:tc>
          <w:tcPr>
            <w:tcW w:w="0" w:type="auto"/>
            <w:hideMark/>
          </w:tcPr>
          <w:p w14:paraId="70213663"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3,333</w:t>
            </w:r>
          </w:p>
        </w:tc>
      </w:tr>
      <w:tr w:rsidR="000F7827" w:rsidRPr="00137A05" w14:paraId="5F8B4CA1" w14:textId="77777777" w:rsidTr="004300AA">
        <w:trPr>
          <w:trHeight w:val="586"/>
        </w:trPr>
        <w:tc>
          <w:tcPr>
            <w:cnfStyle w:val="001000000000" w:firstRow="0" w:lastRow="0" w:firstColumn="1" w:lastColumn="0" w:oddVBand="0" w:evenVBand="0" w:oddHBand="0" w:evenHBand="0" w:firstRowFirstColumn="0" w:firstRowLastColumn="0" w:lastRowFirstColumn="0" w:lastRowLastColumn="0"/>
            <w:tcW w:w="0" w:type="auto"/>
            <w:hideMark/>
          </w:tcPr>
          <w:p w14:paraId="6C72C38F"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Total equity</w:t>
            </w:r>
          </w:p>
        </w:tc>
        <w:tc>
          <w:tcPr>
            <w:tcW w:w="0" w:type="auto"/>
            <w:hideMark/>
          </w:tcPr>
          <w:p w14:paraId="09C53558"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(1,474)</w:t>
            </w:r>
          </w:p>
        </w:tc>
        <w:tc>
          <w:tcPr>
            <w:tcW w:w="0" w:type="auto"/>
            <w:hideMark/>
          </w:tcPr>
          <w:p w14:paraId="6D9C3620"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(1,608)</w:t>
            </w:r>
          </w:p>
        </w:tc>
        <w:tc>
          <w:tcPr>
            <w:tcW w:w="0" w:type="auto"/>
            <w:hideMark/>
          </w:tcPr>
          <w:p w14:paraId="1CD55C91"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(1,946)</w:t>
            </w:r>
          </w:p>
        </w:tc>
        <w:tc>
          <w:tcPr>
            <w:tcW w:w="0" w:type="auto"/>
            <w:hideMark/>
          </w:tcPr>
          <w:p w14:paraId="404CF2BA"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(2,308)</w:t>
            </w:r>
          </w:p>
        </w:tc>
        <w:tc>
          <w:tcPr>
            <w:tcW w:w="0" w:type="auto"/>
            <w:hideMark/>
          </w:tcPr>
          <w:p w14:paraId="6308B16B"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(2,736)</w:t>
            </w:r>
          </w:p>
        </w:tc>
      </w:tr>
      <w:tr w:rsidR="000F7827" w:rsidRPr="00137A05" w14:paraId="5957E07C" w14:textId="77777777" w:rsidTr="004300AA">
        <w:trPr>
          <w:cnfStyle w:val="000000100000" w:firstRow="0" w:lastRow="0" w:firstColumn="0" w:lastColumn="0" w:oddVBand="0" w:evenVBand="0" w:oddHBand="1"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0" w:type="auto"/>
            <w:hideMark/>
          </w:tcPr>
          <w:p w14:paraId="7E07B8DE"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Net working capital</w:t>
            </w:r>
          </w:p>
        </w:tc>
        <w:tc>
          <w:tcPr>
            <w:tcW w:w="0" w:type="auto"/>
            <w:hideMark/>
          </w:tcPr>
          <w:p w14:paraId="094C0A92"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442</w:t>
            </w:r>
          </w:p>
        </w:tc>
        <w:tc>
          <w:tcPr>
            <w:tcW w:w="0" w:type="auto"/>
            <w:hideMark/>
          </w:tcPr>
          <w:p w14:paraId="453E487F"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134</w:t>
            </w:r>
          </w:p>
        </w:tc>
        <w:tc>
          <w:tcPr>
            <w:tcW w:w="0" w:type="auto"/>
            <w:hideMark/>
          </w:tcPr>
          <w:p w14:paraId="01701897"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(61)</w:t>
            </w:r>
          </w:p>
        </w:tc>
        <w:tc>
          <w:tcPr>
            <w:tcW w:w="0" w:type="auto"/>
            <w:hideMark/>
          </w:tcPr>
          <w:p w14:paraId="446C1446"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(59)</w:t>
            </w:r>
          </w:p>
        </w:tc>
        <w:tc>
          <w:tcPr>
            <w:tcW w:w="0" w:type="auto"/>
            <w:hideMark/>
          </w:tcPr>
          <w:p w14:paraId="01529CD9"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(51)</w:t>
            </w:r>
          </w:p>
        </w:tc>
      </w:tr>
    </w:tbl>
    <w:p w14:paraId="1B4BE2F8" w14:textId="77777777" w:rsidR="000F7827" w:rsidRPr="00137A05" w:rsidRDefault="000F7827" w:rsidP="00145589">
      <w:pPr>
        <w:pStyle w:val="Heading3"/>
        <w:numPr>
          <w:ilvl w:val="2"/>
          <w:numId w:val="1"/>
        </w:numPr>
        <w:spacing w:line="360" w:lineRule="auto"/>
        <w:jc w:val="both"/>
        <w:rPr>
          <w:rFonts w:ascii="Arial" w:hAnsi="Arial" w:cs="Arial"/>
          <w:sz w:val="24"/>
          <w:szCs w:val="24"/>
        </w:rPr>
      </w:pPr>
      <w:bookmarkStart w:id="33" w:name="_Toc235788237"/>
      <w:r w:rsidRPr="00137A05">
        <w:rPr>
          <w:rFonts w:ascii="Arial" w:hAnsi="Arial" w:cs="Arial"/>
          <w:sz w:val="24"/>
          <w:szCs w:val="24"/>
        </w:rPr>
        <w:t>Appendix A3: Opening values used for average-balance calculations</w:t>
      </w:r>
      <w:bookmarkEnd w:id="33"/>
    </w:p>
    <w:tbl>
      <w:tblPr>
        <w:tblStyle w:val="GridTable4-Accent2"/>
        <w:tblW w:w="9506" w:type="dxa"/>
        <w:tblLook w:val="04A0" w:firstRow="1" w:lastRow="0" w:firstColumn="1" w:lastColumn="0" w:noHBand="0" w:noVBand="1"/>
      </w:tblPr>
      <w:tblGrid>
        <w:gridCol w:w="5783"/>
        <w:gridCol w:w="3723"/>
      </w:tblGrid>
      <w:tr w:rsidR="000F7827" w:rsidRPr="00137A05" w14:paraId="1D5BDDA6" w14:textId="77777777" w:rsidTr="004300AA">
        <w:trPr>
          <w:cnfStyle w:val="100000000000" w:firstRow="1" w:lastRow="0" w:firstColumn="0" w:lastColumn="0" w:oddVBand="0" w:evenVBand="0" w:oddHBand="0" w:evenHBand="0" w:firstRowFirstColumn="0" w:firstRowLastColumn="0" w:lastRowFirstColumn="0" w:lastRowLastColumn="0"/>
          <w:trHeight w:val="727"/>
        </w:trPr>
        <w:tc>
          <w:tcPr>
            <w:cnfStyle w:val="001000000000" w:firstRow="0" w:lastRow="0" w:firstColumn="1" w:lastColumn="0" w:oddVBand="0" w:evenVBand="0" w:oddHBand="0" w:evenHBand="0" w:firstRowFirstColumn="0" w:firstRowLastColumn="0" w:lastRowFirstColumn="0" w:lastRowLastColumn="0"/>
            <w:tcW w:w="0" w:type="auto"/>
            <w:hideMark/>
          </w:tcPr>
          <w:p w14:paraId="494F14F1"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Value</w:t>
            </w:r>
          </w:p>
        </w:tc>
        <w:tc>
          <w:tcPr>
            <w:tcW w:w="0" w:type="auto"/>
            <w:hideMark/>
          </w:tcPr>
          <w:p w14:paraId="79E33B03" w14:textId="77777777" w:rsidR="000F7827" w:rsidRPr="00137A05" w:rsidRDefault="000F7827"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2020, US$ million</w:t>
            </w:r>
          </w:p>
        </w:tc>
      </w:tr>
      <w:tr w:rsidR="000F7827" w:rsidRPr="00137A05" w14:paraId="5B5F3C62" w14:textId="77777777" w:rsidTr="004300AA">
        <w:trPr>
          <w:cnfStyle w:val="000000100000" w:firstRow="0" w:lastRow="0" w:firstColumn="0" w:lastColumn="0" w:oddVBand="0" w:evenVBand="0" w:oddHBand="1" w:evenHBand="0" w:firstRowFirstColumn="0" w:firstRowLastColumn="0" w:lastRowFirstColumn="0" w:lastRowLastColumn="0"/>
          <w:trHeight w:val="748"/>
        </w:trPr>
        <w:tc>
          <w:tcPr>
            <w:cnfStyle w:val="001000000000" w:firstRow="0" w:lastRow="0" w:firstColumn="1" w:lastColumn="0" w:oddVBand="0" w:evenVBand="0" w:oddHBand="0" w:evenHBand="0" w:firstRowFirstColumn="0" w:firstRowLastColumn="0" w:lastRowFirstColumn="0" w:lastRowLastColumn="0"/>
            <w:tcW w:w="0" w:type="auto"/>
            <w:hideMark/>
          </w:tcPr>
          <w:p w14:paraId="6852F102"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Total assets</w:t>
            </w:r>
          </w:p>
        </w:tc>
        <w:tc>
          <w:tcPr>
            <w:tcW w:w="0" w:type="auto"/>
            <w:hideMark/>
          </w:tcPr>
          <w:p w14:paraId="50F4D369"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5,039</w:t>
            </w:r>
          </w:p>
        </w:tc>
      </w:tr>
      <w:tr w:rsidR="000F7827" w:rsidRPr="00137A05" w14:paraId="7FFFCAF9" w14:textId="77777777" w:rsidTr="004300AA">
        <w:trPr>
          <w:trHeight w:val="706"/>
        </w:trPr>
        <w:tc>
          <w:tcPr>
            <w:cnfStyle w:val="001000000000" w:firstRow="0" w:lastRow="0" w:firstColumn="1" w:lastColumn="0" w:oddVBand="0" w:evenVBand="0" w:oddHBand="0" w:evenHBand="0" w:firstRowFirstColumn="0" w:firstRowLastColumn="0" w:lastRowFirstColumn="0" w:lastRowLastColumn="0"/>
            <w:tcW w:w="0" w:type="auto"/>
            <w:hideMark/>
          </w:tcPr>
          <w:p w14:paraId="6F9C6240"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Trade and other receivables</w:t>
            </w:r>
          </w:p>
        </w:tc>
        <w:tc>
          <w:tcPr>
            <w:tcW w:w="0" w:type="auto"/>
            <w:hideMark/>
          </w:tcPr>
          <w:p w14:paraId="5D722B9B"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514</w:t>
            </w:r>
          </w:p>
        </w:tc>
      </w:tr>
    </w:tbl>
    <w:p w14:paraId="131AA15B" w14:textId="77777777" w:rsidR="000F7827" w:rsidRPr="00137A05" w:rsidRDefault="000F7827" w:rsidP="00145589">
      <w:pPr>
        <w:pStyle w:val="Heading2"/>
        <w:numPr>
          <w:ilvl w:val="1"/>
          <w:numId w:val="1"/>
        </w:numPr>
        <w:spacing w:line="360" w:lineRule="auto"/>
        <w:jc w:val="both"/>
        <w:rPr>
          <w:rFonts w:ascii="Arial" w:hAnsi="Arial" w:cs="Arial"/>
          <w:sz w:val="24"/>
          <w:szCs w:val="24"/>
        </w:rPr>
      </w:pPr>
      <w:bookmarkStart w:id="34" w:name="_Toc235788238"/>
      <w:r w:rsidRPr="00137A05">
        <w:rPr>
          <w:rFonts w:ascii="Arial" w:hAnsi="Arial" w:cs="Arial"/>
          <w:sz w:val="24"/>
          <w:szCs w:val="24"/>
        </w:rPr>
        <w:t>Appendix B: Comprehensive five-year ratio analysis</w:t>
      </w:r>
      <w:bookmarkEnd w:id="34"/>
    </w:p>
    <w:p w14:paraId="7FACCCF0" w14:textId="77777777" w:rsidR="000F7827" w:rsidRDefault="000F7827" w:rsidP="00145589">
      <w:pPr>
        <w:pStyle w:val="Heading3"/>
        <w:numPr>
          <w:ilvl w:val="2"/>
          <w:numId w:val="1"/>
        </w:numPr>
        <w:spacing w:line="360" w:lineRule="auto"/>
        <w:jc w:val="both"/>
        <w:rPr>
          <w:rFonts w:ascii="Arial" w:hAnsi="Arial" w:cs="Arial"/>
          <w:sz w:val="24"/>
          <w:szCs w:val="24"/>
        </w:rPr>
      </w:pPr>
      <w:bookmarkStart w:id="35" w:name="_Toc235788239"/>
      <w:r w:rsidRPr="00137A05">
        <w:rPr>
          <w:rFonts w:ascii="Arial" w:hAnsi="Arial" w:cs="Arial"/>
          <w:sz w:val="24"/>
          <w:szCs w:val="24"/>
        </w:rPr>
        <w:t>Appendix B1: Profitability, liquidity and efficiency</w:t>
      </w:r>
      <w:bookmarkEnd w:id="35"/>
    </w:p>
    <w:p w14:paraId="17F61657" w14:textId="77777777" w:rsidR="00374052" w:rsidRPr="00CD7ED6" w:rsidRDefault="00374052" w:rsidP="00145589">
      <w:pPr>
        <w:spacing w:line="360" w:lineRule="auto"/>
        <w:jc w:val="both"/>
        <w:rPr>
          <w:rFonts w:ascii="Arial" w:hAnsi="Arial" w:cs="Arial"/>
          <w:b/>
          <w:bCs/>
          <w:sz w:val="24"/>
          <w:szCs w:val="24"/>
        </w:rPr>
      </w:pPr>
      <w:r w:rsidRPr="00CD7ED6">
        <w:rPr>
          <w:rFonts w:ascii="Arial" w:hAnsi="Arial" w:cs="Arial"/>
          <w:b/>
          <w:bCs/>
          <w:sz w:val="24"/>
          <w:szCs w:val="24"/>
        </w:rPr>
        <w:t>Table B1.1: Profitability Ratios with Full Calculations</w:t>
      </w:r>
    </w:p>
    <w:tbl>
      <w:tblPr>
        <w:tblStyle w:val="GridTable4-Accent2"/>
        <w:tblW w:w="0" w:type="auto"/>
        <w:tblLook w:val="04A0" w:firstRow="1" w:lastRow="0" w:firstColumn="1" w:lastColumn="0" w:noHBand="0" w:noVBand="1"/>
      </w:tblPr>
      <w:tblGrid>
        <w:gridCol w:w="1221"/>
        <w:gridCol w:w="1150"/>
        <w:gridCol w:w="1329"/>
        <w:gridCol w:w="1329"/>
        <w:gridCol w:w="1329"/>
        <w:gridCol w:w="1329"/>
        <w:gridCol w:w="1329"/>
      </w:tblGrid>
      <w:tr w:rsidR="00374052" w:rsidRPr="00CD7ED6" w14:paraId="603A4CD3" w14:textId="77777777" w:rsidTr="001D56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C3C618" w14:textId="77777777" w:rsidR="00374052" w:rsidRPr="00CD7ED6" w:rsidRDefault="00374052" w:rsidP="00145589">
            <w:pPr>
              <w:spacing w:after="160" w:line="360" w:lineRule="auto"/>
              <w:jc w:val="center"/>
              <w:rPr>
                <w:rFonts w:ascii="Arial" w:hAnsi="Arial" w:cs="Arial"/>
                <w:sz w:val="24"/>
                <w:szCs w:val="24"/>
              </w:rPr>
            </w:pPr>
            <w:r w:rsidRPr="00CD7ED6">
              <w:rPr>
                <w:rFonts w:ascii="Arial" w:hAnsi="Arial" w:cs="Arial"/>
                <w:sz w:val="24"/>
                <w:szCs w:val="24"/>
              </w:rPr>
              <w:t>Ratio</w:t>
            </w:r>
          </w:p>
        </w:tc>
        <w:tc>
          <w:tcPr>
            <w:tcW w:w="0" w:type="auto"/>
            <w:hideMark/>
          </w:tcPr>
          <w:p w14:paraId="2F93734B" w14:textId="77777777" w:rsidR="00374052" w:rsidRPr="00CD7ED6" w:rsidRDefault="00374052" w:rsidP="0014558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Formula</w:t>
            </w:r>
          </w:p>
        </w:tc>
        <w:tc>
          <w:tcPr>
            <w:tcW w:w="0" w:type="auto"/>
            <w:hideMark/>
          </w:tcPr>
          <w:p w14:paraId="46BABF4A" w14:textId="77777777" w:rsidR="00374052" w:rsidRPr="00CD7ED6" w:rsidRDefault="00374052" w:rsidP="0014558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2021 calculation</w:t>
            </w:r>
          </w:p>
        </w:tc>
        <w:tc>
          <w:tcPr>
            <w:tcW w:w="0" w:type="auto"/>
            <w:hideMark/>
          </w:tcPr>
          <w:p w14:paraId="054958D2" w14:textId="77777777" w:rsidR="00374052" w:rsidRPr="00CD7ED6" w:rsidRDefault="00374052" w:rsidP="0014558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2022 calculation</w:t>
            </w:r>
          </w:p>
        </w:tc>
        <w:tc>
          <w:tcPr>
            <w:tcW w:w="0" w:type="auto"/>
            <w:hideMark/>
          </w:tcPr>
          <w:p w14:paraId="69E12915" w14:textId="77777777" w:rsidR="00374052" w:rsidRPr="00CD7ED6" w:rsidRDefault="00374052" w:rsidP="0014558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2023 calculation</w:t>
            </w:r>
          </w:p>
        </w:tc>
        <w:tc>
          <w:tcPr>
            <w:tcW w:w="0" w:type="auto"/>
            <w:hideMark/>
          </w:tcPr>
          <w:p w14:paraId="7DF1FEB0" w14:textId="77777777" w:rsidR="00374052" w:rsidRPr="00CD7ED6" w:rsidRDefault="00374052" w:rsidP="0014558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2024 calculation</w:t>
            </w:r>
          </w:p>
        </w:tc>
        <w:tc>
          <w:tcPr>
            <w:tcW w:w="0" w:type="auto"/>
            <w:hideMark/>
          </w:tcPr>
          <w:p w14:paraId="47C4B400" w14:textId="77777777" w:rsidR="00374052" w:rsidRPr="00CD7ED6" w:rsidRDefault="00374052" w:rsidP="0014558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2025 calculation</w:t>
            </w:r>
          </w:p>
        </w:tc>
      </w:tr>
      <w:tr w:rsidR="00374052" w:rsidRPr="00CD7ED6" w14:paraId="282B9835" w14:textId="77777777" w:rsidTr="001D5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A218EA" w14:textId="77777777" w:rsidR="00374052" w:rsidRPr="00CD7ED6" w:rsidRDefault="00374052" w:rsidP="00145589">
            <w:pPr>
              <w:spacing w:after="160" w:line="360" w:lineRule="auto"/>
              <w:jc w:val="center"/>
              <w:rPr>
                <w:rFonts w:ascii="Arial" w:hAnsi="Arial" w:cs="Arial"/>
                <w:sz w:val="24"/>
                <w:szCs w:val="24"/>
              </w:rPr>
            </w:pPr>
            <w:r w:rsidRPr="00CD7ED6">
              <w:rPr>
                <w:rFonts w:ascii="Arial" w:hAnsi="Arial" w:cs="Arial"/>
                <w:sz w:val="24"/>
                <w:szCs w:val="24"/>
              </w:rPr>
              <w:t>Operating profit margin</w:t>
            </w:r>
          </w:p>
        </w:tc>
        <w:tc>
          <w:tcPr>
            <w:tcW w:w="0" w:type="auto"/>
            <w:hideMark/>
          </w:tcPr>
          <w:p w14:paraId="60A28FD0"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 xml:space="preserve">Operating profit ÷ </w:t>
            </w:r>
            <w:r w:rsidRPr="00CD7ED6">
              <w:rPr>
                <w:rFonts w:ascii="Arial" w:hAnsi="Arial" w:cs="Arial"/>
                <w:sz w:val="24"/>
                <w:szCs w:val="24"/>
              </w:rPr>
              <w:lastRenderedPageBreak/>
              <w:t>revenue × 100</w:t>
            </w:r>
          </w:p>
        </w:tc>
        <w:tc>
          <w:tcPr>
            <w:tcW w:w="0" w:type="auto"/>
            <w:hideMark/>
          </w:tcPr>
          <w:p w14:paraId="5774115A"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lastRenderedPageBreak/>
              <w:t xml:space="preserve">$494m ÷ $2,907m </w:t>
            </w:r>
            <w:r w:rsidRPr="00CD7ED6">
              <w:rPr>
                <w:rFonts w:ascii="Arial" w:hAnsi="Arial" w:cs="Arial"/>
                <w:sz w:val="24"/>
                <w:szCs w:val="24"/>
              </w:rPr>
              <w:lastRenderedPageBreak/>
              <w:t>× 100 = 16.99%</w:t>
            </w:r>
          </w:p>
        </w:tc>
        <w:tc>
          <w:tcPr>
            <w:tcW w:w="0" w:type="auto"/>
            <w:hideMark/>
          </w:tcPr>
          <w:p w14:paraId="1ACA8E07"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lastRenderedPageBreak/>
              <w:t xml:space="preserve">$628m ÷ $3,892m </w:t>
            </w:r>
            <w:r w:rsidRPr="00CD7ED6">
              <w:rPr>
                <w:rFonts w:ascii="Arial" w:hAnsi="Arial" w:cs="Arial"/>
                <w:sz w:val="24"/>
                <w:szCs w:val="24"/>
              </w:rPr>
              <w:lastRenderedPageBreak/>
              <w:t>× 100 = 16.14%</w:t>
            </w:r>
          </w:p>
        </w:tc>
        <w:tc>
          <w:tcPr>
            <w:tcW w:w="0" w:type="auto"/>
            <w:hideMark/>
          </w:tcPr>
          <w:p w14:paraId="67B75E55"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lastRenderedPageBreak/>
              <w:t xml:space="preserve">$1,066m ÷ $4,624m </w:t>
            </w:r>
            <w:r w:rsidRPr="00CD7ED6">
              <w:rPr>
                <w:rFonts w:ascii="Arial" w:hAnsi="Arial" w:cs="Arial"/>
                <w:sz w:val="24"/>
                <w:szCs w:val="24"/>
              </w:rPr>
              <w:lastRenderedPageBreak/>
              <w:t>× 100 = 23.05%</w:t>
            </w:r>
          </w:p>
        </w:tc>
        <w:tc>
          <w:tcPr>
            <w:tcW w:w="0" w:type="auto"/>
            <w:hideMark/>
          </w:tcPr>
          <w:p w14:paraId="00AAE123"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lastRenderedPageBreak/>
              <w:t xml:space="preserve">$1,041m ÷ $4,923m </w:t>
            </w:r>
            <w:r w:rsidRPr="00CD7ED6">
              <w:rPr>
                <w:rFonts w:ascii="Arial" w:hAnsi="Arial" w:cs="Arial"/>
                <w:sz w:val="24"/>
                <w:szCs w:val="24"/>
              </w:rPr>
              <w:lastRenderedPageBreak/>
              <w:t>× 100 = 21.15%</w:t>
            </w:r>
          </w:p>
        </w:tc>
        <w:tc>
          <w:tcPr>
            <w:tcW w:w="0" w:type="auto"/>
            <w:hideMark/>
          </w:tcPr>
          <w:p w14:paraId="368BB1AA"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lastRenderedPageBreak/>
              <w:t xml:space="preserve">$1,198m ÷ $5,189m </w:t>
            </w:r>
            <w:r w:rsidRPr="00CD7ED6">
              <w:rPr>
                <w:rFonts w:ascii="Arial" w:hAnsi="Arial" w:cs="Arial"/>
                <w:sz w:val="24"/>
                <w:szCs w:val="24"/>
              </w:rPr>
              <w:lastRenderedPageBreak/>
              <w:t>× 100 = 23.09%</w:t>
            </w:r>
          </w:p>
        </w:tc>
      </w:tr>
      <w:tr w:rsidR="00374052" w:rsidRPr="00CD7ED6" w14:paraId="10E6AC87" w14:textId="77777777" w:rsidTr="001D56CF">
        <w:tc>
          <w:tcPr>
            <w:cnfStyle w:val="001000000000" w:firstRow="0" w:lastRow="0" w:firstColumn="1" w:lastColumn="0" w:oddVBand="0" w:evenVBand="0" w:oddHBand="0" w:evenHBand="0" w:firstRowFirstColumn="0" w:firstRowLastColumn="0" w:lastRowFirstColumn="0" w:lastRowLastColumn="0"/>
            <w:tcW w:w="0" w:type="auto"/>
            <w:hideMark/>
          </w:tcPr>
          <w:p w14:paraId="2B7AF934" w14:textId="77777777" w:rsidR="00374052" w:rsidRPr="00CD7ED6" w:rsidRDefault="00374052" w:rsidP="00145589">
            <w:pPr>
              <w:spacing w:after="160" w:line="360" w:lineRule="auto"/>
              <w:jc w:val="center"/>
              <w:rPr>
                <w:rFonts w:ascii="Arial" w:hAnsi="Arial" w:cs="Arial"/>
                <w:sz w:val="24"/>
                <w:szCs w:val="24"/>
              </w:rPr>
            </w:pPr>
            <w:r w:rsidRPr="00CD7ED6">
              <w:rPr>
                <w:rFonts w:ascii="Arial" w:hAnsi="Arial" w:cs="Arial"/>
                <w:sz w:val="24"/>
                <w:szCs w:val="24"/>
              </w:rPr>
              <w:lastRenderedPageBreak/>
              <w:t>Net profit margin</w:t>
            </w:r>
          </w:p>
        </w:tc>
        <w:tc>
          <w:tcPr>
            <w:tcW w:w="0" w:type="auto"/>
            <w:hideMark/>
          </w:tcPr>
          <w:p w14:paraId="27B71277" w14:textId="77777777" w:rsidR="00374052" w:rsidRPr="00CD7ED6"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Profit after tax ÷ revenue × 100</w:t>
            </w:r>
          </w:p>
        </w:tc>
        <w:tc>
          <w:tcPr>
            <w:tcW w:w="0" w:type="auto"/>
            <w:hideMark/>
          </w:tcPr>
          <w:p w14:paraId="354C1927" w14:textId="77777777" w:rsidR="00374052" w:rsidRPr="00CD7ED6"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$265m ÷ $2,907m × 100 = 9.12%</w:t>
            </w:r>
          </w:p>
        </w:tc>
        <w:tc>
          <w:tcPr>
            <w:tcW w:w="0" w:type="auto"/>
            <w:hideMark/>
          </w:tcPr>
          <w:p w14:paraId="436DB04E" w14:textId="77777777" w:rsidR="00374052" w:rsidRPr="00CD7ED6"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$376m ÷ $3,892m × 100 = 9.66%</w:t>
            </w:r>
          </w:p>
        </w:tc>
        <w:tc>
          <w:tcPr>
            <w:tcW w:w="0" w:type="auto"/>
            <w:hideMark/>
          </w:tcPr>
          <w:p w14:paraId="62117095" w14:textId="77777777" w:rsidR="00374052" w:rsidRPr="00CD7ED6"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$750m ÷ $4,624m × 100 = 16.22%</w:t>
            </w:r>
          </w:p>
        </w:tc>
        <w:tc>
          <w:tcPr>
            <w:tcW w:w="0" w:type="auto"/>
            <w:hideMark/>
          </w:tcPr>
          <w:p w14:paraId="5218F293" w14:textId="77777777" w:rsidR="00374052" w:rsidRPr="00CD7ED6"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$628m ÷ $4,923m × 100 = 12.76%</w:t>
            </w:r>
          </w:p>
        </w:tc>
        <w:tc>
          <w:tcPr>
            <w:tcW w:w="0" w:type="auto"/>
            <w:hideMark/>
          </w:tcPr>
          <w:p w14:paraId="221EC134" w14:textId="77777777" w:rsidR="00374052" w:rsidRPr="00CD7ED6"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$759m ÷ $5,189m × 100 = 14.63%</w:t>
            </w:r>
          </w:p>
        </w:tc>
      </w:tr>
      <w:tr w:rsidR="00374052" w:rsidRPr="00CD7ED6" w14:paraId="63BDE021" w14:textId="77777777" w:rsidTr="001D5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757934" w14:textId="77777777" w:rsidR="00374052" w:rsidRPr="00CD7ED6" w:rsidRDefault="00374052" w:rsidP="00145589">
            <w:pPr>
              <w:spacing w:after="160" w:line="360" w:lineRule="auto"/>
              <w:jc w:val="center"/>
              <w:rPr>
                <w:rFonts w:ascii="Arial" w:hAnsi="Arial" w:cs="Arial"/>
                <w:sz w:val="24"/>
                <w:szCs w:val="24"/>
              </w:rPr>
            </w:pPr>
            <w:r w:rsidRPr="00CD7ED6">
              <w:rPr>
                <w:rFonts w:ascii="Arial" w:hAnsi="Arial" w:cs="Arial"/>
                <w:sz w:val="24"/>
                <w:szCs w:val="24"/>
              </w:rPr>
              <w:t>Return on average assets</w:t>
            </w:r>
          </w:p>
        </w:tc>
        <w:tc>
          <w:tcPr>
            <w:tcW w:w="0" w:type="auto"/>
            <w:hideMark/>
          </w:tcPr>
          <w:p w14:paraId="41B7A8A4"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Profit after tax ÷ average total assets × 100</w:t>
            </w:r>
          </w:p>
        </w:tc>
        <w:tc>
          <w:tcPr>
            <w:tcW w:w="0" w:type="auto"/>
            <w:hideMark/>
          </w:tcPr>
          <w:p w14:paraId="3DCD7305"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$265m ÷ $4,877.5m × 100 = 5.43%</w:t>
            </w:r>
          </w:p>
        </w:tc>
        <w:tc>
          <w:tcPr>
            <w:tcW w:w="0" w:type="auto"/>
            <w:hideMark/>
          </w:tcPr>
          <w:p w14:paraId="0DC25FAF"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$376m ÷ $4,466m × 100 = 8.42%</w:t>
            </w:r>
          </w:p>
        </w:tc>
        <w:tc>
          <w:tcPr>
            <w:tcW w:w="0" w:type="auto"/>
            <w:hideMark/>
          </w:tcPr>
          <w:p w14:paraId="74DD8062"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$750m ÷ $4,514.5m × 100 = 16.61%</w:t>
            </w:r>
          </w:p>
        </w:tc>
        <w:tc>
          <w:tcPr>
            <w:tcW w:w="0" w:type="auto"/>
            <w:hideMark/>
          </w:tcPr>
          <w:p w14:paraId="70931833"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$628m ÷ $4,780.5m × 100 = 13.14%</w:t>
            </w:r>
          </w:p>
        </w:tc>
        <w:tc>
          <w:tcPr>
            <w:tcW w:w="0" w:type="auto"/>
            <w:hideMark/>
          </w:tcPr>
          <w:p w14:paraId="56144C3F"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$759m ÷ $5,046.5m × 100 = 15.04%</w:t>
            </w:r>
          </w:p>
        </w:tc>
      </w:tr>
    </w:tbl>
    <w:p w14:paraId="064C4AA0" w14:textId="77777777" w:rsidR="00374052" w:rsidRPr="00CD7ED6" w:rsidRDefault="00374052" w:rsidP="00145589">
      <w:pPr>
        <w:spacing w:line="360" w:lineRule="auto"/>
        <w:jc w:val="both"/>
        <w:rPr>
          <w:rFonts w:ascii="Arial" w:hAnsi="Arial" w:cs="Arial"/>
          <w:sz w:val="24"/>
          <w:szCs w:val="24"/>
        </w:rPr>
      </w:pPr>
    </w:p>
    <w:p w14:paraId="37D7A089" w14:textId="77777777" w:rsidR="00374052" w:rsidRPr="00CD7ED6" w:rsidRDefault="00374052" w:rsidP="00145589">
      <w:pPr>
        <w:spacing w:line="360" w:lineRule="auto"/>
        <w:jc w:val="both"/>
        <w:rPr>
          <w:rFonts w:ascii="Arial" w:hAnsi="Arial" w:cs="Arial"/>
          <w:b/>
          <w:bCs/>
          <w:sz w:val="24"/>
          <w:szCs w:val="24"/>
        </w:rPr>
      </w:pPr>
      <w:r w:rsidRPr="00CD7ED6">
        <w:rPr>
          <w:rFonts w:ascii="Arial" w:hAnsi="Arial" w:cs="Arial"/>
          <w:b/>
          <w:bCs/>
          <w:sz w:val="24"/>
          <w:szCs w:val="24"/>
        </w:rPr>
        <w:t>Table B1.2: Liquidity Ratios with Full Calculations</w:t>
      </w:r>
    </w:p>
    <w:tbl>
      <w:tblPr>
        <w:tblStyle w:val="GridTable4-Accent2"/>
        <w:tblW w:w="0" w:type="auto"/>
        <w:tblLook w:val="04A0" w:firstRow="1" w:lastRow="0" w:firstColumn="1" w:lastColumn="0" w:noHBand="0" w:noVBand="1"/>
      </w:tblPr>
      <w:tblGrid>
        <w:gridCol w:w="994"/>
        <w:gridCol w:w="1307"/>
        <w:gridCol w:w="1343"/>
        <w:gridCol w:w="1343"/>
        <w:gridCol w:w="1343"/>
        <w:gridCol w:w="1343"/>
        <w:gridCol w:w="1343"/>
      </w:tblGrid>
      <w:tr w:rsidR="00374052" w:rsidRPr="00CD7ED6" w14:paraId="0255C276" w14:textId="77777777" w:rsidTr="001D56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367B63" w14:textId="77777777" w:rsidR="00374052" w:rsidRPr="00CD7ED6" w:rsidRDefault="00374052" w:rsidP="00145589">
            <w:pPr>
              <w:spacing w:after="160" w:line="360" w:lineRule="auto"/>
              <w:jc w:val="both"/>
              <w:rPr>
                <w:rFonts w:ascii="Arial" w:hAnsi="Arial" w:cs="Arial"/>
                <w:sz w:val="24"/>
                <w:szCs w:val="24"/>
              </w:rPr>
            </w:pPr>
            <w:r w:rsidRPr="00CD7ED6">
              <w:rPr>
                <w:rFonts w:ascii="Arial" w:hAnsi="Arial" w:cs="Arial"/>
                <w:sz w:val="24"/>
                <w:szCs w:val="24"/>
              </w:rPr>
              <w:t>Ratio</w:t>
            </w:r>
          </w:p>
        </w:tc>
        <w:tc>
          <w:tcPr>
            <w:tcW w:w="0" w:type="auto"/>
            <w:hideMark/>
          </w:tcPr>
          <w:p w14:paraId="53287A14" w14:textId="77777777" w:rsidR="00374052" w:rsidRPr="00CD7ED6"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Formula</w:t>
            </w:r>
          </w:p>
        </w:tc>
        <w:tc>
          <w:tcPr>
            <w:tcW w:w="0" w:type="auto"/>
            <w:hideMark/>
          </w:tcPr>
          <w:p w14:paraId="52E0276F" w14:textId="77777777" w:rsidR="00374052" w:rsidRPr="00CD7ED6"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2021 calculation</w:t>
            </w:r>
          </w:p>
        </w:tc>
        <w:tc>
          <w:tcPr>
            <w:tcW w:w="0" w:type="auto"/>
            <w:hideMark/>
          </w:tcPr>
          <w:p w14:paraId="7C55A2D0" w14:textId="77777777" w:rsidR="00374052" w:rsidRPr="00CD7ED6"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2022 calculation</w:t>
            </w:r>
          </w:p>
        </w:tc>
        <w:tc>
          <w:tcPr>
            <w:tcW w:w="0" w:type="auto"/>
            <w:hideMark/>
          </w:tcPr>
          <w:p w14:paraId="7C540F6D" w14:textId="77777777" w:rsidR="00374052" w:rsidRPr="00CD7ED6"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2023 calculation</w:t>
            </w:r>
          </w:p>
        </w:tc>
        <w:tc>
          <w:tcPr>
            <w:tcW w:w="0" w:type="auto"/>
            <w:hideMark/>
          </w:tcPr>
          <w:p w14:paraId="3FE0D131" w14:textId="77777777" w:rsidR="00374052" w:rsidRPr="00CD7ED6"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2024 calculation</w:t>
            </w:r>
          </w:p>
        </w:tc>
        <w:tc>
          <w:tcPr>
            <w:tcW w:w="0" w:type="auto"/>
            <w:hideMark/>
          </w:tcPr>
          <w:p w14:paraId="2EC623BC" w14:textId="77777777" w:rsidR="00374052" w:rsidRPr="00CD7ED6"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2025 calculation</w:t>
            </w:r>
          </w:p>
        </w:tc>
      </w:tr>
      <w:tr w:rsidR="00374052" w:rsidRPr="00CD7ED6" w14:paraId="501D375C" w14:textId="77777777" w:rsidTr="001D5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11D035" w14:textId="77777777" w:rsidR="00374052" w:rsidRPr="00CD7ED6" w:rsidRDefault="00374052" w:rsidP="00145589">
            <w:pPr>
              <w:spacing w:after="160" w:line="360" w:lineRule="auto"/>
              <w:jc w:val="both"/>
              <w:rPr>
                <w:rFonts w:ascii="Arial" w:hAnsi="Arial" w:cs="Arial"/>
                <w:sz w:val="24"/>
                <w:szCs w:val="24"/>
              </w:rPr>
            </w:pPr>
            <w:r w:rsidRPr="00CD7ED6">
              <w:rPr>
                <w:rFonts w:ascii="Arial" w:hAnsi="Arial" w:cs="Arial"/>
                <w:sz w:val="24"/>
                <w:szCs w:val="24"/>
              </w:rPr>
              <w:t>Current ratio</w:t>
            </w:r>
          </w:p>
        </w:tc>
        <w:tc>
          <w:tcPr>
            <w:tcW w:w="0" w:type="auto"/>
            <w:hideMark/>
          </w:tcPr>
          <w:p w14:paraId="596D4298" w14:textId="77777777" w:rsidR="00374052" w:rsidRPr="00CD7ED6" w:rsidRDefault="00374052"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Current assets ÷ current liabilities</w:t>
            </w:r>
          </w:p>
        </w:tc>
        <w:tc>
          <w:tcPr>
            <w:tcW w:w="0" w:type="auto"/>
            <w:vAlign w:val="center"/>
            <w:hideMark/>
          </w:tcPr>
          <w:p w14:paraId="4FA09AAF"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$2,066m ÷ $1,624m = 1.27 times</w:t>
            </w:r>
          </w:p>
        </w:tc>
        <w:tc>
          <w:tcPr>
            <w:tcW w:w="0" w:type="auto"/>
            <w:vAlign w:val="center"/>
            <w:hideMark/>
          </w:tcPr>
          <w:p w14:paraId="5F5B00C4"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$1,678m ÷ $1,544m = 1.09 times</w:t>
            </w:r>
          </w:p>
        </w:tc>
        <w:tc>
          <w:tcPr>
            <w:tcW w:w="0" w:type="auto"/>
            <w:vAlign w:val="center"/>
            <w:hideMark/>
          </w:tcPr>
          <w:p w14:paraId="41394D33"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$2,129m ÷ $2,190m = 0.97 times</w:t>
            </w:r>
          </w:p>
        </w:tc>
        <w:tc>
          <w:tcPr>
            <w:tcW w:w="0" w:type="auto"/>
            <w:vAlign w:val="center"/>
            <w:hideMark/>
          </w:tcPr>
          <w:p w14:paraId="4E5369E1"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$1,869m ÷ $1,928m = 0.97 times</w:t>
            </w:r>
          </w:p>
        </w:tc>
        <w:tc>
          <w:tcPr>
            <w:tcW w:w="0" w:type="auto"/>
            <w:vAlign w:val="center"/>
            <w:hideMark/>
          </w:tcPr>
          <w:p w14:paraId="7111BA19"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$2,049m ÷ $2,100m = 0.98 times</w:t>
            </w:r>
          </w:p>
        </w:tc>
      </w:tr>
      <w:tr w:rsidR="00374052" w:rsidRPr="00CD7ED6" w14:paraId="03F29236" w14:textId="77777777" w:rsidTr="001D56CF">
        <w:tc>
          <w:tcPr>
            <w:cnfStyle w:val="001000000000" w:firstRow="0" w:lastRow="0" w:firstColumn="1" w:lastColumn="0" w:oddVBand="0" w:evenVBand="0" w:oddHBand="0" w:evenHBand="0" w:firstRowFirstColumn="0" w:firstRowLastColumn="0" w:lastRowFirstColumn="0" w:lastRowLastColumn="0"/>
            <w:tcW w:w="0" w:type="auto"/>
            <w:hideMark/>
          </w:tcPr>
          <w:p w14:paraId="0BE19C04" w14:textId="77777777" w:rsidR="00374052" w:rsidRPr="00CD7ED6" w:rsidRDefault="00374052" w:rsidP="00145589">
            <w:pPr>
              <w:spacing w:after="160" w:line="360" w:lineRule="auto"/>
              <w:jc w:val="both"/>
              <w:rPr>
                <w:rFonts w:ascii="Arial" w:hAnsi="Arial" w:cs="Arial"/>
                <w:sz w:val="24"/>
                <w:szCs w:val="24"/>
              </w:rPr>
            </w:pPr>
            <w:r w:rsidRPr="00CD7ED6">
              <w:rPr>
                <w:rFonts w:ascii="Arial" w:hAnsi="Arial" w:cs="Arial"/>
                <w:sz w:val="24"/>
                <w:szCs w:val="24"/>
              </w:rPr>
              <w:t>Quick ratio</w:t>
            </w:r>
          </w:p>
        </w:tc>
        <w:tc>
          <w:tcPr>
            <w:tcW w:w="0" w:type="auto"/>
            <w:hideMark/>
          </w:tcPr>
          <w:p w14:paraId="692B05E4" w14:textId="77777777" w:rsidR="00374052" w:rsidRPr="00CD7ED6" w:rsidRDefault="00374052"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Current assets less inventory ÷ current liabilities</w:t>
            </w:r>
          </w:p>
        </w:tc>
        <w:tc>
          <w:tcPr>
            <w:tcW w:w="0" w:type="auto"/>
            <w:vAlign w:val="center"/>
            <w:hideMark/>
          </w:tcPr>
          <w:p w14:paraId="328DDDC3" w14:textId="77777777" w:rsidR="00374052" w:rsidRPr="00CD7ED6"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($2,066m − $4m) ÷ $1,624m = 1.27 times</w:t>
            </w:r>
          </w:p>
        </w:tc>
        <w:tc>
          <w:tcPr>
            <w:tcW w:w="0" w:type="auto"/>
            <w:vAlign w:val="center"/>
            <w:hideMark/>
          </w:tcPr>
          <w:p w14:paraId="078144D4" w14:textId="77777777" w:rsidR="00374052" w:rsidRPr="00CD7ED6"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($1,678m − $4m) ÷ $1,544m = 1.08 times</w:t>
            </w:r>
          </w:p>
        </w:tc>
        <w:tc>
          <w:tcPr>
            <w:tcW w:w="0" w:type="auto"/>
            <w:vAlign w:val="center"/>
            <w:hideMark/>
          </w:tcPr>
          <w:p w14:paraId="053A3B55" w14:textId="77777777" w:rsidR="00374052" w:rsidRPr="00CD7ED6"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($2,129m − $5m) ÷ $2,190m = 0.97 times</w:t>
            </w:r>
          </w:p>
        </w:tc>
        <w:tc>
          <w:tcPr>
            <w:tcW w:w="0" w:type="auto"/>
            <w:vAlign w:val="center"/>
            <w:hideMark/>
          </w:tcPr>
          <w:p w14:paraId="2602D5D7" w14:textId="77777777" w:rsidR="00374052" w:rsidRPr="00CD7ED6"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($1,869m − $4m) ÷ $1,928m = 0.97 times</w:t>
            </w:r>
          </w:p>
        </w:tc>
        <w:tc>
          <w:tcPr>
            <w:tcW w:w="0" w:type="auto"/>
            <w:vAlign w:val="center"/>
            <w:hideMark/>
          </w:tcPr>
          <w:p w14:paraId="55D26827" w14:textId="77777777" w:rsidR="00374052" w:rsidRPr="00CD7ED6"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($2,049m − $5m) ÷ $2,100m = 0.97 times</w:t>
            </w:r>
          </w:p>
        </w:tc>
      </w:tr>
      <w:tr w:rsidR="00374052" w:rsidRPr="00CD7ED6" w14:paraId="66632061" w14:textId="77777777" w:rsidTr="001D5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DFE6A1" w14:textId="77777777" w:rsidR="00374052" w:rsidRPr="00CD7ED6" w:rsidRDefault="00374052" w:rsidP="00145589">
            <w:pPr>
              <w:spacing w:after="160" w:line="360" w:lineRule="auto"/>
              <w:jc w:val="both"/>
              <w:rPr>
                <w:rFonts w:ascii="Arial" w:hAnsi="Arial" w:cs="Arial"/>
                <w:sz w:val="24"/>
                <w:szCs w:val="24"/>
              </w:rPr>
            </w:pPr>
            <w:r w:rsidRPr="00CD7ED6">
              <w:rPr>
                <w:rFonts w:ascii="Arial" w:hAnsi="Arial" w:cs="Arial"/>
                <w:sz w:val="24"/>
                <w:szCs w:val="24"/>
              </w:rPr>
              <w:lastRenderedPageBreak/>
              <w:t>Cash ratio</w:t>
            </w:r>
          </w:p>
        </w:tc>
        <w:tc>
          <w:tcPr>
            <w:tcW w:w="0" w:type="auto"/>
            <w:hideMark/>
          </w:tcPr>
          <w:p w14:paraId="279F6D21" w14:textId="77777777" w:rsidR="00374052" w:rsidRPr="00CD7ED6" w:rsidRDefault="00374052"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Cash and cash equivalents ÷ current liabilities</w:t>
            </w:r>
          </w:p>
        </w:tc>
        <w:tc>
          <w:tcPr>
            <w:tcW w:w="0" w:type="auto"/>
            <w:vAlign w:val="center"/>
            <w:hideMark/>
          </w:tcPr>
          <w:p w14:paraId="2A2A5F22"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$1,450m ÷ $1,624m = 0.89 times</w:t>
            </w:r>
          </w:p>
        </w:tc>
        <w:tc>
          <w:tcPr>
            <w:tcW w:w="0" w:type="auto"/>
            <w:vAlign w:val="center"/>
            <w:hideMark/>
          </w:tcPr>
          <w:p w14:paraId="36907484"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$976m ÷ $1,544m = 0.63 times</w:t>
            </w:r>
          </w:p>
        </w:tc>
        <w:tc>
          <w:tcPr>
            <w:tcW w:w="0" w:type="auto"/>
            <w:vAlign w:val="center"/>
            <w:hideMark/>
          </w:tcPr>
          <w:p w14:paraId="5ED2CBA3"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$1,322m ÷ $2,190m = 0.60 times</w:t>
            </w:r>
          </w:p>
        </w:tc>
        <w:tc>
          <w:tcPr>
            <w:tcW w:w="0" w:type="auto"/>
            <w:vAlign w:val="center"/>
            <w:hideMark/>
          </w:tcPr>
          <w:p w14:paraId="57DB0454"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$1,008m ÷ $1,928m = 0.52 times</w:t>
            </w:r>
          </w:p>
        </w:tc>
        <w:tc>
          <w:tcPr>
            <w:tcW w:w="0" w:type="auto"/>
            <w:vAlign w:val="center"/>
            <w:hideMark/>
          </w:tcPr>
          <w:p w14:paraId="0841FBBC"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$1,129m ÷ $2,100m = 0.54 times</w:t>
            </w:r>
          </w:p>
        </w:tc>
      </w:tr>
    </w:tbl>
    <w:p w14:paraId="03DE1537" w14:textId="77777777" w:rsidR="00374052" w:rsidRPr="00CD7ED6" w:rsidRDefault="00374052" w:rsidP="00145589">
      <w:pPr>
        <w:spacing w:line="360" w:lineRule="auto"/>
        <w:jc w:val="both"/>
        <w:rPr>
          <w:rFonts w:ascii="Arial" w:hAnsi="Arial" w:cs="Arial"/>
          <w:sz w:val="24"/>
          <w:szCs w:val="24"/>
        </w:rPr>
      </w:pPr>
    </w:p>
    <w:p w14:paraId="79E088A3" w14:textId="77777777" w:rsidR="00374052" w:rsidRPr="00CD7ED6" w:rsidRDefault="00374052" w:rsidP="00145589">
      <w:pPr>
        <w:spacing w:line="360" w:lineRule="auto"/>
        <w:jc w:val="both"/>
        <w:rPr>
          <w:rFonts w:ascii="Arial" w:hAnsi="Arial" w:cs="Arial"/>
          <w:b/>
          <w:bCs/>
          <w:sz w:val="24"/>
          <w:szCs w:val="24"/>
        </w:rPr>
      </w:pPr>
      <w:r w:rsidRPr="00CD7ED6">
        <w:rPr>
          <w:rFonts w:ascii="Arial" w:hAnsi="Arial" w:cs="Arial"/>
          <w:b/>
          <w:bCs/>
          <w:sz w:val="24"/>
          <w:szCs w:val="24"/>
        </w:rPr>
        <w:t>Table B1.3: Efficiency Ratios with Full Calculations</w:t>
      </w:r>
    </w:p>
    <w:tbl>
      <w:tblPr>
        <w:tblStyle w:val="GridTable4-Accent2"/>
        <w:tblW w:w="0" w:type="auto"/>
        <w:tblLook w:val="04A0" w:firstRow="1" w:lastRow="0" w:firstColumn="1" w:lastColumn="0" w:noHBand="0" w:noVBand="1"/>
      </w:tblPr>
      <w:tblGrid>
        <w:gridCol w:w="1389"/>
        <w:gridCol w:w="1242"/>
        <w:gridCol w:w="1277"/>
        <w:gridCol w:w="1277"/>
        <w:gridCol w:w="1277"/>
        <w:gridCol w:w="1277"/>
        <w:gridCol w:w="1277"/>
      </w:tblGrid>
      <w:tr w:rsidR="00374052" w:rsidRPr="00CD7ED6" w14:paraId="36536F62" w14:textId="77777777" w:rsidTr="001D56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E6D51E" w14:textId="77777777" w:rsidR="00374052" w:rsidRPr="00CD7ED6" w:rsidRDefault="00374052" w:rsidP="00145589">
            <w:pPr>
              <w:spacing w:after="160" w:line="360" w:lineRule="auto"/>
              <w:jc w:val="both"/>
              <w:rPr>
                <w:rFonts w:ascii="Arial" w:hAnsi="Arial" w:cs="Arial"/>
                <w:sz w:val="24"/>
                <w:szCs w:val="24"/>
              </w:rPr>
            </w:pPr>
            <w:r w:rsidRPr="00CD7ED6">
              <w:rPr>
                <w:rFonts w:ascii="Arial" w:hAnsi="Arial" w:cs="Arial"/>
                <w:sz w:val="24"/>
                <w:szCs w:val="24"/>
              </w:rPr>
              <w:t>Ratio</w:t>
            </w:r>
          </w:p>
        </w:tc>
        <w:tc>
          <w:tcPr>
            <w:tcW w:w="0" w:type="auto"/>
            <w:hideMark/>
          </w:tcPr>
          <w:p w14:paraId="738ABC22" w14:textId="77777777" w:rsidR="00374052" w:rsidRPr="00CD7ED6"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Formula</w:t>
            </w:r>
          </w:p>
        </w:tc>
        <w:tc>
          <w:tcPr>
            <w:tcW w:w="0" w:type="auto"/>
            <w:hideMark/>
          </w:tcPr>
          <w:p w14:paraId="2C605532" w14:textId="77777777" w:rsidR="00374052" w:rsidRPr="00CD7ED6"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2021 calculation</w:t>
            </w:r>
          </w:p>
        </w:tc>
        <w:tc>
          <w:tcPr>
            <w:tcW w:w="0" w:type="auto"/>
            <w:hideMark/>
          </w:tcPr>
          <w:p w14:paraId="06B127EC" w14:textId="77777777" w:rsidR="00374052" w:rsidRPr="00CD7ED6"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2022 calculation</w:t>
            </w:r>
          </w:p>
        </w:tc>
        <w:tc>
          <w:tcPr>
            <w:tcW w:w="0" w:type="auto"/>
            <w:hideMark/>
          </w:tcPr>
          <w:p w14:paraId="55554A85" w14:textId="77777777" w:rsidR="00374052" w:rsidRPr="00CD7ED6"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2023 calculation</w:t>
            </w:r>
          </w:p>
        </w:tc>
        <w:tc>
          <w:tcPr>
            <w:tcW w:w="0" w:type="auto"/>
            <w:hideMark/>
          </w:tcPr>
          <w:p w14:paraId="4418BC96" w14:textId="77777777" w:rsidR="00374052" w:rsidRPr="00CD7ED6"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2024 calculation</w:t>
            </w:r>
          </w:p>
        </w:tc>
        <w:tc>
          <w:tcPr>
            <w:tcW w:w="0" w:type="auto"/>
            <w:hideMark/>
          </w:tcPr>
          <w:p w14:paraId="0407B265" w14:textId="77777777" w:rsidR="00374052" w:rsidRPr="00CD7ED6"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2025 calculation</w:t>
            </w:r>
          </w:p>
        </w:tc>
      </w:tr>
      <w:tr w:rsidR="00374052" w:rsidRPr="00CD7ED6" w14:paraId="7F5C94C0" w14:textId="77777777" w:rsidTr="001D5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E4E043" w14:textId="77777777" w:rsidR="00374052" w:rsidRPr="00CD7ED6" w:rsidRDefault="00374052" w:rsidP="00145589">
            <w:pPr>
              <w:spacing w:after="160" w:line="360" w:lineRule="auto"/>
              <w:jc w:val="both"/>
              <w:rPr>
                <w:rFonts w:ascii="Arial" w:hAnsi="Arial" w:cs="Arial"/>
                <w:sz w:val="24"/>
                <w:szCs w:val="24"/>
              </w:rPr>
            </w:pPr>
            <w:r w:rsidRPr="00CD7ED6">
              <w:rPr>
                <w:rFonts w:ascii="Arial" w:hAnsi="Arial" w:cs="Arial"/>
                <w:sz w:val="24"/>
                <w:szCs w:val="24"/>
              </w:rPr>
              <w:t>Asset turnover</w:t>
            </w:r>
          </w:p>
        </w:tc>
        <w:tc>
          <w:tcPr>
            <w:tcW w:w="0" w:type="auto"/>
            <w:vAlign w:val="center"/>
            <w:hideMark/>
          </w:tcPr>
          <w:p w14:paraId="1C7C4621"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Revenue ÷ average total assets</w:t>
            </w:r>
          </w:p>
        </w:tc>
        <w:tc>
          <w:tcPr>
            <w:tcW w:w="0" w:type="auto"/>
            <w:vAlign w:val="center"/>
            <w:hideMark/>
          </w:tcPr>
          <w:p w14:paraId="669B2705"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$2,907m ÷ $4,877.5m = 0.60 times</w:t>
            </w:r>
          </w:p>
        </w:tc>
        <w:tc>
          <w:tcPr>
            <w:tcW w:w="0" w:type="auto"/>
            <w:vAlign w:val="center"/>
            <w:hideMark/>
          </w:tcPr>
          <w:p w14:paraId="6934CC25"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$3,892m ÷ $4,466m = 0.87 times</w:t>
            </w:r>
          </w:p>
        </w:tc>
        <w:tc>
          <w:tcPr>
            <w:tcW w:w="0" w:type="auto"/>
            <w:vAlign w:val="center"/>
            <w:hideMark/>
          </w:tcPr>
          <w:p w14:paraId="2988A5C6"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$4,624m ÷ $4,514.5m = 1.02 times</w:t>
            </w:r>
          </w:p>
        </w:tc>
        <w:tc>
          <w:tcPr>
            <w:tcW w:w="0" w:type="auto"/>
            <w:vAlign w:val="center"/>
            <w:hideMark/>
          </w:tcPr>
          <w:p w14:paraId="7A4C59D8"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$4,923m ÷ $4,780.5m = 1.03 times</w:t>
            </w:r>
          </w:p>
        </w:tc>
        <w:tc>
          <w:tcPr>
            <w:tcW w:w="0" w:type="auto"/>
            <w:vAlign w:val="center"/>
            <w:hideMark/>
          </w:tcPr>
          <w:p w14:paraId="5E1FA728"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$5,189m ÷ $5,046.5m = 1.03 times</w:t>
            </w:r>
          </w:p>
        </w:tc>
      </w:tr>
      <w:tr w:rsidR="00374052" w:rsidRPr="00CD7ED6" w14:paraId="5AB3FB50" w14:textId="77777777" w:rsidTr="001D56CF">
        <w:tc>
          <w:tcPr>
            <w:cnfStyle w:val="001000000000" w:firstRow="0" w:lastRow="0" w:firstColumn="1" w:lastColumn="0" w:oddVBand="0" w:evenVBand="0" w:oddHBand="0" w:evenHBand="0" w:firstRowFirstColumn="0" w:firstRowLastColumn="0" w:lastRowFirstColumn="0" w:lastRowLastColumn="0"/>
            <w:tcW w:w="0" w:type="auto"/>
            <w:hideMark/>
          </w:tcPr>
          <w:p w14:paraId="1DC3872F" w14:textId="77777777" w:rsidR="00374052" w:rsidRPr="00CD7ED6" w:rsidRDefault="00374052" w:rsidP="00145589">
            <w:pPr>
              <w:spacing w:after="160" w:line="360" w:lineRule="auto"/>
              <w:jc w:val="both"/>
              <w:rPr>
                <w:rFonts w:ascii="Arial" w:hAnsi="Arial" w:cs="Arial"/>
                <w:sz w:val="24"/>
                <w:szCs w:val="24"/>
              </w:rPr>
            </w:pPr>
            <w:r w:rsidRPr="00CD7ED6">
              <w:rPr>
                <w:rFonts w:ascii="Arial" w:hAnsi="Arial" w:cs="Arial"/>
                <w:sz w:val="24"/>
                <w:szCs w:val="24"/>
              </w:rPr>
              <w:t>Receivables turnover</w:t>
            </w:r>
          </w:p>
        </w:tc>
        <w:tc>
          <w:tcPr>
            <w:tcW w:w="0" w:type="auto"/>
            <w:vAlign w:val="center"/>
            <w:hideMark/>
          </w:tcPr>
          <w:p w14:paraId="7125CC3F" w14:textId="77777777" w:rsidR="00374052" w:rsidRPr="00CD7ED6"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Revenue ÷ average receivables</w:t>
            </w:r>
          </w:p>
        </w:tc>
        <w:tc>
          <w:tcPr>
            <w:tcW w:w="0" w:type="auto"/>
            <w:vAlign w:val="center"/>
            <w:hideMark/>
          </w:tcPr>
          <w:p w14:paraId="5219733D" w14:textId="77777777" w:rsidR="00374052" w:rsidRPr="00CD7ED6"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$2,907m ÷ $544m = 5.34 times</w:t>
            </w:r>
          </w:p>
        </w:tc>
        <w:tc>
          <w:tcPr>
            <w:tcW w:w="0" w:type="auto"/>
            <w:vAlign w:val="center"/>
            <w:hideMark/>
          </w:tcPr>
          <w:p w14:paraId="3566C9CC" w14:textId="77777777" w:rsidR="00374052" w:rsidRPr="00CD7ED6"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$3,892m ÷ $610m = 6.38 times</w:t>
            </w:r>
          </w:p>
        </w:tc>
        <w:tc>
          <w:tcPr>
            <w:tcW w:w="0" w:type="auto"/>
            <w:vAlign w:val="center"/>
            <w:hideMark/>
          </w:tcPr>
          <w:p w14:paraId="43585A65" w14:textId="77777777" w:rsidR="00374052" w:rsidRPr="00CD7ED6"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$4,624m ÷ $693m = 6.67 times</w:t>
            </w:r>
          </w:p>
        </w:tc>
        <w:tc>
          <w:tcPr>
            <w:tcW w:w="0" w:type="auto"/>
            <w:vAlign w:val="center"/>
            <w:hideMark/>
          </w:tcPr>
          <w:p w14:paraId="2F90B2E1" w14:textId="77777777" w:rsidR="00374052" w:rsidRPr="00CD7ED6"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$4,923m ÷ $762.5m = 6.46 times</w:t>
            </w:r>
          </w:p>
        </w:tc>
        <w:tc>
          <w:tcPr>
            <w:tcW w:w="0" w:type="auto"/>
            <w:vAlign w:val="center"/>
            <w:hideMark/>
          </w:tcPr>
          <w:p w14:paraId="5D2B2193" w14:textId="77777777" w:rsidR="00374052" w:rsidRPr="00CD7ED6"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D7ED6">
              <w:rPr>
                <w:rFonts w:ascii="Arial" w:hAnsi="Arial" w:cs="Arial"/>
                <w:sz w:val="24"/>
                <w:szCs w:val="24"/>
              </w:rPr>
              <w:t>$5,189m ÷ $809m = 6.41 times</w:t>
            </w:r>
          </w:p>
        </w:tc>
      </w:tr>
      <w:tr w:rsidR="00374052" w:rsidRPr="00CD7ED6" w14:paraId="67A9D1BD" w14:textId="77777777" w:rsidTr="001D5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BD1004" w14:textId="77777777" w:rsidR="00374052" w:rsidRPr="00CD7ED6" w:rsidRDefault="00374052" w:rsidP="00145589">
            <w:pPr>
              <w:spacing w:after="160" w:line="360" w:lineRule="auto"/>
              <w:jc w:val="both"/>
              <w:rPr>
                <w:rFonts w:ascii="Arial" w:hAnsi="Arial" w:cs="Arial"/>
                <w:sz w:val="24"/>
                <w:szCs w:val="24"/>
              </w:rPr>
            </w:pPr>
            <w:r w:rsidRPr="00CD7ED6">
              <w:rPr>
                <w:rFonts w:ascii="Arial" w:hAnsi="Arial" w:cs="Arial"/>
                <w:sz w:val="24"/>
                <w:szCs w:val="24"/>
              </w:rPr>
              <w:t>Collection period</w:t>
            </w:r>
          </w:p>
        </w:tc>
        <w:tc>
          <w:tcPr>
            <w:tcW w:w="0" w:type="auto"/>
            <w:vAlign w:val="center"/>
            <w:hideMark/>
          </w:tcPr>
          <w:p w14:paraId="011C4F23"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Average receivables ÷ revenue × 365</w:t>
            </w:r>
          </w:p>
        </w:tc>
        <w:tc>
          <w:tcPr>
            <w:tcW w:w="0" w:type="auto"/>
            <w:vAlign w:val="center"/>
            <w:hideMark/>
          </w:tcPr>
          <w:p w14:paraId="3614917C"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$544m ÷ $2,907m × 365 = 68.30 days</w:t>
            </w:r>
          </w:p>
        </w:tc>
        <w:tc>
          <w:tcPr>
            <w:tcW w:w="0" w:type="auto"/>
            <w:vAlign w:val="center"/>
            <w:hideMark/>
          </w:tcPr>
          <w:p w14:paraId="4E1E1C7C"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$610m ÷ $3,892m × 365 = 57.21 days</w:t>
            </w:r>
          </w:p>
        </w:tc>
        <w:tc>
          <w:tcPr>
            <w:tcW w:w="0" w:type="auto"/>
            <w:vAlign w:val="center"/>
            <w:hideMark/>
          </w:tcPr>
          <w:p w14:paraId="7437AF90"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$693m ÷ $4,624m × 365 = 54.70 days</w:t>
            </w:r>
          </w:p>
        </w:tc>
        <w:tc>
          <w:tcPr>
            <w:tcW w:w="0" w:type="auto"/>
            <w:vAlign w:val="center"/>
            <w:hideMark/>
          </w:tcPr>
          <w:p w14:paraId="17572472"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$762.5m ÷ $4,923m × 365 = 56.53 days</w:t>
            </w:r>
          </w:p>
        </w:tc>
        <w:tc>
          <w:tcPr>
            <w:tcW w:w="0" w:type="auto"/>
            <w:vAlign w:val="center"/>
            <w:hideMark/>
          </w:tcPr>
          <w:p w14:paraId="051DEA15" w14:textId="77777777" w:rsidR="00374052" w:rsidRPr="00CD7ED6"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D7ED6">
              <w:rPr>
                <w:rFonts w:ascii="Arial" w:hAnsi="Arial" w:cs="Arial"/>
                <w:sz w:val="24"/>
                <w:szCs w:val="24"/>
              </w:rPr>
              <w:t>$809m ÷ $5,189m × 365 = 56.91 days</w:t>
            </w:r>
          </w:p>
        </w:tc>
      </w:tr>
    </w:tbl>
    <w:p w14:paraId="78E01CA5" w14:textId="77777777" w:rsidR="00374052" w:rsidRPr="00CD7ED6" w:rsidRDefault="00374052" w:rsidP="00145589">
      <w:pPr>
        <w:spacing w:line="360" w:lineRule="auto"/>
        <w:jc w:val="both"/>
        <w:rPr>
          <w:rFonts w:ascii="Arial" w:hAnsi="Arial" w:cs="Arial"/>
          <w:sz w:val="24"/>
          <w:szCs w:val="24"/>
        </w:rPr>
      </w:pPr>
    </w:p>
    <w:p w14:paraId="3440E4DD" w14:textId="77777777" w:rsidR="00374052" w:rsidRPr="00374052" w:rsidRDefault="00374052" w:rsidP="00145589">
      <w:pPr>
        <w:spacing w:line="360" w:lineRule="auto"/>
      </w:pPr>
    </w:p>
    <w:p w14:paraId="3E10FC1D" w14:textId="77777777" w:rsidR="000F7827" w:rsidRPr="00374052" w:rsidRDefault="000F7827" w:rsidP="00145589">
      <w:pPr>
        <w:pStyle w:val="Heading3"/>
        <w:numPr>
          <w:ilvl w:val="2"/>
          <w:numId w:val="1"/>
        </w:numPr>
        <w:spacing w:line="360" w:lineRule="auto"/>
        <w:jc w:val="both"/>
        <w:rPr>
          <w:rFonts w:ascii="Arial" w:hAnsi="Arial" w:cs="Arial"/>
          <w:sz w:val="24"/>
          <w:szCs w:val="24"/>
        </w:rPr>
      </w:pPr>
      <w:bookmarkStart w:id="36" w:name="_Toc235788240"/>
      <w:r w:rsidRPr="00374052">
        <w:rPr>
          <w:rFonts w:ascii="Arial" w:hAnsi="Arial" w:cs="Arial"/>
          <w:sz w:val="24"/>
          <w:szCs w:val="24"/>
        </w:rPr>
        <w:lastRenderedPageBreak/>
        <w:t>Appendix B2: Gearing, investment and cash-flow ratios</w:t>
      </w:r>
      <w:bookmarkEnd w:id="36"/>
    </w:p>
    <w:p w14:paraId="35210D1E" w14:textId="77777777" w:rsidR="00374052" w:rsidRPr="00374052" w:rsidRDefault="00374052" w:rsidP="00145589">
      <w:pPr>
        <w:spacing w:line="360" w:lineRule="auto"/>
        <w:jc w:val="both"/>
        <w:rPr>
          <w:rFonts w:ascii="Arial" w:hAnsi="Arial" w:cs="Arial"/>
          <w:b/>
          <w:bCs/>
          <w:sz w:val="24"/>
          <w:szCs w:val="24"/>
        </w:rPr>
      </w:pPr>
      <w:r w:rsidRPr="00374052">
        <w:rPr>
          <w:rFonts w:ascii="Arial" w:hAnsi="Arial" w:cs="Arial"/>
          <w:b/>
          <w:bCs/>
          <w:sz w:val="24"/>
          <w:szCs w:val="24"/>
        </w:rPr>
        <w:t>Table B2.1: Gearing Ratios with Calculations</w:t>
      </w:r>
    </w:p>
    <w:tbl>
      <w:tblPr>
        <w:tblStyle w:val="GridTable4-Accent2"/>
        <w:tblW w:w="0" w:type="auto"/>
        <w:tblLook w:val="04A0" w:firstRow="1" w:lastRow="0" w:firstColumn="1" w:lastColumn="0" w:noHBand="0" w:noVBand="1"/>
      </w:tblPr>
      <w:tblGrid>
        <w:gridCol w:w="1249"/>
        <w:gridCol w:w="1237"/>
        <w:gridCol w:w="1306"/>
        <w:gridCol w:w="1306"/>
        <w:gridCol w:w="1306"/>
        <w:gridCol w:w="1306"/>
        <w:gridCol w:w="1306"/>
      </w:tblGrid>
      <w:tr w:rsidR="00374052" w:rsidRPr="00374052" w14:paraId="608D1991" w14:textId="77777777" w:rsidTr="003740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010141" w14:textId="77777777" w:rsidR="00374052" w:rsidRPr="00374052" w:rsidRDefault="00374052" w:rsidP="00145589">
            <w:pPr>
              <w:spacing w:after="160" w:line="360" w:lineRule="auto"/>
              <w:jc w:val="center"/>
              <w:rPr>
                <w:rFonts w:ascii="Arial" w:hAnsi="Arial" w:cs="Arial"/>
                <w:sz w:val="24"/>
                <w:szCs w:val="24"/>
              </w:rPr>
            </w:pPr>
            <w:r w:rsidRPr="00374052">
              <w:rPr>
                <w:rFonts w:ascii="Arial" w:hAnsi="Arial" w:cs="Arial"/>
                <w:sz w:val="24"/>
                <w:szCs w:val="24"/>
              </w:rPr>
              <w:t>Ratio</w:t>
            </w:r>
          </w:p>
        </w:tc>
        <w:tc>
          <w:tcPr>
            <w:tcW w:w="0" w:type="auto"/>
            <w:vAlign w:val="center"/>
            <w:hideMark/>
          </w:tcPr>
          <w:p w14:paraId="5199EDC8" w14:textId="77777777" w:rsidR="00374052" w:rsidRPr="00374052" w:rsidRDefault="00374052" w:rsidP="0014558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Formula</w:t>
            </w:r>
          </w:p>
        </w:tc>
        <w:tc>
          <w:tcPr>
            <w:tcW w:w="0" w:type="auto"/>
            <w:vAlign w:val="center"/>
            <w:hideMark/>
          </w:tcPr>
          <w:p w14:paraId="19440353" w14:textId="77777777" w:rsidR="00374052" w:rsidRPr="00374052" w:rsidRDefault="00374052" w:rsidP="0014558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2021 calculation</w:t>
            </w:r>
          </w:p>
        </w:tc>
        <w:tc>
          <w:tcPr>
            <w:tcW w:w="0" w:type="auto"/>
            <w:vAlign w:val="center"/>
            <w:hideMark/>
          </w:tcPr>
          <w:p w14:paraId="61404FAE" w14:textId="77777777" w:rsidR="00374052" w:rsidRPr="00374052" w:rsidRDefault="00374052" w:rsidP="0014558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2022 calculation</w:t>
            </w:r>
          </w:p>
        </w:tc>
        <w:tc>
          <w:tcPr>
            <w:tcW w:w="0" w:type="auto"/>
            <w:vAlign w:val="center"/>
            <w:hideMark/>
          </w:tcPr>
          <w:p w14:paraId="7B3DBFD1" w14:textId="77777777" w:rsidR="00374052" w:rsidRPr="00374052" w:rsidRDefault="00374052" w:rsidP="0014558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2023 calculation</w:t>
            </w:r>
          </w:p>
        </w:tc>
        <w:tc>
          <w:tcPr>
            <w:tcW w:w="0" w:type="auto"/>
            <w:vAlign w:val="center"/>
            <w:hideMark/>
          </w:tcPr>
          <w:p w14:paraId="0AF4AD90" w14:textId="77777777" w:rsidR="00374052" w:rsidRPr="00374052" w:rsidRDefault="00374052" w:rsidP="0014558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2024 calculation</w:t>
            </w:r>
          </w:p>
        </w:tc>
        <w:tc>
          <w:tcPr>
            <w:tcW w:w="0" w:type="auto"/>
            <w:vAlign w:val="center"/>
            <w:hideMark/>
          </w:tcPr>
          <w:p w14:paraId="67B331DF" w14:textId="77777777" w:rsidR="00374052" w:rsidRPr="00374052" w:rsidRDefault="00374052" w:rsidP="0014558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2025 calculation</w:t>
            </w:r>
          </w:p>
        </w:tc>
      </w:tr>
      <w:tr w:rsidR="00374052" w:rsidRPr="00374052" w14:paraId="0446AD78" w14:textId="77777777" w:rsidTr="00374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1ABC8D" w14:textId="77777777" w:rsidR="00374052" w:rsidRPr="00374052" w:rsidRDefault="00374052" w:rsidP="00145589">
            <w:pPr>
              <w:spacing w:after="160" w:line="360" w:lineRule="auto"/>
              <w:jc w:val="center"/>
              <w:rPr>
                <w:rFonts w:ascii="Arial" w:hAnsi="Arial" w:cs="Arial"/>
                <w:sz w:val="24"/>
                <w:szCs w:val="24"/>
              </w:rPr>
            </w:pPr>
            <w:r w:rsidRPr="00374052">
              <w:rPr>
                <w:rFonts w:ascii="Arial" w:hAnsi="Arial" w:cs="Arial"/>
                <w:sz w:val="24"/>
                <w:szCs w:val="24"/>
              </w:rPr>
              <w:t>Debt-to-assets</w:t>
            </w:r>
          </w:p>
        </w:tc>
        <w:tc>
          <w:tcPr>
            <w:tcW w:w="0" w:type="auto"/>
            <w:vAlign w:val="center"/>
            <w:hideMark/>
          </w:tcPr>
          <w:p w14:paraId="3CC01DC7"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Total borrowings and leases ÷ total assets × 100</w:t>
            </w:r>
          </w:p>
        </w:tc>
        <w:tc>
          <w:tcPr>
            <w:tcW w:w="0" w:type="auto"/>
            <w:vAlign w:val="center"/>
            <w:hideMark/>
          </w:tcPr>
          <w:p w14:paraId="314329BE"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$3,264m ÷ $4,716m × 100 = 69.21%</w:t>
            </w:r>
          </w:p>
        </w:tc>
        <w:tc>
          <w:tcPr>
            <w:tcW w:w="0" w:type="auto"/>
            <w:vAlign w:val="center"/>
            <w:hideMark/>
          </w:tcPr>
          <w:p w14:paraId="78A53EAE"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$2,823m ÷ $4,216m × 100 = 66.96%</w:t>
            </w:r>
          </w:p>
        </w:tc>
        <w:tc>
          <w:tcPr>
            <w:tcW w:w="0" w:type="auto"/>
            <w:vAlign w:val="center"/>
            <w:hideMark/>
          </w:tcPr>
          <w:p w14:paraId="76627F2F"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$3,592m ÷ $4,813m × 100 = 74.63%</w:t>
            </w:r>
          </w:p>
        </w:tc>
        <w:tc>
          <w:tcPr>
            <w:tcW w:w="0" w:type="auto"/>
            <w:vAlign w:val="center"/>
            <w:hideMark/>
          </w:tcPr>
          <w:p w14:paraId="3BB63685"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$3,688m ÷ $4,748m × 100 = 77.67%</w:t>
            </w:r>
          </w:p>
        </w:tc>
        <w:tc>
          <w:tcPr>
            <w:tcW w:w="0" w:type="auto"/>
            <w:vAlign w:val="center"/>
            <w:hideMark/>
          </w:tcPr>
          <w:p w14:paraId="58565D50"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$4,607m ÷ $5,345m × 100 = 86.19%</w:t>
            </w:r>
          </w:p>
        </w:tc>
      </w:tr>
      <w:tr w:rsidR="00374052" w:rsidRPr="00374052" w14:paraId="7F5DB61B" w14:textId="77777777" w:rsidTr="0037405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797B2F" w14:textId="77777777" w:rsidR="00374052" w:rsidRPr="00374052" w:rsidRDefault="00374052" w:rsidP="00145589">
            <w:pPr>
              <w:spacing w:after="160" w:line="360" w:lineRule="auto"/>
              <w:jc w:val="center"/>
              <w:rPr>
                <w:rFonts w:ascii="Arial" w:hAnsi="Arial" w:cs="Arial"/>
                <w:sz w:val="24"/>
                <w:szCs w:val="24"/>
              </w:rPr>
            </w:pPr>
            <w:r w:rsidRPr="00374052">
              <w:rPr>
                <w:rFonts w:ascii="Arial" w:hAnsi="Arial" w:cs="Arial"/>
                <w:sz w:val="24"/>
                <w:szCs w:val="24"/>
              </w:rPr>
              <w:t>Liabilities-to-assets</w:t>
            </w:r>
          </w:p>
        </w:tc>
        <w:tc>
          <w:tcPr>
            <w:tcW w:w="0" w:type="auto"/>
            <w:vAlign w:val="center"/>
            <w:hideMark/>
          </w:tcPr>
          <w:p w14:paraId="1D778275"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Total liabilities ÷ total assets × 100</w:t>
            </w:r>
          </w:p>
        </w:tc>
        <w:tc>
          <w:tcPr>
            <w:tcW w:w="0" w:type="auto"/>
            <w:vAlign w:val="center"/>
            <w:hideMark/>
          </w:tcPr>
          <w:p w14:paraId="0CD487D1"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$6,190m ÷ $4,716m × 100 = 131.26%</w:t>
            </w:r>
          </w:p>
        </w:tc>
        <w:tc>
          <w:tcPr>
            <w:tcW w:w="0" w:type="auto"/>
            <w:vAlign w:val="center"/>
            <w:hideMark/>
          </w:tcPr>
          <w:p w14:paraId="506B1113"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$5,824m ÷ $4,216m × 100 = 138.14%</w:t>
            </w:r>
          </w:p>
        </w:tc>
        <w:tc>
          <w:tcPr>
            <w:tcW w:w="0" w:type="auto"/>
            <w:vAlign w:val="center"/>
            <w:hideMark/>
          </w:tcPr>
          <w:p w14:paraId="367AEFED"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$6,759m ÷ $4,813m × 100 = 140.43%</w:t>
            </w:r>
          </w:p>
        </w:tc>
        <w:tc>
          <w:tcPr>
            <w:tcW w:w="0" w:type="auto"/>
            <w:vAlign w:val="center"/>
            <w:hideMark/>
          </w:tcPr>
          <w:p w14:paraId="255331C3"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$7,056m ÷ $4,748m × 100 = 148.61%</w:t>
            </w:r>
          </w:p>
        </w:tc>
        <w:tc>
          <w:tcPr>
            <w:tcW w:w="0" w:type="auto"/>
            <w:vAlign w:val="center"/>
            <w:hideMark/>
          </w:tcPr>
          <w:p w14:paraId="03A8D771"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$8,081m ÷ $5,345m × 100 = 151.19%</w:t>
            </w:r>
          </w:p>
        </w:tc>
      </w:tr>
      <w:tr w:rsidR="00374052" w:rsidRPr="00374052" w14:paraId="79416F3B" w14:textId="77777777" w:rsidTr="00374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202285" w14:textId="77777777" w:rsidR="00374052" w:rsidRPr="00374052" w:rsidRDefault="00374052" w:rsidP="00145589">
            <w:pPr>
              <w:spacing w:after="160" w:line="360" w:lineRule="auto"/>
              <w:jc w:val="center"/>
              <w:rPr>
                <w:rFonts w:ascii="Arial" w:hAnsi="Arial" w:cs="Arial"/>
                <w:sz w:val="24"/>
                <w:szCs w:val="24"/>
              </w:rPr>
            </w:pPr>
            <w:r w:rsidRPr="00374052">
              <w:rPr>
                <w:rFonts w:ascii="Arial" w:hAnsi="Arial" w:cs="Arial"/>
                <w:sz w:val="24"/>
                <w:szCs w:val="24"/>
              </w:rPr>
              <w:t>Interest cover</w:t>
            </w:r>
          </w:p>
        </w:tc>
        <w:tc>
          <w:tcPr>
            <w:tcW w:w="0" w:type="auto"/>
            <w:vAlign w:val="center"/>
            <w:hideMark/>
          </w:tcPr>
          <w:p w14:paraId="70D913C4"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Operating profit ÷ financial expenses</w:t>
            </w:r>
          </w:p>
        </w:tc>
        <w:tc>
          <w:tcPr>
            <w:tcW w:w="0" w:type="auto"/>
            <w:vAlign w:val="center"/>
            <w:hideMark/>
          </w:tcPr>
          <w:p w14:paraId="52D84308"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$494m ÷ $147m = 3.36 times</w:t>
            </w:r>
          </w:p>
        </w:tc>
        <w:tc>
          <w:tcPr>
            <w:tcW w:w="0" w:type="auto"/>
            <w:vAlign w:val="center"/>
            <w:hideMark/>
          </w:tcPr>
          <w:p w14:paraId="4D907B6C"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$628m ÷ $118m = 5.32 times</w:t>
            </w:r>
          </w:p>
        </w:tc>
        <w:tc>
          <w:tcPr>
            <w:tcW w:w="0" w:type="auto"/>
            <w:vAlign w:val="center"/>
            <w:hideMark/>
          </w:tcPr>
          <w:p w14:paraId="3ADBBF31"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$1,066m ÷ $126m = 8.46 times</w:t>
            </w:r>
          </w:p>
        </w:tc>
        <w:tc>
          <w:tcPr>
            <w:tcW w:w="0" w:type="auto"/>
            <w:vAlign w:val="center"/>
            <w:hideMark/>
          </w:tcPr>
          <w:p w14:paraId="1B42964A"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$1,041m ÷ $178m = 5.85 times</w:t>
            </w:r>
          </w:p>
        </w:tc>
        <w:tc>
          <w:tcPr>
            <w:tcW w:w="0" w:type="auto"/>
            <w:vAlign w:val="center"/>
            <w:hideMark/>
          </w:tcPr>
          <w:p w14:paraId="648C6667"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$1,198m ÷ $202m = 5.93 times</w:t>
            </w:r>
          </w:p>
        </w:tc>
      </w:tr>
    </w:tbl>
    <w:p w14:paraId="03D026DC" w14:textId="77777777" w:rsidR="00374052" w:rsidRPr="00374052" w:rsidRDefault="00374052" w:rsidP="00145589">
      <w:pPr>
        <w:spacing w:line="360" w:lineRule="auto"/>
        <w:jc w:val="both"/>
        <w:rPr>
          <w:rFonts w:ascii="Arial" w:hAnsi="Arial" w:cs="Arial"/>
          <w:sz w:val="24"/>
          <w:szCs w:val="24"/>
        </w:rPr>
      </w:pPr>
      <m:oMathPara>
        <m:oMath>
          <m:r>
            <m:rPr>
              <m:nor/>
            </m:rPr>
            <w:rPr>
              <w:rFonts w:ascii="Arial" w:hAnsi="Arial" w:cs="Arial"/>
              <w:sz w:val="24"/>
              <w:szCs w:val="24"/>
            </w:rPr>
            <m:t>Debt-to-assets ratio</m:t>
          </m:r>
          <m:r>
            <w:rPr>
              <w:rFonts w:ascii="Cambria Math" w:hAnsi="Cambria Math" w:cs="Arial"/>
              <w:sz w:val="24"/>
              <w:szCs w:val="24"/>
            </w:rPr>
            <m:t>=</m:t>
          </m:r>
          <m:f>
            <m:fPr>
              <m:ctrlPr>
                <w:rPr>
                  <w:rFonts w:ascii="Cambria Math" w:hAnsi="Cambria Math" w:cs="Arial"/>
                  <w:sz w:val="24"/>
                  <w:szCs w:val="24"/>
                </w:rPr>
              </m:ctrlPr>
            </m:fPr>
            <m:num>
              <m:r>
                <m:rPr>
                  <m:nor/>
                </m:rPr>
                <w:rPr>
                  <w:rFonts w:ascii="Arial" w:hAnsi="Arial" w:cs="Arial"/>
                  <w:sz w:val="24"/>
                  <w:szCs w:val="24"/>
                </w:rPr>
                <m:t>Total borrowings and leases</m:t>
              </m:r>
            </m:num>
            <m:den>
              <m:r>
                <m:rPr>
                  <m:nor/>
                </m:rPr>
                <w:rPr>
                  <w:rFonts w:ascii="Arial" w:hAnsi="Arial" w:cs="Arial"/>
                  <w:sz w:val="24"/>
                  <w:szCs w:val="24"/>
                </w:rPr>
                <m:t>Total assets</m:t>
              </m:r>
            </m:den>
          </m:f>
          <m:r>
            <w:rPr>
              <w:rFonts w:ascii="Cambria Math" w:hAnsi="Cambria Math" w:cs="Arial"/>
              <w:sz w:val="24"/>
              <w:szCs w:val="24"/>
            </w:rPr>
            <m:t>×100</m:t>
          </m:r>
          <m:r>
            <w:rPr>
              <w:rFonts w:ascii="Arial" w:hAnsi="Arial" w:cs="Arial"/>
              <w:i/>
              <w:sz w:val="24"/>
              <w:szCs w:val="24"/>
            </w:rPr>
            <w:br/>
          </m:r>
        </m:oMath>
      </m:oMathPara>
    </w:p>
    <w:p w14:paraId="636F8084" w14:textId="77777777" w:rsidR="00374052" w:rsidRPr="00374052" w:rsidRDefault="00374052" w:rsidP="00145589">
      <w:pPr>
        <w:spacing w:line="360" w:lineRule="auto"/>
        <w:jc w:val="both"/>
        <w:rPr>
          <w:rFonts w:ascii="Arial" w:hAnsi="Arial" w:cs="Arial"/>
          <w:sz w:val="24"/>
          <w:szCs w:val="24"/>
        </w:rPr>
      </w:pPr>
      <w:r w:rsidRPr="00374052">
        <w:rPr>
          <w:rFonts w:ascii="Arial" w:hAnsi="Arial" w:cs="Arial"/>
          <w:sz w:val="24"/>
          <w:szCs w:val="24"/>
        </w:rPr>
        <w:t>For 2025:</w:t>
      </w:r>
    </w:p>
    <w:p w14:paraId="47A22371" w14:textId="77777777" w:rsidR="00374052" w:rsidRPr="00374052" w:rsidRDefault="00374052" w:rsidP="00145589">
      <w:pPr>
        <w:spacing w:line="360" w:lineRule="auto"/>
        <w:jc w:val="both"/>
        <w:rPr>
          <w:rFonts w:ascii="Arial" w:hAnsi="Arial" w:cs="Arial"/>
          <w:sz w:val="24"/>
          <w:szCs w:val="24"/>
        </w:rPr>
      </w:pPr>
      <m:oMathPara>
        <m:oMath>
          <m:f>
            <m:fPr>
              <m:ctrlPr>
                <w:rPr>
                  <w:rFonts w:ascii="Cambria Math" w:hAnsi="Cambria Math" w:cs="Arial"/>
                  <w:sz w:val="24"/>
                  <w:szCs w:val="24"/>
                </w:rPr>
              </m:ctrlPr>
            </m:fPr>
            <m:num>
              <m:r>
                <m:rPr>
                  <m:sty m:val="p"/>
                </m:rPr>
                <w:rPr>
                  <w:rFonts w:ascii="Cambria Math" w:hAnsi="Cambria Math" w:cs="Arial"/>
                  <w:sz w:val="24"/>
                  <w:szCs w:val="24"/>
                </w:rPr>
                <m:t>$</m:t>
              </m:r>
              <m:r>
                <w:rPr>
                  <w:rFonts w:ascii="Cambria Math" w:hAnsi="Cambria Math" w:cs="Arial"/>
                  <w:sz w:val="24"/>
                  <w:szCs w:val="24"/>
                </w:rPr>
                <m:t>4,607m</m:t>
              </m:r>
            </m:num>
            <m:den>
              <m:r>
                <m:rPr>
                  <m:sty m:val="p"/>
                </m:rPr>
                <w:rPr>
                  <w:rFonts w:ascii="Cambria Math" w:hAnsi="Cambria Math" w:cs="Arial"/>
                  <w:sz w:val="24"/>
                  <w:szCs w:val="24"/>
                </w:rPr>
                <m:t>$</m:t>
              </m:r>
              <m:r>
                <w:rPr>
                  <w:rFonts w:ascii="Cambria Math" w:hAnsi="Cambria Math" w:cs="Arial"/>
                  <w:sz w:val="24"/>
                  <w:szCs w:val="24"/>
                </w:rPr>
                <m:t>5,345m</m:t>
              </m:r>
            </m:den>
          </m:f>
          <m:r>
            <w:rPr>
              <w:rFonts w:ascii="Cambria Math" w:hAnsi="Cambria Math" w:cs="Arial"/>
              <w:sz w:val="24"/>
              <w:szCs w:val="24"/>
            </w:rPr>
            <m:t>×100=86.19</m:t>
          </m:r>
          <m:r>
            <m:rPr>
              <m:sty m:val="p"/>
            </m:rPr>
            <w:rPr>
              <w:rFonts w:ascii="Cambria Math" w:hAnsi="Cambria Math" w:cs="Arial"/>
              <w:sz w:val="24"/>
              <w:szCs w:val="24"/>
            </w:rPr>
            <m:t>%</m:t>
          </m:r>
          <m:r>
            <w:rPr>
              <w:rFonts w:ascii="Arial" w:hAnsi="Arial" w:cs="Arial"/>
              <w:sz w:val="24"/>
              <w:szCs w:val="24"/>
            </w:rPr>
            <w:br/>
          </m:r>
        </m:oMath>
        <m:oMath>
          <m:r>
            <m:rPr>
              <m:nor/>
            </m:rPr>
            <w:rPr>
              <w:rFonts w:ascii="Arial" w:hAnsi="Arial" w:cs="Arial"/>
              <w:sz w:val="24"/>
              <w:szCs w:val="24"/>
            </w:rPr>
            <m:t>Liabilities-to-assets ratio</m:t>
          </m:r>
          <m:r>
            <w:rPr>
              <w:rFonts w:ascii="Cambria Math" w:hAnsi="Cambria Math" w:cs="Arial"/>
              <w:sz w:val="24"/>
              <w:szCs w:val="24"/>
            </w:rPr>
            <m:t>=</m:t>
          </m:r>
          <m:f>
            <m:fPr>
              <m:ctrlPr>
                <w:rPr>
                  <w:rFonts w:ascii="Cambria Math" w:hAnsi="Cambria Math" w:cs="Arial"/>
                  <w:sz w:val="24"/>
                  <w:szCs w:val="24"/>
                </w:rPr>
              </m:ctrlPr>
            </m:fPr>
            <m:num>
              <m:r>
                <m:rPr>
                  <m:nor/>
                </m:rPr>
                <w:rPr>
                  <w:rFonts w:ascii="Arial" w:hAnsi="Arial" w:cs="Arial"/>
                  <w:sz w:val="24"/>
                  <w:szCs w:val="24"/>
                </w:rPr>
                <m:t>Total liabilities</m:t>
              </m:r>
            </m:num>
            <m:den>
              <m:r>
                <m:rPr>
                  <m:nor/>
                </m:rPr>
                <w:rPr>
                  <w:rFonts w:ascii="Arial" w:hAnsi="Arial" w:cs="Arial"/>
                  <w:sz w:val="24"/>
                  <w:szCs w:val="24"/>
                </w:rPr>
                <m:t>Total assets</m:t>
              </m:r>
            </m:den>
          </m:f>
          <m:r>
            <w:rPr>
              <w:rFonts w:ascii="Cambria Math" w:hAnsi="Cambria Math" w:cs="Arial"/>
              <w:sz w:val="24"/>
              <w:szCs w:val="24"/>
            </w:rPr>
            <m:t>×100</m:t>
          </m:r>
          <m:r>
            <w:rPr>
              <w:rFonts w:ascii="Arial" w:hAnsi="Arial" w:cs="Arial"/>
              <w:i/>
              <w:sz w:val="24"/>
              <w:szCs w:val="24"/>
            </w:rPr>
            <w:br/>
          </m:r>
        </m:oMath>
      </m:oMathPara>
    </w:p>
    <w:p w14:paraId="32367793" w14:textId="77777777" w:rsidR="00374052" w:rsidRPr="00374052" w:rsidRDefault="00374052" w:rsidP="00145589">
      <w:pPr>
        <w:spacing w:line="360" w:lineRule="auto"/>
        <w:jc w:val="both"/>
        <w:rPr>
          <w:rFonts w:ascii="Arial" w:hAnsi="Arial" w:cs="Arial"/>
          <w:sz w:val="24"/>
          <w:szCs w:val="24"/>
        </w:rPr>
      </w:pPr>
      <w:r w:rsidRPr="00374052">
        <w:rPr>
          <w:rFonts w:ascii="Arial" w:hAnsi="Arial" w:cs="Arial"/>
          <w:sz w:val="24"/>
          <w:szCs w:val="24"/>
        </w:rPr>
        <w:lastRenderedPageBreak/>
        <w:t>For 2025:</w:t>
      </w:r>
    </w:p>
    <w:p w14:paraId="6E960DDA" w14:textId="77777777" w:rsidR="00374052" w:rsidRPr="00374052" w:rsidRDefault="00374052" w:rsidP="00145589">
      <w:pPr>
        <w:spacing w:line="360" w:lineRule="auto"/>
        <w:jc w:val="both"/>
        <w:rPr>
          <w:rFonts w:ascii="Arial" w:hAnsi="Arial" w:cs="Arial"/>
          <w:sz w:val="24"/>
          <w:szCs w:val="24"/>
        </w:rPr>
      </w:pPr>
      <m:oMathPara>
        <m:oMath>
          <m:f>
            <m:fPr>
              <m:ctrlPr>
                <w:rPr>
                  <w:rFonts w:ascii="Cambria Math" w:hAnsi="Cambria Math" w:cs="Arial"/>
                  <w:sz w:val="24"/>
                  <w:szCs w:val="24"/>
                </w:rPr>
              </m:ctrlPr>
            </m:fPr>
            <m:num>
              <m:r>
                <m:rPr>
                  <m:sty m:val="p"/>
                </m:rPr>
                <w:rPr>
                  <w:rFonts w:ascii="Cambria Math" w:hAnsi="Cambria Math" w:cs="Arial"/>
                  <w:sz w:val="24"/>
                  <w:szCs w:val="24"/>
                </w:rPr>
                <m:t>$</m:t>
              </m:r>
              <m:r>
                <w:rPr>
                  <w:rFonts w:ascii="Cambria Math" w:hAnsi="Cambria Math" w:cs="Arial"/>
                  <w:sz w:val="24"/>
                  <w:szCs w:val="24"/>
                </w:rPr>
                <m:t>8,081m</m:t>
              </m:r>
            </m:num>
            <m:den>
              <m:r>
                <m:rPr>
                  <m:sty m:val="p"/>
                </m:rPr>
                <w:rPr>
                  <w:rFonts w:ascii="Cambria Math" w:hAnsi="Cambria Math" w:cs="Arial"/>
                  <w:sz w:val="24"/>
                  <w:szCs w:val="24"/>
                </w:rPr>
                <m:t>$</m:t>
              </m:r>
              <m:r>
                <w:rPr>
                  <w:rFonts w:ascii="Cambria Math" w:hAnsi="Cambria Math" w:cs="Arial"/>
                  <w:sz w:val="24"/>
                  <w:szCs w:val="24"/>
                </w:rPr>
                <m:t>5,345m</m:t>
              </m:r>
            </m:den>
          </m:f>
          <m:r>
            <w:rPr>
              <w:rFonts w:ascii="Cambria Math" w:hAnsi="Cambria Math" w:cs="Arial"/>
              <w:sz w:val="24"/>
              <w:szCs w:val="24"/>
            </w:rPr>
            <m:t>×100=151.19</m:t>
          </m:r>
          <m:r>
            <m:rPr>
              <m:sty m:val="p"/>
            </m:rPr>
            <w:rPr>
              <w:rFonts w:ascii="Cambria Math" w:hAnsi="Cambria Math" w:cs="Arial"/>
              <w:sz w:val="24"/>
              <w:szCs w:val="24"/>
            </w:rPr>
            <m:t>%</m:t>
          </m:r>
          <m:r>
            <w:rPr>
              <w:rFonts w:ascii="Arial" w:hAnsi="Arial" w:cs="Arial"/>
              <w:sz w:val="24"/>
              <w:szCs w:val="24"/>
            </w:rPr>
            <w:br/>
          </m:r>
        </m:oMath>
        <m:oMath>
          <m:r>
            <m:rPr>
              <m:nor/>
            </m:rPr>
            <w:rPr>
              <w:rFonts w:ascii="Arial" w:hAnsi="Arial" w:cs="Arial"/>
              <w:sz w:val="24"/>
              <w:szCs w:val="24"/>
            </w:rPr>
            <m:t>Interest cover</m:t>
          </m:r>
          <m:r>
            <w:rPr>
              <w:rFonts w:ascii="Cambria Math" w:hAnsi="Cambria Math" w:cs="Arial"/>
              <w:sz w:val="24"/>
              <w:szCs w:val="24"/>
            </w:rPr>
            <m:t>=</m:t>
          </m:r>
          <m:f>
            <m:fPr>
              <m:ctrlPr>
                <w:rPr>
                  <w:rFonts w:ascii="Cambria Math" w:hAnsi="Cambria Math" w:cs="Arial"/>
                  <w:sz w:val="24"/>
                  <w:szCs w:val="24"/>
                </w:rPr>
              </m:ctrlPr>
            </m:fPr>
            <m:num>
              <m:r>
                <m:rPr>
                  <m:nor/>
                </m:rPr>
                <w:rPr>
                  <w:rFonts w:ascii="Arial" w:hAnsi="Arial" w:cs="Arial"/>
                  <w:sz w:val="24"/>
                  <w:szCs w:val="24"/>
                </w:rPr>
                <m:t>Operating profit</m:t>
              </m:r>
            </m:num>
            <m:den>
              <m:r>
                <m:rPr>
                  <m:nor/>
                </m:rPr>
                <w:rPr>
                  <w:rFonts w:ascii="Arial" w:hAnsi="Arial" w:cs="Arial"/>
                  <w:sz w:val="24"/>
                  <w:szCs w:val="24"/>
                </w:rPr>
                <m:t>Financial expenses</m:t>
              </m:r>
            </m:den>
          </m:f>
          <m:r>
            <w:rPr>
              <w:rFonts w:ascii="Arial" w:hAnsi="Arial" w:cs="Arial"/>
              <w:sz w:val="24"/>
              <w:szCs w:val="24"/>
            </w:rPr>
            <w:br/>
          </m:r>
        </m:oMath>
      </m:oMathPara>
    </w:p>
    <w:p w14:paraId="0D9E6107" w14:textId="77777777" w:rsidR="00374052" w:rsidRPr="00374052" w:rsidRDefault="00374052" w:rsidP="00145589">
      <w:pPr>
        <w:spacing w:line="360" w:lineRule="auto"/>
        <w:jc w:val="both"/>
        <w:rPr>
          <w:rFonts w:ascii="Arial" w:hAnsi="Arial" w:cs="Arial"/>
          <w:sz w:val="24"/>
          <w:szCs w:val="24"/>
        </w:rPr>
      </w:pPr>
      <w:r w:rsidRPr="00374052">
        <w:rPr>
          <w:rFonts w:ascii="Arial" w:hAnsi="Arial" w:cs="Arial"/>
          <w:sz w:val="24"/>
          <w:szCs w:val="24"/>
        </w:rPr>
        <w:t>For 2025:</w:t>
      </w:r>
    </w:p>
    <w:p w14:paraId="0FFD14B3" w14:textId="77777777" w:rsidR="00374052" w:rsidRPr="00374052" w:rsidRDefault="00374052" w:rsidP="00145589">
      <w:pPr>
        <w:spacing w:line="360" w:lineRule="auto"/>
        <w:jc w:val="both"/>
        <w:rPr>
          <w:rFonts w:ascii="Arial" w:hAnsi="Arial" w:cs="Arial"/>
          <w:sz w:val="24"/>
          <w:szCs w:val="24"/>
        </w:rPr>
      </w:pPr>
      <m:oMathPara>
        <m:oMath>
          <m:f>
            <m:fPr>
              <m:ctrlPr>
                <w:rPr>
                  <w:rFonts w:ascii="Cambria Math" w:hAnsi="Cambria Math" w:cs="Arial"/>
                  <w:sz w:val="24"/>
                  <w:szCs w:val="24"/>
                </w:rPr>
              </m:ctrlPr>
            </m:fPr>
            <m:num>
              <m:r>
                <m:rPr>
                  <m:sty m:val="p"/>
                </m:rPr>
                <w:rPr>
                  <w:rFonts w:ascii="Cambria Math" w:hAnsi="Cambria Math" w:cs="Arial"/>
                  <w:sz w:val="24"/>
                  <w:szCs w:val="24"/>
                </w:rPr>
                <m:t>$</m:t>
              </m:r>
              <m:r>
                <w:rPr>
                  <w:rFonts w:ascii="Cambria Math" w:hAnsi="Cambria Math" w:cs="Arial"/>
                  <w:sz w:val="24"/>
                  <w:szCs w:val="24"/>
                </w:rPr>
                <m:t>1,198m</m:t>
              </m:r>
            </m:num>
            <m:den>
              <m:r>
                <m:rPr>
                  <m:sty m:val="p"/>
                </m:rPr>
                <w:rPr>
                  <w:rFonts w:ascii="Cambria Math" w:hAnsi="Cambria Math" w:cs="Arial"/>
                  <w:sz w:val="24"/>
                  <w:szCs w:val="24"/>
                </w:rPr>
                <m:t>$</m:t>
              </m:r>
              <m:r>
                <w:rPr>
                  <w:rFonts w:ascii="Cambria Math" w:hAnsi="Cambria Math" w:cs="Arial"/>
                  <w:sz w:val="24"/>
                  <w:szCs w:val="24"/>
                </w:rPr>
                <m:t>202m</m:t>
              </m:r>
            </m:den>
          </m:f>
          <m:r>
            <w:rPr>
              <w:rFonts w:ascii="Cambria Math" w:hAnsi="Cambria Math" w:cs="Arial"/>
              <w:sz w:val="24"/>
              <w:szCs w:val="24"/>
            </w:rPr>
            <m:t>=5.93</m:t>
          </m:r>
          <m:r>
            <m:rPr>
              <m:nor/>
            </m:rPr>
            <w:rPr>
              <w:rFonts w:ascii="Arial" w:hAnsi="Arial" w:cs="Arial"/>
              <w:sz w:val="24"/>
              <w:szCs w:val="24"/>
            </w:rPr>
            <m:t> times</m:t>
          </m:r>
          <m:r>
            <w:rPr>
              <w:rFonts w:ascii="Arial" w:hAnsi="Arial" w:cs="Arial"/>
              <w:sz w:val="24"/>
              <w:szCs w:val="24"/>
            </w:rPr>
            <w:br/>
          </m:r>
        </m:oMath>
      </m:oMathPara>
    </w:p>
    <w:p w14:paraId="7B0FD19E" w14:textId="77777777" w:rsidR="00374052" w:rsidRPr="00374052" w:rsidRDefault="00374052" w:rsidP="00145589">
      <w:pPr>
        <w:spacing w:line="360" w:lineRule="auto"/>
        <w:jc w:val="both"/>
        <w:rPr>
          <w:rFonts w:ascii="Arial" w:hAnsi="Arial" w:cs="Arial"/>
          <w:b/>
          <w:bCs/>
          <w:sz w:val="24"/>
          <w:szCs w:val="24"/>
        </w:rPr>
      </w:pPr>
      <w:r w:rsidRPr="00374052">
        <w:rPr>
          <w:rFonts w:ascii="Arial" w:hAnsi="Arial" w:cs="Arial"/>
          <w:b/>
          <w:bCs/>
          <w:sz w:val="24"/>
          <w:szCs w:val="24"/>
        </w:rPr>
        <w:t>Table B2.2: Investment Ratios with Calculations</w:t>
      </w:r>
    </w:p>
    <w:tbl>
      <w:tblPr>
        <w:tblStyle w:val="GridTable4-Accent2"/>
        <w:tblW w:w="0" w:type="auto"/>
        <w:tblLook w:val="04A0" w:firstRow="1" w:lastRow="0" w:firstColumn="1" w:lastColumn="0" w:noHBand="0" w:noVBand="1"/>
      </w:tblPr>
      <w:tblGrid>
        <w:gridCol w:w="1094"/>
        <w:gridCol w:w="1417"/>
        <w:gridCol w:w="1301"/>
        <w:gridCol w:w="1301"/>
        <w:gridCol w:w="1301"/>
        <w:gridCol w:w="1301"/>
        <w:gridCol w:w="1301"/>
      </w:tblGrid>
      <w:tr w:rsidR="00374052" w:rsidRPr="00374052" w14:paraId="0DC9D249" w14:textId="77777777" w:rsidTr="001D56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E99C40" w14:textId="77777777" w:rsidR="00374052" w:rsidRPr="00374052" w:rsidRDefault="00374052" w:rsidP="00145589">
            <w:pPr>
              <w:spacing w:after="160" w:line="360" w:lineRule="auto"/>
              <w:jc w:val="both"/>
              <w:rPr>
                <w:rFonts w:ascii="Arial" w:hAnsi="Arial" w:cs="Arial"/>
                <w:sz w:val="24"/>
                <w:szCs w:val="24"/>
              </w:rPr>
            </w:pPr>
            <w:r w:rsidRPr="00374052">
              <w:rPr>
                <w:rFonts w:ascii="Arial" w:hAnsi="Arial" w:cs="Arial"/>
                <w:sz w:val="24"/>
                <w:szCs w:val="24"/>
              </w:rPr>
              <w:t>Ratio</w:t>
            </w:r>
          </w:p>
        </w:tc>
        <w:tc>
          <w:tcPr>
            <w:tcW w:w="0" w:type="auto"/>
            <w:hideMark/>
          </w:tcPr>
          <w:p w14:paraId="251C14D9" w14:textId="77777777" w:rsidR="00374052" w:rsidRPr="00374052"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Formula</w:t>
            </w:r>
          </w:p>
        </w:tc>
        <w:tc>
          <w:tcPr>
            <w:tcW w:w="0" w:type="auto"/>
            <w:hideMark/>
          </w:tcPr>
          <w:p w14:paraId="41589B41" w14:textId="77777777" w:rsidR="00374052" w:rsidRPr="00374052"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2021 calculation</w:t>
            </w:r>
          </w:p>
        </w:tc>
        <w:tc>
          <w:tcPr>
            <w:tcW w:w="0" w:type="auto"/>
            <w:hideMark/>
          </w:tcPr>
          <w:p w14:paraId="7F48DEF5" w14:textId="77777777" w:rsidR="00374052" w:rsidRPr="00374052"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2022 calculation</w:t>
            </w:r>
          </w:p>
        </w:tc>
        <w:tc>
          <w:tcPr>
            <w:tcW w:w="0" w:type="auto"/>
            <w:hideMark/>
          </w:tcPr>
          <w:p w14:paraId="299E4EBF" w14:textId="77777777" w:rsidR="00374052" w:rsidRPr="00374052"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2023 calculation</w:t>
            </w:r>
          </w:p>
        </w:tc>
        <w:tc>
          <w:tcPr>
            <w:tcW w:w="0" w:type="auto"/>
            <w:hideMark/>
          </w:tcPr>
          <w:p w14:paraId="393FC509" w14:textId="77777777" w:rsidR="00374052" w:rsidRPr="00374052"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2024 calculation</w:t>
            </w:r>
          </w:p>
        </w:tc>
        <w:tc>
          <w:tcPr>
            <w:tcW w:w="0" w:type="auto"/>
            <w:hideMark/>
          </w:tcPr>
          <w:p w14:paraId="5E76C754" w14:textId="77777777" w:rsidR="00374052" w:rsidRPr="00374052"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2025 calculation</w:t>
            </w:r>
          </w:p>
        </w:tc>
      </w:tr>
      <w:tr w:rsidR="00374052" w:rsidRPr="00374052" w14:paraId="23EDBD88" w14:textId="77777777" w:rsidTr="00374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94FC29" w14:textId="77777777" w:rsidR="00374052" w:rsidRPr="00374052" w:rsidRDefault="00374052" w:rsidP="00145589">
            <w:pPr>
              <w:spacing w:after="160" w:line="360" w:lineRule="auto"/>
              <w:jc w:val="both"/>
              <w:rPr>
                <w:rFonts w:ascii="Arial" w:hAnsi="Arial" w:cs="Arial"/>
                <w:sz w:val="24"/>
                <w:szCs w:val="24"/>
              </w:rPr>
            </w:pPr>
            <w:r w:rsidRPr="00374052">
              <w:rPr>
                <w:rFonts w:ascii="Arial" w:hAnsi="Arial" w:cs="Arial"/>
                <w:sz w:val="24"/>
                <w:szCs w:val="24"/>
              </w:rPr>
              <w:t>Basic earnings per share</w:t>
            </w:r>
          </w:p>
        </w:tc>
        <w:tc>
          <w:tcPr>
            <w:tcW w:w="0" w:type="auto"/>
            <w:vAlign w:val="center"/>
            <w:hideMark/>
          </w:tcPr>
          <w:p w14:paraId="789A68DD"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Reported profit attributable to ordinary shareholders ÷ weighted-average ordinary shares</w:t>
            </w:r>
          </w:p>
        </w:tc>
        <w:tc>
          <w:tcPr>
            <w:tcW w:w="0" w:type="auto"/>
            <w:vAlign w:val="center"/>
            <w:hideMark/>
          </w:tcPr>
          <w:p w14:paraId="56B5DA6C"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Reported value = 145.4¢</w:t>
            </w:r>
          </w:p>
        </w:tc>
        <w:tc>
          <w:tcPr>
            <w:tcW w:w="0" w:type="auto"/>
            <w:vAlign w:val="center"/>
            <w:hideMark/>
          </w:tcPr>
          <w:p w14:paraId="1989500E"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Reported value = 207.2¢</w:t>
            </w:r>
          </w:p>
        </w:tc>
        <w:tc>
          <w:tcPr>
            <w:tcW w:w="0" w:type="auto"/>
            <w:vAlign w:val="center"/>
            <w:hideMark/>
          </w:tcPr>
          <w:p w14:paraId="43D0F55D"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Reported value = 443.8¢</w:t>
            </w:r>
          </w:p>
        </w:tc>
        <w:tc>
          <w:tcPr>
            <w:tcW w:w="0" w:type="auto"/>
            <w:vAlign w:val="center"/>
            <w:hideMark/>
          </w:tcPr>
          <w:p w14:paraId="4261C72D"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Reported value = 389.6¢</w:t>
            </w:r>
          </w:p>
        </w:tc>
        <w:tc>
          <w:tcPr>
            <w:tcW w:w="0" w:type="auto"/>
            <w:vAlign w:val="center"/>
            <w:hideMark/>
          </w:tcPr>
          <w:p w14:paraId="3C22F3BF"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Reported value = 490.9¢</w:t>
            </w:r>
          </w:p>
        </w:tc>
      </w:tr>
      <w:tr w:rsidR="00374052" w:rsidRPr="00374052" w14:paraId="56418B16" w14:textId="77777777" w:rsidTr="00374052">
        <w:tc>
          <w:tcPr>
            <w:cnfStyle w:val="001000000000" w:firstRow="0" w:lastRow="0" w:firstColumn="1" w:lastColumn="0" w:oddVBand="0" w:evenVBand="0" w:oddHBand="0" w:evenHBand="0" w:firstRowFirstColumn="0" w:firstRowLastColumn="0" w:lastRowFirstColumn="0" w:lastRowLastColumn="0"/>
            <w:tcW w:w="0" w:type="auto"/>
            <w:hideMark/>
          </w:tcPr>
          <w:p w14:paraId="728CC765" w14:textId="77777777" w:rsidR="00374052" w:rsidRPr="00374052" w:rsidRDefault="00374052" w:rsidP="00145589">
            <w:pPr>
              <w:spacing w:after="160" w:line="360" w:lineRule="auto"/>
              <w:jc w:val="both"/>
              <w:rPr>
                <w:rFonts w:ascii="Arial" w:hAnsi="Arial" w:cs="Arial"/>
                <w:sz w:val="24"/>
                <w:szCs w:val="24"/>
              </w:rPr>
            </w:pPr>
            <w:r w:rsidRPr="00374052">
              <w:rPr>
                <w:rFonts w:ascii="Arial" w:hAnsi="Arial" w:cs="Arial"/>
                <w:sz w:val="24"/>
                <w:szCs w:val="24"/>
              </w:rPr>
              <w:t>Dividend per share</w:t>
            </w:r>
          </w:p>
        </w:tc>
        <w:tc>
          <w:tcPr>
            <w:tcW w:w="0" w:type="auto"/>
            <w:vAlign w:val="center"/>
            <w:hideMark/>
          </w:tcPr>
          <w:p w14:paraId="1DCA685A"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Total ordinary dividend attributable to each ordinary share</w:t>
            </w:r>
          </w:p>
        </w:tc>
        <w:tc>
          <w:tcPr>
            <w:tcW w:w="0" w:type="auto"/>
            <w:vAlign w:val="center"/>
            <w:hideMark/>
          </w:tcPr>
          <w:p w14:paraId="79120581"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Reported value = 85.9¢</w:t>
            </w:r>
          </w:p>
        </w:tc>
        <w:tc>
          <w:tcPr>
            <w:tcW w:w="0" w:type="auto"/>
            <w:vAlign w:val="center"/>
            <w:hideMark/>
          </w:tcPr>
          <w:p w14:paraId="436A2AA3"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Reported value = 138.4¢</w:t>
            </w:r>
          </w:p>
        </w:tc>
        <w:tc>
          <w:tcPr>
            <w:tcW w:w="0" w:type="auto"/>
            <w:vAlign w:val="center"/>
            <w:hideMark/>
          </w:tcPr>
          <w:p w14:paraId="5AF283F5"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Reported value = 152.3¢</w:t>
            </w:r>
          </w:p>
        </w:tc>
        <w:tc>
          <w:tcPr>
            <w:tcW w:w="0" w:type="auto"/>
            <w:vAlign w:val="center"/>
            <w:hideMark/>
          </w:tcPr>
          <w:p w14:paraId="24BD388E"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Reported value = 167.6¢</w:t>
            </w:r>
          </w:p>
        </w:tc>
        <w:tc>
          <w:tcPr>
            <w:tcW w:w="0" w:type="auto"/>
            <w:vAlign w:val="center"/>
            <w:hideMark/>
          </w:tcPr>
          <w:p w14:paraId="0A2F5E4E"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Reported value = 184.5¢</w:t>
            </w:r>
          </w:p>
        </w:tc>
      </w:tr>
      <w:tr w:rsidR="00374052" w:rsidRPr="00374052" w14:paraId="1F4B9CB1" w14:textId="77777777" w:rsidTr="00374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81A00A" w14:textId="77777777" w:rsidR="00374052" w:rsidRPr="00374052" w:rsidRDefault="00374052" w:rsidP="00145589">
            <w:pPr>
              <w:spacing w:after="160" w:line="360" w:lineRule="auto"/>
              <w:jc w:val="both"/>
              <w:rPr>
                <w:rFonts w:ascii="Arial" w:hAnsi="Arial" w:cs="Arial"/>
                <w:sz w:val="24"/>
                <w:szCs w:val="24"/>
              </w:rPr>
            </w:pPr>
            <w:r w:rsidRPr="00374052">
              <w:rPr>
                <w:rFonts w:ascii="Arial" w:hAnsi="Arial" w:cs="Arial"/>
                <w:sz w:val="24"/>
                <w:szCs w:val="24"/>
              </w:rPr>
              <w:lastRenderedPageBreak/>
              <w:t>Dividend payout ratio</w:t>
            </w:r>
          </w:p>
        </w:tc>
        <w:tc>
          <w:tcPr>
            <w:tcW w:w="0" w:type="auto"/>
            <w:vAlign w:val="center"/>
            <w:hideMark/>
          </w:tcPr>
          <w:p w14:paraId="26E55954"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DPS ÷ EPS × 100</w:t>
            </w:r>
          </w:p>
        </w:tc>
        <w:tc>
          <w:tcPr>
            <w:tcW w:w="0" w:type="auto"/>
            <w:vAlign w:val="center"/>
            <w:hideMark/>
          </w:tcPr>
          <w:p w14:paraId="47A0C01C"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85.9¢ ÷ 145.4¢ × 100 = 59.08%</w:t>
            </w:r>
          </w:p>
        </w:tc>
        <w:tc>
          <w:tcPr>
            <w:tcW w:w="0" w:type="auto"/>
            <w:vAlign w:val="center"/>
            <w:hideMark/>
          </w:tcPr>
          <w:p w14:paraId="7CF6CEC8"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138.4¢ ÷ 207.2¢ × 100 = 66.80%</w:t>
            </w:r>
          </w:p>
        </w:tc>
        <w:tc>
          <w:tcPr>
            <w:tcW w:w="0" w:type="auto"/>
            <w:vAlign w:val="center"/>
            <w:hideMark/>
          </w:tcPr>
          <w:p w14:paraId="2367BBFB"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152.3¢ ÷ 443.8¢ × 100 = 34.32%</w:t>
            </w:r>
          </w:p>
        </w:tc>
        <w:tc>
          <w:tcPr>
            <w:tcW w:w="0" w:type="auto"/>
            <w:vAlign w:val="center"/>
            <w:hideMark/>
          </w:tcPr>
          <w:p w14:paraId="5DA34042"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167.6¢ ÷ 389.6¢ × 100 = 43.02%</w:t>
            </w:r>
          </w:p>
        </w:tc>
        <w:tc>
          <w:tcPr>
            <w:tcW w:w="0" w:type="auto"/>
            <w:vAlign w:val="center"/>
            <w:hideMark/>
          </w:tcPr>
          <w:p w14:paraId="5AE50708"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184.5¢ ÷ 490.9¢ × 100 = 37.58%</w:t>
            </w:r>
          </w:p>
        </w:tc>
      </w:tr>
      <w:tr w:rsidR="00374052" w:rsidRPr="00374052" w14:paraId="0EF89A5B" w14:textId="77777777" w:rsidTr="00374052">
        <w:tc>
          <w:tcPr>
            <w:cnfStyle w:val="001000000000" w:firstRow="0" w:lastRow="0" w:firstColumn="1" w:lastColumn="0" w:oddVBand="0" w:evenVBand="0" w:oddHBand="0" w:evenHBand="0" w:firstRowFirstColumn="0" w:firstRowLastColumn="0" w:lastRowFirstColumn="0" w:lastRowLastColumn="0"/>
            <w:tcW w:w="0" w:type="auto"/>
            <w:hideMark/>
          </w:tcPr>
          <w:p w14:paraId="32C70386" w14:textId="77777777" w:rsidR="00374052" w:rsidRPr="00374052" w:rsidRDefault="00374052" w:rsidP="00145589">
            <w:pPr>
              <w:spacing w:after="160" w:line="360" w:lineRule="auto"/>
              <w:jc w:val="both"/>
              <w:rPr>
                <w:rFonts w:ascii="Arial" w:hAnsi="Arial" w:cs="Arial"/>
                <w:sz w:val="24"/>
                <w:szCs w:val="24"/>
              </w:rPr>
            </w:pPr>
            <w:r w:rsidRPr="00374052">
              <w:rPr>
                <w:rFonts w:ascii="Arial" w:hAnsi="Arial" w:cs="Arial"/>
                <w:sz w:val="24"/>
                <w:szCs w:val="24"/>
              </w:rPr>
              <w:t>Dividend cover</w:t>
            </w:r>
          </w:p>
        </w:tc>
        <w:tc>
          <w:tcPr>
            <w:tcW w:w="0" w:type="auto"/>
            <w:vAlign w:val="center"/>
            <w:hideMark/>
          </w:tcPr>
          <w:p w14:paraId="17DF01A0"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EPS ÷ DPS</w:t>
            </w:r>
          </w:p>
        </w:tc>
        <w:tc>
          <w:tcPr>
            <w:tcW w:w="0" w:type="auto"/>
            <w:vAlign w:val="center"/>
            <w:hideMark/>
          </w:tcPr>
          <w:p w14:paraId="614E17B6"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145.4¢ ÷ 85.9¢ = 1.69 times</w:t>
            </w:r>
          </w:p>
        </w:tc>
        <w:tc>
          <w:tcPr>
            <w:tcW w:w="0" w:type="auto"/>
            <w:vAlign w:val="center"/>
            <w:hideMark/>
          </w:tcPr>
          <w:p w14:paraId="0BF090FD"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207.2¢ ÷ 138.4¢ = 1.50 times</w:t>
            </w:r>
          </w:p>
        </w:tc>
        <w:tc>
          <w:tcPr>
            <w:tcW w:w="0" w:type="auto"/>
            <w:vAlign w:val="center"/>
            <w:hideMark/>
          </w:tcPr>
          <w:p w14:paraId="26F6F4A8"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443.8¢ ÷ 152.3¢ = 2.91 times</w:t>
            </w:r>
          </w:p>
        </w:tc>
        <w:tc>
          <w:tcPr>
            <w:tcW w:w="0" w:type="auto"/>
            <w:vAlign w:val="center"/>
            <w:hideMark/>
          </w:tcPr>
          <w:p w14:paraId="6B149417"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389.6¢ ÷ 167.6¢ = 2.32 times</w:t>
            </w:r>
          </w:p>
        </w:tc>
        <w:tc>
          <w:tcPr>
            <w:tcW w:w="0" w:type="auto"/>
            <w:vAlign w:val="center"/>
            <w:hideMark/>
          </w:tcPr>
          <w:p w14:paraId="0F822600"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490.9¢ ÷ 184.5¢ = 2.66 times</w:t>
            </w:r>
          </w:p>
        </w:tc>
      </w:tr>
    </w:tbl>
    <w:p w14:paraId="0DE09B5E" w14:textId="77777777" w:rsidR="00374052" w:rsidRPr="00374052" w:rsidRDefault="00374052" w:rsidP="00145589">
      <w:pPr>
        <w:spacing w:line="360" w:lineRule="auto"/>
        <w:jc w:val="both"/>
        <w:rPr>
          <w:rFonts w:ascii="Arial" w:hAnsi="Arial" w:cs="Arial"/>
          <w:sz w:val="24"/>
          <w:szCs w:val="24"/>
        </w:rPr>
      </w:pPr>
      <m:oMathPara>
        <m:oMath>
          <m:r>
            <m:rPr>
              <m:nor/>
            </m:rPr>
            <w:rPr>
              <w:rFonts w:ascii="Arial" w:hAnsi="Arial" w:cs="Arial"/>
              <w:sz w:val="24"/>
              <w:szCs w:val="24"/>
            </w:rPr>
            <m:t>Dividend payout ratio</m:t>
          </m:r>
          <m:r>
            <w:rPr>
              <w:rFonts w:ascii="Cambria Math" w:hAnsi="Cambria Math" w:cs="Arial"/>
              <w:sz w:val="24"/>
              <w:szCs w:val="24"/>
            </w:rPr>
            <m:t>=</m:t>
          </m:r>
          <m:f>
            <m:fPr>
              <m:ctrlPr>
                <w:rPr>
                  <w:rFonts w:ascii="Cambria Math" w:hAnsi="Cambria Math" w:cs="Arial"/>
                  <w:sz w:val="24"/>
                  <w:szCs w:val="24"/>
                </w:rPr>
              </m:ctrlPr>
            </m:fPr>
            <m:num>
              <m:r>
                <m:rPr>
                  <m:nor/>
                </m:rPr>
                <w:rPr>
                  <w:rFonts w:ascii="Arial" w:hAnsi="Arial" w:cs="Arial"/>
                  <w:sz w:val="24"/>
                  <w:szCs w:val="24"/>
                </w:rPr>
                <m:t>Dividend per share</m:t>
              </m:r>
            </m:num>
            <m:den>
              <m:r>
                <m:rPr>
                  <m:nor/>
                </m:rPr>
                <w:rPr>
                  <w:rFonts w:ascii="Arial" w:hAnsi="Arial" w:cs="Arial"/>
                  <w:sz w:val="24"/>
                  <w:szCs w:val="24"/>
                </w:rPr>
                <m:t>Earnings per share</m:t>
              </m:r>
            </m:den>
          </m:f>
          <m:r>
            <w:rPr>
              <w:rFonts w:ascii="Cambria Math" w:hAnsi="Cambria Math" w:cs="Arial"/>
              <w:sz w:val="24"/>
              <w:szCs w:val="24"/>
            </w:rPr>
            <m:t>×100</m:t>
          </m:r>
          <m:r>
            <w:rPr>
              <w:rFonts w:ascii="Arial" w:hAnsi="Arial" w:cs="Arial"/>
              <w:i/>
              <w:sz w:val="24"/>
              <w:szCs w:val="24"/>
            </w:rPr>
            <w:br/>
          </m:r>
        </m:oMath>
      </m:oMathPara>
    </w:p>
    <w:p w14:paraId="7CB5165F" w14:textId="77777777" w:rsidR="00374052" w:rsidRPr="00374052" w:rsidRDefault="00374052" w:rsidP="00145589">
      <w:pPr>
        <w:spacing w:line="360" w:lineRule="auto"/>
        <w:jc w:val="both"/>
        <w:rPr>
          <w:rFonts w:ascii="Arial" w:hAnsi="Arial" w:cs="Arial"/>
          <w:sz w:val="24"/>
          <w:szCs w:val="24"/>
        </w:rPr>
      </w:pPr>
      <w:r w:rsidRPr="00374052">
        <w:rPr>
          <w:rFonts w:ascii="Arial" w:hAnsi="Arial" w:cs="Arial"/>
          <w:sz w:val="24"/>
          <w:szCs w:val="24"/>
        </w:rPr>
        <w:t>For 2025:</w:t>
      </w:r>
    </w:p>
    <w:p w14:paraId="4A2847AD" w14:textId="77777777" w:rsidR="00374052" w:rsidRPr="00374052" w:rsidRDefault="00374052" w:rsidP="00145589">
      <w:pPr>
        <w:spacing w:line="360" w:lineRule="auto"/>
        <w:jc w:val="both"/>
        <w:rPr>
          <w:rFonts w:ascii="Arial" w:hAnsi="Arial" w:cs="Arial"/>
          <w:sz w:val="24"/>
          <w:szCs w:val="24"/>
        </w:rPr>
      </w:pPr>
      <m:oMathPara>
        <m:oMath>
          <m:f>
            <m:fPr>
              <m:ctrlPr>
                <w:rPr>
                  <w:rFonts w:ascii="Cambria Math" w:hAnsi="Cambria Math" w:cs="Arial"/>
                  <w:sz w:val="24"/>
                  <w:szCs w:val="24"/>
                </w:rPr>
              </m:ctrlPr>
            </m:fPr>
            <m:num>
              <m:r>
                <w:rPr>
                  <w:rFonts w:ascii="Cambria Math" w:hAnsi="Cambria Math" w:cs="Arial"/>
                  <w:sz w:val="24"/>
                  <w:szCs w:val="24"/>
                </w:rPr>
                <m:t>184.5</m:t>
              </m:r>
              <m:r>
                <m:rPr>
                  <m:nor/>
                </m:rPr>
                <w:rPr>
                  <w:rFonts w:ascii="Arial" w:hAnsi="Arial" w:cs="Arial"/>
                  <w:sz w:val="24"/>
                  <w:szCs w:val="24"/>
                </w:rPr>
                <m:t>¢</m:t>
              </m:r>
            </m:num>
            <m:den>
              <m:r>
                <w:rPr>
                  <w:rFonts w:ascii="Cambria Math" w:hAnsi="Cambria Math" w:cs="Arial"/>
                  <w:sz w:val="24"/>
                  <w:szCs w:val="24"/>
                </w:rPr>
                <m:t>490.9</m:t>
              </m:r>
              <m:r>
                <m:rPr>
                  <m:nor/>
                </m:rPr>
                <w:rPr>
                  <w:rFonts w:ascii="Arial" w:hAnsi="Arial" w:cs="Arial"/>
                  <w:sz w:val="24"/>
                  <w:szCs w:val="24"/>
                </w:rPr>
                <m:t>¢</m:t>
              </m:r>
            </m:den>
          </m:f>
          <m:r>
            <w:rPr>
              <w:rFonts w:ascii="Cambria Math" w:hAnsi="Cambria Math" w:cs="Arial"/>
              <w:sz w:val="24"/>
              <w:szCs w:val="24"/>
            </w:rPr>
            <m:t>×100=37.58</m:t>
          </m:r>
          <m:r>
            <m:rPr>
              <m:sty m:val="p"/>
            </m:rPr>
            <w:rPr>
              <w:rFonts w:ascii="Cambria Math" w:hAnsi="Cambria Math" w:cs="Arial"/>
              <w:sz w:val="24"/>
              <w:szCs w:val="24"/>
            </w:rPr>
            <m:t>%</m:t>
          </m:r>
          <m:r>
            <w:rPr>
              <w:rFonts w:ascii="Arial" w:hAnsi="Arial" w:cs="Arial"/>
              <w:sz w:val="24"/>
              <w:szCs w:val="24"/>
            </w:rPr>
            <w:br/>
          </m:r>
        </m:oMath>
        <m:oMath>
          <m:r>
            <m:rPr>
              <m:nor/>
            </m:rPr>
            <w:rPr>
              <w:rFonts w:ascii="Arial" w:hAnsi="Arial" w:cs="Arial"/>
              <w:sz w:val="24"/>
              <w:szCs w:val="24"/>
            </w:rPr>
            <m:t>Dividend cover</m:t>
          </m:r>
          <m:r>
            <w:rPr>
              <w:rFonts w:ascii="Cambria Math" w:hAnsi="Cambria Math" w:cs="Arial"/>
              <w:sz w:val="24"/>
              <w:szCs w:val="24"/>
            </w:rPr>
            <m:t>=</m:t>
          </m:r>
          <m:f>
            <m:fPr>
              <m:ctrlPr>
                <w:rPr>
                  <w:rFonts w:ascii="Cambria Math" w:hAnsi="Cambria Math" w:cs="Arial"/>
                  <w:sz w:val="24"/>
                  <w:szCs w:val="24"/>
                </w:rPr>
              </m:ctrlPr>
            </m:fPr>
            <m:num>
              <m:r>
                <m:rPr>
                  <m:nor/>
                </m:rPr>
                <w:rPr>
                  <w:rFonts w:ascii="Arial" w:hAnsi="Arial" w:cs="Arial"/>
                  <w:sz w:val="24"/>
                  <w:szCs w:val="24"/>
                </w:rPr>
                <m:t>Earnings per share</m:t>
              </m:r>
            </m:num>
            <m:den>
              <m:r>
                <m:rPr>
                  <m:nor/>
                </m:rPr>
                <w:rPr>
                  <w:rFonts w:ascii="Arial" w:hAnsi="Arial" w:cs="Arial"/>
                  <w:sz w:val="24"/>
                  <w:szCs w:val="24"/>
                </w:rPr>
                <m:t>Dividend per share</m:t>
              </m:r>
            </m:den>
          </m:f>
          <m:r>
            <w:rPr>
              <w:rFonts w:ascii="Arial" w:hAnsi="Arial" w:cs="Arial"/>
              <w:sz w:val="24"/>
              <w:szCs w:val="24"/>
            </w:rPr>
            <w:br/>
          </m:r>
        </m:oMath>
      </m:oMathPara>
    </w:p>
    <w:p w14:paraId="065299C8" w14:textId="77777777" w:rsidR="00374052" w:rsidRPr="00374052" w:rsidRDefault="00374052" w:rsidP="00145589">
      <w:pPr>
        <w:spacing w:line="360" w:lineRule="auto"/>
        <w:jc w:val="both"/>
        <w:rPr>
          <w:rFonts w:ascii="Arial" w:hAnsi="Arial" w:cs="Arial"/>
          <w:sz w:val="24"/>
          <w:szCs w:val="24"/>
        </w:rPr>
      </w:pPr>
      <w:r w:rsidRPr="00374052">
        <w:rPr>
          <w:rFonts w:ascii="Arial" w:hAnsi="Arial" w:cs="Arial"/>
          <w:sz w:val="24"/>
          <w:szCs w:val="24"/>
        </w:rPr>
        <w:t>For 2025:</w:t>
      </w:r>
    </w:p>
    <w:p w14:paraId="29E250A5" w14:textId="77777777" w:rsidR="00374052" w:rsidRPr="00374052" w:rsidRDefault="00374052" w:rsidP="00145589">
      <w:pPr>
        <w:spacing w:line="360" w:lineRule="auto"/>
        <w:jc w:val="both"/>
        <w:rPr>
          <w:rFonts w:ascii="Arial" w:hAnsi="Arial" w:cs="Arial"/>
          <w:sz w:val="24"/>
          <w:szCs w:val="24"/>
        </w:rPr>
      </w:pPr>
      <m:oMathPara>
        <m:oMath>
          <m:f>
            <m:fPr>
              <m:ctrlPr>
                <w:rPr>
                  <w:rFonts w:ascii="Cambria Math" w:hAnsi="Cambria Math" w:cs="Arial"/>
                  <w:sz w:val="24"/>
                  <w:szCs w:val="24"/>
                </w:rPr>
              </m:ctrlPr>
            </m:fPr>
            <m:num>
              <m:r>
                <w:rPr>
                  <w:rFonts w:ascii="Cambria Math" w:hAnsi="Cambria Math" w:cs="Arial"/>
                  <w:sz w:val="24"/>
                  <w:szCs w:val="24"/>
                </w:rPr>
                <m:t>490.9</m:t>
              </m:r>
              <m:r>
                <m:rPr>
                  <m:nor/>
                </m:rPr>
                <w:rPr>
                  <w:rFonts w:ascii="Arial" w:hAnsi="Arial" w:cs="Arial"/>
                  <w:sz w:val="24"/>
                  <w:szCs w:val="24"/>
                </w:rPr>
                <m:t>¢</m:t>
              </m:r>
            </m:num>
            <m:den>
              <m:r>
                <w:rPr>
                  <w:rFonts w:ascii="Cambria Math" w:hAnsi="Cambria Math" w:cs="Arial"/>
                  <w:sz w:val="24"/>
                  <w:szCs w:val="24"/>
                </w:rPr>
                <m:t>184.5</m:t>
              </m:r>
              <m:r>
                <m:rPr>
                  <m:nor/>
                </m:rPr>
                <w:rPr>
                  <w:rFonts w:ascii="Arial" w:hAnsi="Arial" w:cs="Arial"/>
                  <w:sz w:val="24"/>
                  <w:szCs w:val="24"/>
                </w:rPr>
                <m:t>¢</m:t>
              </m:r>
            </m:den>
          </m:f>
          <m:r>
            <w:rPr>
              <w:rFonts w:ascii="Cambria Math" w:hAnsi="Cambria Math" w:cs="Arial"/>
              <w:sz w:val="24"/>
              <w:szCs w:val="24"/>
            </w:rPr>
            <m:t>=2.66</m:t>
          </m:r>
          <m:r>
            <m:rPr>
              <m:nor/>
            </m:rPr>
            <w:rPr>
              <w:rFonts w:ascii="Arial" w:hAnsi="Arial" w:cs="Arial"/>
              <w:sz w:val="24"/>
              <w:szCs w:val="24"/>
            </w:rPr>
            <m:t> times</m:t>
          </m:r>
          <m:r>
            <w:rPr>
              <w:rFonts w:ascii="Arial" w:hAnsi="Arial" w:cs="Arial"/>
              <w:sz w:val="24"/>
              <w:szCs w:val="24"/>
            </w:rPr>
            <w:br/>
          </m:r>
        </m:oMath>
      </m:oMathPara>
    </w:p>
    <w:p w14:paraId="6A3C8C40" w14:textId="77777777" w:rsidR="00374052" w:rsidRPr="00374052" w:rsidRDefault="00374052" w:rsidP="00145589">
      <w:pPr>
        <w:spacing w:line="360" w:lineRule="auto"/>
        <w:jc w:val="both"/>
        <w:rPr>
          <w:rFonts w:ascii="Arial" w:hAnsi="Arial" w:cs="Arial"/>
          <w:b/>
          <w:bCs/>
          <w:sz w:val="24"/>
          <w:szCs w:val="24"/>
        </w:rPr>
      </w:pPr>
      <w:r w:rsidRPr="00374052">
        <w:rPr>
          <w:rFonts w:ascii="Arial" w:hAnsi="Arial" w:cs="Arial"/>
          <w:b/>
          <w:bCs/>
          <w:sz w:val="24"/>
          <w:szCs w:val="24"/>
        </w:rPr>
        <w:t>Table B2.3: Cash-Flow Ratios with Calculations</w:t>
      </w:r>
    </w:p>
    <w:tbl>
      <w:tblPr>
        <w:tblStyle w:val="GridTable4-Accent2"/>
        <w:tblW w:w="0" w:type="auto"/>
        <w:tblLook w:val="04A0" w:firstRow="1" w:lastRow="0" w:firstColumn="1" w:lastColumn="0" w:noHBand="0" w:noVBand="1"/>
      </w:tblPr>
      <w:tblGrid>
        <w:gridCol w:w="1423"/>
        <w:gridCol w:w="1313"/>
        <w:gridCol w:w="1256"/>
        <w:gridCol w:w="1256"/>
        <w:gridCol w:w="1256"/>
        <w:gridCol w:w="1256"/>
        <w:gridCol w:w="1256"/>
      </w:tblGrid>
      <w:tr w:rsidR="00374052" w:rsidRPr="00374052" w14:paraId="2EF4A8B0" w14:textId="77777777" w:rsidTr="001D56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DD69F0" w14:textId="77777777" w:rsidR="00374052" w:rsidRPr="00374052" w:rsidRDefault="00374052" w:rsidP="00145589">
            <w:pPr>
              <w:spacing w:after="160" w:line="360" w:lineRule="auto"/>
              <w:jc w:val="both"/>
              <w:rPr>
                <w:rFonts w:ascii="Arial" w:hAnsi="Arial" w:cs="Arial"/>
                <w:sz w:val="24"/>
                <w:szCs w:val="24"/>
              </w:rPr>
            </w:pPr>
            <w:r w:rsidRPr="00374052">
              <w:rPr>
                <w:rFonts w:ascii="Arial" w:hAnsi="Arial" w:cs="Arial"/>
                <w:sz w:val="24"/>
                <w:szCs w:val="24"/>
              </w:rPr>
              <w:t>Ratio</w:t>
            </w:r>
          </w:p>
        </w:tc>
        <w:tc>
          <w:tcPr>
            <w:tcW w:w="0" w:type="auto"/>
            <w:hideMark/>
          </w:tcPr>
          <w:p w14:paraId="5C35EB3C" w14:textId="77777777" w:rsidR="00374052" w:rsidRPr="00374052"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Formula</w:t>
            </w:r>
          </w:p>
        </w:tc>
        <w:tc>
          <w:tcPr>
            <w:tcW w:w="0" w:type="auto"/>
            <w:hideMark/>
          </w:tcPr>
          <w:p w14:paraId="1B8E4ED7" w14:textId="77777777" w:rsidR="00374052" w:rsidRPr="00374052"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2021 calculation</w:t>
            </w:r>
          </w:p>
        </w:tc>
        <w:tc>
          <w:tcPr>
            <w:tcW w:w="0" w:type="auto"/>
            <w:hideMark/>
          </w:tcPr>
          <w:p w14:paraId="3D73531D" w14:textId="77777777" w:rsidR="00374052" w:rsidRPr="00374052"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2022 calculation</w:t>
            </w:r>
          </w:p>
        </w:tc>
        <w:tc>
          <w:tcPr>
            <w:tcW w:w="0" w:type="auto"/>
            <w:hideMark/>
          </w:tcPr>
          <w:p w14:paraId="0C48648B" w14:textId="77777777" w:rsidR="00374052" w:rsidRPr="00374052"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2023 calculation</w:t>
            </w:r>
          </w:p>
        </w:tc>
        <w:tc>
          <w:tcPr>
            <w:tcW w:w="0" w:type="auto"/>
            <w:hideMark/>
          </w:tcPr>
          <w:p w14:paraId="5045D647" w14:textId="77777777" w:rsidR="00374052" w:rsidRPr="00374052"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2024 calculation</w:t>
            </w:r>
          </w:p>
        </w:tc>
        <w:tc>
          <w:tcPr>
            <w:tcW w:w="0" w:type="auto"/>
            <w:hideMark/>
          </w:tcPr>
          <w:p w14:paraId="223A3AF6" w14:textId="77777777" w:rsidR="00374052" w:rsidRPr="00374052" w:rsidRDefault="00374052"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2025 calculation</w:t>
            </w:r>
          </w:p>
        </w:tc>
      </w:tr>
      <w:tr w:rsidR="00374052" w:rsidRPr="00374052" w14:paraId="475E364C" w14:textId="77777777" w:rsidTr="00374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F8400D" w14:textId="77777777" w:rsidR="00374052" w:rsidRPr="00374052" w:rsidRDefault="00374052" w:rsidP="00145589">
            <w:pPr>
              <w:spacing w:after="160" w:line="360" w:lineRule="auto"/>
              <w:jc w:val="both"/>
              <w:rPr>
                <w:rFonts w:ascii="Arial" w:hAnsi="Arial" w:cs="Arial"/>
                <w:sz w:val="24"/>
                <w:szCs w:val="24"/>
              </w:rPr>
            </w:pPr>
            <w:r w:rsidRPr="00374052">
              <w:rPr>
                <w:rFonts w:ascii="Arial" w:hAnsi="Arial" w:cs="Arial"/>
                <w:sz w:val="24"/>
                <w:szCs w:val="24"/>
              </w:rPr>
              <w:t>Operating cash-flow margin</w:t>
            </w:r>
          </w:p>
        </w:tc>
        <w:tc>
          <w:tcPr>
            <w:tcW w:w="0" w:type="auto"/>
            <w:vAlign w:val="center"/>
            <w:hideMark/>
          </w:tcPr>
          <w:p w14:paraId="20BE23F1"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 xml:space="preserve">Cash from operating activities </w:t>
            </w:r>
            <w:r w:rsidRPr="00374052">
              <w:rPr>
                <w:rFonts w:ascii="Arial" w:hAnsi="Arial" w:cs="Arial"/>
                <w:sz w:val="24"/>
                <w:szCs w:val="24"/>
              </w:rPr>
              <w:lastRenderedPageBreak/>
              <w:t>÷ revenue × 100</w:t>
            </w:r>
          </w:p>
        </w:tc>
        <w:tc>
          <w:tcPr>
            <w:tcW w:w="0" w:type="auto"/>
            <w:vAlign w:val="center"/>
            <w:hideMark/>
          </w:tcPr>
          <w:p w14:paraId="397599B6"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lastRenderedPageBreak/>
              <w:t>$636m ÷ $2,907m × 100 = 21.88%</w:t>
            </w:r>
          </w:p>
        </w:tc>
        <w:tc>
          <w:tcPr>
            <w:tcW w:w="0" w:type="auto"/>
            <w:vAlign w:val="center"/>
            <w:hideMark/>
          </w:tcPr>
          <w:p w14:paraId="6F96A7B1"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$646m ÷ $3,892m × 100 = 16.60%</w:t>
            </w:r>
          </w:p>
        </w:tc>
        <w:tc>
          <w:tcPr>
            <w:tcW w:w="0" w:type="auto"/>
            <w:vAlign w:val="center"/>
            <w:hideMark/>
          </w:tcPr>
          <w:p w14:paraId="01AC2392"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$893m ÷ $4,624m × 100 = 19.31%</w:t>
            </w:r>
          </w:p>
        </w:tc>
        <w:tc>
          <w:tcPr>
            <w:tcW w:w="0" w:type="auto"/>
            <w:vAlign w:val="center"/>
            <w:hideMark/>
          </w:tcPr>
          <w:p w14:paraId="43DD4BAA"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$724m ÷ $4,923m × 100 = 14.71%</w:t>
            </w:r>
          </w:p>
        </w:tc>
        <w:tc>
          <w:tcPr>
            <w:tcW w:w="0" w:type="auto"/>
            <w:vAlign w:val="center"/>
            <w:hideMark/>
          </w:tcPr>
          <w:p w14:paraId="1BAC985F"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$898m ÷ $5,189m × 100 = 17.31%</w:t>
            </w:r>
          </w:p>
        </w:tc>
      </w:tr>
      <w:tr w:rsidR="00374052" w:rsidRPr="00374052" w14:paraId="5C718112" w14:textId="77777777" w:rsidTr="00374052">
        <w:tc>
          <w:tcPr>
            <w:cnfStyle w:val="001000000000" w:firstRow="0" w:lastRow="0" w:firstColumn="1" w:lastColumn="0" w:oddVBand="0" w:evenVBand="0" w:oddHBand="0" w:evenHBand="0" w:firstRowFirstColumn="0" w:firstRowLastColumn="0" w:lastRowFirstColumn="0" w:lastRowLastColumn="0"/>
            <w:tcW w:w="0" w:type="auto"/>
            <w:hideMark/>
          </w:tcPr>
          <w:p w14:paraId="0455EDE2" w14:textId="77777777" w:rsidR="00374052" w:rsidRPr="00374052" w:rsidRDefault="00374052" w:rsidP="00145589">
            <w:pPr>
              <w:spacing w:after="160" w:line="360" w:lineRule="auto"/>
              <w:jc w:val="both"/>
              <w:rPr>
                <w:rFonts w:ascii="Arial" w:hAnsi="Arial" w:cs="Arial"/>
                <w:sz w:val="24"/>
                <w:szCs w:val="24"/>
              </w:rPr>
            </w:pPr>
            <w:r w:rsidRPr="00374052">
              <w:rPr>
                <w:rFonts w:ascii="Arial" w:hAnsi="Arial" w:cs="Arial"/>
                <w:sz w:val="24"/>
                <w:szCs w:val="24"/>
              </w:rPr>
              <w:t>Cash conversion</w:t>
            </w:r>
          </w:p>
        </w:tc>
        <w:tc>
          <w:tcPr>
            <w:tcW w:w="0" w:type="auto"/>
            <w:vAlign w:val="center"/>
            <w:hideMark/>
          </w:tcPr>
          <w:p w14:paraId="6F93BCA2"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Cash from operating activities ÷ profit after tax</w:t>
            </w:r>
          </w:p>
        </w:tc>
        <w:tc>
          <w:tcPr>
            <w:tcW w:w="0" w:type="auto"/>
            <w:vAlign w:val="center"/>
            <w:hideMark/>
          </w:tcPr>
          <w:p w14:paraId="11B88246"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$636m ÷ $265m = 2.40 times</w:t>
            </w:r>
          </w:p>
        </w:tc>
        <w:tc>
          <w:tcPr>
            <w:tcW w:w="0" w:type="auto"/>
            <w:vAlign w:val="center"/>
            <w:hideMark/>
          </w:tcPr>
          <w:p w14:paraId="6E6A6ECD"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$646m ÷ $376m = 1.72 times</w:t>
            </w:r>
          </w:p>
        </w:tc>
        <w:tc>
          <w:tcPr>
            <w:tcW w:w="0" w:type="auto"/>
            <w:vAlign w:val="center"/>
            <w:hideMark/>
          </w:tcPr>
          <w:p w14:paraId="0429913B"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$893m ÷ $750m = 1.19 times</w:t>
            </w:r>
          </w:p>
        </w:tc>
        <w:tc>
          <w:tcPr>
            <w:tcW w:w="0" w:type="auto"/>
            <w:vAlign w:val="center"/>
            <w:hideMark/>
          </w:tcPr>
          <w:p w14:paraId="49B5477F"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$724m ÷ $628m = 1.15 times</w:t>
            </w:r>
          </w:p>
        </w:tc>
        <w:tc>
          <w:tcPr>
            <w:tcW w:w="0" w:type="auto"/>
            <w:vAlign w:val="center"/>
            <w:hideMark/>
          </w:tcPr>
          <w:p w14:paraId="4A849C6B"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$898m ÷ $759m = 1.18 times</w:t>
            </w:r>
          </w:p>
        </w:tc>
      </w:tr>
      <w:tr w:rsidR="00374052" w:rsidRPr="00374052" w14:paraId="3719B5AE" w14:textId="77777777" w:rsidTr="00374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718554" w14:textId="77777777" w:rsidR="00374052" w:rsidRPr="00374052" w:rsidRDefault="00374052" w:rsidP="00145589">
            <w:pPr>
              <w:spacing w:after="160" w:line="360" w:lineRule="auto"/>
              <w:jc w:val="both"/>
              <w:rPr>
                <w:rFonts w:ascii="Arial" w:hAnsi="Arial" w:cs="Arial"/>
                <w:sz w:val="24"/>
                <w:szCs w:val="24"/>
              </w:rPr>
            </w:pPr>
            <w:r w:rsidRPr="00374052">
              <w:rPr>
                <w:rFonts w:ascii="Arial" w:hAnsi="Arial" w:cs="Arial"/>
                <w:sz w:val="24"/>
                <w:szCs w:val="24"/>
              </w:rPr>
              <w:t>Adjusted free-cash-flow margin</w:t>
            </w:r>
          </w:p>
        </w:tc>
        <w:tc>
          <w:tcPr>
            <w:tcW w:w="0" w:type="auto"/>
            <w:vAlign w:val="center"/>
            <w:hideMark/>
          </w:tcPr>
          <w:p w14:paraId="6314AFAB"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Adjusted free cash flow ÷ revenue × 100</w:t>
            </w:r>
          </w:p>
        </w:tc>
        <w:tc>
          <w:tcPr>
            <w:tcW w:w="0" w:type="auto"/>
            <w:vAlign w:val="center"/>
            <w:hideMark/>
          </w:tcPr>
          <w:p w14:paraId="2BA43041"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$589m ÷ $2,907m × 100 = 20.26%</w:t>
            </w:r>
          </w:p>
        </w:tc>
        <w:tc>
          <w:tcPr>
            <w:tcW w:w="0" w:type="auto"/>
            <w:vAlign w:val="center"/>
            <w:hideMark/>
          </w:tcPr>
          <w:p w14:paraId="54DBEE20"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$615m ÷ $3,892m × 100 = 15.80%</w:t>
            </w:r>
          </w:p>
        </w:tc>
        <w:tc>
          <w:tcPr>
            <w:tcW w:w="0" w:type="auto"/>
            <w:vAlign w:val="center"/>
            <w:hideMark/>
          </w:tcPr>
          <w:p w14:paraId="144B2A87"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$837m ÷ $4,624m × 100 = 18.10%</w:t>
            </w:r>
          </w:p>
        </w:tc>
        <w:tc>
          <w:tcPr>
            <w:tcW w:w="0" w:type="auto"/>
            <w:vAlign w:val="center"/>
            <w:hideMark/>
          </w:tcPr>
          <w:p w14:paraId="22AB3BE9"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$655m ÷ $4,923m × 100 = 13.30%</w:t>
            </w:r>
          </w:p>
        </w:tc>
        <w:tc>
          <w:tcPr>
            <w:tcW w:w="0" w:type="auto"/>
            <w:vAlign w:val="center"/>
            <w:hideMark/>
          </w:tcPr>
          <w:p w14:paraId="1E261C55" w14:textId="77777777" w:rsidR="00374052" w:rsidRPr="00374052" w:rsidRDefault="00374052"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4052">
              <w:rPr>
                <w:rFonts w:ascii="Arial" w:hAnsi="Arial" w:cs="Arial"/>
                <w:sz w:val="24"/>
                <w:szCs w:val="24"/>
              </w:rPr>
              <w:t>$893m ÷ $5,189m × 100 = 17.21%</w:t>
            </w:r>
          </w:p>
        </w:tc>
      </w:tr>
      <w:tr w:rsidR="00374052" w:rsidRPr="00374052" w14:paraId="7309F61D" w14:textId="77777777" w:rsidTr="00374052">
        <w:tc>
          <w:tcPr>
            <w:cnfStyle w:val="001000000000" w:firstRow="0" w:lastRow="0" w:firstColumn="1" w:lastColumn="0" w:oddVBand="0" w:evenVBand="0" w:oddHBand="0" w:evenHBand="0" w:firstRowFirstColumn="0" w:firstRowLastColumn="0" w:lastRowFirstColumn="0" w:lastRowLastColumn="0"/>
            <w:tcW w:w="0" w:type="auto"/>
            <w:hideMark/>
          </w:tcPr>
          <w:p w14:paraId="705BB504" w14:textId="77777777" w:rsidR="00374052" w:rsidRPr="00374052" w:rsidRDefault="00374052" w:rsidP="00145589">
            <w:pPr>
              <w:spacing w:after="160" w:line="360" w:lineRule="auto"/>
              <w:jc w:val="both"/>
              <w:rPr>
                <w:rFonts w:ascii="Arial" w:hAnsi="Arial" w:cs="Arial"/>
                <w:sz w:val="24"/>
                <w:szCs w:val="24"/>
              </w:rPr>
            </w:pPr>
            <w:r w:rsidRPr="00374052">
              <w:rPr>
                <w:rFonts w:ascii="Arial" w:hAnsi="Arial" w:cs="Arial"/>
                <w:sz w:val="24"/>
                <w:szCs w:val="24"/>
              </w:rPr>
              <w:t>Shareholder distributions to operating cash flow</w:t>
            </w:r>
          </w:p>
        </w:tc>
        <w:tc>
          <w:tcPr>
            <w:tcW w:w="0" w:type="auto"/>
            <w:vAlign w:val="center"/>
            <w:hideMark/>
          </w:tcPr>
          <w:p w14:paraId="093C4E5F"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Share repurchases plus ordinary dividends paid ÷ operating cash flow × 100</w:t>
            </w:r>
          </w:p>
        </w:tc>
        <w:tc>
          <w:tcPr>
            <w:tcW w:w="0" w:type="auto"/>
            <w:vAlign w:val="center"/>
            <w:hideMark/>
          </w:tcPr>
          <w:p w14:paraId="699745FC"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($0m + $0m) ÷ $636m × 100 = 0.00%</w:t>
            </w:r>
          </w:p>
        </w:tc>
        <w:tc>
          <w:tcPr>
            <w:tcW w:w="0" w:type="auto"/>
            <w:vAlign w:val="center"/>
            <w:hideMark/>
          </w:tcPr>
          <w:p w14:paraId="6B64CC94"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($482m + $233m) ÷ $646m × 100 = 110.68%</w:t>
            </w:r>
          </w:p>
        </w:tc>
        <w:tc>
          <w:tcPr>
            <w:tcW w:w="0" w:type="auto"/>
            <w:vAlign w:val="center"/>
            <w:hideMark/>
          </w:tcPr>
          <w:p w14:paraId="15094985"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($790m + $245m) ÷ $893m × 100 = 115.90%</w:t>
            </w:r>
          </w:p>
        </w:tc>
        <w:tc>
          <w:tcPr>
            <w:tcW w:w="0" w:type="auto"/>
            <w:vAlign w:val="center"/>
            <w:hideMark/>
          </w:tcPr>
          <w:p w14:paraId="2056419E"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($804m + $259m) ÷ $724m × 100 = 146.82%</w:t>
            </w:r>
          </w:p>
        </w:tc>
        <w:tc>
          <w:tcPr>
            <w:tcW w:w="0" w:type="auto"/>
            <w:vAlign w:val="center"/>
            <w:hideMark/>
          </w:tcPr>
          <w:p w14:paraId="28201D1F" w14:textId="77777777" w:rsidR="00374052" w:rsidRPr="00374052" w:rsidRDefault="00374052"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4052">
              <w:rPr>
                <w:rFonts w:ascii="Arial" w:hAnsi="Arial" w:cs="Arial"/>
                <w:sz w:val="24"/>
                <w:szCs w:val="24"/>
              </w:rPr>
              <w:t>($897m + $270m) ÷ $898m × 100 = 129.96%</w:t>
            </w:r>
          </w:p>
        </w:tc>
      </w:tr>
    </w:tbl>
    <w:p w14:paraId="6033BE27" w14:textId="1150ED95" w:rsidR="00374052" w:rsidRPr="00374052" w:rsidRDefault="00374052" w:rsidP="00145589">
      <w:pPr>
        <w:spacing w:line="360" w:lineRule="auto"/>
        <w:jc w:val="both"/>
        <w:rPr>
          <w:rFonts w:ascii="Arial" w:hAnsi="Arial" w:cs="Arial"/>
          <w:b/>
          <w:bCs/>
          <w:sz w:val="24"/>
          <w:szCs w:val="24"/>
        </w:rPr>
      </w:pPr>
    </w:p>
    <w:p w14:paraId="3C12D5AE" w14:textId="77777777" w:rsidR="00374052" w:rsidRPr="00374052" w:rsidRDefault="00374052" w:rsidP="00145589">
      <w:pPr>
        <w:spacing w:line="360" w:lineRule="auto"/>
        <w:jc w:val="both"/>
        <w:rPr>
          <w:rFonts w:ascii="Arial" w:hAnsi="Arial" w:cs="Arial"/>
          <w:sz w:val="24"/>
          <w:szCs w:val="24"/>
        </w:rPr>
      </w:pPr>
      <m:oMathPara>
        <m:oMath>
          <m:r>
            <m:rPr>
              <m:nor/>
            </m:rPr>
            <w:rPr>
              <w:rFonts w:ascii="Arial" w:hAnsi="Arial" w:cs="Arial"/>
              <w:sz w:val="24"/>
              <w:szCs w:val="24"/>
            </w:rPr>
            <m:t>Operating cash-flow margin</m:t>
          </m:r>
          <m:r>
            <w:rPr>
              <w:rFonts w:ascii="Cambria Math" w:hAnsi="Cambria Math" w:cs="Arial"/>
              <w:sz w:val="24"/>
              <w:szCs w:val="24"/>
            </w:rPr>
            <m:t>=</m:t>
          </m:r>
          <m:f>
            <m:fPr>
              <m:ctrlPr>
                <w:rPr>
                  <w:rFonts w:ascii="Cambria Math" w:hAnsi="Cambria Math" w:cs="Arial"/>
                  <w:sz w:val="24"/>
                  <w:szCs w:val="24"/>
                </w:rPr>
              </m:ctrlPr>
            </m:fPr>
            <m:num>
              <m:r>
                <m:rPr>
                  <m:nor/>
                </m:rPr>
                <w:rPr>
                  <w:rFonts w:ascii="Arial" w:hAnsi="Arial" w:cs="Arial"/>
                  <w:sz w:val="24"/>
                  <w:szCs w:val="24"/>
                </w:rPr>
                <m:t>Cash from operating activities</m:t>
              </m:r>
            </m:num>
            <m:den>
              <m:r>
                <m:rPr>
                  <m:nor/>
                </m:rPr>
                <w:rPr>
                  <w:rFonts w:ascii="Arial" w:hAnsi="Arial" w:cs="Arial"/>
                  <w:sz w:val="24"/>
                  <w:szCs w:val="24"/>
                </w:rPr>
                <m:t>Revenue</m:t>
              </m:r>
            </m:den>
          </m:f>
          <m:r>
            <w:rPr>
              <w:rFonts w:ascii="Cambria Math" w:hAnsi="Cambria Math" w:cs="Arial"/>
              <w:sz w:val="24"/>
              <w:szCs w:val="24"/>
            </w:rPr>
            <m:t>×100</m:t>
          </m:r>
          <m:r>
            <w:rPr>
              <w:rFonts w:ascii="Arial" w:hAnsi="Arial" w:cs="Arial"/>
              <w:i/>
              <w:sz w:val="24"/>
              <w:szCs w:val="24"/>
            </w:rPr>
            <w:br/>
          </m:r>
        </m:oMath>
      </m:oMathPara>
    </w:p>
    <w:p w14:paraId="399C4330" w14:textId="77777777" w:rsidR="00374052" w:rsidRPr="00374052" w:rsidRDefault="00374052" w:rsidP="00145589">
      <w:pPr>
        <w:spacing w:line="360" w:lineRule="auto"/>
        <w:jc w:val="both"/>
        <w:rPr>
          <w:rFonts w:ascii="Arial" w:hAnsi="Arial" w:cs="Arial"/>
          <w:sz w:val="24"/>
          <w:szCs w:val="24"/>
        </w:rPr>
      </w:pPr>
      <w:r w:rsidRPr="00374052">
        <w:rPr>
          <w:rFonts w:ascii="Arial" w:hAnsi="Arial" w:cs="Arial"/>
          <w:sz w:val="24"/>
          <w:szCs w:val="24"/>
        </w:rPr>
        <w:t>For 2025:</w:t>
      </w:r>
    </w:p>
    <w:p w14:paraId="3ACA4D26" w14:textId="77777777" w:rsidR="00374052" w:rsidRPr="00374052" w:rsidRDefault="00374052" w:rsidP="00145589">
      <w:pPr>
        <w:spacing w:line="360" w:lineRule="auto"/>
        <w:jc w:val="both"/>
        <w:rPr>
          <w:rFonts w:ascii="Arial" w:hAnsi="Arial" w:cs="Arial"/>
          <w:sz w:val="24"/>
          <w:szCs w:val="24"/>
        </w:rPr>
      </w:pPr>
      <m:oMathPara>
        <m:oMath>
          <m:f>
            <m:fPr>
              <m:ctrlPr>
                <w:rPr>
                  <w:rFonts w:ascii="Cambria Math" w:hAnsi="Cambria Math" w:cs="Arial"/>
                  <w:sz w:val="24"/>
                  <w:szCs w:val="24"/>
                </w:rPr>
              </m:ctrlPr>
            </m:fPr>
            <m:num>
              <m:r>
                <m:rPr>
                  <m:sty m:val="p"/>
                </m:rPr>
                <w:rPr>
                  <w:rFonts w:ascii="Cambria Math" w:hAnsi="Cambria Math" w:cs="Arial"/>
                  <w:sz w:val="24"/>
                  <w:szCs w:val="24"/>
                </w:rPr>
                <m:t>$</m:t>
              </m:r>
              <m:r>
                <w:rPr>
                  <w:rFonts w:ascii="Cambria Math" w:hAnsi="Cambria Math" w:cs="Arial"/>
                  <w:sz w:val="24"/>
                  <w:szCs w:val="24"/>
                </w:rPr>
                <m:t>898m</m:t>
              </m:r>
            </m:num>
            <m:den>
              <m:r>
                <m:rPr>
                  <m:sty m:val="p"/>
                </m:rPr>
                <w:rPr>
                  <w:rFonts w:ascii="Cambria Math" w:hAnsi="Cambria Math" w:cs="Arial"/>
                  <w:sz w:val="24"/>
                  <w:szCs w:val="24"/>
                </w:rPr>
                <m:t>$</m:t>
              </m:r>
              <m:r>
                <w:rPr>
                  <w:rFonts w:ascii="Cambria Math" w:hAnsi="Cambria Math" w:cs="Arial"/>
                  <w:sz w:val="24"/>
                  <w:szCs w:val="24"/>
                </w:rPr>
                <m:t>5,189m</m:t>
              </m:r>
            </m:den>
          </m:f>
          <m:r>
            <w:rPr>
              <w:rFonts w:ascii="Cambria Math" w:hAnsi="Cambria Math" w:cs="Arial"/>
              <w:sz w:val="24"/>
              <w:szCs w:val="24"/>
            </w:rPr>
            <m:t>×100=17.31</m:t>
          </m:r>
          <m:r>
            <m:rPr>
              <m:sty m:val="p"/>
            </m:rPr>
            <w:rPr>
              <w:rFonts w:ascii="Cambria Math" w:hAnsi="Cambria Math" w:cs="Arial"/>
              <w:sz w:val="24"/>
              <w:szCs w:val="24"/>
            </w:rPr>
            <m:t>%</m:t>
          </m:r>
          <m:r>
            <w:rPr>
              <w:rFonts w:ascii="Arial" w:hAnsi="Arial" w:cs="Arial"/>
              <w:sz w:val="24"/>
              <w:szCs w:val="24"/>
            </w:rPr>
            <w:br/>
          </m:r>
        </m:oMath>
        <m:oMath>
          <m:r>
            <m:rPr>
              <m:nor/>
            </m:rPr>
            <w:rPr>
              <w:rFonts w:ascii="Arial" w:hAnsi="Arial" w:cs="Arial"/>
              <w:sz w:val="24"/>
              <w:szCs w:val="24"/>
            </w:rPr>
            <m:t>Cash conversion</m:t>
          </m:r>
          <m:r>
            <w:rPr>
              <w:rFonts w:ascii="Cambria Math" w:hAnsi="Cambria Math" w:cs="Arial"/>
              <w:sz w:val="24"/>
              <w:szCs w:val="24"/>
            </w:rPr>
            <m:t>=</m:t>
          </m:r>
          <m:f>
            <m:fPr>
              <m:ctrlPr>
                <w:rPr>
                  <w:rFonts w:ascii="Cambria Math" w:hAnsi="Cambria Math" w:cs="Arial"/>
                  <w:sz w:val="24"/>
                  <w:szCs w:val="24"/>
                </w:rPr>
              </m:ctrlPr>
            </m:fPr>
            <m:num>
              <m:r>
                <m:rPr>
                  <m:nor/>
                </m:rPr>
                <w:rPr>
                  <w:rFonts w:ascii="Arial" w:hAnsi="Arial" w:cs="Arial"/>
                  <w:sz w:val="24"/>
                  <w:szCs w:val="24"/>
                </w:rPr>
                <m:t>Cash from operating activities</m:t>
              </m:r>
            </m:num>
            <m:den>
              <m:r>
                <m:rPr>
                  <m:nor/>
                </m:rPr>
                <w:rPr>
                  <w:rFonts w:ascii="Arial" w:hAnsi="Arial" w:cs="Arial"/>
                  <w:sz w:val="24"/>
                  <w:szCs w:val="24"/>
                </w:rPr>
                <m:t>Profit after tax</m:t>
              </m:r>
            </m:den>
          </m:f>
          <m:r>
            <w:rPr>
              <w:rFonts w:ascii="Arial" w:hAnsi="Arial" w:cs="Arial"/>
              <w:sz w:val="24"/>
              <w:szCs w:val="24"/>
            </w:rPr>
            <w:br/>
          </m:r>
        </m:oMath>
      </m:oMathPara>
    </w:p>
    <w:p w14:paraId="7DFE73EE" w14:textId="77777777" w:rsidR="00374052" w:rsidRPr="00374052" w:rsidRDefault="00374052" w:rsidP="00145589">
      <w:pPr>
        <w:spacing w:line="360" w:lineRule="auto"/>
        <w:jc w:val="both"/>
        <w:rPr>
          <w:rFonts w:ascii="Arial" w:hAnsi="Arial" w:cs="Arial"/>
          <w:sz w:val="24"/>
          <w:szCs w:val="24"/>
        </w:rPr>
      </w:pPr>
      <w:r w:rsidRPr="00374052">
        <w:rPr>
          <w:rFonts w:ascii="Arial" w:hAnsi="Arial" w:cs="Arial"/>
          <w:sz w:val="24"/>
          <w:szCs w:val="24"/>
        </w:rPr>
        <w:lastRenderedPageBreak/>
        <w:t>For 2025:</w:t>
      </w:r>
    </w:p>
    <w:p w14:paraId="25B27C74" w14:textId="77777777" w:rsidR="00374052" w:rsidRPr="00374052" w:rsidRDefault="00374052" w:rsidP="00145589">
      <w:pPr>
        <w:spacing w:line="360" w:lineRule="auto"/>
        <w:jc w:val="both"/>
        <w:rPr>
          <w:rFonts w:ascii="Arial" w:hAnsi="Arial" w:cs="Arial"/>
          <w:sz w:val="24"/>
          <w:szCs w:val="24"/>
        </w:rPr>
      </w:pPr>
      <m:oMathPara>
        <m:oMath>
          <m:f>
            <m:fPr>
              <m:ctrlPr>
                <w:rPr>
                  <w:rFonts w:ascii="Cambria Math" w:hAnsi="Cambria Math" w:cs="Arial"/>
                  <w:sz w:val="24"/>
                  <w:szCs w:val="24"/>
                </w:rPr>
              </m:ctrlPr>
            </m:fPr>
            <m:num>
              <m:r>
                <m:rPr>
                  <m:sty m:val="p"/>
                </m:rPr>
                <w:rPr>
                  <w:rFonts w:ascii="Cambria Math" w:hAnsi="Cambria Math" w:cs="Arial"/>
                  <w:sz w:val="24"/>
                  <w:szCs w:val="24"/>
                </w:rPr>
                <m:t>$</m:t>
              </m:r>
              <m:r>
                <w:rPr>
                  <w:rFonts w:ascii="Cambria Math" w:hAnsi="Cambria Math" w:cs="Arial"/>
                  <w:sz w:val="24"/>
                  <w:szCs w:val="24"/>
                </w:rPr>
                <m:t>898m</m:t>
              </m:r>
            </m:num>
            <m:den>
              <m:r>
                <m:rPr>
                  <m:sty m:val="p"/>
                </m:rPr>
                <w:rPr>
                  <w:rFonts w:ascii="Cambria Math" w:hAnsi="Cambria Math" w:cs="Arial"/>
                  <w:sz w:val="24"/>
                  <w:szCs w:val="24"/>
                </w:rPr>
                <m:t>$</m:t>
              </m:r>
              <m:r>
                <w:rPr>
                  <w:rFonts w:ascii="Cambria Math" w:hAnsi="Cambria Math" w:cs="Arial"/>
                  <w:sz w:val="24"/>
                  <w:szCs w:val="24"/>
                </w:rPr>
                <m:t>759m</m:t>
              </m:r>
            </m:den>
          </m:f>
          <m:r>
            <w:rPr>
              <w:rFonts w:ascii="Cambria Math" w:hAnsi="Cambria Math" w:cs="Arial"/>
              <w:sz w:val="24"/>
              <w:szCs w:val="24"/>
            </w:rPr>
            <m:t>=1.18</m:t>
          </m:r>
          <m:r>
            <m:rPr>
              <m:nor/>
            </m:rPr>
            <w:rPr>
              <w:rFonts w:ascii="Arial" w:hAnsi="Arial" w:cs="Arial"/>
              <w:sz w:val="24"/>
              <w:szCs w:val="24"/>
            </w:rPr>
            <m:t> times</m:t>
          </m:r>
          <m:r>
            <w:rPr>
              <w:rFonts w:ascii="Arial" w:hAnsi="Arial" w:cs="Arial"/>
              <w:sz w:val="24"/>
              <w:szCs w:val="24"/>
            </w:rPr>
            <w:br/>
          </m:r>
        </m:oMath>
        <m:oMath>
          <m:r>
            <m:rPr>
              <m:nor/>
            </m:rPr>
            <w:rPr>
              <w:rFonts w:ascii="Arial" w:hAnsi="Arial" w:cs="Arial"/>
              <w:sz w:val="24"/>
              <w:szCs w:val="24"/>
            </w:rPr>
            <m:t>Adjusted FCF margin</m:t>
          </m:r>
          <m:r>
            <w:rPr>
              <w:rFonts w:ascii="Cambria Math" w:hAnsi="Cambria Math" w:cs="Arial"/>
              <w:sz w:val="24"/>
              <w:szCs w:val="24"/>
            </w:rPr>
            <m:t>=</m:t>
          </m:r>
          <m:f>
            <m:fPr>
              <m:ctrlPr>
                <w:rPr>
                  <w:rFonts w:ascii="Cambria Math" w:hAnsi="Cambria Math" w:cs="Arial"/>
                  <w:sz w:val="24"/>
                  <w:szCs w:val="24"/>
                </w:rPr>
              </m:ctrlPr>
            </m:fPr>
            <m:num>
              <m:r>
                <m:rPr>
                  <m:nor/>
                </m:rPr>
                <w:rPr>
                  <w:rFonts w:ascii="Arial" w:hAnsi="Arial" w:cs="Arial"/>
                  <w:sz w:val="24"/>
                  <w:szCs w:val="24"/>
                </w:rPr>
                <m:t>Adjusted free cash flow</m:t>
              </m:r>
            </m:num>
            <m:den>
              <m:r>
                <m:rPr>
                  <m:nor/>
                </m:rPr>
                <w:rPr>
                  <w:rFonts w:ascii="Arial" w:hAnsi="Arial" w:cs="Arial"/>
                  <w:sz w:val="24"/>
                  <w:szCs w:val="24"/>
                </w:rPr>
                <m:t>Revenue</m:t>
              </m:r>
            </m:den>
          </m:f>
          <m:r>
            <w:rPr>
              <w:rFonts w:ascii="Cambria Math" w:hAnsi="Cambria Math" w:cs="Arial"/>
              <w:sz w:val="24"/>
              <w:szCs w:val="24"/>
            </w:rPr>
            <m:t>×100</m:t>
          </m:r>
          <m:r>
            <w:rPr>
              <w:rFonts w:ascii="Arial" w:hAnsi="Arial" w:cs="Arial"/>
              <w:i/>
              <w:sz w:val="24"/>
              <w:szCs w:val="24"/>
            </w:rPr>
            <w:br/>
          </m:r>
        </m:oMath>
      </m:oMathPara>
    </w:p>
    <w:p w14:paraId="4B5D45E2" w14:textId="77777777" w:rsidR="00374052" w:rsidRPr="00374052" w:rsidRDefault="00374052" w:rsidP="00145589">
      <w:pPr>
        <w:spacing w:line="360" w:lineRule="auto"/>
        <w:jc w:val="both"/>
        <w:rPr>
          <w:rFonts w:ascii="Arial" w:hAnsi="Arial" w:cs="Arial"/>
          <w:sz w:val="24"/>
          <w:szCs w:val="24"/>
        </w:rPr>
      </w:pPr>
      <w:r w:rsidRPr="00374052">
        <w:rPr>
          <w:rFonts w:ascii="Arial" w:hAnsi="Arial" w:cs="Arial"/>
          <w:sz w:val="24"/>
          <w:szCs w:val="24"/>
        </w:rPr>
        <w:t>For 2025:</w:t>
      </w:r>
    </w:p>
    <w:p w14:paraId="544EBD7A" w14:textId="77777777" w:rsidR="00374052" w:rsidRPr="00374052" w:rsidRDefault="00374052" w:rsidP="00145589">
      <w:pPr>
        <w:spacing w:line="360" w:lineRule="auto"/>
        <w:jc w:val="both"/>
        <w:rPr>
          <w:rFonts w:ascii="Arial" w:hAnsi="Arial" w:cs="Arial"/>
          <w:sz w:val="24"/>
          <w:szCs w:val="24"/>
        </w:rPr>
      </w:pPr>
      <m:oMathPara>
        <m:oMath>
          <m:f>
            <m:fPr>
              <m:ctrlPr>
                <w:rPr>
                  <w:rFonts w:ascii="Cambria Math" w:hAnsi="Cambria Math" w:cs="Arial"/>
                  <w:sz w:val="24"/>
                  <w:szCs w:val="24"/>
                </w:rPr>
              </m:ctrlPr>
            </m:fPr>
            <m:num>
              <m:r>
                <m:rPr>
                  <m:sty m:val="p"/>
                </m:rPr>
                <w:rPr>
                  <w:rFonts w:ascii="Cambria Math" w:hAnsi="Cambria Math" w:cs="Arial"/>
                  <w:sz w:val="24"/>
                  <w:szCs w:val="24"/>
                </w:rPr>
                <m:t>$</m:t>
              </m:r>
              <m:r>
                <w:rPr>
                  <w:rFonts w:ascii="Cambria Math" w:hAnsi="Cambria Math" w:cs="Arial"/>
                  <w:sz w:val="24"/>
                  <w:szCs w:val="24"/>
                </w:rPr>
                <m:t>893m</m:t>
              </m:r>
            </m:num>
            <m:den>
              <m:r>
                <m:rPr>
                  <m:sty m:val="p"/>
                </m:rPr>
                <w:rPr>
                  <w:rFonts w:ascii="Cambria Math" w:hAnsi="Cambria Math" w:cs="Arial"/>
                  <w:sz w:val="24"/>
                  <w:szCs w:val="24"/>
                </w:rPr>
                <m:t>$</m:t>
              </m:r>
              <m:r>
                <w:rPr>
                  <w:rFonts w:ascii="Cambria Math" w:hAnsi="Cambria Math" w:cs="Arial"/>
                  <w:sz w:val="24"/>
                  <w:szCs w:val="24"/>
                </w:rPr>
                <m:t>5,189m</m:t>
              </m:r>
            </m:den>
          </m:f>
          <m:r>
            <w:rPr>
              <w:rFonts w:ascii="Cambria Math" w:hAnsi="Cambria Math" w:cs="Arial"/>
              <w:sz w:val="24"/>
              <w:szCs w:val="24"/>
            </w:rPr>
            <m:t>×100=17.21</m:t>
          </m:r>
          <m:r>
            <m:rPr>
              <m:sty m:val="p"/>
            </m:rPr>
            <w:rPr>
              <w:rFonts w:ascii="Cambria Math" w:hAnsi="Cambria Math" w:cs="Arial"/>
              <w:sz w:val="24"/>
              <w:szCs w:val="24"/>
            </w:rPr>
            <m:t>%</m:t>
          </m:r>
          <m:r>
            <w:rPr>
              <w:rFonts w:ascii="Arial" w:hAnsi="Arial" w:cs="Arial"/>
              <w:sz w:val="24"/>
              <w:szCs w:val="24"/>
            </w:rPr>
            <w:br/>
          </m:r>
        </m:oMath>
        <m:oMath>
          <m:r>
            <m:rPr>
              <m:nor/>
            </m:rPr>
            <w:rPr>
              <w:rFonts w:ascii="Arial" w:hAnsi="Arial" w:cs="Arial"/>
              <w:sz w:val="24"/>
              <w:szCs w:val="24"/>
            </w:rPr>
            <m:t>Shareholder distributions to CFO</m:t>
          </m:r>
          <m:r>
            <w:rPr>
              <w:rFonts w:ascii="Cambria Math" w:hAnsi="Cambria Math" w:cs="Arial"/>
              <w:sz w:val="24"/>
              <w:szCs w:val="24"/>
            </w:rPr>
            <m:t>=</m:t>
          </m:r>
          <m:f>
            <m:fPr>
              <m:ctrlPr>
                <w:rPr>
                  <w:rFonts w:ascii="Cambria Math" w:hAnsi="Cambria Math" w:cs="Arial"/>
                  <w:sz w:val="24"/>
                  <w:szCs w:val="24"/>
                </w:rPr>
              </m:ctrlPr>
            </m:fPr>
            <m:num>
              <m:r>
                <m:rPr>
                  <m:nor/>
                </m:rPr>
                <w:rPr>
                  <w:rFonts w:ascii="Arial" w:hAnsi="Arial" w:cs="Arial"/>
                  <w:sz w:val="24"/>
                  <w:szCs w:val="24"/>
                </w:rPr>
                <m:t>Share repurchases</m:t>
              </m:r>
              <m:r>
                <w:rPr>
                  <w:rFonts w:ascii="Cambria Math" w:hAnsi="Cambria Math" w:cs="Arial"/>
                  <w:sz w:val="24"/>
                  <w:szCs w:val="24"/>
                </w:rPr>
                <m:t>+</m:t>
              </m:r>
              <m:r>
                <m:rPr>
                  <m:nor/>
                </m:rPr>
                <w:rPr>
                  <w:rFonts w:ascii="Arial" w:hAnsi="Arial" w:cs="Arial"/>
                  <w:sz w:val="24"/>
                  <w:szCs w:val="24"/>
                </w:rPr>
                <m:t>Ordinary dividends paid</m:t>
              </m:r>
            </m:num>
            <m:den>
              <m:r>
                <m:rPr>
                  <m:nor/>
                </m:rPr>
                <w:rPr>
                  <w:rFonts w:ascii="Arial" w:hAnsi="Arial" w:cs="Arial"/>
                  <w:sz w:val="24"/>
                  <w:szCs w:val="24"/>
                </w:rPr>
                <m:t>Cash from operating activities</m:t>
              </m:r>
            </m:den>
          </m:f>
          <m:r>
            <w:rPr>
              <w:rFonts w:ascii="Cambria Math" w:hAnsi="Cambria Math" w:cs="Arial"/>
              <w:sz w:val="24"/>
              <w:szCs w:val="24"/>
            </w:rPr>
            <m:t>×100</m:t>
          </m:r>
          <m:r>
            <w:rPr>
              <w:rFonts w:ascii="Arial" w:hAnsi="Arial" w:cs="Arial"/>
              <w:i/>
              <w:sz w:val="24"/>
              <w:szCs w:val="24"/>
            </w:rPr>
            <w:br/>
          </m:r>
        </m:oMath>
      </m:oMathPara>
    </w:p>
    <w:p w14:paraId="6BC7CB02" w14:textId="77777777" w:rsidR="00374052" w:rsidRPr="00374052" w:rsidRDefault="00374052" w:rsidP="00145589">
      <w:pPr>
        <w:spacing w:line="360" w:lineRule="auto"/>
        <w:jc w:val="both"/>
        <w:rPr>
          <w:rFonts w:ascii="Arial" w:hAnsi="Arial" w:cs="Arial"/>
          <w:sz w:val="24"/>
          <w:szCs w:val="24"/>
        </w:rPr>
      </w:pPr>
      <w:r w:rsidRPr="00374052">
        <w:rPr>
          <w:rFonts w:ascii="Arial" w:hAnsi="Arial" w:cs="Arial"/>
          <w:sz w:val="24"/>
          <w:szCs w:val="24"/>
        </w:rPr>
        <w:t>For 2025:</w:t>
      </w:r>
    </w:p>
    <w:p w14:paraId="6AC3F5D3" w14:textId="77777777" w:rsidR="00374052" w:rsidRPr="00374052" w:rsidRDefault="00374052" w:rsidP="00145589">
      <w:pPr>
        <w:spacing w:line="360" w:lineRule="auto"/>
        <w:jc w:val="both"/>
        <w:rPr>
          <w:rFonts w:ascii="Arial" w:hAnsi="Arial" w:cs="Arial"/>
          <w:sz w:val="24"/>
          <w:szCs w:val="24"/>
        </w:rPr>
      </w:pPr>
      <m:oMathPara>
        <m:oMath>
          <m:f>
            <m:fPr>
              <m:ctrlPr>
                <w:rPr>
                  <w:rFonts w:ascii="Cambria Math" w:hAnsi="Cambria Math" w:cs="Arial"/>
                  <w:sz w:val="24"/>
                  <w:szCs w:val="24"/>
                </w:rPr>
              </m:ctrlPr>
            </m:fPr>
            <m:num>
              <m:r>
                <m:rPr>
                  <m:sty m:val="p"/>
                </m:rPr>
                <w:rPr>
                  <w:rFonts w:ascii="Cambria Math" w:hAnsi="Cambria Math" w:cs="Arial"/>
                  <w:sz w:val="24"/>
                  <w:szCs w:val="24"/>
                </w:rPr>
                <m:t>$</m:t>
              </m:r>
              <m:r>
                <w:rPr>
                  <w:rFonts w:ascii="Cambria Math" w:hAnsi="Cambria Math" w:cs="Arial"/>
                  <w:sz w:val="24"/>
                  <w:szCs w:val="24"/>
                </w:rPr>
                <m:t>897m+</m:t>
              </m:r>
              <m:r>
                <m:rPr>
                  <m:sty m:val="p"/>
                </m:rPr>
                <w:rPr>
                  <w:rFonts w:ascii="Cambria Math" w:hAnsi="Cambria Math" w:cs="Arial"/>
                  <w:sz w:val="24"/>
                  <w:szCs w:val="24"/>
                </w:rPr>
                <m:t>$</m:t>
              </m:r>
              <m:r>
                <w:rPr>
                  <w:rFonts w:ascii="Cambria Math" w:hAnsi="Cambria Math" w:cs="Arial"/>
                  <w:sz w:val="24"/>
                  <w:szCs w:val="24"/>
                </w:rPr>
                <m:t>270m</m:t>
              </m:r>
            </m:num>
            <m:den>
              <m:r>
                <m:rPr>
                  <m:sty m:val="p"/>
                </m:rPr>
                <w:rPr>
                  <w:rFonts w:ascii="Cambria Math" w:hAnsi="Cambria Math" w:cs="Arial"/>
                  <w:sz w:val="24"/>
                  <w:szCs w:val="24"/>
                </w:rPr>
                <m:t>$</m:t>
              </m:r>
              <m:r>
                <w:rPr>
                  <w:rFonts w:ascii="Cambria Math" w:hAnsi="Cambria Math" w:cs="Arial"/>
                  <w:sz w:val="24"/>
                  <w:szCs w:val="24"/>
                </w:rPr>
                <m:t>898m</m:t>
              </m:r>
            </m:den>
          </m:f>
          <m:r>
            <w:rPr>
              <w:rFonts w:ascii="Cambria Math" w:hAnsi="Cambria Math" w:cs="Arial"/>
              <w:sz w:val="24"/>
              <w:szCs w:val="24"/>
            </w:rPr>
            <m:t>×100</m:t>
          </m:r>
          <m:r>
            <w:rPr>
              <w:rFonts w:ascii="Arial" w:hAnsi="Arial" w:cs="Arial"/>
              <w:i/>
              <w:sz w:val="24"/>
              <w:szCs w:val="24"/>
            </w:rPr>
            <w:br/>
          </m:r>
        </m:oMath>
        <m:oMath>
          <m:r>
            <w:rPr>
              <w:rFonts w:ascii="Cambria Math" w:hAnsi="Cambria Math" w:cs="Arial"/>
              <w:sz w:val="24"/>
              <w:szCs w:val="24"/>
            </w:rPr>
            <m:t>=</m:t>
          </m:r>
          <m:f>
            <m:fPr>
              <m:ctrlPr>
                <w:rPr>
                  <w:rFonts w:ascii="Cambria Math" w:hAnsi="Cambria Math" w:cs="Arial"/>
                  <w:sz w:val="24"/>
                  <w:szCs w:val="24"/>
                </w:rPr>
              </m:ctrlPr>
            </m:fPr>
            <m:num>
              <m:r>
                <m:rPr>
                  <m:sty m:val="p"/>
                </m:rPr>
                <w:rPr>
                  <w:rFonts w:ascii="Cambria Math" w:hAnsi="Cambria Math" w:cs="Arial"/>
                  <w:sz w:val="24"/>
                  <w:szCs w:val="24"/>
                </w:rPr>
                <m:t>$</m:t>
              </m:r>
              <m:r>
                <w:rPr>
                  <w:rFonts w:ascii="Cambria Math" w:hAnsi="Cambria Math" w:cs="Arial"/>
                  <w:sz w:val="24"/>
                  <w:szCs w:val="24"/>
                </w:rPr>
                <m:t>1,167m</m:t>
              </m:r>
            </m:num>
            <m:den>
              <m:r>
                <m:rPr>
                  <m:sty m:val="p"/>
                </m:rPr>
                <w:rPr>
                  <w:rFonts w:ascii="Cambria Math" w:hAnsi="Cambria Math" w:cs="Arial"/>
                  <w:sz w:val="24"/>
                  <w:szCs w:val="24"/>
                </w:rPr>
                <m:t>$</m:t>
              </m:r>
              <m:r>
                <w:rPr>
                  <w:rFonts w:ascii="Cambria Math" w:hAnsi="Cambria Math" w:cs="Arial"/>
                  <w:sz w:val="24"/>
                  <w:szCs w:val="24"/>
                </w:rPr>
                <m:t>898m</m:t>
              </m:r>
            </m:den>
          </m:f>
          <m:r>
            <w:rPr>
              <w:rFonts w:ascii="Cambria Math" w:hAnsi="Cambria Math" w:cs="Arial"/>
              <w:sz w:val="24"/>
              <w:szCs w:val="24"/>
            </w:rPr>
            <m:t>×100=129.96</m:t>
          </m:r>
          <m:r>
            <m:rPr>
              <m:sty m:val="p"/>
            </m:rPr>
            <w:rPr>
              <w:rFonts w:ascii="Cambria Math" w:hAnsi="Cambria Math" w:cs="Arial"/>
              <w:sz w:val="24"/>
              <w:szCs w:val="24"/>
            </w:rPr>
            <m:t>%</m:t>
          </m:r>
          <m:r>
            <w:rPr>
              <w:rFonts w:ascii="Arial" w:hAnsi="Arial" w:cs="Arial"/>
              <w:sz w:val="24"/>
              <w:szCs w:val="24"/>
            </w:rPr>
            <w:br/>
          </m:r>
        </m:oMath>
      </m:oMathPara>
    </w:p>
    <w:p w14:paraId="1164ECCD" w14:textId="77777777" w:rsidR="00374052" w:rsidRPr="00374052" w:rsidRDefault="00374052" w:rsidP="00145589">
      <w:pPr>
        <w:spacing w:line="360" w:lineRule="auto"/>
      </w:pPr>
    </w:p>
    <w:p w14:paraId="373F19CD" w14:textId="77777777" w:rsidR="000F7827" w:rsidRPr="00137A05" w:rsidRDefault="000F7827" w:rsidP="00145589">
      <w:pPr>
        <w:pStyle w:val="Heading2"/>
        <w:numPr>
          <w:ilvl w:val="1"/>
          <w:numId w:val="1"/>
        </w:numPr>
        <w:spacing w:line="360" w:lineRule="auto"/>
        <w:jc w:val="both"/>
        <w:rPr>
          <w:rFonts w:ascii="Arial" w:hAnsi="Arial" w:cs="Arial"/>
          <w:sz w:val="24"/>
          <w:szCs w:val="24"/>
        </w:rPr>
      </w:pPr>
      <w:bookmarkStart w:id="37" w:name="_Toc235788241"/>
      <w:r w:rsidRPr="00137A05">
        <w:rPr>
          <w:rFonts w:ascii="Arial" w:hAnsi="Arial" w:cs="Arial"/>
          <w:sz w:val="24"/>
          <w:szCs w:val="24"/>
        </w:rPr>
        <w:t>Appendix C: Calculation workings</w:t>
      </w:r>
      <w:bookmarkEnd w:id="37"/>
    </w:p>
    <w:p w14:paraId="0ACDABBC" w14:textId="77777777" w:rsidR="000F7827" w:rsidRPr="00137A05" w:rsidRDefault="000F7827" w:rsidP="00145589">
      <w:pPr>
        <w:pStyle w:val="Heading3"/>
        <w:numPr>
          <w:ilvl w:val="2"/>
          <w:numId w:val="1"/>
        </w:numPr>
        <w:spacing w:line="360" w:lineRule="auto"/>
        <w:rPr>
          <w:rFonts w:ascii="Arial" w:hAnsi="Arial" w:cs="Arial"/>
          <w:sz w:val="24"/>
          <w:szCs w:val="24"/>
        </w:rPr>
      </w:pPr>
      <w:bookmarkStart w:id="38" w:name="_Toc235788242"/>
      <w:r w:rsidRPr="00137A05">
        <w:rPr>
          <w:rFonts w:ascii="Arial" w:hAnsi="Arial" w:cs="Arial"/>
          <w:sz w:val="24"/>
          <w:szCs w:val="24"/>
        </w:rPr>
        <w:t>Appendix C1: Example 2025 ratio calculations</w:t>
      </w:r>
      <w:bookmarkEnd w:id="38"/>
    </w:p>
    <w:tbl>
      <w:tblPr>
        <w:tblStyle w:val="GridTable4-Accent2"/>
        <w:tblW w:w="0" w:type="auto"/>
        <w:tblLook w:val="04A0" w:firstRow="1" w:lastRow="0" w:firstColumn="1" w:lastColumn="0" w:noHBand="0" w:noVBand="1"/>
      </w:tblPr>
      <w:tblGrid>
        <w:gridCol w:w="3457"/>
        <w:gridCol w:w="4039"/>
        <w:gridCol w:w="1457"/>
      </w:tblGrid>
      <w:tr w:rsidR="000F7827" w:rsidRPr="00137A05" w14:paraId="499CB9DB" w14:textId="77777777" w:rsidTr="004300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42121B"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Ratio</w:t>
            </w:r>
          </w:p>
        </w:tc>
        <w:tc>
          <w:tcPr>
            <w:tcW w:w="0" w:type="auto"/>
            <w:hideMark/>
          </w:tcPr>
          <w:p w14:paraId="74BD623C" w14:textId="77777777" w:rsidR="000F7827" w:rsidRPr="00137A05" w:rsidRDefault="000F7827"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Calculation</w:t>
            </w:r>
          </w:p>
        </w:tc>
        <w:tc>
          <w:tcPr>
            <w:tcW w:w="0" w:type="auto"/>
            <w:hideMark/>
          </w:tcPr>
          <w:p w14:paraId="206E7C21" w14:textId="77777777" w:rsidR="000F7827" w:rsidRPr="00137A05" w:rsidRDefault="000F7827" w:rsidP="0014558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Result</w:t>
            </w:r>
          </w:p>
        </w:tc>
      </w:tr>
      <w:tr w:rsidR="000F7827" w:rsidRPr="00137A05" w14:paraId="3D664B2E" w14:textId="77777777" w:rsidTr="00430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92E56C"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Operating margin</w:t>
            </w:r>
          </w:p>
        </w:tc>
        <w:tc>
          <w:tcPr>
            <w:tcW w:w="0" w:type="auto"/>
            <w:hideMark/>
          </w:tcPr>
          <w:p w14:paraId="4A781210"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$1,198m ÷ $5,189m × 100</w:t>
            </w:r>
          </w:p>
        </w:tc>
        <w:tc>
          <w:tcPr>
            <w:tcW w:w="0" w:type="auto"/>
            <w:hideMark/>
          </w:tcPr>
          <w:p w14:paraId="7B59C1A2"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23.09%</w:t>
            </w:r>
          </w:p>
        </w:tc>
      </w:tr>
      <w:tr w:rsidR="000F7827" w:rsidRPr="00137A05" w14:paraId="36A2A1D3" w14:textId="77777777" w:rsidTr="004300AA">
        <w:tc>
          <w:tcPr>
            <w:cnfStyle w:val="001000000000" w:firstRow="0" w:lastRow="0" w:firstColumn="1" w:lastColumn="0" w:oddVBand="0" w:evenVBand="0" w:oddHBand="0" w:evenHBand="0" w:firstRowFirstColumn="0" w:firstRowLastColumn="0" w:lastRowFirstColumn="0" w:lastRowLastColumn="0"/>
            <w:tcW w:w="0" w:type="auto"/>
            <w:hideMark/>
          </w:tcPr>
          <w:p w14:paraId="185EE9C6"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Net margin</w:t>
            </w:r>
          </w:p>
        </w:tc>
        <w:tc>
          <w:tcPr>
            <w:tcW w:w="0" w:type="auto"/>
            <w:hideMark/>
          </w:tcPr>
          <w:p w14:paraId="0C3AFE0A"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$759m ÷ $5,189m × 100</w:t>
            </w:r>
          </w:p>
        </w:tc>
        <w:tc>
          <w:tcPr>
            <w:tcW w:w="0" w:type="auto"/>
            <w:hideMark/>
          </w:tcPr>
          <w:p w14:paraId="4E308672"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14.63%</w:t>
            </w:r>
          </w:p>
        </w:tc>
      </w:tr>
      <w:tr w:rsidR="000F7827" w:rsidRPr="00137A05" w14:paraId="1D4F2947" w14:textId="77777777" w:rsidTr="00430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26F066"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Average total assets</w:t>
            </w:r>
          </w:p>
        </w:tc>
        <w:tc>
          <w:tcPr>
            <w:tcW w:w="0" w:type="auto"/>
            <w:hideMark/>
          </w:tcPr>
          <w:p w14:paraId="28E13D3E"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($4,748m + $5,345m) ÷ 2</w:t>
            </w:r>
          </w:p>
        </w:tc>
        <w:tc>
          <w:tcPr>
            <w:tcW w:w="0" w:type="auto"/>
            <w:hideMark/>
          </w:tcPr>
          <w:p w14:paraId="63F7323D"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$5,046.5m</w:t>
            </w:r>
          </w:p>
        </w:tc>
      </w:tr>
      <w:tr w:rsidR="000F7827" w:rsidRPr="00137A05" w14:paraId="57BA4F95" w14:textId="77777777" w:rsidTr="004300AA">
        <w:tc>
          <w:tcPr>
            <w:cnfStyle w:val="001000000000" w:firstRow="0" w:lastRow="0" w:firstColumn="1" w:lastColumn="0" w:oddVBand="0" w:evenVBand="0" w:oddHBand="0" w:evenHBand="0" w:firstRowFirstColumn="0" w:firstRowLastColumn="0" w:lastRowFirstColumn="0" w:lastRowLastColumn="0"/>
            <w:tcW w:w="0" w:type="auto"/>
            <w:hideMark/>
          </w:tcPr>
          <w:p w14:paraId="00EF377A"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Return on average assets</w:t>
            </w:r>
          </w:p>
        </w:tc>
        <w:tc>
          <w:tcPr>
            <w:tcW w:w="0" w:type="auto"/>
            <w:hideMark/>
          </w:tcPr>
          <w:p w14:paraId="742FFD03"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$759m ÷ $5,046.5m × 100</w:t>
            </w:r>
          </w:p>
        </w:tc>
        <w:tc>
          <w:tcPr>
            <w:tcW w:w="0" w:type="auto"/>
            <w:hideMark/>
          </w:tcPr>
          <w:p w14:paraId="700A570C"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15.04%</w:t>
            </w:r>
          </w:p>
        </w:tc>
      </w:tr>
      <w:tr w:rsidR="000F7827" w:rsidRPr="00137A05" w14:paraId="336CE563" w14:textId="77777777" w:rsidTr="00430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8BFA72"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Current ratio</w:t>
            </w:r>
          </w:p>
        </w:tc>
        <w:tc>
          <w:tcPr>
            <w:tcW w:w="0" w:type="auto"/>
            <w:hideMark/>
          </w:tcPr>
          <w:p w14:paraId="1213AFCC"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$2,049m ÷ $2,100m</w:t>
            </w:r>
          </w:p>
        </w:tc>
        <w:tc>
          <w:tcPr>
            <w:tcW w:w="0" w:type="auto"/>
            <w:hideMark/>
          </w:tcPr>
          <w:p w14:paraId="184BEA6C"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0.976</w:t>
            </w:r>
          </w:p>
        </w:tc>
      </w:tr>
      <w:tr w:rsidR="000F7827" w:rsidRPr="00137A05" w14:paraId="29AD9359" w14:textId="77777777" w:rsidTr="004300AA">
        <w:tc>
          <w:tcPr>
            <w:cnfStyle w:val="001000000000" w:firstRow="0" w:lastRow="0" w:firstColumn="1" w:lastColumn="0" w:oddVBand="0" w:evenVBand="0" w:oddHBand="0" w:evenHBand="0" w:firstRowFirstColumn="0" w:firstRowLastColumn="0" w:lastRowFirstColumn="0" w:lastRowLastColumn="0"/>
            <w:tcW w:w="0" w:type="auto"/>
            <w:hideMark/>
          </w:tcPr>
          <w:p w14:paraId="73A8CA9F"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lastRenderedPageBreak/>
              <w:t>Quick ratio</w:t>
            </w:r>
          </w:p>
        </w:tc>
        <w:tc>
          <w:tcPr>
            <w:tcW w:w="0" w:type="auto"/>
            <w:hideMark/>
          </w:tcPr>
          <w:p w14:paraId="2D7236CA"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($2,049m − $5m) ÷ $2,100m</w:t>
            </w:r>
          </w:p>
        </w:tc>
        <w:tc>
          <w:tcPr>
            <w:tcW w:w="0" w:type="auto"/>
            <w:hideMark/>
          </w:tcPr>
          <w:p w14:paraId="11ACB522"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0.973</w:t>
            </w:r>
          </w:p>
        </w:tc>
      </w:tr>
      <w:tr w:rsidR="000F7827" w:rsidRPr="00137A05" w14:paraId="1FD6DBE2" w14:textId="77777777" w:rsidTr="00430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FA8771"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Cash ratio</w:t>
            </w:r>
          </w:p>
        </w:tc>
        <w:tc>
          <w:tcPr>
            <w:tcW w:w="0" w:type="auto"/>
            <w:hideMark/>
          </w:tcPr>
          <w:p w14:paraId="602A9FD0"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$1,129m ÷ $2,100m</w:t>
            </w:r>
          </w:p>
        </w:tc>
        <w:tc>
          <w:tcPr>
            <w:tcW w:w="0" w:type="auto"/>
            <w:hideMark/>
          </w:tcPr>
          <w:p w14:paraId="5E41DD62"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0.538</w:t>
            </w:r>
          </w:p>
        </w:tc>
      </w:tr>
      <w:tr w:rsidR="000F7827" w:rsidRPr="00137A05" w14:paraId="6F2B9498" w14:textId="77777777" w:rsidTr="004300AA">
        <w:tc>
          <w:tcPr>
            <w:cnfStyle w:val="001000000000" w:firstRow="0" w:lastRow="0" w:firstColumn="1" w:lastColumn="0" w:oddVBand="0" w:evenVBand="0" w:oddHBand="0" w:evenHBand="0" w:firstRowFirstColumn="0" w:firstRowLastColumn="0" w:lastRowFirstColumn="0" w:lastRowLastColumn="0"/>
            <w:tcW w:w="0" w:type="auto"/>
            <w:hideMark/>
          </w:tcPr>
          <w:p w14:paraId="10BE3A6E"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Asset turnover</w:t>
            </w:r>
          </w:p>
        </w:tc>
        <w:tc>
          <w:tcPr>
            <w:tcW w:w="0" w:type="auto"/>
            <w:hideMark/>
          </w:tcPr>
          <w:p w14:paraId="6CD452D1"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$5,189m ÷ $5,046.5m</w:t>
            </w:r>
          </w:p>
        </w:tc>
        <w:tc>
          <w:tcPr>
            <w:tcW w:w="0" w:type="auto"/>
            <w:hideMark/>
          </w:tcPr>
          <w:p w14:paraId="287A195C"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1.028 times</w:t>
            </w:r>
          </w:p>
        </w:tc>
      </w:tr>
      <w:tr w:rsidR="000F7827" w:rsidRPr="00137A05" w14:paraId="7587F267" w14:textId="77777777" w:rsidTr="00430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F07191"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Average receivables</w:t>
            </w:r>
          </w:p>
        </w:tc>
        <w:tc>
          <w:tcPr>
            <w:tcW w:w="0" w:type="auto"/>
            <w:hideMark/>
          </w:tcPr>
          <w:p w14:paraId="2441CCAD"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($785m + $833m) ÷ 2</w:t>
            </w:r>
          </w:p>
        </w:tc>
        <w:tc>
          <w:tcPr>
            <w:tcW w:w="0" w:type="auto"/>
            <w:hideMark/>
          </w:tcPr>
          <w:p w14:paraId="0B55CC36"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$809m</w:t>
            </w:r>
          </w:p>
        </w:tc>
      </w:tr>
      <w:tr w:rsidR="000F7827" w:rsidRPr="00137A05" w14:paraId="486AF3C5" w14:textId="77777777" w:rsidTr="004300AA">
        <w:tc>
          <w:tcPr>
            <w:cnfStyle w:val="001000000000" w:firstRow="0" w:lastRow="0" w:firstColumn="1" w:lastColumn="0" w:oddVBand="0" w:evenVBand="0" w:oddHBand="0" w:evenHBand="0" w:firstRowFirstColumn="0" w:firstRowLastColumn="0" w:lastRowFirstColumn="0" w:lastRowLastColumn="0"/>
            <w:tcW w:w="0" w:type="auto"/>
            <w:hideMark/>
          </w:tcPr>
          <w:p w14:paraId="7B6B61DC"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Receivables turnover</w:t>
            </w:r>
          </w:p>
        </w:tc>
        <w:tc>
          <w:tcPr>
            <w:tcW w:w="0" w:type="auto"/>
            <w:hideMark/>
          </w:tcPr>
          <w:p w14:paraId="61962C48"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$5,189m ÷ $809m</w:t>
            </w:r>
          </w:p>
        </w:tc>
        <w:tc>
          <w:tcPr>
            <w:tcW w:w="0" w:type="auto"/>
            <w:hideMark/>
          </w:tcPr>
          <w:p w14:paraId="592DADA2"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6.414 times</w:t>
            </w:r>
          </w:p>
        </w:tc>
      </w:tr>
      <w:tr w:rsidR="000F7827" w:rsidRPr="00137A05" w14:paraId="651DE90D" w14:textId="77777777" w:rsidTr="00430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16B730"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Collection period</w:t>
            </w:r>
          </w:p>
        </w:tc>
        <w:tc>
          <w:tcPr>
            <w:tcW w:w="0" w:type="auto"/>
            <w:hideMark/>
          </w:tcPr>
          <w:p w14:paraId="647E987B"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$809m ÷ $5,189m × 365</w:t>
            </w:r>
          </w:p>
        </w:tc>
        <w:tc>
          <w:tcPr>
            <w:tcW w:w="0" w:type="auto"/>
            <w:hideMark/>
          </w:tcPr>
          <w:p w14:paraId="67ACA409"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56.91 days</w:t>
            </w:r>
          </w:p>
        </w:tc>
      </w:tr>
      <w:tr w:rsidR="000F7827" w:rsidRPr="00137A05" w14:paraId="74DD3AC9" w14:textId="77777777" w:rsidTr="004300AA">
        <w:tc>
          <w:tcPr>
            <w:cnfStyle w:val="001000000000" w:firstRow="0" w:lastRow="0" w:firstColumn="1" w:lastColumn="0" w:oddVBand="0" w:evenVBand="0" w:oddHBand="0" w:evenHBand="0" w:firstRowFirstColumn="0" w:firstRowLastColumn="0" w:lastRowFirstColumn="0" w:lastRowLastColumn="0"/>
            <w:tcW w:w="0" w:type="auto"/>
            <w:hideMark/>
          </w:tcPr>
          <w:p w14:paraId="47827442"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Total borrowings and leases</w:t>
            </w:r>
          </w:p>
        </w:tc>
        <w:tc>
          <w:tcPr>
            <w:tcW w:w="0" w:type="auto"/>
            <w:hideMark/>
          </w:tcPr>
          <w:p w14:paraId="72B2EE53"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$478m + $28m + $3,723m + $378m</w:t>
            </w:r>
          </w:p>
        </w:tc>
        <w:tc>
          <w:tcPr>
            <w:tcW w:w="0" w:type="auto"/>
            <w:hideMark/>
          </w:tcPr>
          <w:p w14:paraId="556DEB00"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$4,607m</w:t>
            </w:r>
          </w:p>
        </w:tc>
      </w:tr>
      <w:tr w:rsidR="000F7827" w:rsidRPr="00137A05" w14:paraId="658416D1" w14:textId="77777777" w:rsidTr="00430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251E6A"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Debt-to-assets</w:t>
            </w:r>
          </w:p>
        </w:tc>
        <w:tc>
          <w:tcPr>
            <w:tcW w:w="0" w:type="auto"/>
            <w:hideMark/>
          </w:tcPr>
          <w:p w14:paraId="390CA9D7"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$4,607m ÷ $5,345m × 100</w:t>
            </w:r>
          </w:p>
        </w:tc>
        <w:tc>
          <w:tcPr>
            <w:tcW w:w="0" w:type="auto"/>
            <w:hideMark/>
          </w:tcPr>
          <w:p w14:paraId="35DC7512"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86.19%</w:t>
            </w:r>
          </w:p>
        </w:tc>
      </w:tr>
      <w:tr w:rsidR="000F7827" w:rsidRPr="00137A05" w14:paraId="5A4F4262" w14:textId="77777777" w:rsidTr="004300AA">
        <w:tc>
          <w:tcPr>
            <w:cnfStyle w:val="001000000000" w:firstRow="0" w:lastRow="0" w:firstColumn="1" w:lastColumn="0" w:oddVBand="0" w:evenVBand="0" w:oddHBand="0" w:evenHBand="0" w:firstRowFirstColumn="0" w:firstRowLastColumn="0" w:lastRowFirstColumn="0" w:lastRowLastColumn="0"/>
            <w:tcW w:w="0" w:type="auto"/>
            <w:hideMark/>
          </w:tcPr>
          <w:p w14:paraId="176C439E"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Interest cover</w:t>
            </w:r>
          </w:p>
        </w:tc>
        <w:tc>
          <w:tcPr>
            <w:tcW w:w="0" w:type="auto"/>
            <w:hideMark/>
          </w:tcPr>
          <w:p w14:paraId="2F6AC942"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$1,198m ÷ $202m</w:t>
            </w:r>
          </w:p>
        </w:tc>
        <w:tc>
          <w:tcPr>
            <w:tcW w:w="0" w:type="auto"/>
            <w:hideMark/>
          </w:tcPr>
          <w:p w14:paraId="2EB7C00B"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5.93 times</w:t>
            </w:r>
          </w:p>
        </w:tc>
      </w:tr>
      <w:tr w:rsidR="000F7827" w:rsidRPr="00137A05" w14:paraId="14D320F5" w14:textId="77777777" w:rsidTr="00430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B28205"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Dividend payout</w:t>
            </w:r>
          </w:p>
        </w:tc>
        <w:tc>
          <w:tcPr>
            <w:tcW w:w="0" w:type="auto"/>
            <w:hideMark/>
          </w:tcPr>
          <w:p w14:paraId="3432BA2E"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184.5¢ ÷ 490.9¢ × 100</w:t>
            </w:r>
          </w:p>
        </w:tc>
        <w:tc>
          <w:tcPr>
            <w:tcW w:w="0" w:type="auto"/>
            <w:hideMark/>
          </w:tcPr>
          <w:p w14:paraId="191D51AD"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37.58%</w:t>
            </w:r>
          </w:p>
        </w:tc>
      </w:tr>
      <w:tr w:rsidR="000F7827" w:rsidRPr="00137A05" w14:paraId="6F7B1636" w14:textId="77777777" w:rsidTr="004300AA">
        <w:tc>
          <w:tcPr>
            <w:cnfStyle w:val="001000000000" w:firstRow="0" w:lastRow="0" w:firstColumn="1" w:lastColumn="0" w:oddVBand="0" w:evenVBand="0" w:oddHBand="0" w:evenHBand="0" w:firstRowFirstColumn="0" w:firstRowLastColumn="0" w:lastRowFirstColumn="0" w:lastRowLastColumn="0"/>
            <w:tcW w:w="0" w:type="auto"/>
            <w:hideMark/>
          </w:tcPr>
          <w:p w14:paraId="02A418F2"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Dividend cover</w:t>
            </w:r>
          </w:p>
        </w:tc>
        <w:tc>
          <w:tcPr>
            <w:tcW w:w="0" w:type="auto"/>
            <w:hideMark/>
          </w:tcPr>
          <w:p w14:paraId="6C5DA965"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490.9¢ ÷ 184.5¢</w:t>
            </w:r>
          </w:p>
        </w:tc>
        <w:tc>
          <w:tcPr>
            <w:tcW w:w="0" w:type="auto"/>
            <w:hideMark/>
          </w:tcPr>
          <w:p w14:paraId="60386B59"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2.66 times</w:t>
            </w:r>
          </w:p>
        </w:tc>
      </w:tr>
      <w:tr w:rsidR="000F7827" w:rsidRPr="00137A05" w14:paraId="31757A4E" w14:textId="77777777" w:rsidTr="00430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10107F"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Operating cash-flow margin</w:t>
            </w:r>
          </w:p>
        </w:tc>
        <w:tc>
          <w:tcPr>
            <w:tcW w:w="0" w:type="auto"/>
            <w:hideMark/>
          </w:tcPr>
          <w:p w14:paraId="6355D424"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$898m ÷ $5,189m × 100</w:t>
            </w:r>
          </w:p>
        </w:tc>
        <w:tc>
          <w:tcPr>
            <w:tcW w:w="0" w:type="auto"/>
            <w:hideMark/>
          </w:tcPr>
          <w:p w14:paraId="6EB85A84"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17.31%</w:t>
            </w:r>
          </w:p>
        </w:tc>
      </w:tr>
      <w:tr w:rsidR="000F7827" w:rsidRPr="00137A05" w14:paraId="6EF1374C" w14:textId="77777777" w:rsidTr="004300AA">
        <w:tc>
          <w:tcPr>
            <w:cnfStyle w:val="001000000000" w:firstRow="0" w:lastRow="0" w:firstColumn="1" w:lastColumn="0" w:oddVBand="0" w:evenVBand="0" w:oddHBand="0" w:evenHBand="0" w:firstRowFirstColumn="0" w:firstRowLastColumn="0" w:lastRowFirstColumn="0" w:lastRowLastColumn="0"/>
            <w:tcW w:w="0" w:type="auto"/>
            <w:hideMark/>
          </w:tcPr>
          <w:p w14:paraId="02E1E206"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Cash conversion</w:t>
            </w:r>
          </w:p>
        </w:tc>
        <w:tc>
          <w:tcPr>
            <w:tcW w:w="0" w:type="auto"/>
            <w:hideMark/>
          </w:tcPr>
          <w:p w14:paraId="2EA8B1EF"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$898m ÷ $759m</w:t>
            </w:r>
          </w:p>
        </w:tc>
        <w:tc>
          <w:tcPr>
            <w:tcW w:w="0" w:type="auto"/>
            <w:hideMark/>
          </w:tcPr>
          <w:p w14:paraId="18BEE8AF"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1.18 times</w:t>
            </w:r>
          </w:p>
        </w:tc>
      </w:tr>
      <w:tr w:rsidR="000F7827" w:rsidRPr="00137A05" w14:paraId="66921661" w14:textId="77777777" w:rsidTr="00430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E34184"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Adjusted FCF margin</w:t>
            </w:r>
          </w:p>
        </w:tc>
        <w:tc>
          <w:tcPr>
            <w:tcW w:w="0" w:type="auto"/>
            <w:hideMark/>
          </w:tcPr>
          <w:p w14:paraId="475535CD"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$893m ÷ $5,189m × 100</w:t>
            </w:r>
          </w:p>
        </w:tc>
        <w:tc>
          <w:tcPr>
            <w:tcW w:w="0" w:type="auto"/>
            <w:hideMark/>
          </w:tcPr>
          <w:p w14:paraId="2AFDD2F0" w14:textId="77777777" w:rsidR="000F7827" w:rsidRPr="00137A05" w:rsidRDefault="000F7827" w:rsidP="0014558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17.21%</w:t>
            </w:r>
          </w:p>
        </w:tc>
      </w:tr>
      <w:tr w:rsidR="000F7827" w:rsidRPr="00137A05" w14:paraId="17E8078A" w14:textId="77777777" w:rsidTr="004300AA">
        <w:tc>
          <w:tcPr>
            <w:cnfStyle w:val="001000000000" w:firstRow="0" w:lastRow="0" w:firstColumn="1" w:lastColumn="0" w:oddVBand="0" w:evenVBand="0" w:oddHBand="0" w:evenHBand="0" w:firstRowFirstColumn="0" w:firstRowLastColumn="0" w:lastRowFirstColumn="0" w:lastRowLastColumn="0"/>
            <w:tcW w:w="0" w:type="auto"/>
            <w:hideMark/>
          </w:tcPr>
          <w:p w14:paraId="0D71753D" w14:textId="77777777" w:rsidR="000F7827" w:rsidRPr="00137A05" w:rsidRDefault="000F7827" w:rsidP="00145589">
            <w:pPr>
              <w:spacing w:after="160" w:line="360" w:lineRule="auto"/>
              <w:jc w:val="both"/>
              <w:rPr>
                <w:rFonts w:ascii="Arial" w:hAnsi="Arial" w:cs="Arial"/>
                <w:sz w:val="24"/>
                <w:szCs w:val="24"/>
              </w:rPr>
            </w:pPr>
            <w:r w:rsidRPr="00137A05">
              <w:rPr>
                <w:rFonts w:ascii="Arial" w:hAnsi="Arial" w:cs="Arial"/>
                <w:sz w:val="24"/>
                <w:szCs w:val="24"/>
              </w:rPr>
              <w:t>Distribution-to-CFO ratio</w:t>
            </w:r>
          </w:p>
        </w:tc>
        <w:tc>
          <w:tcPr>
            <w:tcW w:w="0" w:type="auto"/>
            <w:hideMark/>
          </w:tcPr>
          <w:p w14:paraId="54AB4B26"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($897m + $270m) ÷ $898m × 100</w:t>
            </w:r>
          </w:p>
        </w:tc>
        <w:tc>
          <w:tcPr>
            <w:tcW w:w="0" w:type="auto"/>
            <w:hideMark/>
          </w:tcPr>
          <w:p w14:paraId="4A6ECE2A" w14:textId="77777777" w:rsidR="000F7827" w:rsidRPr="00137A05" w:rsidRDefault="000F7827" w:rsidP="0014558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129.96%</w:t>
            </w:r>
          </w:p>
        </w:tc>
      </w:tr>
    </w:tbl>
    <w:p w14:paraId="3B75EA49" w14:textId="77777777" w:rsidR="000F7827" w:rsidRPr="00137A05" w:rsidRDefault="000F7827" w:rsidP="00145589">
      <w:pPr>
        <w:pStyle w:val="Heading3"/>
        <w:numPr>
          <w:ilvl w:val="2"/>
          <w:numId w:val="1"/>
        </w:numPr>
        <w:spacing w:line="360" w:lineRule="auto"/>
        <w:rPr>
          <w:rFonts w:ascii="Arial" w:hAnsi="Arial" w:cs="Arial"/>
          <w:sz w:val="24"/>
          <w:szCs w:val="24"/>
        </w:rPr>
      </w:pPr>
      <w:bookmarkStart w:id="39" w:name="_Toc235788243"/>
      <w:r w:rsidRPr="00137A05">
        <w:rPr>
          <w:rFonts w:ascii="Arial" w:hAnsi="Arial" w:cs="Arial"/>
          <w:sz w:val="24"/>
          <w:szCs w:val="24"/>
        </w:rPr>
        <w:t>Appendix C2: Original peer values used for liquidity benchmarking</w:t>
      </w:r>
      <w:bookmarkEnd w:id="39"/>
    </w:p>
    <w:tbl>
      <w:tblPr>
        <w:tblStyle w:val="GridTable4-Accent2"/>
        <w:tblW w:w="0" w:type="auto"/>
        <w:tblLook w:val="04A0" w:firstRow="1" w:lastRow="0" w:firstColumn="1" w:lastColumn="0" w:noHBand="0" w:noVBand="1"/>
      </w:tblPr>
      <w:tblGrid>
        <w:gridCol w:w="1363"/>
        <w:gridCol w:w="1819"/>
        <w:gridCol w:w="1436"/>
        <w:gridCol w:w="1932"/>
        <w:gridCol w:w="817"/>
        <w:gridCol w:w="1649"/>
      </w:tblGrid>
      <w:tr w:rsidR="000F7827" w:rsidRPr="00137A05" w14:paraId="51BAC996" w14:textId="77777777" w:rsidTr="004300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A9D25B" w14:textId="77777777" w:rsidR="000F7827" w:rsidRPr="00137A05" w:rsidRDefault="000F7827" w:rsidP="00145589">
            <w:pPr>
              <w:spacing w:after="160" w:line="360" w:lineRule="auto"/>
              <w:jc w:val="center"/>
              <w:rPr>
                <w:rFonts w:ascii="Arial" w:hAnsi="Arial" w:cs="Arial"/>
                <w:sz w:val="24"/>
                <w:szCs w:val="24"/>
              </w:rPr>
            </w:pPr>
            <w:r w:rsidRPr="00137A05">
              <w:rPr>
                <w:rFonts w:ascii="Arial" w:hAnsi="Arial" w:cs="Arial"/>
                <w:sz w:val="24"/>
                <w:szCs w:val="24"/>
              </w:rPr>
              <w:t>Company</w:t>
            </w:r>
          </w:p>
        </w:tc>
        <w:tc>
          <w:tcPr>
            <w:tcW w:w="0" w:type="auto"/>
            <w:hideMark/>
          </w:tcPr>
          <w:p w14:paraId="4EF7ACBF" w14:textId="77777777" w:rsidR="000F7827" w:rsidRPr="00137A05" w:rsidRDefault="000F7827" w:rsidP="0014558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Reporting currency</w:t>
            </w:r>
          </w:p>
        </w:tc>
        <w:tc>
          <w:tcPr>
            <w:tcW w:w="0" w:type="auto"/>
            <w:hideMark/>
          </w:tcPr>
          <w:p w14:paraId="0EAB045D" w14:textId="77777777" w:rsidR="000F7827" w:rsidRPr="00137A05" w:rsidRDefault="000F7827" w:rsidP="0014558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Current assets</w:t>
            </w:r>
          </w:p>
        </w:tc>
        <w:tc>
          <w:tcPr>
            <w:tcW w:w="0" w:type="auto"/>
            <w:hideMark/>
          </w:tcPr>
          <w:p w14:paraId="51D3299E" w14:textId="77777777" w:rsidR="000F7827" w:rsidRPr="00137A05" w:rsidRDefault="000F7827" w:rsidP="0014558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Inventory</w:t>
            </w:r>
          </w:p>
        </w:tc>
        <w:tc>
          <w:tcPr>
            <w:tcW w:w="0" w:type="auto"/>
            <w:hideMark/>
          </w:tcPr>
          <w:p w14:paraId="2CF07754" w14:textId="77777777" w:rsidR="000F7827" w:rsidRPr="00137A05" w:rsidRDefault="000F7827" w:rsidP="0014558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Cash</w:t>
            </w:r>
          </w:p>
        </w:tc>
        <w:tc>
          <w:tcPr>
            <w:tcW w:w="0" w:type="auto"/>
            <w:hideMark/>
          </w:tcPr>
          <w:p w14:paraId="201E9EB2" w14:textId="77777777" w:rsidR="000F7827" w:rsidRPr="00137A05" w:rsidRDefault="000F7827" w:rsidP="0014558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Current liabilities</w:t>
            </w:r>
          </w:p>
        </w:tc>
      </w:tr>
      <w:tr w:rsidR="000F7827" w:rsidRPr="00137A05" w14:paraId="727F06B6" w14:textId="77777777" w:rsidTr="00430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D45ECE" w14:textId="77777777" w:rsidR="000F7827" w:rsidRPr="00137A05" w:rsidRDefault="000F7827" w:rsidP="00145589">
            <w:pPr>
              <w:spacing w:after="160" w:line="360" w:lineRule="auto"/>
              <w:jc w:val="center"/>
              <w:rPr>
                <w:rFonts w:ascii="Arial" w:hAnsi="Arial" w:cs="Arial"/>
                <w:sz w:val="24"/>
                <w:szCs w:val="24"/>
              </w:rPr>
            </w:pPr>
            <w:r w:rsidRPr="00137A05">
              <w:rPr>
                <w:rFonts w:ascii="Arial" w:hAnsi="Arial" w:cs="Arial"/>
                <w:sz w:val="24"/>
                <w:szCs w:val="24"/>
              </w:rPr>
              <w:t>IHG</w:t>
            </w:r>
          </w:p>
        </w:tc>
        <w:tc>
          <w:tcPr>
            <w:tcW w:w="0" w:type="auto"/>
            <w:hideMark/>
          </w:tcPr>
          <w:p w14:paraId="3F45BA1C" w14:textId="77777777" w:rsidR="000F7827" w:rsidRPr="00137A05" w:rsidRDefault="000F7827"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US$ million</w:t>
            </w:r>
          </w:p>
        </w:tc>
        <w:tc>
          <w:tcPr>
            <w:tcW w:w="0" w:type="auto"/>
            <w:hideMark/>
          </w:tcPr>
          <w:p w14:paraId="7101A3A1" w14:textId="77777777" w:rsidR="000F7827" w:rsidRPr="00137A05" w:rsidRDefault="000F7827"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2,049</w:t>
            </w:r>
          </w:p>
        </w:tc>
        <w:tc>
          <w:tcPr>
            <w:tcW w:w="0" w:type="auto"/>
            <w:hideMark/>
          </w:tcPr>
          <w:p w14:paraId="66EF410F" w14:textId="77777777" w:rsidR="000F7827" w:rsidRPr="00137A05" w:rsidRDefault="000F7827"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5</w:t>
            </w:r>
          </w:p>
        </w:tc>
        <w:tc>
          <w:tcPr>
            <w:tcW w:w="0" w:type="auto"/>
            <w:hideMark/>
          </w:tcPr>
          <w:p w14:paraId="039FDA1C" w14:textId="77777777" w:rsidR="000F7827" w:rsidRPr="00137A05" w:rsidRDefault="000F7827"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1,129</w:t>
            </w:r>
          </w:p>
        </w:tc>
        <w:tc>
          <w:tcPr>
            <w:tcW w:w="0" w:type="auto"/>
            <w:hideMark/>
          </w:tcPr>
          <w:p w14:paraId="267F08BD" w14:textId="77777777" w:rsidR="000F7827" w:rsidRPr="00137A05" w:rsidRDefault="000F7827"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2,100</w:t>
            </w:r>
          </w:p>
        </w:tc>
      </w:tr>
      <w:tr w:rsidR="000F7827" w:rsidRPr="00137A05" w14:paraId="533897DE" w14:textId="77777777" w:rsidTr="004300AA">
        <w:tc>
          <w:tcPr>
            <w:cnfStyle w:val="001000000000" w:firstRow="0" w:lastRow="0" w:firstColumn="1" w:lastColumn="0" w:oddVBand="0" w:evenVBand="0" w:oddHBand="0" w:evenHBand="0" w:firstRowFirstColumn="0" w:firstRowLastColumn="0" w:lastRowFirstColumn="0" w:lastRowLastColumn="0"/>
            <w:tcW w:w="0" w:type="auto"/>
            <w:hideMark/>
          </w:tcPr>
          <w:p w14:paraId="0E315BF9" w14:textId="77777777" w:rsidR="000F7827" w:rsidRPr="00137A05" w:rsidRDefault="000F7827" w:rsidP="00145589">
            <w:pPr>
              <w:spacing w:after="160" w:line="360" w:lineRule="auto"/>
              <w:jc w:val="center"/>
              <w:rPr>
                <w:rFonts w:ascii="Arial" w:hAnsi="Arial" w:cs="Arial"/>
                <w:sz w:val="24"/>
                <w:szCs w:val="24"/>
              </w:rPr>
            </w:pPr>
            <w:r w:rsidRPr="00137A05">
              <w:rPr>
                <w:rFonts w:ascii="Arial" w:hAnsi="Arial" w:cs="Arial"/>
                <w:sz w:val="24"/>
                <w:szCs w:val="24"/>
              </w:rPr>
              <w:t>Hilton</w:t>
            </w:r>
          </w:p>
        </w:tc>
        <w:tc>
          <w:tcPr>
            <w:tcW w:w="0" w:type="auto"/>
            <w:hideMark/>
          </w:tcPr>
          <w:p w14:paraId="16A209A5" w14:textId="77777777" w:rsidR="000F7827" w:rsidRPr="00137A05" w:rsidRDefault="000F7827"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US$ million</w:t>
            </w:r>
          </w:p>
        </w:tc>
        <w:tc>
          <w:tcPr>
            <w:tcW w:w="0" w:type="auto"/>
            <w:hideMark/>
          </w:tcPr>
          <w:p w14:paraId="6158BC88" w14:textId="77777777" w:rsidR="000F7827" w:rsidRPr="00137A05" w:rsidRDefault="000F7827"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2,996</w:t>
            </w:r>
          </w:p>
        </w:tc>
        <w:tc>
          <w:tcPr>
            <w:tcW w:w="0" w:type="auto"/>
            <w:hideMark/>
          </w:tcPr>
          <w:p w14:paraId="24459316" w14:textId="77777777" w:rsidR="000F7827" w:rsidRPr="00137A05" w:rsidRDefault="000F7827"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Not separately reported</w:t>
            </w:r>
          </w:p>
        </w:tc>
        <w:tc>
          <w:tcPr>
            <w:tcW w:w="0" w:type="auto"/>
            <w:hideMark/>
          </w:tcPr>
          <w:p w14:paraId="1C287921" w14:textId="77777777" w:rsidR="000F7827" w:rsidRPr="00137A05" w:rsidRDefault="000F7827"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918</w:t>
            </w:r>
          </w:p>
        </w:tc>
        <w:tc>
          <w:tcPr>
            <w:tcW w:w="0" w:type="auto"/>
            <w:hideMark/>
          </w:tcPr>
          <w:p w14:paraId="57BB9B10" w14:textId="77777777" w:rsidR="000F7827" w:rsidRPr="00137A05" w:rsidRDefault="000F7827"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4,508</w:t>
            </w:r>
          </w:p>
        </w:tc>
      </w:tr>
      <w:tr w:rsidR="000F7827" w:rsidRPr="00137A05" w14:paraId="44A17FA6" w14:textId="77777777" w:rsidTr="00430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26FE6F" w14:textId="77777777" w:rsidR="000F7827" w:rsidRPr="00137A05" w:rsidRDefault="000F7827" w:rsidP="00145589">
            <w:pPr>
              <w:spacing w:after="160" w:line="360" w:lineRule="auto"/>
              <w:jc w:val="center"/>
              <w:rPr>
                <w:rFonts w:ascii="Arial" w:hAnsi="Arial" w:cs="Arial"/>
                <w:sz w:val="24"/>
                <w:szCs w:val="24"/>
              </w:rPr>
            </w:pPr>
            <w:r w:rsidRPr="00137A05">
              <w:rPr>
                <w:rFonts w:ascii="Arial" w:hAnsi="Arial" w:cs="Arial"/>
                <w:sz w:val="24"/>
                <w:szCs w:val="24"/>
              </w:rPr>
              <w:t>Wyndham</w:t>
            </w:r>
          </w:p>
        </w:tc>
        <w:tc>
          <w:tcPr>
            <w:tcW w:w="0" w:type="auto"/>
            <w:hideMark/>
          </w:tcPr>
          <w:p w14:paraId="1BFBB98D" w14:textId="77777777" w:rsidR="000F7827" w:rsidRPr="00137A05" w:rsidRDefault="000F7827"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US$ million</w:t>
            </w:r>
          </w:p>
        </w:tc>
        <w:tc>
          <w:tcPr>
            <w:tcW w:w="0" w:type="auto"/>
            <w:hideMark/>
          </w:tcPr>
          <w:p w14:paraId="230A05CE" w14:textId="77777777" w:rsidR="000F7827" w:rsidRPr="00137A05" w:rsidRDefault="000F7827"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435</w:t>
            </w:r>
          </w:p>
        </w:tc>
        <w:tc>
          <w:tcPr>
            <w:tcW w:w="0" w:type="auto"/>
            <w:hideMark/>
          </w:tcPr>
          <w:p w14:paraId="528D706C" w14:textId="77777777" w:rsidR="000F7827" w:rsidRPr="00137A05" w:rsidRDefault="000F7827"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Not separately reported</w:t>
            </w:r>
          </w:p>
        </w:tc>
        <w:tc>
          <w:tcPr>
            <w:tcW w:w="0" w:type="auto"/>
            <w:hideMark/>
          </w:tcPr>
          <w:p w14:paraId="171ECF1B" w14:textId="77777777" w:rsidR="000F7827" w:rsidRPr="00137A05" w:rsidRDefault="000F7827"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64</w:t>
            </w:r>
          </w:p>
        </w:tc>
        <w:tc>
          <w:tcPr>
            <w:tcW w:w="0" w:type="auto"/>
            <w:hideMark/>
          </w:tcPr>
          <w:p w14:paraId="13FBF98E" w14:textId="77777777" w:rsidR="000F7827" w:rsidRPr="00137A05" w:rsidRDefault="000F7827" w:rsidP="0014558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7A05">
              <w:rPr>
                <w:rFonts w:ascii="Arial" w:hAnsi="Arial" w:cs="Arial"/>
                <w:sz w:val="24"/>
                <w:szCs w:val="24"/>
              </w:rPr>
              <w:t>507</w:t>
            </w:r>
          </w:p>
        </w:tc>
      </w:tr>
      <w:tr w:rsidR="000F7827" w:rsidRPr="00137A05" w14:paraId="59504D2D" w14:textId="77777777" w:rsidTr="004300AA">
        <w:tc>
          <w:tcPr>
            <w:cnfStyle w:val="001000000000" w:firstRow="0" w:lastRow="0" w:firstColumn="1" w:lastColumn="0" w:oddVBand="0" w:evenVBand="0" w:oddHBand="0" w:evenHBand="0" w:firstRowFirstColumn="0" w:firstRowLastColumn="0" w:lastRowFirstColumn="0" w:lastRowLastColumn="0"/>
            <w:tcW w:w="0" w:type="auto"/>
            <w:hideMark/>
          </w:tcPr>
          <w:p w14:paraId="02AACC97" w14:textId="77777777" w:rsidR="000F7827" w:rsidRPr="00137A05" w:rsidRDefault="000F7827" w:rsidP="00145589">
            <w:pPr>
              <w:spacing w:after="160" w:line="360" w:lineRule="auto"/>
              <w:jc w:val="center"/>
              <w:rPr>
                <w:rFonts w:ascii="Arial" w:hAnsi="Arial" w:cs="Arial"/>
                <w:sz w:val="24"/>
                <w:szCs w:val="24"/>
              </w:rPr>
            </w:pPr>
            <w:r w:rsidRPr="00137A05">
              <w:rPr>
                <w:rFonts w:ascii="Arial" w:hAnsi="Arial" w:cs="Arial"/>
                <w:sz w:val="24"/>
                <w:szCs w:val="24"/>
              </w:rPr>
              <w:t>Accor</w:t>
            </w:r>
          </w:p>
        </w:tc>
        <w:tc>
          <w:tcPr>
            <w:tcW w:w="0" w:type="auto"/>
            <w:hideMark/>
          </w:tcPr>
          <w:p w14:paraId="6D7762B1" w14:textId="77777777" w:rsidR="000F7827" w:rsidRPr="00137A05" w:rsidRDefault="000F7827"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 million</w:t>
            </w:r>
          </w:p>
        </w:tc>
        <w:tc>
          <w:tcPr>
            <w:tcW w:w="0" w:type="auto"/>
            <w:hideMark/>
          </w:tcPr>
          <w:p w14:paraId="18121618" w14:textId="77777777" w:rsidR="000F7827" w:rsidRPr="00137A05" w:rsidRDefault="000F7827"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2,905</w:t>
            </w:r>
          </w:p>
        </w:tc>
        <w:tc>
          <w:tcPr>
            <w:tcW w:w="0" w:type="auto"/>
            <w:hideMark/>
          </w:tcPr>
          <w:p w14:paraId="08E64F98" w14:textId="77777777" w:rsidR="000F7827" w:rsidRPr="00137A05" w:rsidRDefault="000F7827"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34</w:t>
            </w:r>
          </w:p>
        </w:tc>
        <w:tc>
          <w:tcPr>
            <w:tcW w:w="0" w:type="auto"/>
            <w:hideMark/>
          </w:tcPr>
          <w:p w14:paraId="06882887" w14:textId="77777777" w:rsidR="000F7827" w:rsidRPr="00137A05" w:rsidRDefault="000F7827"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1,205</w:t>
            </w:r>
          </w:p>
        </w:tc>
        <w:tc>
          <w:tcPr>
            <w:tcW w:w="0" w:type="auto"/>
            <w:hideMark/>
          </w:tcPr>
          <w:p w14:paraId="30878043" w14:textId="77777777" w:rsidR="000F7827" w:rsidRPr="00137A05" w:rsidRDefault="000F7827" w:rsidP="0014558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37A05">
              <w:rPr>
                <w:rFonts w:ascii="Arial" w:hAnsi="Arial" w:cs="Arial"/>
                <w:sz w:val="24"/>
                <w:szCs w:val="24"/>
              </w:rPr>
              <w:t>2,773</w:t>
            </w:r>
          </w:p>
        </w:tc>
      </w:tr>
    </w:tbl>
    <w:p w14:paraId="49DB10D6" w14:textId="77777777" w:rsidR="000F7827" w:rsidRPr="00137A05" w:rsidRDefault="000F7827" w:rsidP="000F7827"/>
    <w:sectPr w:rsidR="000F7827" w:rsidRPr="00137A05" w:rsidSect="0026022B">
      <w:footerReference w:type="default" r:id="rId43"/>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42F33" w14:textId="77777777" w:rsidR="003F2184" w:rsidRDefault="003F2184" w:rsidP="00CA43D1">
      <w:pPr>
        <w:spacing w:after="0" w:line="240" w:lineRule="auto"/>
      </w:pPr>
      <w:r>
        <w:separator/>
      </w:r>
    </w:p>
  </w:endnote>
  <w:endnote w:type="continuationSeparator" w:id="0">
    <w:p w14:paraId="3B4191B8" w14:textId="77777777" w:rsidR="003F2184" w:rsidRDefault="003F2184" w:rsidP="00CA4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sz w:val="28"/>
        <w:szCs w:val="28"/>
      </w:rPr>
      <w:id w:val="-1754742619"/>
      <w:docPartObj>
        <w:docPartGallery w:val="Page Numbers (Bottom of Page)"/>
        <w:docPartUnique/>
      </w:docPartObj>
    </w:sdtPr>
    <w:sdtContent>
      <w:sdt>
        <w:sdtPr>
          <w:rPr>
            <w:b/>
            <w:bCs/>
            <w:sz w:val="28"/>
            <w:szCs w:val="28"/>
          </w:rPr>
          <w:id w:val="1728636285"/>
          <w:docPartObj>
            <w:docPartGallery w:val="Page Numbers (Top of Page)"/>
            <w:docPartUnique/>
          </w:docPartObj>
        </w:sdtPr>
        <w:sdtContent>
          <w:p w14:paraId="195BDF4A" w14:textId="588043C2" w:rsidR="00CA43D1" w:rsidRPr="00CA43D1" w:rsidRDefault="00CA43D1">
            <w:pPr>
              <w:pStyle w:val="Footer"/>
              <w:jc w:val="center"/>
              <w:rPr>
                <w:b/>
                <w:bCs/>
                <w:sz w:val="28"/>
                <w:szCs w:val="28"/>
              </w:rPr>
            </w:pPr>
            <w:r w:rsidRPr="00CA43D1">
              <w:rPr>
                <w:b/>
                <w:bCs/>
                <w:sz w:val="28"/>
                <w:szCs w:val="28"/>
              </w:rPr>
              <w:t xml:space="preserve">Page </w:t>
            </w:r>
            <w:r w:rsidRPr="00CA43D1">
              <w:rPr>
                <w:b/>
                <w:bCs/>
                <w:sz w:val="32"/>
                <w:szCs w:val="32"/>
              </w:rPr>
              <w:fldChar w:fldCharType="begin"/>
            </w:r>
            <w:r w:rsidRPr="00CA43D1">
              <w:rPr>
                <w:b/>
                <w:bCs/>
                <w:sz w:val="28"/>
                <w:szCs w:val="28"/>
              </w:rPr>
              <w:instrText xml:space="preserve"> PAGE </w:instrText>
            </w:r>
            <w:r w:rsidRPr="00CA43D1">
              <w:rPr>
                <w:b/>
                <w:bCs/>
                <w:sz w:val="32"/>
                <w:szCs w:val="32"/>
              </w:rPr>
              <w:fldChar w:fldCharType="separate"/>
            </w:r>
            <w:r w:rsidRPr="00CA43D1">
              <w:rPr>
                <w:b/>
                <w:bCs/>
                <w:noProof/>
                <w:sz w:val="28"/>
                <w:szCs w:val="28"/>
              </w:rPr>
              <w:t>2</w:t>
            </w:r>
            <w:r w:rsidRPr="00CA43D1">
              <w:rPr>
                <w:b/>
                <w:bCs/>
                <w:sz w:val="32"/>
                <w:szCs w:val="32"/>
              </w:rPr>
              <w:fldChar w:fldCharType="end"/>
            </w:r>
            <w:r w:rsidRPr="00CA43D1">
              <w:rPr>
                <w:b/>
                <w:bCs/>
                <w:sz w:val="28"/>
                <w:szCs w:val="28"/>
              </w:rPr>
              <w:t xml:space="preserve"> of </w:t>
            </w:r>
            <w:r w:rsidRPr="00CA43D1">
              <w:rPr>
                <w:b/>
                <w:bCs/>
                <w:sz w:val="32"/>
                <w:szCs w:val="32"/>
              </w:rPr>
              <w:fldChar w:fldCharType="begin"/>
            </w:r>
            <w:r w:rsidRPr="00CA43D1">
              <w:rPr>
                <w:b/>
                <w:bCs/>
                <w:sz w:val="28"/>
                <w:szCs w:val="28"/>
              </w:rPr>
              <w:instrText xml:space="preserve"> NUMPAGES  </w:instrText>
            </w:r>
            <w:r w:rsidRPr="00CA43D1">
              <w:rPr>
                <w:b/>
                <w:bCs/>
                <w:sz w:val="32"/>
                <w:szCs w:val="32"/>
              </w:rPr>
              <w:fldChar w:fldCharType="separate"/>
            </w:r>
            <w:r w:rsidRPr="00CA43D1">
              <w:rPr>
                <w:b/>
                <w:bCs/>
                <w:noProof/>
                <w:sz w:val="28"/>
                <w:szCs w:val="28"/>
              </w:rPr>
              <w:t>2</w:t>
            </w:r>
            <w:r w:rsidRPr="00CA43D1">
              <w:rPr>
                <w:b/>
                <w:bCs/>
                <w:sz w:val="32"/>
                <w:szCs w:val="32"/>
              </w:rPr>
              <w:fldChar w:fldCharType="end"/>
            </w:r>
          </w:p>
        </w:sdtContent>
      </w:sdt>
    </w:sdtContent>
  </w:sdt>
  <w:p w14:paraId="49A48293" w14:textId="77777777" w:rsidR="00CA43D1" w:rsidRPr="00CA43D1" w:rsidRDefault="00CA43D1">
    <w:pPr>
      <w:pStyle w:val="Footer"/>
      <w:rPr>
        <w:b/>
        <w:bCs/>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BD17B" w14:textId="77777777" w:rsidR="003F2184" w:rsidRDefault="003F2184" w:rsidP="00CA43D1">
      <w:pPr>
        <w:spacing w:after="0" w:line="240" w:lineRule="auto"/>
      </w:pPr>
      <w:r>
        <w:separator/>
      </w:r>
    </w:p>
  </w:footnote>
  <w:footnote w:type="continuationSeparator" w:id="0">
    <w:p w14:paraId="588E9971" w14:textId="77777777" w:rsidR="003F2184" w:rsidRDefault="003F2184" w:rsidP="00CA43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891773348">
    <w:abstractNumId w:val="0"/>
  </w:num>
  <w:num w:numId="2" w16cid:durableId="84348010">
    <w:abstractNumId w:val="0"/>
  </w:num>
  <w:num w:numId="3" w16cid:durableId="975069840">
    <w:abstractNumId w:val="0"/>
  </w:num>
  <w:num w:numId="4" w16cid:durableId="394550979">
    <w:abstractNumId w:val="0"/>
  </w:num>
  <w:num w:numId="5" w16cid:durableId="345639289">
    <w:abstractNumId w:val="0"/>
  </w:num>
  <w:num w:numId="6" w16cid:durableId="419910188">
    <w:abstractNumId w:val="0"/>
  </w:num>
  <w:num w:numId="7" w16cid:durableId="963266640">
    <w:abstractNumId w:val="0"/>
  </w:num>
  <w:num w:numId="8" w16cid:durableId="625626514">
    <w:abstractNumId w:val="0"/>
  </w:num>
  <w:num w:numId="9" w16cid:durableId="1262882532">
    <w:abstractNumId w:val="0"/>
  </w:num>
  <w:num w:numId="10" w16cid:durableId="628172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22B"/>
    <w:rsid w:val="000162C1"/>
    <w:rsid w:val="0001737B"/>
    <w:rsid w:val="00024EE4"/>
    <w:rsid w:val="000261DE"/>
    <w:rsid w:val="00036690"/>
    <w:rsid w:val="0003681C"/>
    <w:rsid w:val="00041AB4"/>
    <w:rsid w:val="000433F0"/>
    <w:rsid w:val="00047F1A"/>
    <w:rsid w:val="0005678F"/>
    <w:rsid w:val="00075500"/>
    <w:rsid w:val="0007710D"/>
    <w:rsid w:val="0008335E"/>
    <w:rsid w:val="00084005"/>
    <w:rsid w:val="00084584"/>
    <w:rsid w:val="00085B91"/>
    <w:rsid w:val="000B3657"/>
    <w:rsid w:val="000C2D87"/>
    <w:rsid w:val="000C7840"/>
    <w:rsid w:val="000E60A5"/>
    <w:rsid w:val="000E6951"/>
    <w:rsid w:val="000F192E"/>
    <w:rsid w:val="000F7827"/>
    <w:rsid w:val="000F7E3A"/>
    <w:rsid w:val="0010560E"/>
    <w:rsid w:val="0011370F"/>
    <w:rsid w:val="0012203B"/>
    <w:rsid w:val="001279A1"/>
    <w:rsid w:val="00132C84"/>
    <w:rsid w:val="00135B9B"/>
    <w:rsid w:val="00137A05"/>
    <w:rsid w:val="00145589"/>
    <w:rsid w:val="0015218B"/>
    <w:rsid w:val="00154C69"/>
    <w:rsid w:val="00161A79"/>
    <w:rsid w:val="00162809"/>
    <w:rsid w:val="00182609"/>
    <w:rsid w:val="00192D56"/>
    <w:rsid w:val="0019719F"/>
    <w:rsid w:val="0019777B"/>
    <w:rsid w:val="001A0B79"/>
    <w:rsid w:val="001A3B50"/>
    <w:rsid w:val="001A69E6"/>
    <w:rsid w:val="001A773C"/>
    <w:rsid w:val="001A7750"/>
    <w:rsid w:val="001C70A0"/>
    <w:rsid w:val="001F432E"/>
    <w:rsid w:val="00211183"/>
    <w:rsid w:val="0023716A"/>
    <w:rsid w:val="002517A6"/>
    <w:rsid w:val="00253ED1"/>
    <w:rsid w:val="0026022B"/>
    <w:rsid w:val="00262845"/>
    <w:rsid w:val="00267580"/>
    <w:rsid w:val="00276C18"/>
    <w:rsid w:val="00291B25"/>
    <w:rsid w:val="00297AB6"/>
    <w:rsid w:val="002A2772"/>
    <w:rsid w:val="002B395F"/>
    <w:rsid w:val="002B4884"/>
    <w:rsid w:val="002B5D76"/>
    <w:rsid w:val="002C419E"/>
    <w:rsid w:val="002C52AA"/>
    <w:rsid w:val="002F02AD"/>
    <w:rsid w:val="002F1516"/>
    <w:rsid w:val="00310099"/>
    <w:rsid w:val="00311BC7"/>
    <w:rsid w:val="00326E07"/>
    <w:rsid w:val="003310E6"/>
    <w:rsid w:val="00334710"/>
    <w:rsid w:val="00336DE8"/>
    <w:rsid w:val="003473F0"/>
    <w:rsid w:val="00352079"/>
    <w:rsid w:val="003578C8"/>
    <w:rsid w:val="00360CE1"/>
    <w:rsid w:val="00362727"/>
    <w:rsid w:val="00374052"/>
    <w:rsid w:val="00380702"/>
    <w:rsid w:val="0038458E"/>
    <w:rsid w:val="003908FB"/>
    <w:rsid w:val="00390B11"/>
    <w:rsid w:val="0039675E"/>
    <w:rsid w:val="003A1796"/>
    <w:rsid w:val="003A40C1"/>
    <w:rsid w:val="003A56D4"/>
    <w:rsid w:val="003A56E2"/>
    <w:rsid w:val="003B472D"/>
    <w:rsid w:val="003B4A19"/>
    <w:rsid w:val="003B7A65"/>
    <w:rsid w:val="003D30F9"/>
    <w:rsid w:val="003D4D7C"/>
    <w:rsid w:val="003D5DED"/>
    <w:rsid w:val="003F0C7A"/>
    <w:rsid w:val="003F2184"/>
    <w:rsid w:val="00410BF9"/>
    <w:rsid w:val="004236E7"/>
    <w:rsid w:val="0042370E"/>
    <w:rsid w:val="004300AA"/>
    <w:rsid w:val="00433142"/>
    <w:rsid w:val="004332C3"/>
    <w:rsid w:val="00437947"/>
    <w:rsid w:val="004407F6"/>
    <w:rsid w:val="00440D3B"/>
    <w:rsid w:val="0044138F"/>
    <w:rsid w:val="00445816"/>
    <w:rsid w:val="00445F37"/>
    <w:rsid w:val="004520FD"/>
    <w:rsid w:val="00454B87"/>
    <w:rsid w:val="00461E58"/>
    <w:rsid w:val="004703B0"/>
    <w:rsid w:val="0048573E"/>
    <w:rsid w:val="00486EFF"/>
    <w:rsid w:val="00494A5F"/>
    <w:rsid w:val="004A1C19"/>
    <w:rsid w:val="004A4350"/>
    <w:rsid w:val="004C4B50"/>
    <w:rsid w:val="004D217A"/>
    <w:rsid w:val="004D307D"/>
    <w:rsid w:val="004D3AC8"/>
    <w:rsid w:val="004D52DA"/>
    <w:rsid w:val="004E2CDA"/>
    <w:rsid w:val="004E64B8"/>
    <w:rsid w:val="00502350"/>
    <w:rsid w:val="00503173"/>
    <w:rsid w:val="00517E71"/>
    <w:rsid w:val="00530A72"/>
    <w:rsid w:val="005465CD"/>
    <w:rsid w:val="00551212"/>
    <w:rsid w:val="005539CF"/>
    <w:rsid w:val="00591E00"/>
    <w:rsid w:val="005937F9"/>
    <w:rsid w:val="005C30FD"/>
    <w:rsid w:val="005C5E7B"/>
    <w:rsid w:val="005C5F9E"/>
    <w:rsid w:val="005C7AF2"/>
    <w:rsid w:val="005D2082"/>
    <w:rsid w:val="005D3034"/>
    <w:rsid w:val="005D6524"/>
    <w:rsid w:val="005E158C"/>
    <w:rsid w:val="005E4332"/>
    <w:rsid w:val="005F2FEB"/>
    <w:rsid w:val="005F5B83"/>
    <w:rsid w:val="00601D0B"/>
    <w:rsid w:val="00611DFE"/>
    <w:rsid w:val="00632636"/>
    <w:rsid w:val="00654CA6"/>
    <w:rsid w:val="00655518"/>
    <w:rsid w:val="006750B5"/>
    <w:rsid w:val="006778AF"/>
    <w:rsid w:val="006841F7"/>
    <w:rsid w:val="006959F8"/>
    <w:rsid w:val="00696B17"/>
    <w:rsid w:val="006A1136"/>
    <w:rsid w:val="006A7FA3"/>
    <w:rsid w:val="006B1314"/>
    <w:rsid w:val="006B6EFD"/>
    <w:rsid w:val="006C09AA"/>
    <w:rsid w:val="006C6375"/>
    <w:rsid w:val="006D2C34"/>
    <w:rsid w:val="006D4E35"/>
    <w:rsid w:val="006E39FE"/>
    <w:rsid w:val="006E5DAA"/>
    <w:rsid w:val="006E6109"/>
    <w:rsid w:val="006E6A82"/>
    <w:rsid w:val="006F67B5"/>
    <w:rsid w:val="0070183F"/>
    <w:rsid w:val="00706794"/>
    <w:rsid w:val="00712EF0"/>
    <w:rsid w:val="00743696"/>
    <w:rsid w:val="0074553A"/>
    <w:rsid w:val="0077213B"/>
    <w:rsid w:val="00772DEA"/>
    <w:rsid w:val="00781D1E"/>
    <w:rsid w:val="007822D2"/>
    <w:rsid w:val="00785053"/>
    <w:rsid w:val="00794771"/>
    <w:rsid w:val="007A4BC9"/>
    <w:rsid w:val="007B6408"/>
    <w:rsid w:val="007C0F13"/>
    <w:rsid w:val="007C39AA"/>
    <w:rsid w:val="007C78A2"/>
    <w:rsid w:val="00801A13"/>
    <w:rsid w:val="008164D1"/>
    <w:rsid w:val="0082291E"/>
    <w:rsid w:val="00822ABD"/>
    <w:rsid w:val="00824B2C"/>
    <w:rsid w:val="00831416"/>
    <w:rsid w:val="0083204F"/>
    <w:rsid w:val="00833C85"/>
    <w:rsid w:val="00836148"/>
    <w:rsid w:val="008417B8"/>
    <w:rsid w:val="0085005A"/>
    <w:rsid w:val="00850EE5"/>
    <w:rsid w:val="008526F0"/>
    <w:rsid w:val="00852A62"/>
    <w:rsid w:val="00864FD7"/>
    <w:rsid w:val="00867906"/>
    <w:rsid w:val="00873013"/>
    <w:rsid w:val="00877316"/>
    <w:rsid w:val="00882950"/>
    <w:rsid w:val="00886DE7"/>
    <w:rsid w:val="00887711"/>
    <w:rsid w:val="00895831"/>
    <w:rsid w:val="008975B8"/>
    <w:rsid w:val="008B2FA4"/>
    <w:rsid w:val="008C4887"/>
    <w:rsid w:val="008E57AE"/>
    <w:rsid w:val="0090033C"/>
    <w:rsid w:val="00927E71"/>
    <w:rsid w:val="00936710"/>
    <w:rsid w:val="00936921"/>
    <w:rsid w:val="00937C00"/>
    <w:rsid w:val="00951297"/>
    <w:rsid w:val="00957376"/>
    <w:rsid w:val="00975C08"/>
    <w:rsid w:val="009861EE"/>
    <w:rsid w:val="00993C32"/>
    <w:rsid w:val="009B4463"/>
    <w:rsid w:val="009C39CE"/>
    <w:rsid w:val="009D76BD"/>
    <w:rsid w:val="009E209E"/>
    <w:rsid w:val="009E6EF8"/>
    <w:rsid w:val="009F3FCF"/>
    <w:rsid w:val="009F491E"/>
    <w:rsid w:val="009F5B7F"/>
    <w:rsid w:val="009F5D37"/>
    <w:rsid w:val="009F6A48"/>
    <w:rsid w:val="00A15243"/>
    <w:rsid w:val="00A15CB2"/>
    <w:rsid w:val="00A17AAF"/>
    <w:rsid w:val="00A21B50"/>
    <w:rsid w:val="00A2480D"/>
    <w:rsid w:val="00A3357D"/>
    <w:rsid w:val="00A4607F"/>
    <w:rsid w:val="00A629DD"/>
    <w:rsid w:val="00A71195"/>
    <w:rsid w:val="00A71443"/>
    <w:rsid w:val="00A778B4"/>
    <w:rsid w:val="00AA189C"/>
    <w:rsid w:val="00AB3CF4"/>
    <w:rsid w:val="00AB3F66"/>
    <w:rsid w:val="00AC6646"/>
    <w:rsid w:val="00AD0D74"/>
    <w:rsid w:val="00AE0DE9"/>
    <w:rsid w:val="00AE19DC"/>
    <w:rsid w:val="00AF1524"/>
    <w:rsid w:val="00AF2C06"/>
    <w:rsid w:val="00B00250"/>
    <w:rsid w:val="00B00A3F"/>
    <w:rsid w:val="00B0765F"/>
    <w:rsid w:val="00B109F8"/>
    <w:rsid w:val="00B1676B"/>
    <w:rsid w:val="00B203B0"/>
    <w:rsid w:val="00B22B0B"/>
    <w:rsid w:val="00B27CA9"/>
    <w:rsid w:val="00B315EB"/>
    <w:rsid w:val="00B4542A"/>
    <w:rsid w:val="00B45A8E"/>
    <w:rsid w:val="00B46083"/>
    <w:rsid w:val="00B6185E"/>
    <w:rsid w:val="00B66ABB"/>
    <w:rsid w:val="00B7220D"/>
    <w:rsid w:val="00B77158"/>
    <w:rsid w:val="00B809C9"/>
    <w:rsid w:val="00B93A17"/>
    <w:rsid w:val="00B96358"/>
    <w:rsid w:val="00BA30EC"/>
    <w:rsid w:val="00BB3FE6"/>
    <w:rsid w:val="00BC0B3D"/>
    <w:rsid w:val="00BD6542"/>
    <w:rsid w:val="00BD6E3C"/>
    <w:rsid w:val="00BE65F7"/>
    <w:rsid w:val="00BF5ABF"/>
    <w:rsid w:val="00C4487A"/>
    <w:rsid w:val="00C839DD"/>
    <w:rsid w:val="00C86516"/>
    <w:rsid w:val="00C86A82"/>
    <w:rsid w:val="00C907F0"/>
    <w:rsid w:val="00CA31CA"/>
    <w:rsid w:val="00CA43D1"/>
    <w:rsid w:val="00CC4C9E"/>
    <w:rsid w:val="00CC6C69"/>
    <w:rsid w:val="00CE26B4"/>
    <w:rsid w:val="00CE52ED"/>
    <w:rsid w:val="00CF22B0"/>
    <w:rsid w:val="00D004E0"/>
    <w:rsid w:val="00D03201"/>
    <w:rsid w:val="00D05C71"/>
    <w:rsid w:val="00D128DE"/>
    <w:rsid w:val="00D1432B"/>
    <w:rsid w:val="00D15353"/>
    <w:rsid w:val="00D42DDD"/>
    <w:rsid w:val="00D47AAD"/>
    <w:rsid w:val="00D57589"/>
    <w:rsid w:val="00D62A43"/>
    <w:rsid w:val="00D639D8"/>
    <w:rsid w:val="00DA0DDB"/>
    <w:rsid w:val="00DA6337"/>
    <w:rsid w:val="00DB2817"/>
    <w:rsid w:val="00DC451B"/>
    <w:rsid w:val="00DD103E"/>
    <w:rsid w:val="00DD1CDB"/>
    <w:rsid w:val="00DD2901"/>
    <w:rsid w:val="00DD4B92"/>
    <w:rsid w:val="00DD5798"/>
    <w:rsid w:val="00DE08C1"/>
    <w:rsid w:val="00DE161B"/>
    <w:rsid w:val="00DE76E3"/>
    <w:rsid w:val="00E06081"/>
    <w:rsid w:val="00E24A2D"/>
    <w:rsid w:val="00E304C4"/>
    <w:rsid w:val="00E34C39"/>
    <w:rsid w:val="00E35567"/>
    <w:rsid w:val="00E36C40"/>
    <w:rsid w:val="00E54F87"/>
    <w:rsid w:val="00E551E7"/>
    <w:rsid w:val="00E632D7"/>
    <w:rsid w:val="00E70AD5"/>
    <w:rsid w:val="00E73DC0"/>
    <w:rsid w:val="00E840CC"/>
    <w:rsid w:val="00E94FC6"/>
    <w:rsid w:val="00E97FE1"/>
    <w:rsid w:val="00EA3483"/>
    <w:rsid w:val="00EC7555"/>
    <w:rsid w:val="00ED2D79"/>
    <w:rsid w:val="00EE5BE6"/>
    <w:rsid w:val="00EF41FB"/>
    <w:rsid w:val="00F03691"/>
    <w:rsid w:val="00F067B2"/>
    <w:rsid w:val="00F06EF7"/>
    <w:rsid w:val="00F14466"/>
    <w:rsid w:val="00F14A4E"/>
    <w:rsid w:val="00F26CAD"/>
    <w:rsid w:val="00F33110"/>
    <w:rsid w:val="00F343A2"/>
    <w:rsid w:val="00F374E0"/>
    <w:rsid w:val="00F42937"/>
    <w:rsid w:val="00F42AA8"/>
    <w:rsid w:val="00F51ABE"/>
    <w:rsid w:val="00F707D0"/>
    <w:rsid w:val="00F7080E"/>
    <w:rsid w:val="00F7084B"/>
    <w:rsid w:val="00F81106"/>
    <w:rsid w:val="00F814D0"/>
    <w:rsid w:val="00F83209"/>
    <w:rsid w:val="00F95178"/>
    <w:rsid w:val="00FA3557"/>
    <w:rsid w:val="00FA5A92"/>
    <w:rsid w:val="00FB4AC9"/>
    <w:rsid w:val="00FB50A7"/>
    <w:rsid w:val="00FC41E7"/>
    <w:rsid w:val="00FD78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640C5"/>
  <w15:chartTrackingRefBased/>
  <w15:docId w15:val="{7FF76CA5-4946-46C8-AFEB-FC2050605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22B"/>
  </w:style>
  <w:style w:type="paragraph" w:styleId="Heading1">
    <w:name w:val="heading 1"/>
    <w:basedOn w:val="Normal"/>
    <w:next w:val="Normal"/>
    <w:link w:val="Heading1Char"/>
    <w:uiPriority w:val="9"/>
    <w:qFormat/>
    <w:rsid w:val="0026022B"/>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26022B"/>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26022B"/>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26022B"/>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26022B"/>
    <w:pPr>
      <w:keepNext/>
      <w:keepLines/>
      <w:numPr>
        <w:ilvl w:val="4"/>
        <w:numId w:val="10"/>
      </w:numPr>
      <w:spacing w:before="200" w:after="0"/>
      <w:outlineLvl w:val="4"/>
    </w:pPr>
    <w:rPr>
      <w:rFonts w:asciiTheme="majorHAnsi" w:eastAsiaTheme="majorEastAsia" w:hAnsiTheme="majorHAnsi" w:cstheme="majorBidi"/>
      <w:color w:val="17365D" w:themeColor="text2" w:themeShade="BF"/>
    </w:rPr>
  </w:style>
  <w:style w:type="paragraph" w:styleId="Heading6">
    <w:name w:val="heading 6"/>
    <w:basedOn w:val="Normal"/>
    <w:next w:val="Normal"/>
    <w:link w:val="Heading6Char"/>
    <w:uiPriority w:val="9"/>
    <w:semiHidden/>
    <w:unhideWhenUsed/>
    <w:qFormat/>
    <w:rsid w:val="0026022B"/>
    <w:pPr>
      <w:keepNext/>
      <w:keepLines/>
      <w:numPr>
        <w:ilvl w:val="5"/>
        <w:numId w:val="10"/>
      </w:numPr>
      <w:spacing w:before="200" w:after="0"/>
      <w:outlineLvl w:val="5"/>
    </w:pPr>
    <w:rPr>
      <w:rFonts w:asciiTheme="majorHAnsi" w:eastAsiaTheme="majorEastAsia" w:hAnsiTheme="majorHAnsi" w:cstheme="majorBidi"/>
      <w:i/>
      <w:iCs/>
      <w:color w:val="17365D" w:themeColor="text2" w:themeShade="BF"/>
    </w:rPr>
  </w:style>
  <w:style w:type="paragraph" w:styleId="Heading7">
    <w:name w:val="heading 7"/>
    <w:basedOn w:val="Normal"/>
    <w:next w:val="Normal"/>
    <w:link w:val="Heading7Char"/>
    <w:uiPriority w:val="9"/>
    <w:semiHidden/>
    <w:unhideWhenUsed/>
    <w:qFormat/>
    <w:rsid w:val="0026022B"/>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6022B"/>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6022B"/>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022B"/>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26022B"/>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26022B"/>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26022B"/>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26022B"/>
    <w:rPr>
      <w:rFonts w:asciiTheme="majorHAnsi" w:eastAsiaTheme="majorEastAsia" w:hAnsiTheme="majorHAnsi" w:cstheme="majorBidi"/>
      <w:color w:val="17365D" w:themeColor="text2" w:themeShade="BF"/>
    </w:rPr>
  </w:style>
  <w:style w:type="character" w:customStyle="1" w:styleId="Heading6Char">
    <w:name w:val="Heading 6 Char"/>
    <w:basedOn w:val="DefaultParagraphFont"/>
    <w:link w:val="Heading6"/>
    <w:uiPriority w:val="9"/>
    <w:semiHidden/>
    <w:rsid w:val="0026022B"/>
    <w:rPr>
      <w:rFonts w:asciiTheme="majorHAnsi" w:eastAsiaTheme="majorEastAsia" w:hAnsiTheme="majorHAnsi" w:cstheme="majorBidi"/>
      <w:i/>
      <w:iCs/>
      <w:color w:val="17365D" w:themeColor="text2" w:themeShade="BF"/>
    </w:rPr>
  </w:style>
  <w:style w:type="character" w:customStyle="1" w:styleId="Heading7Char">
    <w:name w:val="Heading 7 Char"/>
    <w:basedOn w:val="DefaultParagraphFont"/>
    <w:link w:val="Heading7"/>
    <w:uiPriority w:val="9"/>
    <w:semiHidden/>
    <w:rsid w:val="0026022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6022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6022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26022B"/>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26022B"/>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26022B"/>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26022B"/>
    <w:rPr>
      <w:color w:val="5A5A5A" w:themeColor="text1" w:themeTint="A5"/>
      <w:spacing w:val="10"/>
    </w:rPr>
  </w:style>
  <w:style w:type="paragraph" w:styleId="Quote">
    <w:name w:val="Quote"/>
    <w:basedOn w:val="Normal"/>
    <w:next w:val="Normal"/>
    <w:link w:val="QuoteChar"/>
    <w:uiPriority w:val="29"/>
    <w:qFormat/>
    <w:rsid w:val="0026022B"/>
    <w:pPr>
      <w:spacing w:before="160"/>
      <w:ind w:left="720" w:right="720"/>
    </w:pPr>
    <w:rPr>
      <w:i/>
      <w:iCs/>
      <w:color w:val="000000" w:themeColor="text1"/>
    </w:rPr>
  </w:style>
  <w:style w:type="character" w:customStyle="1" w:styleId="QuoteChar">
    <w:name w:val="Quote Char"/>
    <w:basedOn w:val="DefaultParagraphFont"/>
    <w:link w:val="Quote"/>
    <w:uiPriority w:val="29"/>
    <w:rsid w:val="0026022B"/>
    <w:rPr>
      <w:i/>
      <w:iCs/>
      <w:color w:val="000000" w:themeColor="text1"/>
    </w:rPr>
  </w:style>
  <w:style w:type="paragraph" w:styleId="ListParagraph">
    <w:name w:val="List Paragraph"/>
    <w:basedOn w:val="Normal"/>
    <w:uiPriority w:val="34"/>
    <w:qFormat/>
    <w:rsid w:val="0026022B"/>
    <w:pPr>
      <w:ind w:left="720"/>
      <w:contextualSpacing/>
    </w:pPr>
  </w:style>
  <w:style w:type="character" w:styleId="IntenseEmphasis">
    <w:name w:val="Intense Emphasis"/>
    <w:basedOn w:val="DefaultParagraphFont"/>
    <w:uiPriority w:val="21"/>
    <w:qFormat/>
    <w:rsid w:val="0026022B"/>
    <w:rPr>
      <w:b/>
      <w:bCs/>
      <w:i/>
      <w:iCs/>
      <w:caps/>
    </w:rPr>
  </w:style>
  <w:style w:type="paragraph" w:styleId="IntenseQuote">
    <w:name w:val="Intense Quote"/>
    <w:basedOn w:val="Normal"/>
    <w:next w:val="Normal"/>
    <w:link w:val="IntenseQuoteChar"/>
    <w:uiPriority w:val="30"/>
    <w:qFormat/>
    <w:rsid w:val="0026022B"/>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26022B"/>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26022B"/>
    <w:rPr>
      <w:b/>
      <w:bCs/>
      <w:smallCaps/>
      <w:u w:val="single"/>
    </w:rPr>
  </w:style>
  <w:style w:type="paragraph" w:styleId="Caption">
    <w:name w:val="caption"/>
    <w:basedOn w:val="Normal"/>
    <w:next w:val="Normal"/>
    <w:uiPriority w:val="35"/>
    <w:semiHidden/>
    <w:unhideWhenUsed/>
    <w:qFormat/>
    <w:rsid w:val="0026022B"/>
    <w:pPr>
      <w:spacing w:after="200" w:line="240" w:lineRule="auto"/>
    </w:pPr>
    <w:rPr>
      <w:i/>
      <w:iCs/>
      <w:color w:val="1F497D" w:themeColor="text2"/>
      <w:sz w:val="18"/>
      <w:szCs w:val="18"/>
    </w:rPr>
  </w:style>
  <w:style w:type="character" w:styleId="Strong">
    <w:name w:val="Strong"/>
    <w:basedOn w:val="DefaultParagraphFont"/>
    <w:uiPriority w:val="22"/>
    <w:qFormat/>
    <w:rsid w:val="0026022B"/>
    <w:rPr>
      <w:b/>
      <w:bCs/>
      <w:color w:val="000000" w:themeColor="text1"/>
    </w:rPr>
  </w:style>
  <w:style w:type="character" w:styleId="Emphasis">
    <w:name w:val="Emphasis"/>
    <w:basedOn w:val="DefaultParagraphFont"/>
    <w:uiPriority w:val="20"/>
    <w:qFormat/>
    <w:rsid w:val="0026022B"/>
    <w:rPr>
      <w:i/>
      <w:iCs/>
      <w:color w:val="auto"/>
    </w:rPr>
  </w:style>
  <w:style w:type="paragraph" w:styleId="NoSpacing">
    <w:name w:val="No Spacing"/>
    <w:uiPriority w:val="1"/>
    <w:qFormat/>
    <w:rsid w:val="0026022B"/>
    <w:pPr>
      <w:spacing w:after="0" w:line="240" w:lineRule="auto"/>
    </w:pPr>
  </w:style>
  <w:style w:type="character" w:styleId="SubtleEmphasis">
    <w:name w:val="Subtle Emphasis"/>
    <w:basedOn w:val="DefaultParagraphFont"/>
    <w:uiPriority w:val="19"/>
    <w:qFormat/>
    <w:rsid w:val="0026022B"/>
    <w:rPr>
      <w:i/>
      <w:iCs/>
      <w:color w:val="404040" w:themeColor="text1" w:themeTint="BF"/>
    </w:rPr>
  </w:style>
  <w:style w:type="character" w:styleId="SubtleReference">
    <w:name w:val="Subtle Reference"/>
    <w:basedOn w:val="DefaultParagraphFont"/>
    <w:uiPriority w:val="31"/>
    <w:qFormat/>
    <w:rsid w:val="0026022B"/>
    <w:rPr>
      <w:smallCaps/>
      <w:color w:val="404040" w:themeColor="text1" w:themeTint="BF"/>
      <w:u w:val="single" w:color="7F7F7F" w:themeColor="text1" w:themeTint="80"/>
    </w:rPr>
  </w:style>
  <w:style w:type="character" w:styleId="BookTitle">
    <w:name w:val="Book Title"/>
    <w:basedOn w:val="DefaultParagraphFont"/>
    <w:uiPriority w:val="33"/>
    <w:qFormat/>
    <w:rsid w:val="0026022B"/>
    <w:rPr>
      <w:b w:val="0"/>
      <w:bCs w:val="0"/>
      <w:smallCaps/>
      <w:spacing w:val="5"/>
    </w:rPr>
  </w:style>
  <w:style w:type="paragraph" w:styleId="TOCHeading">
    <w:name w:val="TOC Heading"/>
    <w:basedOn w:val="Heading1"/>
    <w:next w:val="Normal"/>
    <w:uiPriority w:val="39"/>
    <w:unhideWhenUsed/>
    <w:qFormat/>
    <w:rsid w:val="0026022B"/>
    <w:pPr>
      <w:outlineLvl w:val="9"/>
    </w:pPr>
  </w:style>
  <w:style w:type="paragraph" w:styleId="TOC1">
    <w:name w:val="toc 1"/>
    <w:basedOn w:val="Normal"/>
    <w:next w:val="Normal"/>
    <w:autoRedefine/>
    <w:uiPriority w:val="39"/>
    <w:unhideWhenUsed/>
    <w:rsid w:val="0026022B"/>
    <w:pPr>
      <w:spacing w:after="100"/>
    </w:pPr>
  </w:style>
  <w:style w:type="character" w:styleId="Hyperlink">
    <w:name w:val="Hyperlink"/>
    <w:basedOn w:val="DefaultParagraphFont"/>
    <w:uiPriority w:val="99"/>
    <w:unhideWhenUsed/>
    <w:rsid w:val="0026022B"/>
    <w:rPr>
      <w:color w:val="0000FF" w:themeColor="hyperlink"/>
      <w:u w:val="single"/>
    </w:rPr>
  </w:style>
  <w:style w:type="paragraph" w:styleId="NormalWeb">
    <w:name w:val="Normal (Web)"/>
    <w:basedOn w:val="Normal"/>
    <w:uiPriority w:val="99"/>
    <w:semiHidden/>
    <w:unhideWhenUsed/>
    <w:rsid w:val="001279A1"/>
    <w:pPr>
      <w:spacing w:before="100" w:beforeAutospacing="1" w:after="100" w:afterAutospacing="1" w:line="240" w:lineRule="auto"/>
    </w:pPr>
    <w:rPr>
      <w:rFonts w:ascii="Times New Roman" w:eastAsia="Times New Roman" w:hAnsi="Times New Roman" w:cs="Times New Roman"/>
      <w:sz w:val="24"/>
      <w:szCs w:val="24"/>
    </w:rPr>
  </w:style>
  <w:style w:type="table" w:styleId="GridTable4-Accent1">
    <w:name w:val="Grid Table 4 Accent 1"/>
    <w:basedOn w:val="TableNormal"/>
    <w:uiPriority w:val="49"/>
    <w:rsid w:val="000F7827"/>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TOC2">
    <w:name w:val="toc 2"/>
    <w:basedOn w:val="Normal"/>
    <w:next w:val="Normal"/>
    <w:autoRedefine/>
    <w:uiPriority w:val="39"/>
    <w:unhideWhenUsed/>
    <w:rsid w:val="00611DFE"/>
    <w:pPr>
      <w:spacing w:after="100"/>
      <w:ind w:left="220"/>
    </w:pPr>
  </w:style>
  <w:style w:type="paragraph" w:styleId="TOC3">
    <w:name w:val="toc 3"/>
    <w:basedOn w:val="Normal"/>
    <w:next w:val="Normal"/>
    <w:autoRedefine/>
    <w:uiPriority w:val="39"/>
    <w:unhideWhenUsed/>
    <w:rsid w:val="00611DFE"/>
    <w:pPr>
      <w:spacing w:after="100"/>
      <w:ind w:left="440"/>
    </w:pPr>
  </w:style>
  <w:style w:type="paragraph" w:styleId="Header">
    <w:name w:val="header"/>
    <w:basedOn w:val="Normal"/>
    <w:link w:val="HeaderChar"/>
    <w:uiPriority w:val="99"/>
    <w:unhideWhenUsed/>
    <w:rsid w:val="00CA43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43D1"/>
  </w:style>
  <w:style w:type="paragraph" w:styleId="Footer">
    <w:name w:val="footer"/>
    <w:basedOn w:val="Normal"/>
    <w:link w:val="FooterChar"/>
    <w:uiPriority w:val="99"/>
    <w:unhideWhenUsed/>
    <w:rsid w:val="00CA43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43D1"/>
  </w:style>
  <w:style w:type="table" w:styleId="GridTable4-Accent2">
    <w:name w:val="Grid Table 4 Accent 2"/>
    <w:basedOn w:val="TableNormal"/>
    <w:uiPriority w:val="49"/>
    <w:rsid w:val="004300AA"/>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Grid">
    <w:name w:val="Table Grid"/>
    <w:basedOn w:val="TableNormal"/>
    <w:uiPriority w:val="59"/>
    <w:rsid w:val="009F5D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Source">
    <w:name w:val="Caption Source"/>
    <w:rsid w:val="009F5D37"/>
    <w:pPr>
      <w:spacing w:after="100"/>
    </w:pPr>
    <w:rPr>
      <w:rFonts w:ascii="Arial" w:hAnsi="Arial"/>
      <w:i/>
      <w:color w:val="595959"/>
      <w:sz w:val="16"/>
    </w:rPr>
  </w:style>
  <w:style w:type="paragraph" w:customStyle="1" w:styleId="pdq2pgselectionanchorcontainer">
    <w:name w:val="pdq2pg_selectionanchorcontainer"/>
    <w:basedOn w:val="Normal"/>
    <w:rsid w:val="006E5DA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hyperlink" Target="https://stories.hilton.com/2025-10K" TargetMode="External"/><Relationship Id="rId39" Type="http://schemas.openxmlformats.org/officeDocument/2006/relationships/hyperlink" Target="https://www.oecd.org/en/topics/ai-principles.html" TargetMode="External"/><Relationship Id="rId21" Type="http://schemas.openxmlformats.org/officeDocument/2006/relationships/hyperlink" Target="https://assets.group.accor.com/yrj0orc8tx24/4il2zwx4sZhjt12PKcRaOQ/b79b3fe310c1e296d7149c608b1f2150/Accor-2025_Notes_to_Financial_Statements.pdf" TargetMode="External"/><Relationship Id="rId34" Type="http://schemas.openxmlformats.org/officeDocument/2006/relationships/hyperlink" Target="https://www.ihgplc.com/~/media/Files/I/Ihg-Plc/responsible-business/ihg-2025-responsible-business-report.pdf" TargetMode="External"/><Relationship Id="rId42" Type="http://schemas.openxmlformats.org/officeDocument/2006/relationships/hyperlink" Target="https://www.sec.gov/Archives/edgar/data/1722684/000172268426000052/a2025annualreport.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7.xml"/><Relationship Id="rId29" Type="http://schemas.openxmlformats.org/officeDocument/2006/relationships/hyperlink" Target="https://www.ihgplc.com/~/media/Files/I/Ihg-Plc/investors/annual-report/annual-report-202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s://www.accaglobal.com/gb/en/student/exam-support-resources/fundamentals-exams-study-resources/f9/technical-articles/advanced-investment-appraisal.html" TargetMode="External"/><Relationship Id="rId32" Type="http://schemas.openxmlformats.org/officeDocument/2006/relationships/hyperlink" Target="https://www.ihgplc.com/en/investors/debt-investor" TargetMode="External"/><Relationship Id="rId37" Type="http://schemas.openxmlformats.org/officeDocument/2006/relationships/hyperlink" Target="https://doi.org/10.1002/ijfe.1883" TargetMode="External"/><Relationship Id="rId40" Type="http://schemas.openxmlformats.org/officeDocument/2006/relationships/hyperlink" Target="https://www.oecd.org/en/topics/sub-issues/global-minimum-tax/global-anti-base-erosion-model-rules-pillar-two.html"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s://www.accaglobal.com/gb/en/student/exam-support-resources/foundation-level-study-resources/ffm/ffm-technical-articles/the-internal-rate-of-return.html" TargetMode="External"/><Relationship Id="rId28" Type="http://schemas.openxmlformats.org/officeDocument/2006/relationships/hyperlink" Target="https://www.ihgplc.com/en/investors/2021-annual-report" TargetMode="External"/><Relationship Id="rId36" Type="http://schemas.openxmlformats.org/officeDocument/2006/relationships/hyperlink" Target="https://www.ethicsboard.org/focus-areas/technology-ethics-independence-considerations" TargetMode="Externa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hyperlink" Target="https://www.ihgplc.com/~/media/Files/I/Ihg-Plc/investors/annual-report/2025/ihg-ar25-interactive.pdf"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hyperlink" Target="https://www.accaglobal.com/gb/en/student/exam-support-resources/fundamentals-exams-study-resources/f2/technical-articles/ratio-analysis.html" TargetMode="External"/><Relationship Id="rId27" Type="http://schemas.openxmlformats.org/officeDocument/2006/relationships/hyperlink" Target="https://ico.org.uk/for-organisations/uk-gdpr-guidance-and-resources/artificial-intelligence/guidance-on-ai-and-data-protection/about-this-guidance/" TargetMode="External"/><Relationship Id="rId30" Type="http://schemas.openxmlformats.org/officeDocument/2006/relationships/hyperlink" Target="https://www.ihgplc.com/~/media/Files/I/Ihg-Plc/investors/annual-report/2024/ihg-ar-2024.pdf" TargetMode="External"/><Relationship Id="rId35" Type="http://schemas.openxmlformats.org/officeDocument/2006/relationships/hyperlink" Target="https://www.ihgplc.com/en/about-us/how-our-business-works"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yperlink" Target="https://www.accaglobal.com/gb/en/student/exam-support-resources/fundamentals-exams-study-resources/f9/technical-articles/wcm.html" TargetMode="External"/><Relationship Id="rId33" Type="http://schemas.openxmlformats.org/officeDocument/2006/relationships/hyperlink" Target="https://www.ihgplc.com/en/news-and-media/news-releases/2026/full-year-results-for-the-year-to-31-dec-2025" TargetMode="External"/><Relationship Id="rId38" Type="http://schemas.openxmlformats.org/officeDocument/2006/relationships/hyperlink" Target="https://help.openai.com/en/articles/7730893-data-controls-faq" TargetMode="External"/><Relationship Id="rId20" Type="http://schemas.openxmlformats.org/officeDocument/2006/relationships/chart" Target="charts/chart11.xml"/><Relationship Id="rId41" Type="http://schemas.openxmlformats.org/officeDocument/2006/relationships/hyperlink" Target="https://sri360.com/wp-content/uploads/2022/10/NYU-RAM_ESG-Paper_2021-2.pdf"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HP\Desktop\FILE\IHG_Five_Year_Financial_Performance_2021_2025.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HP\Desktop\FILE\IHG_Five_Year_Financial_Performance_2021_2025.xlsx"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P\Desktop\FILE\IHG_Five_Year_Financial_Performance_2021_2025.xlsx"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HP\Desktop\FILE\IHG_Gearing_Investor_Returns_Cash_Flow_Charts_2021_2025.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HP\Desktop\FILE\IHG_Gearing_Investor_Returns_Cash_Flow_Charts_2021_2025.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HP\Desktop\FILE\IHG_Gearing_Investor_Returns_Cash_Flow_Charts_2021_2025.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HP\Desktop\FILE\IHG_Gearing_Investor_Returns_Cash_Flow_Charts_2021_2025.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HP\Desktop\FILE\IHG_Gearing_Investor_Returns_Cash_Flow_Charts_2021_2025.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HP\Desktop\IHG_Investment_Appraisal_Capital_Budgeting.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HP\Desktop\IHG_Investment_Appraisal_Capital_Budgeting.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HP\Desktop\IHG_Investment_Appraisal_Capital_Budgeting.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r>
              <a:rPr lang="en-US" b="1"/>
              <a:t>IHG Revenue and Profit Performance, 2021–2025</a:t>
            </a:r>
          </a:p>
        </c:rich>
      </c:tx>
      <c:overlay val="0"/>
      <c:spPr>
        <a:noFill/>
        <a:ln>
          <a:noFill/>
        </a:ln>
        <a:effectLst/>
      </c:spPr>
    </c:title>
    <c:autoTitleDeleted val="0"/>
    <c:plotArea>
      <c:layout/>
      <c:barChart>
        <c:barDir val="col"/>
        <c:grouping val="clustered"/>
        <c:varyColors val="0"/>
        <c:ser>
          <c:idx val="0"/>
          <c:order val="0"/>
          <c:tx>
            <c:v>Revenue</c:v>
          </c:tx>
          <c:spPr>
            <a:solidFill>
              <a:srgbClr val="C0504D"/>
            </a:solidFill>
            <a:ln>
              <a:noFill/>
            </a:ln>
            <a:effectLst/>
          </c:spPr>
          <c:invertIfNegative val="1"/>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12700" cap="flat" cmpd="sng" algn="ctr">
                      <a:solidFill>
                        <a:schemeClr val="tx1"/>
                      </a:solidFill>
                      <a:prstDash val="solid"/>
                      <a:round/>
                    </a:ln>
                    <a:effectLst/>
                  </c:spPr>
                </c15:leaderLines>
              </c:ext>
            </c:extLst>
          </c:dLbls>
          <c:cat>
            <c:numRef>
              <c:f>'IHG Financial Performance'!$A$5:$A$9</c:f>
              <c:numCache>
                <c:formatCode>0</c:formatCode>
                <c:ptCount val="5"/>
                <c:pt idx="0">
                  <c:v>2021</c:v>
                </c:pt>
                <c:pt idx="1">
                  <c:v>2022</c:v>
                </c:pt>
                <c:pt idx="2">
                  <c:v>2023</c:v>
                </c:pt>
                <c:pt idx="3">
                  <c:v>2024</c:v>
                </c:pt>
                <c:pt idx="4">
                  <c:v>2025</c:v>
                </c:pt>
              </c:numCache>
            </c:numRef>
          </c:cat>
          <c:val>
            <c:numRef>
              <c:f>'IHG Financial Performance'!$B$5:$B$9</c:f>
              <c:numCache>
                <c:formatCode>#,##0;[Red]\(#,##0\);\-</c:formatCode>
                <c:ptCount val="5"/>
                <c:pt idx="0">
                  <c:v>2907</c:v>
                </c:pt>
                <c:pt idx="1">
                  <c:v>3892</c:v>
                </c:pt>
                <c:pt idx="2">
                  <c:v>4624</c:v>
                </c:pt>
                <c:pt idx="3">
                  <c:v>4923</c:v>
                </c:pt>
                <c:pt idx="4">
                  <c:v>5189</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0-380F-4C29-B16A-3D4D7A42243A}"/>
            </c:ext>
          </c:extLst>
        </c:ser>
        <c:ser>
          <c:idx val="1"/>
          <c:order val="1"/>
          <c:tx>
            <c:v>Operating profit</c:v>
          </c:tx>
          <c:spPr>
            <a:solidFill>
              <a:srgbClr val="8064A2"/>
            </a:solidFill>
            <a:ln>
              <a:noFill/>
            </a:ln>
            <a:effectLst/>
          </c:spPr>
          <c:invertIfNegative val="1"/>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12700" cap="flat" cmpd="sng" algn="ctr">
                      <a:solidFill>
                        <a:schemeClr val="tx1"/>
                      </a:solidFill>
                      <a:prstDash val="solid"/>
                      <a:round/>
                    </a:ln>
                    <a:effectLst/>
                  </c:spPr>
                </c15:leaderLines>
              </c:ext>
            </c:extLst>
          </c:dLbls>
          <c:cat>
            <c:numRef>
              <c:f>'IHG Financial Performance'!$A$5:$A$9</c:f>
              <c:numCache>
                <c:formatCode>0</c:formatCode>
                <c:ptCount val="5"/>
                <c:pt idx="0">
                  <c:v>2021</c:v>
                </c:pt>
                <c:pt idx="1">
                  <c:v>2022</c:v>
                </c:pt>
                <c:pt idx="2">
                  <c:v>2023</c:v>
                </c:pt>
                <c:pt idx="3">
                  <c:v>2024</c:v>
                </c:pt>
                <c:pt idx="4">
                  <c:v>2025</c:v>
                </c:pt>
              </c:numCache>
            </c:numRef>
          </c:cat>
          <c:val>
            <c:numRef>
              <c:f>'IHG Financial Performance'!$C$5:$C$9</c:f>
              <c:numCache>
                <c:formatCode>#,##0;[Red]\(#,##0\);\-</c:formatCode>
                <c:ptCount val="5"/>
                <c:pt idx="0">
                  <c:v>494</c:v>
                </c:pt>
                <c:pt idx="1">
                  <c:v>628</c:v>
                </c:pt>
                <c:pt idx="2">
                  <c:v>1066</c:v>
                </c:pt>
                <c:pt idx="3">
                  <c:v>1041</c:v>
                </c:pt>
                <c:pt idx="4">
                  <c:v>1198</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1-380F-4C29-B16A-3D4D7A42243A}"/>
            </c:ext>
          </c:extLst>
        </c:ser>
        <c:ser>
          <c:idx val="2"/>
          <c:order val="2"/>
          <c:tx>
            <c:v>Profit after tax</c:v>
          </c:tx>
          <c:spPr>
            <a:solidFill>
              <a:srgbClr val="F79646"/>
            </a:solidFill>
            <a:ln>
              <a:noFill/>
            </a:ln>
            <a:effectLst/>
          </c:spPr>
          <c:invertIfNegative val="1"/>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12700" cap="flat" cmpd="sng" algn="ctr">
                      <a:solidFill>
                        <a:schemeClr val="tx1"/>
                      </a:solidFill>
                      <a:prstDash val="solid"/>
                      <a:round/>
                    </a:ln>
                    <a:effectLst/>
                  </c:spPr>
                </c15:leaderLines>
              </c:ext>
            </c:extLst>
          </c:dLbls>
          <c:cat>
            <c:numRef>
              <c:f>'IHG Financial Performance'!$A$5:$A$9</c:f>
              <c:numCache>
                <c:formatCode>0</c:formatCode>
                <c:ptCount val="5"/>
                <c:pt idx="0">
                  <c:v>2021</c:v>
                </c:pt>
                <c:pt idx="1">
                  <c:v>2022</c:v>
                </c:pt>
                <c:pt idx="2">
                  <c:v>2023</c:v>
                </c:pt>
                <c:pt idx="3">
                  <c:v>2024</c:v>
                </c:pt>
                <c:pt idx="4">
                  <c:v>2025</c:v>
                </c:pt>
              </c:numCache>
            </c:numRef>
          </c:cat>
          <c:val>
            <c:numRef>
              <c:f>'IHG Financial Performance'!$D$5:$D$9</c:f>
              <c:numCache>
                <c:formatCode>#,##0;[Red]\(#,##0\);\-</c:formatCode>
                <c:ptCount val="5"/>
                <c:pt idx="0">
                  <c:v>265</c:v>
                </c:pt>
                <c:pt idx="1">
                  <c:v>376</c:v>
                </c:pt>
                <c:pt idx="2">
                  <c:v>750</c:v>
                </c:pt>
                <c:pt idx="3">
                  <c:v>628</c:v>
                </c:pt>
                <c:pt idx="4">
                  <c:v>759</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2-380F-4C29-B16A-3D4D7A42243A}"/>
            </c:ext>
          </c:extLst>
        </c:ser>
        <c:dLbls>
          <c:dLblPos val="outEnd"/>
          <c:showLegendKey val="0"/>
          <c:showVal val="1"/>
          <c:showCatName val="0"/>
          <c:showSerName val="0"/>
          <c:showPercent val="0"/>
          <c:showBubbleSize val="0"/>
        </c:dLbls>
        <c:gapWidth val="150"/>
        <c:axId val="48650112"/>
        <c:axId val="48672768"/>
      </c:barChart>
      <c:catAx>
        <c:axId val="48650112"/>
        <c:scaling>
          <c:orientation val="minMax"/>
        </c:scaling>
        <c:delete val="0"/>
        <c:axPos val="b"/>
        <c:majorGridlines>
          <c:spPr>
            <a:ln w="9525" cap="flat" cmpd="sng" algn="ctr">
              <a:solidFill>
                <a:srgbClr val="CCCCCC"/>
              </a:solidFill>
              <a:prstDash val="dash"/>
              <a:round/>
            </a:ln>
            <a:effectLst/>
          </c:spPr>
        </c:majorGridlines>
        <c:title>
          <c:tx>
            <c:rich>
              <a:bodyPr rot="0" spcFirstLastPara="1" vertOverflow="ellipsis" vert="horz" wrap="square" anchor="ctr" anchorCtr="1"/>
              <a:lstStyle/>
              <a:p>
                <a:r>
                  <a:rPr lang="en-US" sz="825" b="1"/>
                  <a:t>Financial year</a:t>
                </a:r>
              </a:p>
            </c:rich>
          </c:tx>
          <c:overlay val="0"/>
          <c:spPr>
            <a:noFill/>
            <a:ln>
              <a:noFill/>
            </a:ln>
            <a:effectLst/>
          </c:spPr>
        </c:title>
        <c:numFmt formatCode="0" sourceLinked="1"/>
        <c:majorTickMark val="none"/>
        <c:minorTickMark val="none"/>
        <c:tickLblPos val="nextTo"/>
        <c:spPr>
          <a:noFill/>
          <a:ln w="12700" cap="flat" cmpd="sng" algn="ctr">
            <a:solidFill>
              <a:schemeClr val="tx1">
                <a:tint val="75000"/>
              </a:schemeClr>
            </a:solidFill>
            <a:prstDash val="solid"/>
            <a:round/>
          </a:ln>
          <a:effectLst/>
        </c:spPr>
        <c:txPr>
          <a:bodyPr rot="-60000000" spcFirstLastPara="1" vertOverflow="ellipsis" vert="horz" wrap="square" anchor="ctr" anchorCtr="1"/>
          <a:lstStyle/>
          <a:p>
            <a:pPr>
              <a:defRPr sz="750" b="0" i="0" u="none" strike="noStrike" kern="1200" baseline="0">
                <a:solidFill>
                  <a:schemeClr val="tx1"/>
                </a:solidFill>
                <a:latin typeface="+mn-lt"/>
                <a:ea typeface="+mn-ea"/>
                <a:cs typeface="+mn-cs"/>
              </a:defRPr>
            </a:pPr>
            <a:endParaRPr lang="en-US"/>
          </a:p>
        </c:txPr>
        <c:crossAx val="48672768"/>
        <c:crosses val="autoZero"/>
        <c:auto val="1"/>
        <c:lblAlgn val="ctr"/>
        <c:lblOffset val="100"/>
        <c:noMultiLvlLbl val="0"/>
      </c:catAx>
      <c:valAx>
        <c:axId val="48672768"/>
        <c:scaling>
          <c:orientation val="minMax"/>
        </c:scaling>
        <c:delete val="0"/>
        <c:axPos val="l"/>
        <c:majorGridlines>
          <c:spPr>
            <a:ln w="9525" cap="flat" cmpd="sng" algn="ctr">
              <a:solidFill>
                <a:srgbClr val="CCCCCC"/>
              </a:solidFill>
              <a:prstDash val="dash"/>
              <a:round/>
            </a:ln>
            <a:effectLst/>
          </c:spPr>
        </c:majorGridlines>
        <c:title>
          <c:tx>
            <c:rich>
              <a:bodyPr rot="-5400000" spcFirstLastPara="1" vertOverflow="ellipsis" vert="horz" wrap="square" anchor="ctr" anchorCtr="1"/>
              <a:lstStyle/>
              <a:p>
                <a:r>
                  <a:rPr lang="en-US" sz="825" b="1"/>
                  <a:t>US$ million</a:t>
                </a:r>
              </a:p>
            </c:rich>
          </c:tx>
          <c:overlay val="0"/>
          <c:spPr>
            <a:noFill/>
            <a:ln>
              <a:noFill/>
            </a:ln>
            <a:effectLst/>
          </c:spPr>
        </c:title>
        <c:numFmt formatCode="#,##0" sourceLinked="0"/>
        <c:majorTickMark val="none"/>
        <c:minorTickMark val="none"/>
        <c:tickLblPos val="nextTo"/>
        <c:spPr>
          <a:noFill/>
          <a:ln w="1270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8650112"/>
        <c:crosses val="autoZero"/>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legend>
    <c:plotVisOnly val="1"/>
    <c:dispBlanksAs val="zero"/>
    <c:showDLblsOverMax val="1"/>
  </c:chart>
  <c:spPr>
    <a:solidFill>
      <a:schemeClr val="bg1"/>
    </a:solidFill>
    <a:ln w="9525" cap="flat" cmpd="sng" algn="ctr">
      <a:solidFill>
        <a:srgbClr val="D9D9D9"/>
      </a:solidFill>
      <a:prstDash val="solid"/>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600" b="1" i="0" u="none" strike="noStrike" baseline="0"/>
              <a:t>IHG Profitability and Operating-Efficiency Ratios, 2021–2025</a:t>
            </a:r>
            <a:endParaRPr lang="en-US" sz="1600"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Operating margin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2021</c:v>
                </c:pt>
                <c:pt idx="1">
                  <c:v>2022</c:v>
                </c:pt>
                <c:pt idx="2">
                  <c:v>2023</c:v>
                </c:pt>
                <c:pt idx="3">
                  <c:v>2024</c:v>
                </c:pt>
                <c:pt idx="4">
                  <c:v>2025</c:v>
                </c:pt>
              </c:numCache>
            </c:numRef>
          </c:cat>
          <c:val>
            <c:numRef>
              <c:f>Sheet1!$B$2:$B$6</c:f>
              <c:numCache>
                <c:formatCode>General</c:formatCode>
                <c:ptCount val="5"/>
                <c:pt idx="0">
                  <c:v>16.989999999999998</c:v>
                </c:pt>
                <c:pt idx="1">
                  <c:v>16.14</c:v>
                </c:pt>
                <c:pt idx="2">
                  <c:v>23.05</c:v>
                </c:pt>
                <c:pt idx="3">
                  <c:v>21.15</c:v>
                </c:pt>
                <c:pt idx="4">
                  <c:v>23.09</c:v>
                </c:pt>
              </c:numCache>
            </c:numRef>
          </c:val>
          <c:extLst>
            <c:ext xmlns:c16="http://schemas.microsoft.com/office/drawing/2014/chart" uri="{C3380CC4-5D6E-409C-BE32-E72D297353CC}">
              <c16:uniqueId val="{00000000-9C4B-40FC-9441-D908D0BD586C}"/>
            </c:ext>
          </c:extLst>
        </c:ser>
        <c:ser>
          <c:idx val="1"/>
          <c:order val="1"/>
          <c:tx>
            <c:strRef>
              <c:f>Sheet1!$C$1</c:f>
              <c:strCache>
                <c:ptCount val="1"/>
                <c:pt idx="0">
                  <c:v>Net profit margin (%)</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2021</c:v>
                </c:pt>
                <c:pt idx="1">
                  <c:v>2022</c:v>
                </c:pt>
                <c:pt idx="2">
                  <c:v>2023</c:v>
                </c:pt>
                <c:pt idx="3">
                  <c:v>2024</c:v>
                </c:pt>
                <c:pt idx="4">
                  <c:v>2025</c:v>
                </c:pt>
              </c:numCache>
            </c:numRef>
          </c:cat>
          <c:val>
            <c:numRef>
              <c:f>Sheet1!$C$2:$C$6</c:f>
              <c:numCache>
                <c:formatCode>General</c:formatCode>
                <c:ptCount val="5"/>
                <c:pt idx="0">
                  <c:v>9.1199999999999992</c:v>
                </c:pt>
                <c:pt idx="1">
                  <c:v>9.66</c:v>
                </c:pt>
                <c:pt idx="2">
                  <c:v>16.22</c:v>
                </c:pt>
                <c:pt idx="3">
                  <c:v>12.76</c:v>
                </c:pt>
                <c:pt idx="4">
                  <c:v>14.63</c:v>
                </c:pt>
              </c:numCache>
            </c:numRef>
          </c:val>
          <c:extLst>
            <c:ext xmlns:c16="http://schemas.microsoft.com/office/drawing/2014/chart" uri="{C3380CC4-5D6E-409C-BE32-E72D297353CC}">
              <c16:uniqueId val="{00000001-9C4B-40FC-9441-D908D0BD586C}"/>
            </c:ext>
          </c:extLst>
        </c:ser>
        <c:ser>
          <c:idx val="2"/>
          <c:order val="2"/>
          <c:tx>
            <c:strRef>
              <c:f>Sheet1!$D$1</c:f>
              <c:strCache>
                <c:ptCount val="1"/>
                <c:pt idx="0">
                  <c:v>Return on average assets (%)</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2021</c:v>
                </c:pt>
                <c:pt idx="1">
                  <c:v>2022</c:v>
                </c:pt>
                <c:pt idx="2">
                  <c:v>2023</c:v>
                </c:pt>
                <c:pt idx="3">
                  <c:v>2024</c:v>
                </c:pt>
                <c:pt idx="4">
                  <c:v>2025</c:v>
                </c:pt>
              </c:numCache>
            </c:numRef>
          </c:cat>
          <c:val>
            <c:numRef>
              <c:f>Sheet1!$D$2:$D$6</c:f>
              <c:numCache>
                <c:formatCode>General</c:formatCode>
                <c:ptCount val="5"/>
                <c:pt idx="0">
                  <c:v>5.43</c:v>
                </c:pt>
                <c:pt idx="1">
                  <c:v>8.42</c:v>
                </c:pt>
                <c:pt idx="2">
                  <c:v>16.61</c:v>
                </c:pt>
                <c:pt idx="3">
                  <c:v>13.14</c:v>
                </c:pt>
                <c:pt idx="4">
                  <c:v>15.04</c:v>
                </c:pt>
              </c:numCache>
            </c:numRef>
          </c:val>
          <c:extLst>
            <c:ext xmlns:c16="http://schemas.microsoft.com/office/drawing/2014/chart" uri="{C3380CC4-5D6E-409C-BE32-E72D297353CC}">
              <c16:uniqueId val="{00000002-9C4B-40FC-9441-D908D0BD586C}"/>
            </c:ext>
          </c:extLst>
        </c:ser>
        <c:ser>
          <c:idx val="3"/>
          <c:order val="3"/>
          <c:tx>
            <c:strRef>
              <c:f>Sheet1!$E$1</c:f>
              <c:strCache>
                <c:ptCount val="1"/>
                <c:pt idx="0">
                  <c:v>Asset turnover (times)</c:v>
                </c:pt>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2021</c:v>
                </c:pt>
                <c:pt idx="1">
                  <c:v>2022</c:v>
                </c:pt>
                <c:pt idx="2">
                  <c:v>2023</c:v>
                </c:pt>
                <c:pt idx="3">
                  <c:v>2024</c:v>
                </c:pt>
                <c:pt idx="4">
                  <c:v>2025</c:v>
                </c:pt>
              </c:numCache>
            </c:numRef>
          </c:cat>
          <c:val>
            <c:numRef>
              <c:f>Sheet1!$E$2:$E$6</c:f>
              <c:numCache>
                <c:formatCode>General</c:formatCode>
                <c:ptCount val="5"/>
                <c:pt idx="0">
                  <c:v>0.6</c:v>
                </c:pt>
                <c:pt idx="1">
                  <c:v>0.87</c:v>
                </c:pt>
                <c:pt idx="2">
                  <c:v>1.02</c:v>
                </c:pt>
                <c:pt idx="3">
                  <c:v>1.03</c:v>
                </c:pt>
                <c:pt idx="4">
                  <c:v>1.03</c:v>
                </c:pt>
              </c:numCache>
            </c:numRef>
          </c:val>
          <c:extLst>
            <c:ext xmlns:c16="http://schemas.microsoft.com/office/drawing/2014/chart" uri="{C3380CC4-5D6E-409C-BE32-E72D297353CC}">
              <c16:uniqueId val="{00000003-9C4B-40FC-9441-D908D0BD586C}"/>
            </c:ext>
          </c:extLst>
        </c:ser>
        <c:ser>
          <c:idx val="4"/>
          <c:order val="4"/>
          <c:tx>
            <c:strRef>
              <c:f>Sheet1!$F$1</c:f>
              <c:strCache>
                <c:ptCount val="1"/>
                <c:pt idx="0">
                  <c:v>Receivables turnover (times)</c:v>
                </c:pt>
              </c:strCache>
            </c:strRef>
          </c:tx>
          <c:spPr>
            <a:solidFill>
              <a:schemeClr val="accent4">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2021</c:v>
                </c:pt>
                <c:pt idx="1">
                  <c:v>2022</c:v>
                </c:pt>
                <c:pt idx="2">
                  <c:v>2023</c:v>
                </c:pt>
                <c:pt idx="3">
                  <c:v>2024</c:v>
                </c:pt>
                <c:pt idx="4">
                  <c:v>2025</c:v>
                </c:pt>
              </c:numCache>
            </c:numRef>
          </c:cat>
          <c:val>
            <c:numRef>
              <c:f>Sheet1!$F$2:$F$6</c:f>
              <c:numCache>
                <c:formatCode>General</c:formatCode>
                <c:ptCount val="5"/>
                <c:pt idx="0">
                  <c:v>5.34</c:v>
                </c:pt>
                <c:pt idx="1">
                  <c:v>6.38</c:v>
                </c:pt>
                <c:pt idx="2">
                  <c:v>6.67</c:v>
                </c:pt>
                <c:pt idx="3">
                  <c:v>6.46</c:v>
                </c:pt>
                <c:pt idx="4">
                  <c:v>6.41</c:v>
                </c:pt>
              </c:numCache>
            </c:numRef>
          </c:val>
          <c:extLst>
            <c:ext xmlns:c16="http://schemas.microsoft.com/office/drawing/2014/chart" uri="{C3380CC4-5D6E-409C-BE32-E72D297353CC}">
              <c16:uniqueId val="{00000004-9C4B-40FC-9441-D908D0BD586C}"/>
            </c:ext>
          </c:extLst>
        </c:ser>
        <c:ser>
          <c:idx val="5"/>
          <c:order val="5"/>
          <c:tx>
            <c:strRef>
              <c:f>Sheet1!$G$1</c:f>
              <c:strCache>
                <c:ptCount val="1"/>
                <c:pt idx="0">
                  <c:v>Collection period (days)</c:v>
                </c:pt>
              </c:strCache>
            </c:strRef>
          </c:tx>
          <c:spPr>
            <a:solidFill>
              <a:schemeClr val="accent6">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2021</c:v>
                </c:pt>
                <c:pt idx="1">
                  <c:v>2022</c:v>
                </c:pt>
                <c:pt idx="2">
                  <c:v>2023</c:v>
                </c:pt>
                <c:pt idx="3">
                  <c:v>2024</c:v>
                </c:pt>
                <c:pt idx="4">
                  <c:v>2025</c:v>
                </c:pt>
              </c:numCache>
            </c:numRef>
          </c:cat>
          <c:val>
            <c:numRef>
              <c:f>Sheet1!$G$2:$G$6</c:f>
              <c:numCache>
                <c:formatCode>General</c:formatCode>
                <c:ptCount val="5"/>
                <c:pt idx="0">
                  <c:v>68.3</c:v>
                </c:pt>
                <c:pt idx="1">
                  <c:v>57.21</c:v>
                </c:pt>
                <c:pt idx="2">
                  <c:v>54.7</c:v>
                </c:pt>
                <c:pt idx="3">
                  <c:v>56.53</c:v>
                </c:pt>
                <c:pt idx="4">
                  <c:v>56.91</c:v>
                </c:pt>
              </c:numCache>
            </c:numRef>
          </c:val>
          <c:extLst>
            <c:ext xmlns:c16="http://schemas.microsoft.com/office/drawing/2014/chart" uri="{C3380CC4-5D6E-409C-BE32-E72D297353CC}">
              <c16:uniqueId val="{00000005-9C4B-40FC-9441-D908D0BD586C}"/>
            </c:ext>
          </c:extLst>
        </c:ser>
        <c:dLbls>
          <c:dLblPos val="outEnd"/>
          <c:showLegendKey val="0"/>
          <c:showVal val="1"/>
          <c:showCatName val="0"/>
          <c:showSerName val="0"/>
          <c:showPercent val="0"/>
          <c:showBubbleSize val="0"/>
        </c:dLbls>
        <c:gapWidth val="219"/>
        <c:overlap val="-27"/>
        <c:axId val="1854595663"/>
        <c:axId val="1854618223"/>
      </c:barChart>
      <c:catAx>
        <c:axId val="18545956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4618223"/>
        <c:crosses val="autoZero"/>
        <c:auto val="1"/>
        <c:lblAlgn val="ctr"/>
        <c:lblOffset val="100"/>
        <c:noMultiLvlLbl val="0"/>
      </c:catAx>
      <c:valAx>
        <c:axId val="18546182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45956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t>IHG Liquidity and Working-Capital Position, 2021–2025</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Sheet2!$B$1</c:f>
              <c:strCache>
                <c:ptCount val="1"/>
                <c:pt idx="0">
                  <c:v>Net working capital ($m)</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Sheet2!$A$2:$A$6</c:f>
              <c:numCache>
                <c:formatCode>General</c:formatCode>
                <c:ptCount val="5"/>
                <c:pt idx="0">
                  <c:v>2021</c:v>
                </c:pt>
                <c:pt idx="1">
                  <c:v>2022</c:v>
                </c:pt>
                <c:pt idx="2">
                  <c:v>2023</c:v>
                </c:pt>
                <c:pt idx="3">
                  <c:v>2024</c:v>
                </c:pt>
                <c:pt idx="4">
                  <c:v>2025</c:v>
                </c:pt>
              </c:numCache>
            </c:numRef>
          </c:cat>
          <c:val>
            <c:numRef>
              <c:f>Sheet2!$B$2:$B$6</c:f>
              <c:numCache>
                <c:formatCode>General</c:formatCode>
                <c:ptCount val="5"/>
                <c:pt idx="0">
                  <c:v>442</c:v>
                </c:pt>
                <c:pt idx="1">
                  <c:v>134</c:v>
                </c:pt>
                <c:pt idx="2">
                  <c:v>-61</c:v>
                </c:pt>
                <c:pt idx="3">
                  <c:v>-59</c:v>
                </c:pt>
                <c:pt idx="4">
                  <c:v>-51</c:v>
                </c:pt>
              </c:numCache>
            </c:numRef>
          </c:val>
          <c:extLst>
            <c:ext xmlns:c16="http://schemas.microsoft.com/office/drawing/2014/chart" uri="{C3380CC4-5D6E-409C-BE32-E72D297353CC}">
              <c16:uniqueId val="{00000000-F0F2-46BF-8576-76B24D49D62F}"/>
            </c:ext>
          </c:extLst>
        </c:ser>
        <c:ser>
          <c:idx val="1"/>
          <c:order val="1"/>
          <c:tx>
            <c:strRef>
              <c:f>Sheet2!$C$1</c:f>
              <c:strCache>
                <c:ptCount val="1"/>
                <c:pt idx="0">
                  <c:v>Current ratio</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Sheet2!$A$2:$A$6</c:f>
              <c:numCache>
                <c:formatCode>General</c:formatCode>
                <c:ptCount val="5"/>
                <c:pt idx="0">
                  <c:v>2021</c:v>
                </c:pt>
                <c:pt idx="1">
                  <c:v>2022</c:v>
                </c:pt>
                <c:pt idx="2">
                  <c:v>2023</c:v>
                </c:pt>
                <c:pt idx="3">
                  <c:v>2024</c:v>
                </c:pt>
                <c:pt idx="4">
                  <c:v>2025</c:v>
                </c:pt>
              </c:numCache>
            </c:numRef>
          </c:cat>
          <c:val>
            <c:numRef>
              <c:f>Sheet2!$C$2:$C$6</c:f>
              <c:numCache>
                <c:formatCode>General</c:formatCode>
                <c:ptCount val="5"/>
                <c:pt idx="0">
                  <c:v>1.27</c:v>
                </c:pt>
                <c:pt idx="1">
                  <c:v>1.0900000000000001</c:v>
                </c:pt>
                <c:pt idx="2">
                  <c:v>0.97</c:v>
                </c:pt>
                <c:pt idx="3">
                  <c:v>0.97</c:v>
                </c:pt>
                <c:pt idx="4">
                  <c:v>0.98</c:v>
                </c:pt>
              </c:numCache>
            </c:numRef>
          </c:val>
          <c:extLst>
            <c:ext xmlns:c16="http://schemas.microsoft.com/office/drawing/2014/chart" uri="{C3380CC4-5D6E-409C-BE32-E72D297353CC}">
              <c16:uniqueId val="{00000001-F0F2-46BF-8576-76B24D49D62F}"/>
            </c:ext>
          </c:extLst>
        </c:ser>
        <c:ser>
          <c:idx val="2"/>
          <c:order val="2"/>
          <c:tx>
            <c:strRef>
              <c:f>Sheet2!$D$1</c:f>
              <c:strCache>
                <c:ptCount val="1"/>
                <c:pt idx="0">
                  <c:v>Quick ratio</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Sheet2!$A$2:$A$6</c:f>
              <c:numCache>
                <c:formatCode>General</c:formatCode>
                <c:ptCount val="5"/>
                <c:pt idx="0">
                  <c:v>2021</c:v>
                </c:pt>
                <c:pt idx="1">
                  <c:v>2022</c:v>
                </c:pt>
                <c:pt idx="2">
                  <c:v>2023</c:v>
                </c:pt>
                <c:pt idx="3">
                  <c:v>2024</c:v>
                </c:pt>
                <c:pt idx="4">
                  <c:v>2025</c:v>
                </c:pt>
              </c:numCache>
            </c:numRef>
          </c:cat>
          <c:val>
            <c:numRef>
              <c:f>Sheet2!$D$2:$D$6</c:f>
              <c:numCache>
                <c:formatCode>General</c:formatCode>
                <c:ptCount val="5"/>
                <c:pt idx="0">
                  <c:v>1.27</c:v>
                </c:pt>
                <c:pt idx="1">
                  <c:v>1.08</c:v>
                </c:pt>
                <c:pt idx="2">
                  <c:v>0.97</c:v>
                </c:pt>
                <c:pt idx="3">
                  <c:v>0.97</c:v>
                </c:pt>
                <c:pt idx="4">
                  <c:v>0.97</c:v>
                </c:pt>
              </c:numCache>
            </c:numRef>
          </c:val>
          <c:extLst>
            <c:ext xmlns:c16="http://schemas.microsoft.com/office/drawing/2014/chart" uri="{C3380CC4-5D6E-409C-BE32-E72D297353CC}">
              <c16:uniqueId val="{00000002-F0F2-46BF-8576-76B24D49D62F}"/>
            </c:ext>
          </c:extLst>
        </c:ser>
        <c:ser>
          <c:idx val="3"/>
          <c:order val="3"/>
          <c:tx>
            <c:strRef>
              <c:f>Sheet2!$E$1</c:f>
              <c:strCache>
                <c:ptCount val="1"/>
                <c:pt idx="0">
                  <c:v>Cash ratio</c:v>
                </c:pt>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Sheet2!$A$2:$A$6</c:f>
              <c:numCache>
                <c:formatCode>General</c:formatCode>
                <c:ptCount val="5"/>
                <c:pt idx="0">
                  <c:v>2021</c:v>
                </c:pt>
                <c:pt idx="1">
                  <c:v>2022</c:v>
                </c:pt>
                <c:pt idx="2">
                  <c:v>2023</c:v>
                </c:pt>
                <c:pt idx="3">
                  <c:v>2024</c:v>
                </c:pt>
                <c:pt idx="4">
                  <c:v>2025</c:v>
                </c:pt>
              </c:numCache>
            </c:numRef>
          </c:cat>
          <c:val>
            <c:numRef>
              <c:f>Sheet2!$E$2:$E$6</c:f>
              <c:numCache>
                <c:formatCode>General</c:formatCode>
                <c:ptCount val="5"/>
                <c:pt idx="0">
                  <c:v>0.89</c:v>
                </c:pt>
                <c:pt idx="1">
                  <c:v>0.63</c:v>
                </c:pt>
                <c:pt idx="2">
                  <c:v>0.6</c:v>
                </c:pt>
                <c:pt idx="3">
                  <c:v>0.52</c:v>
                </c:pt>
                <c:pt idx="4">
                  <c:v>0.54</c:v>
                </c:pt>
              </c:numCache>
            </c:numRef>
          </c:val>
          <c:extLst>
            <c:ext xmlns:c16="http://schemas.microsoft.com/office/drawing/2014/chart" uri="{C3380CC4-5D6E-409C-BE32-E72D297353CC}">
              <c16:uniqueId val="{00000003-F0F2-46BF-8576-76B24D49D62F}"/>
            </c:ext>
          </c:extLst>
        </c:ser>
        <c:ser>
          <c:idx val="4"/>
          <c:order val="4"/>
          <c:tx>
            <c:strRef>
              <c:f>Sheet2!$F$1</c:f>
              <c:strCache>
                <c:ptCount val="1"/>
                <c:pt idx="0">
                  <c:v>Operating cash flow ($m)</c:v>
                </c:pt>
              </c:strCache>
            </c:strRef>
          </c:tx>
          <c:spPr>
            <a:solidFill>
              <a:schemeClr val="accent4">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Sheet2!$A$2:$A$6</c:f>
              <c:numCache>
                <c:formatCode>General</c:formatCode>
                <c:ptCount val="5"/>
                <c:pt idx="0">
                  <c:v>2021</c:v>
                </c:pt>
                <c:pt idx="1">
                  <c:v>2022</c:v>
                </c:pt>
                <c:pt idx="2">
                  <c:v>2023</c:v>
                </c:pt>
                <c:pt idx="3">
                  <c:v>2024</c:v>
                </c:pt>
                <c:pt idx="4">
                  <c:v>2025</c:v>
                </c:pt>
              </c:numCache>
            </c:numRef>
          </c:cat>
          <c:val>
            <c:numRef>
              <c:f>Sheet2!$F$2:$F$6</c:f>
              <c:numCache>
                <c:formatCode>General</c:formatCode>
                <c:ptCount val="5"/>
                <c:pt idx="0">
                  <c:v>636</c:v>
                </c:pt>
                <c:pt idx="1">
                  <c:v>646</c:v>
                </c:pt>
                <c:pt idx="2">
                  <c:v>893</c:v>
                </c:pt>
                <c:pt idx="3">
                  <c:v>724</c:v>
                </c:pt>
                <c:pt idx="4">
                  <c:v>898</c:v>
                </c:pt>
              </c:numCache>
            </c:numRef>
          </c:val>
          <c:extLst>
            <c:ext xmlns:c16="http://schemas.microsoft.com/office/drawing/2014/chart" uri="{C3380CC4-5D6E-409C-BE32-E72D297353CC}">
              <c16:uniqueId val="{00000004-F0F2-46BF-8576-76B24D49D62F}"/>
            </c:ext>
          </c:extLst>
        </c:ser>
        <c:dLbls>
          <c:dLblPos val="outEnd"/>
          <c:showLegendKey val="0"/>
          <c:showVal val="1"/>
          <c:showCatName val="0"/>
          <c:showSerName val="0"/>
          <c:showPercent val="0"/>
          <c:showBubbleSize val="0"/>
        </c:dLbls>
        <c:gapWidth val="219"/>
        <c:overlap val="-27"/>
        <c:axId val="1854536623"/>
        <c:axId val="1854540463"/>
      </c:barChart>
      <c:catAx>
        <c:axId val="18545366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4540463"/>
        <c:crosses val="autoZero"/>
        <c:auto val="1"/>
        <c:lblAlgn val="ctr"/>
        <c:lblOffset val="100"/>
        <c:noMultiLvlLbl val="0"/>
      </c:catAx>
      <c:valAx>
        <c:axId val="18545404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45366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r>
              <a:rPr lang="en-US" b="1"/>
              <a:t>IHG Gearing and Leverage, 2021–2025</a:t>
            </a:r>
          </a:p>
        </c:rich>
      </c:tx>
      <c:overlay val="0"/>
      <c:spPr>
        <a:noFill/>
        <a:ln>
          <a:noFill/>
        </a:ln>
        <a:effectLst/>
      </c:spPr>
    </c:title>
    <c:autoTitleDeleted val="0"/>
    <c:plotArea>
      <c:layout/>
      <c:lineChart>
        <c:grouping val="standard"/>
        <c:varyColors val="1"/>
        <c:ser>
          <c:idx val="0"/>
          <c:order val="0"/>
          <c:tx>
            <c:v>Debt-to-assets</c:v>
          </c:tx>
          <c:spPr>
            <a:ln w="38100" cap="rnd" cmpd="sng" algn="ctr">
              <a:solidFill>
                <a:schemeClr val="accent2"/>
              </a:solidFill>
              <a:prstDash val="solid"/>
              <a:round/>
            </a:ln>
            <a:effectLst/>
          </c:spPr>
          <c:marker>
            <c:spPr>
              <a:solidFill>
                <a:schemeClr val="accent2"/>
              </a:solidFill>
              <a:ln w="12700" cap="flat" cmpd="sng" algn="ctr">
                <a:solidFill>
                  <a:schemeClr val="accent2"/>
                </a:solidFill>
                <a:prstDash val="solid"/>
                <a:round/>
              </a:ln>
              <a:effectLst/>
            </c:spPr>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12700" cap="flat" cmpd="sng" algn="ctr">
                      <a:solidFill>
                        <a:schemeClr val="tx1"/>
                      </a:solidFill>
                      <a:prstDash val="solid"/>
                      <a:round/>
                    </a:ln>
                    <a:effectLst/>
                  </c:spPr>
                </c15:leaderLines>
              </c:ext>
            </c:extLst>
          </c:dLbls>
          <c:cat>
            <c:numRef>
              <c:f>Data!$A$5:$A$9</c:f>
              <c:numCache>
                <c:formatCode>General</c:formatCode>
                <c:ptCount val="5"/>
                <c:pt idx="0">
                  <c:v>2021</c:v>
                </c:pt>
                <c:pt idx="1">
                  <c:v>2022</c:v>
                </c:pt>
                <c:pt idx="2">
                  <c:v>2023</c:v>
                </c:pt>
                <c:pt idx="3">
                  <c:v>2024</c:v>
                </c:pt>
                <c:pt idx="4">
                  <c:v>2025</c:v>
                </c:pt>
              </c:numCache>
            </c:numRef>
          </c:cat>
          <c:val>
            <c:numRef>
              <c:f>Data!$B$5:$B$9</c:f>
              <c:numCache>
                <c:formatCode>0.00"%"</c:formatCode>
                <c:ptCount val="5"/>
                <c:pt idx="0">
                  <c:v>69.209999999999994</c:v>
                </c:pt>
                <c:pt idx="1">
                  <c:v>66.959999999999994</c:v>
                </c:pt>
                <c:pt idx="2">
                  <c:v>74.63</c:v>
                </c:pt>
                <c:pt idx="3">
                  <c:v>77.67</c:v>
                </c:pt>
                <c:pt idx="4">
                  <c:v>86.19</c:v>
                </c:pt>
              </c:numCache>
            </c:numRef>
          </c:val>
          <c:smooth val="0"/>
          <c:extLst>
            <c:ext xmlns:c16="http://schemas.microsoft.com/office/drawing/2014/chart" uri="{C3380CC4-5D6E-409C-BE32-E72D297353CC}">
              <c16:uniqueId val="{00000000-E249-4E35-B3CF-6B6DE5144C6B}"/>
            </c:ext>
          </c:extLst>
        </c:ser>
        <c:ser>
          <c:idx val="1"/>
          <c:order val="1"/>
          <c:tx>
            <c:v>Liabilities-to-assets</c:v>
          </c:tx>
          <c:spPr>
            <a:ln w="38100" cap="rnd" cmpd="sng" algn="ctr">
              <a:solidFill>
                <a:schemeClr val="accent4"/>
              </a:solidFill>
              <a:prstDash val="solid"/>
              <a:round/>
            </a:ln>
            <a:effectLst/>
          </c:spPr>
          <c:marker>
            <c:spPr>
              <a:solidFill>
                <a:schemeClr val="accent4"/>
              </a:solidFill>
              <a:ln w="12700" cap="flat" cmpd="sng" algn="ctr">
                <a:solidFill>
                  <a:schemeClr val="accent4"/>
                </a:solidFill>
                <a:prstDash val="solid"/>
                <a:round/>
              </a:ln>
              <a:effectLst/>
            </c:spPr>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12700" cap="flat" cmpd="sng" algn="ctr">
                      <a:solidFill>
                        <a:schemeClr val="tx1"/>
                      </a:solidFill>
                      <a:prstDash val="solid"/>
                      <a:round/>
                    </a:ln>
                    <a:effectLst/>
                  </c:spPr>
                </c15:leaderLines>
              </c:ext>
            </c:extLst>
          </c:dLbls>
          <c:cat>
            <c:numRef>
              <c:f>Data!$A$5:$A$9</c:f>
              <c:numCache>
                <c:formatCode>General</c:formatCode>
                <c:ptCount val="5"/>
                <c:pt idx="0">
                  <c:v>2021</c:v>
                </c:pt>
                <c:pt idx="1">
                  <c:v>2022</c:v>
                </c:pt>
                <c:pt idx="2">
                  <c:v>2023</c:v>
                </c:pt>
                <c:pt idx="3">
                  <c:v>2024</c:v>
                </c:pt>
                <c:pt idx="4">
                  <c:v>2025</c:v>
                </c:pt>
              </c:numCache>
            </c:numRef>
          </c:cat>
          <c:val>
            <c:numRef>
              <c:f>Data!$C$5:$C$9</c:f>
              <c:numCache>
                <c:formatCode>0.00"%"</c:formatCode>
                <c:ptCount val="5"/>
                <c:pt idx="0">
                  <c:v>131.26</c:v>
                </c:pt>
                <c:pt idx="1">
                  <c:v>138.13999999999999</c:v>
                </c:pt>
                <c:pt idx="2">
                  <c:v>140.43</c:v>
                </c:pt>
                <c:pt idx="3">
                  <c:v>148.61000000000001</c:v>
                </c:pt>
                <c:pt idx="4">
                  <c:v>151.19</c:v>
                </c:pt>
              </c:numCache>
            </c:numRef>
          </c:val>
          <c:smooth val="0"/>
          <c:extLst>
            <c:ext xmlns:c16="http://schemas.microsoft.com/office/drawing/2014/chart" uri="{C3380CC4-5D6E-409C-BE32-E72D297353CC}">
              <c16:uniqueId val="{00000001-E249-4E35-B3CF-6B6DE5144C6B}"/>
            </c:ext>
          </c:extLst>
        </c:ser>
        <c:dLbls>
          <c:dLblPos val="t"/>
          <c:showLegendKey val="0"/>
          <c:showVal val="1"/>
          <c:showCatName val="0"/>
          <c:showSerName val="0"/>
          <c:showPercent val="0"/>
          <c:showBubbleSize val="0"/>
        </c:dLbls>
        <c:marker val="1"/>
        <c:smooth val="0"/>
        <c:axId val="48650112"/>
        <c:axId val="48672768"/>
      </c:lineChart>
      <c:catAx>
        <c:axId val="48650112"/>
        <c:scaling>
          <c:orientation val="minMax"/>
        </c:scaling>
        <c:delete val="0"/>
        <c:axPos val="b"/>
        <c:majorGridlines>
          <c:spPr>
            <a:ln w="9525" cap="flat" cmpd="sng" algn="ctr">
              <a:solidFill>
                <a:srgbClr val="CCCCCC"/>
              </a:solidFill>
              <a:prstDash val="dash"/>
              <a:round/>
            </a:ln>
            <a:effectLst/>
          </c:spPr>
        </c:majorGridlines>
        <c:title>
          <c:tx>
            <c:rich>
              <a:bodyPr rot="0" spcFirstLastPara="1" vertOverflow="ellipsis" vert="horz" wrap="square" anchor="ctr" anchorCtr="1"/>
              <a:lstStyle/>
              <a:p>
                <a:r>
                  <a:rPr lang="en-US" sz="825" b="1"/>
                  <a:t>Financial year</a:t>
                </a:r>
              </a:p>
            </c:rich>
          </c:tx>
          <c:overlay val="0"/>
          <c:spPr>
            <a:noFill/>
            <a:ln>
              <a:noFill/>
            </a:ln>
            <a:effectLst/>
          </c:spPr>
        </c:title>
        <c:numFmt formatCode="General" sourceLinked="1"/>
        <c:majorTickMark val="none"/>
        <c:minorTickMark val="none"/>
        <c:tickLblPos val="nextTo"/>
        <c:spPr>
          <a:noFill/>
          <a:ln w="1270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8672768"/>
        <c:crosses val="autoZero"/>
        <c:auto val="1"/>
        <c:lblAlgn val="ctr"/>
        <c:lblOffset val="100"/>
        <c:noMultiLvlLbl val="0"/>
      </c:catAx>
      <c:valAx>
        <c:axId val="48672768"/>
        <c:scaling>
          <c:orientation val="minMax"/>
        </c:scaling>
        <c:delete val="0"/>
        <c:axPos val="l"/>
        <c:majorGridlines>
          <c:spPr>
            <a:ln w="9525" cap="flat" cmpd="sng" algn="ctr">
              <a:solidFill>
                <a:srgbClr val="CCCCCC"/>
              </a:solidFill>
              <a:prstDash val="dash"/>
              <a:round/>
            </a:ln>
            <a:effectLst/>
          </c:spPr>
        </c:majorGridlines>
        <c:title>
          <c:tx>
            <c:rich>
              <a:bodyPr rot="-5400000" spcFirstLastPara="1" vertOverflow="ellipsis" vert="horz" wrap="square" anchor="ctr" anchorCtr="1"/>
              <a:lstStyle/>
              <a:p>
                <a:r>
                  <a:rPr lang="en-US" sz="825" b="1"/>
                  <a:t>Percentage</a:t>
                </a:r>
              </a:p>
            </c:rich>
          </c:tx>
          <c:overlay val="0"/>
          <c:spPr>
            <a:noFill/>
            <a:ln>
              <a:noFill/>
            </a:ln>
            <a:effectLst/>
          </c:spPr>
        </c:title>
        <c:numFmt formatCode="0&quot;%&quot;" sourceLinked="0"/>
        <c:majorTickMark val="none"/>
        <c:minorTickMark val="none"/>
        <c:tickLblPos val="nextTo"/>
        <c:spPr>
          <a:noFill/>
          <a:ln w="1270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8650112"/>
        <c:crosses val="autoZero"/>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legend>
    <c:plotVisOnly val="1"/>
    <c:dispBlanksAs val="zero"/>
    <c:showDLblsOverMax val="1"/>
  </c:chart>
  <c:spPr>
    <a:solidFill>
      <a:schemeClr val="bg1"/>
    </a:solidFill>
    <a:ln w="9525" cap="flat" cmpd="sng" algn="ctr">
      <a:solidFill>
        <a:srgbClr val="D9D9D9"/>
      </a:solidFill>
      <a:prstDash val="solid"/>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r>
              <a:rPr lang="en-US" b="1"/>
              <a:t>IHG Interest and Dividend Cover, 2021–2025</a:t>
            </a:r>
          </a:p>
        </c:rich>
      </c:tx>
      <c:overlay val="0"/>
      <c:spPr>
        <a:noFill/>
        <a:ln>
          <a:noFill/>
        </a:ln>
        <a:effectLst/>
      </c:spPr>
    </c:title>
    <c:autoTitleDeleted val="0"/>
    <c:plotArea>
      <c:layout/>
      <c:lineChart>
        <c:grouping val="standard"/>
        <c:varyColors val="1"/>
        <c:ser>
          <c:idx val="0"/>
          <c:order val="0"/>
          <c:tx>
            <c:v>Interest cover</c:v>
          </c:tx>
          <c:spPr>
            <a:ln w="38100" cap="rnd" cmpd="sng" algn="ctr">
              <a:solidFill>
                <a:schemeClr val="accent2"/>
              </a:solidFill>
              <a:prstDash val="solid"/>
              <a:round/>
            </a:ln>
            <a:effectLst/>
          </c:spPr>
          <c:marker>
            <c:spPr>
              <a:solidFill>
                <a:schemeClr val="accent2"/>
              </a:solidFill>
              <a:ln w="12700" cap="flat" cmpd="sng" algn="ctr">
                <a:solidFill>
                  <a:schemeClr val="accent2"/>
                </a:solidFill>
                <a:prstDash val="solid"/>
                <a:round/>
              </a:ln>
              <a:effectLst/>
            </c:spPr>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12700" cap="flat" cmpd="sng" algn="ctr">
                      <a:solidFill>
                        <a:schemeClr val="tx1"/>
                      </a:solidFill>
                      <a:prstDash val="solid"/>
                      <a:round/>
                    </a:ln>
                    <a:effectLst/>
                  </c:spPr>
                </c15:leaderLines>
              </c:ext>
            </c:extLst>
          </c:dLbls>
          <c:cat>
            <c:numRef>
              <c:f>Data!$A$5:$A$9</c:f>
              <c:numCache>
                <c:formatCode>General</c:formatCode>
                <c:ptCount val="5"/>
                <c:pt idx="0">
                  <c:v>2021</c:v>
                </c:pt>
                <c:pt idx="1">
                  <c:v>2022</c:v>
                </c:pt>
                <c:pt idx="2">
                  <c:v>2023</c:v>
                </c:pt>
                <c:pt idx="3">
                  <c:v>2024</c:v>
                </c:pt>
                <c:pt idx="4">
                  <c:v>2025</c:v>
                </c:pt>
              </c:numCache>
            </c:numRef>
          </c:cat>
          <c:val>
            <c:numRef>
              <c:f>Data!$D$5:$D$9</c:f>
              <c:numCache>
                <c:formatCode>0.00"x"</c:formatCode>
                <c:ptCount val="5"/>
                <c:pt idx="0">
                  <c:v>3.36</c:v>
                </c:pt>
                <c:pt idx="1">
                  <c:v>5.32</c:v>
                </c:pt>
                <c:pt idx="2">
                  <c:v>8.4600000000000009</c:v>
                </c:pt>
                <c:pt idx="3">
                  <c:v>5.85</c:v>
                </c:pt>
                <c:pt idx="4">
                  <c:v>5.93</c:v>
                </c:pt>
              </c:numCache>
            </c:numRef>
          </c:val>
          <c:smooth val="0"/>
          <c:extLst>
            <c:ext xmlns:c16="http://schemas.microsoft.com/office/drawing/2014/chart" uri="{C3380CC4-5D6E-409C-BE32-E72D297353CC}">
              <c16:uniqueId val="{00000000-53E9-430A-8EC9-34A83C0801A1}"/>
            </c:ext>
          </c:extLst>
        </c:ser>
        <c:ser>
          <c:idx val="1"/>
          <c:order val="1"/>
          <c:tx>
            <c:v>Dividend cover</c:v>
          </c:tx>
          <c:spPr>
            <a:ln w="38100" cap="rnd" cmpd="sng" algn="ctr">
              <a:solidFill>
                <a:schemeClr val="accent4"/>
              </a:solidFill>
              <a:prstDash val="solid"/>
              <a:round/>
            </a:ln>
            <a:effectLst/>
          </c:spPr>
          <c:marker>
            <c:spPr>
              <a:solidFill>
                <a:schemeClr val="accent4"/>
              </a:solidFill>
              <a:ln w="12700" cap="flat" cmpd="sng" algn="ctr">
                <a:solidFill>
                  <a:schemeClr val="accent4"/>
                </a:solidFill>
                <a:prstDash val="solid"/>
                <a:round/>
              </a:ln>
              <a:effectLst/>
            </c:spPr>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12700" cap="flat" cmpd="sng" algn="ctr">
                      <a:solidFill>
                        <a:schemeClr val="tx1"/>
                      </a:solidFill>
                      <a:prstDash val="solid"/>
                      <a:round/>
                    </a:ln>
                    <a:effectLst/>
                  </c:spPr>
                </c15:leaderLines>
              </c:ext>
            </c:extLst>
          </c:dLbls>
          <c:cat>
            <c:numRef>
              <c:f>Data!$A$5:$A$9</c:f>
              <c:numCache>
                <c:formatCode>General</c:formatCode>
                <c:ptCount val="5"/>
                <c:pt idx="0">
                  <c:v>2021</c:v>
                </c:pt>
                <c:pt idx="1">
                  <c:v>2022</c:v>
                </c:pt>
                <c:pt idx="2">
                  <c:v>2023</c:v>
                </c:pt>
                <c:pt idx="3">
                  <c:v>2024</c:v>
                </c:pt>
                <c:pt idx="4">
                  <c:v>2025</c:v>
                </c:pt>
              </c:numCache>
            </c:numRef>
          </c:cat>
          <c:val>
            <c:numRef>
              <c:f>Data!$G$5:$G$9</c:f>
              <c:numCache>
                <c:formatCode>0.00"x"</c:formatCode>
                <c:ptCount val="5"/>
                <c:pt idx="0">
                  <c:v>1.69</c:v>
                </c:pt>
                <c:pt idx="1">
                  <c:v>1.5</c:v>
                </c:pt>
                <c:pt idx="2">
                  <c:v>2.91</c:v>
                </c:pt>
                <c:pt idx="3">
                  <c:v>2.3199999999999998</c:v>
                </c:pt>
                <c:pt idx="4">
                  <c:v>2.66</c:v>
                </c:pt>
              </c:numCache>
            </c:numRef>
          </c:val>
          <c:smooth val="0"/>
          <c:extLst>
            <c:ext xmlns:c16="http://schemas.microsoft.com/office/drawing/2014/chart" uri="{C3380CC4-5D6E-409C-BE32-E72D297353CC}">
              <c16:uniqueId val="{00000001-53E9-430A-8EC9-34A83C0801A1}"/>
            </c:ext>
          </c:extLst>
        </c:ser>
        <c:dLbls>
          <c:dLblPos val="t"/>
          <c:showLegendKey val="0"/>
          <c:showVal val="1"/>
          <c:showCatName val="0"/>
          <c:showSerName val="0"/>
          <c:showPercent val="0"/>
          <c:showBubbleSize val="0"/>
        </c:dLbls>
        <c:marker val="1"/>
        <c:smooth val="0"/>
        <c:axId val="48650112"/>
        <c:axId val="48672768"/>
      </c:lineChart>
      <c:catAx>
        <c:axId val="48650112"/>
        <c:scaling>
          <c:orientation val="minMax"/>
        </c:scaling>
        <c:delete val="0"/>
        <c:axPos val="b"/>
        <c:majorGridlines>
          <c:spPr>
            <a:ln w="9525" cap="flat" cmpd="sng" algn="ctr">
              <a:solidFill>
                <a:srgbClr val="CCCCCC"/>
              </a:solidFill>
              <a:prstDash val="dash"/>
              <a:round/>
            </a:ln>
            <a:effectLst/>
          </c:spPr>
        </c:majorGridlines>
        <c:title>
          <c:tx>
            <c:rich>
              <a:bodyPr rot="0" spcFirstLastPara="1" vertOverflow="ellipsis" vert="horz" wrap="square" anchor="ctr" anchorCtr="1"/>
              <a:lstStyle/>
              <a:p>
                <a:r>
                  <a:rPr lang="en-US" sz="825" b="1"/>
                  <a:t>Financial year</a:t>
                </a:r>
              </a:p>
            </c:rich>
          </c:tx>
          <c:overlay val="0"/>
          <c:spPr>
            <a:noFill/>
            <a:ln>
              <a:noFill/>
            </a:ln>
            <a:effectLst/>
          </c:spPr>
        </c:title>
        <c:numFmt formatCode="General" sourceLinked="1"/>
        <c:majorTickMark val="none"/>
        <c:minorTickMark val="none"/>
        <c:tickLblPos val="nextTo"/>
        <c:spPr>
          <a:noFill/>
          <a:ln w="1270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8672768"/>
        <c:crosses val="autoZero"/>
        <c:auto val="1"/>
        <c:lblAlgn val="ctr"/>
        <c:lblOffset val="100"/>
        <c:noMultiLvlLbl val="0"/>
      </c:catAx>
      <c:valAx>
        <c:axId val="48672768"/>
        <c:scaling>
          <c:orientation val="minMax"/>
        </c:scaling>
        <c:delete val="0"/>
        <c:axPos val="l"/>
        <c:majorGridlines>
          <c:spPr>
            <a:ln w="9525" cap="flat" cmpd="sng" algn="ctr">
              <a:solidFill>
                <a:srgbClr val="CCCCCC"/>
              </a:solidFill>
              <a:prstDash val="dash"/>
              <a:round/>
            </a:ln>
            <a:effectLst/>
          </c:spPr>
        </c:majorGridlines>
        <c:title>
          <c:tx>
            <c:rich>
              <a:bodyPr rot="-5400000" spcFirstLastPara="1" vertOverflow="ellipsis" vert="horz" wrap="square" anchor="ctr" anchorCtr="1"/>
              <a:lstStyle/>
              <a:p>
                <a:r>
                  <a:rPr lang="en-US" sz="825" b="1"/>
                  <a:t>Times</a:t>
                </a:r>
              </a:p>
            </c:rich>
          </c:tx>
          <c:overlay val="0"/>
          <c:spPr>
            <a:noFill/>
            <a:ln>
              <a:noFill/>
            </a:ln>
            <a:effectLst/>
          </c:spPr>
        </c:title>
        <c:numFmt formatCode="0.0&quot;x&quot;" sourceLinked="0"/>
        <c:majorTickMark val="none"/>
        <c:minorTickMark val="none"/>
        <c:tickLblPos val="nextTo"/>
        <c:spPr>
          <a:noFill/>
          <a:ln w="1270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8650112"/>
        <c:crosses val="autoZero"/>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legend>
    <c:plotVisOnly val="1"/>
    <c:dispBlanksAs val="zero"/>
    <c:showDLblsOverMax val="1"/>
  </c:chart>
  <c:spPr>
    <a:solidFill>
      <a:schemeClr val="bg1"/>
    </a:solidFill>
    <a:ln w="9525" cap="flat" cmpd="sng" algn="ctr">
      <a:solidFill>
        <a:srgbClr val="D9D9D9"/>
      </a:solidFill>
      <a:prstDash val="solid"/>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r>
              <a:rPr lang="en-US" b="1"/>
              <a:t>IHG Earnings and Dividend per Share, 2021–2025</a:t>
            </a:r>
          </a:p>
        </c:rich>
      </c:tx>
      <c:overlay val="0"/>
      <c:spPr>
        <a:noFill/>
        <a:ln>
          <a:noFill/>
        </a:ln>
        <a:effectLst/>
      </c:spPr>
    </c:title>
    <c:autoTitleDeleted val="0"/>
    <c:plotArea>
      <c:layout/>
      <c:barChart>
        <c:barDir val="col"/>
        <c:grouping val="clustered"/>
        <c:varyColors val="0"/>
        <c:ser>
          <c:idx val="0"/>
          <c:order val="0"/>
          <c:tx>
            <c:v>Basic EPS</c:v>
          </c:tx>
          <c:spPr>
            <a:solidFill>
              <a:srgbClr val="C0504D"/>
            </a:solidFill>
            <a:ln>
              <a:noFill/>
            </a:ln>
            <a:effectLst/>
          </c:spPr>
          <c:invertIfNegative val="1"/>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12700" cap="flat" cmpd="sng" algn="ctr">
                      <a:solidFill>
                        <a:schemeClr val="tx1"/>
                      </a:solidFill>
                      <a:prstDash val="solid"/>
                      <a:round/>
                    </a:ln>
                    <a:effectLst/>
                  </c:spPr>
                </c15:leaderLines>
              </c:ext>
            </c:extLst>
          </c:dLbls>
          <c:cat>
            <c:numRef>
              <c:f>Data!$A$5:$A$9</c:f>
              <c:numCache>
                <c:formatCode>General</c:formatCode>
                <c:ptCount val="5"/>
                <c:pt idx="0">
                  <c:v>2021</c:v>
                </c:pt>
                <c:pt idx="1">
                  <c:v>2022</c:v>
                </c:pt>
                <c:pt idx="2">
                  <c:v>2023</c:v>
                </c:pt>
                <c:pt idx="3">
                  <c:v>2024</c:v>
                </c:pt>
                <c:pt idx="4">
                  <c:v>2025</c:v>
                </c:pt>
              </c:numCache>
            </c:numRef>
          </c:cat>
          <c:val>
            <c:numRef>
              <c:f>Data!$E$5:$E$9</c:f>
              <c:numCache>
                <c:formatCode>0.0</c:formatCode>
                <c:ptCount val="5"/>
                <c:pt idx="0">
                  <c:v>145.4</c:v>
                </c:pt>
                <c:pt idx="1">
                  <c:v>207.2</c:v>
                </c:pt>
                <c:pt idx="2">
                  <c:v>443.8</c:v>
                </c:pt>
                <c:pt idx="3">
                  <c:v>389.6</c:v>
                </c:pt>
                <c:pt idx="4">
                  <c:v>490.9</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0-461A-41BC-A2FD-2F59757DCA01}"/>
            </c:ext>
          </c:extLst>
        </c:ser>
        <c:ser>
          <c:idx val="1"/>
          <c:order val="1"/>
          <c:tx>
            <c:v>Dividend per share</c:v>
          </c:tx>
          <c:spPr>
            <a:solidFill>
              <a:srgbClr val="8064A2"/>
            </a:solidFill>
            <a:ln>
              <a:noFill/>
            </a:ln>
            <a:effectLst/>
          </c:spPr>
          <c:invertIfNegative val="1"/>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12700" cap="flat" cmpd="sng" algn="ctr">
                      <a:solidFill>
                        <a:schemeClr val="tx1"/>
                      </a:solidFill>
                      <a:prstDash val="solid"/>
                      <a:round/>
                    </a:ln>
                    <a:effectLst/>
                  </c:spPr>
                </c15:leaderLines>
              </c:ext>
            </c:extLst>
          </c:dLbls>
          <c:cat>
            <c:numRef>
              <c:f>Data!$A$5:$A$9</c:f>
              <c:numCache>
                <c:formatCode>General</c:formatCode>
                <c:ptCount val="5"/>
                <c:pt idx="0">
                  <c:v>2021</c:v>
                </c:pt>
                <c:pt idx="1">
                  <c:v>2022</c:v>
                </c:pt>
                <c:pt idx="2">
                  <c:v>2023</c:v>
                </c:pt>
                <c:pt idx="3">
                  <c:v>2024</c:v>
                </c:pt>
                <c:pt idx="4">
                  <c:v>2025</c:v>
                </c:pt>
              </c:numCache>
            </c:numRef>
          </c:cat>
          <c:val>
            <c:numRef>
              <c:f>Data!$F$5:$F$9</c:f>
              <c:numCache>
                <c:formatCode>0.0</c:formatCode>
                <c:ptCount val="5"/>
                <c:pt idx="0">
                  <c:v>85.9</c:v>
                </c:pt>
                <c:pt idx="1">
                  <c:v>138.4</c:v>
                </c:pt>
                <c:pt idx="2">
                  <c:v>152.30000000000001</c:v>
                </c:pt>
                <c:pt idx="3">
                  <c:v>167.6</c:v>
                </c:pt>
                <c:pt idx="4">
                  <c:v>184.5</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1-461A-41BC-A2FD-2F59757DCA01}"/>
            </c:ext>
          </c:extLst>
        </c:ser>
        <c:dLbls>
          <c:dLblPos val="outEnd"/>
          <c:showLegendKey val="0"/>
          <c:showVal val="1"/>
          <c:showCatName val="0"/>
          <c:showSerName val="0"/>
          <c:showPercent val="0"/>
          <c:showBubbleSize val="0"/>
        </c:dLbls>
        <c:gapWidth val="150"/>
        <c:axId val="48650112"/>
        <c:axId val="48672768"/>
      </c:barChart>
      <c:catAx>
        <c:axId val="48650112"/>
        <c:scaling>
          <c:orientation val="minMax"/>
        </c:scaling>
        <c:delete val="0"/>
        <c:axPos val="b"/>
        <c:majorGridlines>
          <c:spPr>
            <a:ln w="9525" cap="flat" cmpd="sng" algn="ctr">
              <a:solidFill>
                <a:srgbClr val="CCCCCC"/>
              </a:solidFill>
              <a:prstDash val="dash"/>
              <a:round/>
            </a:ln>
            <a:effectLst/>
          </c:spPr>
        </c:majorGridlines>
        <c:title>
          <c:tx>
            <c:rich>
              <a:bodyPr rot="0" spcFirstLastPara="1" vertOverflow="ellipsis" vert="horz" wrap="square" anchor="ctr" anchorCtr="1"/>
              <a:lstStyle/>
              <a:p>
                <a:r>
                  <a:rPr lang="en-US" sz="825" b="1"/>
                  <a:t>Financial year</a:t>
                </a:r>
              </a:p>
            </c:rich>
          </c:tx>
          <c:overlay val="0"/>
          <c:spPr>
            <a:noFill/>
            <a:ln>
              <a:noFill/>
            </a:ln>
            <a:effectLst/>
          </c:spPr>
        </c:title>
        <c:numFmt formatCode="General" sourceLinked="1"/>
        <c:majorTickMark val="none"/>
        <c:minorTickMark val="none"/>
        <c:tickLblPos val="nextTo"/>
        <c:spPr>
          <a:noFill/>
          <a:ln w="1270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8672768"/>
        <c:crosses val="autoZero"/>
        <c:auto val="1"/>
        <c:lblAlgn val="ctr"/>
        <c:lblOffset val="100"/>
        <c:noMultiLvlLbl val="0"/>
      </c:catAx>
      <c:valAx>
        <c:axId val="48672768"/>
        <c:scaling>
          <c:orientation val="minMax"/>
        </c:scaling>
        <c:delete val="0"/>
        <c:axPos val="l"/>
        <c:majorGridlines>
          <c:spPr>
            <a:ln w="9525" cap="flat" cmpd="sng" algn="ctr">
              <a:solidFill>
                <a:srgbClr val="CCCCCC"/>
              </a:solidFill>
              <a:prstDash val="dash"/>
              <a:round/>
            </a:ln>
            <a:effectLst/>
          </c:spPr>
        </c:majorGridlines>
        <c:title>
          <c:tx>
            <c:rich>
              <a:bodyPr rot="-5400000" spcFirstLastPara="1" vertOverflow="ellipsis" vert="horz" wrap="square" anchor="ctr" anchorCtr="1"/>
              <a:lstStyle/>
              <a:p>
                <a:r>
                  <a:rPr lang="en-US" sz="825" b="1"/>
                  <a:t>Cents per share</a:t>
                </a:r>
              </a:p>
            </c:rich>
          </c:tx>
          <c:overlay val="0"/>
          <c:spPr>
            <a:noFill/>
            <a:ln>
              <a:noFill/>
            </a:ln>
            <a:effectLst/>
          </c:spPr>
        </c:title>
        <c:numFmt formatCode="0" sourceLinked="0"/>
        <c:majorTickMark val="none"/>
        <c:minorTickMark val="none"/>
        <c:tickLblPos val="nextTo"/>
        <c:spPr>
          <a:noFill/>
          <a:ln w="1270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8650112"/>
        <c:crosses val="autoZero"/>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legend>
    <c:plotVisOnly val="1"/>
    <c:dispBlanksAs val="zero"/>
    <c:showDLblsOverMax val="1"/>
  </c:chart>
  <c:spPr>
    <a:solidFill>
      <a:schemeClr val="bg1"/>
    </a:solidFill>
    <a:ln w="9525" cap="flat" cmpd="sng" algn="ctr">
      <a:solidFill>
        <a:srgbClr val="D9D9D9"/>
      </a:solidFill>
      <a:prstDash val="solid"/>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r>
              <a:rPr lang="en-US" b="1"/>
              <a:t>IHG Operating and Adjusted Free Cash Flow, 2021–2025</a:t>
            </a:r>
          </a:p>
        </c:rich>
      </c:tx>
      <c:overlay val="0"/>
      <c:spPr>
        <a:noFill/>
        <a:ln>
          <a:noFill/>
        </a:ln>
        <a:effectLst/>
      </c:spPr>
    </c:title>
    <c:autoTitleDeleted val="0"/>
    <c:plotArea>
      <c:layout/>
      <c:barChart>
        <c:barDir val="col"/>
        <c:grouping val="clustered"/>
        <c:varyColors val="0"/>
        <c:ser>
          <c:idx val="0"/>
          <c:order val="0"/>
          <c:tx>
            <c:v>Operating cash flow</c:v>
          </c:tx>
          <c:spPr>
            <a:solidFill>
              <a:srgbClr val="C0504D"/>
            </a:solidFill>
            <a:ln>
              <a:noFill/>
            </a:ln>
            <a:effectLst/>
          </c:spPr>
          <c:invertIfNegative val="1"/>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12700" cap="flat" cmpd="sng" algn="ctr">
                      <a:solidFill>
                        <a:schemeClr val="tx1"/>
                      </a:solidFill>
                      <a:prstDash val="solid"/>
                      <a:round/>
                    </a:ln>
                    <a:effectLst/>
                  </c:spPr>
                </c15:leaderLines>
              </c:ext>
            </c:extLst>
          </c:dLbls>
          <c:cat>
            <c:numRef>
              <c:f>Data!$A$5:$A$9</c:f>
              <c:numCache>
                <c:formatCode>General</c:formatCode>
                <c:ptCount val="5"/>
                <c:pt idx="0">
                  <c:v>2021</c:v>
                </c:pt>
                <c:pt idx="1">
                  <c:v>2022</c:v>
                </c:pt>
                <c:pt idx="2">
                  <c:v>2023</c:v>
                </c:pt>
                <c:pt idx="3">
                  <c:v>2024</c:v>
                </c:pt>
                <c:pt idx="4">
                  <c:v>2025</c:v>
                </c:pt>
              </c:numCache>
            </c:numRef>
          </c:cat>
          <c:val>
            <c:numRef>
              <c:f>Data!$I$5:$I$9</c:f>
              <c:numCache>
                <c:formatCode>#,##0;[Red]\(#,##0\);\-</c:formatCode>
                <c:ptCount val="5"/>
                <c:pt idx="0">
                  <c:v>636</c:v>
                </c:pt>
                <c:pt idx="1">
                  <c:v>646</c:v>
                </c:pt>
                <c:pt idx="2">
                  <c:v>893</c:v>
                </c:pt>
                <c:pt idx="3">
                  <c:v>724</c:v>
                </c:pt>
                <c:pt idx="4">
                  <c:v>898</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0-2F1B-4329-B344-8673ACF15197}"/>
            </c:ext>
          </c:extLst>
        </c:ser>
        <c:ser>
          <c:idx val="1"/>
          <c:order val="1"/>
          <c:tx>
            <c:v>Adjusted free cash flow</c:v>
          </c:tx>
          <c:spPr>
            <a:solidFill>
              <a:srgbClr val="8064A2"/>
            </a:solidFill>
            <a:ln>
              <a:noFill/>
            </a:ln>
            <a:effectLst/>
          </c:spPr>
          <c:invertIfNegative val="1"/>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12700" cap="flat" cmpd="sng" algn="ctr">
                      <a:solidFill>
                        <a:schemeClr val="tx1"/>
                      </a:solidFill>
                      <a:prstDash val="solid"/>
                      <a:round/>
                    </a:ln>
                    <a:effectLst/>
                  </c:spPr>
                </c15:leaderLines>
              </c:ext>
            </c:extLst>
          </c:dLbls>
          <c:cat>
            <c:numRef>
              <c:f>Data!$A$5:$A$9</c:f>
              <c:numCache>
                <c:formatCode>General</c:formatCode>
                <c:ptCount val="5"/>
                <c:pt idx="0">
                  <c:v>2021</c:v>
                </c:pt>
                <c:pt idx="1">
                  <c:v>2022</c:v>
                </c:pt>
                <c:pt idx="2">
                  <c:v>2023</c:v>
                </c:pt>
                <c:pt idx="3">
                  <c:v>2024</c:v>
                </c:pt>
                <c:pt idx="4">
                  <c:v>2025</c:v>
                </c:pt>
              </c:numCache>
            </c:numRef>
          </c:cat>
          <c:val>
            <c:numRef>
              <c:f>Data!$J$5:$J$9</c:f>
              <c:numCache>
                <c:formatCode>#,##0;[Red]\(#,##0\);\-</c:formatCode>
                <c:ptCount val="5"/>
                <c:pt idx="0">
                  <c:v>589</c:v>
                </c:pt>
                <c:pt idx="1">
                  <c:v>615</c:v>
                </c:pt>
                <c:pt idx="2">
                  <c:v>837</c:v>
                </c:pt>
                <c:pt idx="3">
                  <c:v>655</c:v>
                </c:pt>
                <c:pt idx="4">
                  <c:v>893</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1-2F1B-4329-B344-8673ACF15197}"/>
            </c:ext>
          </c:extLst>
        </c:ser>
        <c:dLbls>
          <c:dLblPos val="outEnd"/>
          <c:showLegendKey val="0"/>
          <c:showVal val="1"/>
          <c:showCatName val="0"/>
          <c:showSerName val="0"/>
          <c:showPercent val="0"/>
          <c:showBubbleSize val="0"/>
        </c:dLbls>
        <c:gapWidth val="150"/>
        <c:axId val="48650112"/>
        <c:axId val="48672768"/>
      </c:barChart>
      <c:catAx>
        <c:axId val="48650112"/>
        <c:scaling>
          <c:orientation val="minMax"/>
        </c:scaling>
        <c:delete val="0"/>
        <c:axPos val="b"/>
        <c:majorGridlines>
          <c:spPr>
            <a:ln w="9525" cap="flat" cmpd="sng" algn="ctr">
              <a:solidFill>
                <a:srgbClr val="CCCCCC"/>
              </a:solidFill>
              <a:prstDash val="dash"/>
              <a:round/>
            </a:ln>
            <a:effectLst/>
          </c:spPr>
        </c:majorGridlines>
        <c:title>
          <c:tx>
            <c:rich>
              <a:bodyPr rot="0" spcFirstLastPara="1" vertOverflow="ellipsis" vert="horz" wrap="square" anchor="ctr" anchorCtr="1"/>
              <a:lstStyle/>
              <a:p>
                <a:r>
                  <a:rPr lang="en-US" sz="825" b="1"/>
                  <a:t>Financial year</a:t>
                </a:r>
              </a:p>
            </c:rich>
          </c:tx>
          <c:overlay val="0"/>
          <c:spPr>
            <a:noFill/>
            <a:ln>
              <a:noFill/>
            </a:ln>
            <a:effectLst/>
          </c:spPr>
        </c:title>
        <c:numFmt formatCode="General" sourceLinked="1"/>
        <c:majorTickMark val="none"/>
        <c:minorTickMark val="none"/>
        <c:tickLblPos val="nextTo"/>
        <c:spPr>
          <a:noFill/>
          <a:ln w="1270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8672768"/>
        <c:crosses val="autoZero"/>
        <c:auto val="1"/>
        <c:lblAlgn val="ctr"/>
        <c:lblOffset val="100"/>
        <c:noMultiLvlLbl val="0"/>
      </c:catAx>
      <c:valAx>
        <c:axId val="48672768"/>
        <c:scaling>
          <c:orientation val="minMax"/>
        </c:scaling>
        <c:delete val="0"/>
        <c:axPos val="l"/>
        <c:majorGridlines>
          <c:spPr>
            <a:ln w="9525" cap="flat" cmpd="sng" algn="ctr">
              <a:solidFill>
                <a:srgbClr val="CCCCCC"/>
              </a:solidFill>
              <a:prstDash val="dash"/>
              <a:round/>
            </a:ln>
            <a:effectLst/>
          </c:spPr>
        </c:majorGridlines>
        <c:title>
          <c:tx>
            <c:rich>
              <a:bodyPr rot="-5400000" spcFirstLastPara="1" vertOverflow="ellipsis" vert="horz" wrap="square" anchor="ctr" anchorCtr="1"/>
              <a:lstStyle/>
              <a:p>
                <a:r>
                  <a:rPr lang="en-US" sz="825" b="1"/>
                  <a:t>US$ million</a:t>
                </a:r>
              </a:p>
            </c:rich>
          </c:tx>
          <c:overlay val="0"/>
          <c:spPr>
            <a:noFill/>
            <a:ln>
              <a:noFill/>
            </a:ln>
            <a:effectLst/>
          </c:spPr>
        </c:title>
        <c:numFmt formatCode="#,##0" sourceLinked="0"/>
        <c:majorTickMark val="none"/>
        <c:minorTickMark val="none"/>
        <c:tickLblPos val="nextTo"/>
        <c:spPr>
          <a:noFill/>
          <a:ln w="1270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8650112"/>
        <c:crosses val="autoZero"/>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legend>
    <c:plotVisOnly val="1"/>
    <c:dispBlanksAs val="zero"/>
    <c:showDLblsOverMax val="1"/>
  </c:chart>
  <c:spPr>
    <a:solidFill>
      <a:schemeClr val="bg1"/>
    </a:solidFill>
    <a:ln w="9525" cap="flat" cmpd="sng" algn="ctr">
      <a:solidFill>
        <a:srgbClr val="D9D9D9"/>
      </a:solidFill>
      <a:prstDash val="solid"/>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r>
              <a:rPr lang="en-US" b="1"/>
              <a:t>IHG Shareholder Distributions Relative to Operating Cash Flow</a:t>
            </a:r>
          </a:p>
        </c:rich>
      </c:tx>
      <c:overlay val="0"/>
      <c:spPr>
        <a:noFill/>
        <a:ln>
          <a:noFill/>
        </a:ln>
        <a:effectLst/>
      </c:spPr>
    </c:title>
    <c:autoTitleDeleted val="0"/>
    <c:plotArea>
      <c:layout/>
      <c:lineChart>
        <c:grouping val="standard"/>
        <c:varyColors val="1"/>
        <c:ser>
          <c:idx val="0"/>
          <c:order val="0"/>
          <c:tx>
            <c:v>Dividends and buybacks / operating cash flow</c:v>
          </c:tx>
          <c:dPt>
            <c:idx val="0"/>
            <c:bubble3D val="0"/>
            <c:spPr>
              <a:ln w="38100" cap="rnd" cmpd="sng" algn="ctr">
                <a:solidFill>
                  <a:schemeClr val="accent2"/>
                </a:solidFill>
                <a:prstDash val="solid"/>
                <a:round/>
              </a:ln>
              <a:effectLst/>
            </c:spPr>
            <c:extLst>
              <c:ext xmlns:c16="http://schemas.microsoft.com/office/drawing/2014/chart" uri="{C3380CC4-5D6E-409C-BE32-E72D297353CC}">
                <c16:uniqueId val="{00000001-A131-45D1-A69F-01916A290350}"/>
              </c:ext>
            </c:extLst>
          </c:dPt>
          <c:dPt>
            <c:idx val="1"/>
            <c:bubble3D val="0"/>
            <c:spPr>
              <a:ln w="38100" cap="rnd" cmpd="sng" algn="ctr">
                <a:solidFill>
                  <a:schemeClr val="accent4"/>
                </a:solidFill>
                <a:prstDash val="solid"/>
                <a:round/>
              </a:ln>
              <a:effectLst/>
            </c:spPr>
            <c:extLst>
              <c:ext xmlns:c16="http://schemas.microsoft.com/office/drawing/2014/chart" uri="{C3380CC4-5D6E-409C-BE32-E72D297353CC}">
                <c16:uniqueId val="{00000003-A131-45D1-A69F-01916A290350}"/>
              </c:ext>
            </c:extLst>
          </c:dPt>
          <c:dPt>
            <c:idx val="2"/>
            <c:bubble3D val="0"/>
            <c:spPr>
              <a:ln w="38100" cap="rnd" cmpd="sng" algn="ctr">
                <a:solidFill>
                  <a:schemeClr val="accent6"/>
                </a:solidFill>
                <a:prstDash val="solid"/>
                <a:round/>
              </a:ln>
              <a:effectLst/>
            </c:spPr>
            <c:extLst>
              <c:ext xmlns:c16="http://schemas.microsoft.com/office/drawing/2014/chart" uri="{C3380CC4-5D6E-409C-BE32-E72D297353CC}">
                <c16:uniqueId val="{00000005-A131-45D1-A69F-01916A290350}"/>
              </c:ext>
            </c:extLst>
          </c:dPt>
          <c:dPt>
            <c:idx val="3"/>
            <c:bubble3D val="0"/>
            <c:spPr>
              <a:ln w="38100" cap="rnd" cmpd="sng" algn="ctr">
                <a:solidFill>
                  <a:schemeClr val="accent2">
                    <a:lumMod val="60000"/>
                  </a:schemeClr>
                </a:solidFill>
                <a:prstDash val="solid"/>
                <a:round/>
              </a:ln>
              <a:effectLst/>
            </c:spPr>
            <c:extLst>
              <c:ext xmlns:c16="http://schemas.microsoft.com/office/drawing/2014/chart" uri="{C3380CC4-5D6E-409C-BE32-E72D297353CC}">
                <c16:uniqueId val="{00000007-A131-45D1-A69F-01916A290350}"/>
              </c:ext>
            </c:extLst>
          </c:dPt>
          <c:dPt>
            <c:idx val="4"/>
            <c:bubble3D val="0"/>
            <c:spPr>
              <a:ln w="38100" cap="rnd" cmpd="sng" algn="ctr">
                <a:solidFill>
                  <a:schemeClr val="accent4">
                    <a:lumMod val="60000"/>
                  </a:schemeClr>
                </a:solidFill>
                <a:prstDash val="solid"/>
                <a:round/>
              </a:ln>
              <a:effectLst/>
            </c:spPr>
            <c:extLst>
              <c:ext xmlns:c16="http://schemas.microsoft.com/office/drawing/2014/chart" uri="{C3380CC4-5D6E-409C-BE32-E72D297353CC}">
                <c16:uniqueId val="{00000009-A131-45D1-A69F-01916A290350}"/>
              </c:ext>
            </c:extLst>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12700" cap="flat" cmpd="sng" algn="ctr">
                      <a:solidFill>
                        <a:schemeClr val="tx1"/>
                      </a:solidFill>
                      <a:prstDash val="solid"/>
                      <a:round/>
                    </a:ln>
                    <a:effectLst/>
                  </c:spPr>
                </c15:leaderLines>
              </c:ext>
            </c:extLst>
          </c:dLbls>
          <c:cat>
            <c:numRef>
              <c:f>Data!$A$5:$A$9</c:f>
              <c:numCache>
                <c:formatCode>General</c:formatCode>
                <c:ptCount val="5"/>
                <c:pt idx="0">
                  <c:v>2021</c:v>
                </c:pt>
                <c:pt idx="1">
                  <c:v>2022</c:v>
                </c:pt>
                <c:pt idx="2">
                  <c:v>2023</c:v>
                </c:pt>
                <c:pt idx="3">
                  <c:v>2024</c:v>
                </c:pt>
                <c:pt idx="4">
                  <c:v>2025</c:v>
                </c:pt>
              </c:numCache>
            </c:numRef>
          </c:cat>
          <c:val>
            <c:numRef>
              <c:f>Data!$K$5:$K$9</c:f>
              <c:numCache>
                <c:formatCode>0.00"%"</c:formatCode>
                <c:ptCount val="5"/>
                <c:pt idx="0">
                  <c:v>0</c:v>
                </c:pt>
                <c:pt idx="1">
                  <c:v>110.68</c:v>
                </c:pt>
                <c:pt idx="2">
                  <c:v>115.9</c:v>
                </c:pt>
                <c:pt idx="3">
                  <c:v>146.82</c:v>
                </c:pt>
                <c:pt idx="4">
                  <c:v>129.96</c:v>
                </c:pt>
              </c:numCache>
            </c:numRef>
          </c:val>
          <c:smooth val="0"/>
          <c:extLst>
            <c:ext xmlns:c16="http://schemas.microsoft.com/office/drawing/2014/chart" uri="{C3380CC4-5D6E-409C-BE32-E72D297353CC}">
              <c16:uniqueId val="{00000000-0633-44AE-8BD2-54A7F9411DF7}"/>
            </c:ext>
          </c:extLst>
        </c:ser>
        <c:dLbls>
          <c:dLblPos val="t"/>
          <c:showLegendKey val="0"/>
          <c:showVal val="1"/>
          <c:showCatName val="0"/>
          <c:showSerName val="0"/>
          <c:showPercent val="0"/>
          <c:showBubbleSize val="0"/>
        </c:dLbls>
        <c:marker val="1"/>
        <c:smooth val="0"/>
        <c:axId val="48650112"/>
        <c:axId val="48672768"/>
      </c:lineChart>
      <c:catAx>
        <c:axId val="48650112"/>
        <c:scaling>
          <c:orientation val="minMax"/>
        </c:scaling>
        <c:delete val="0"/>
        <c:axPos val="b"/>
        <c:majorGridlines>
          <c:spPr>
            <a:ln w="9525" cap="flat" cmpd="sng" algn="ctr">
              <a:solidFill>
                <a:srgbClr val="CCCCCC"/>
              </a:solidFill>
              <a:prstDash val="dash"/>
              <a:round/>
            </a:ln>
            <a:effectLst/>
          </c:spPr>
        </c:majorGridlines>
        <c:title>
          <c:tx>
            <c:rich>
              <a:bodyPr rot="0" spcFirstLastPara="1" vertOverflow="ellipsis" vert="horz" wrap="square" anchor="ctr" anchorCtr="1"/>
              <a:lstStyle/>
              <a:p>
                <a:r>
                  <a:rPr lang="en-US" sz="825" b="1"/>
                  <a:t>Financial year</a:t>
                </a:r>
              </a:p>
            </c:rich>
          </c:tx>
          <c:overlay val="0"/>
          <c:spPr>
            <a:noFill/>
            <a:ln>
              <a:noFill/>
            </a:ln>
            <a:effectLst/>
          </c:spPr>
        </c:title>
        <c:numFmt formatCode="General" sourceLinked="1"/>
        <c:majorTickMark val="none"/>
        <c:minorTickMark val="none"/>
        <c:tickLblPos val="nextTo"/>
        <c:spPr>
          <a:noFill/>
          <a:ln w="1270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8672768"/>
        <c:crosses val="autoZero"/>
        <c:auto val="1"/>
        <c:lblAlgn val="ctr"/>
        <c:lblOffset val="100"/>
        <c:noMultiLvlLbl val="0"/>
      </c:catAx>
      <c:valAx>
        <c:axId val="48672768"/>
        <c:scaling>
          <c:orientation val="minMax"/>
        </c:scaling>
        <c:delete val="0"/>
        <c:axPos val="l"/>
        <c:majorGridlines>
          <c:spPr>
            <a:ln w="9525" cap="flat" cmpd="sng" algn="ctr">
              <a:solidFill>
                <a:srgbClr val="CCCCCC"/>
              </a:solidFill>
              <a:prstDash val="dash"/>
              <a:round/>
            </a:ln>
            <a:effectLst/>
          </c:spPr>
        </c:majorGridlines>
        <c:title>
          <c:tx>
            <c:rich>
              <a:bodyPr rot="-5400000" spcFirstLastPara="1" vertOverflow="ellipsis" vert="horz" wrap="square" anchor="ctr" anchorCtr="1"/>
              <a:lstStyle/>
              <a:p>
                <a:r>
                  <a:rPr lang="en-US" sz="825" b="1"/>
                  <a:t>Percentage of operating cash flow</a:t>
                </a:r>
              </a:p>
            </c:rich>
          </c:tx>
          <c:overlay val="0"/>
          <c:spPr>
            <a:noFill/>
            <a:ln>
              <a:noFill/>
            </a:ln>
            <a:effectLst/>
          </c:spPr>
        </c:title>
        <c:numFmt formatCode="0&quot;%&quot;" sourceLinked="0"/>
        <c:majorTickMark val="none"/>
        <c:minorTickMark val="none"/>
        <c:tickLblPos val="nextTo"/>
        <c:spPr>
          <a:noFill/>
          <a:ln w="1270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8650112"/>
        <c:crosses val="autoZero"/>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legend>
    <c:plotVisOnly val="1"/>
    <c:dispBlanksAs val="zero"/>
    <c:showDLblsOverMax val="1"/>
  </c:chart>
  <c:spPr>
    <a:solidFill>
      <a:schemeClr val="bg1"/>
    </a:solidFill>
    <a:ln w="9525" cap="flat" cmpd="sng" algn="ctr">
      <a:solidFill>
        <a:srgbClr val="D9D9D9"/>
      </a:solidFill>
      <a:prstDash val="solid"/>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r>
              <a:rPr lang="en-US"/>
              <a:t>Annual Net Cash Inflows, Years 1–5</a:t>
            </a:r>
          </a:p>
        </c:rich>
      </c:tx>
      <c:overlay val="0"/>
      <c:spPr>
        <a:noFill/>
        <a:ln>
          <a:noFill/>
        </a:ln>
        <a:effectLst/>
      </c:spPr>
    </c:title>
    <c:autoTitleDeleted val="0"/>
    <c:plotArea>
      <c:layout/>
      <c:lineChart>
        <c:grouping val="standard"/>
        <c:varyColors val="1"/>
        <c:ser>
          <c:idx val="0"/>
          <c:order val="0"/>
          <c:tx>
            <c:v>Project A</c:v>
          </c:tx>
          <c:spPr>
            <a:ln w="28575" cap="rnd" cmpd="sng" algn="ctr">
              <a:solidFill>
                <a:schemeClr val="accent2">
                  <a:shade val="95000"/>
                  <a:satMod val="105000"/>
                </a:schemeClr>
              </a:solidFill>
              <a:prstDash val="solid"/>
              <a:round/>
            </a:ln>
            <a:effectLst/>
          </c:spPr>
          <c:marker>
            <c:spPr>
              <a:solidFill>
                <a:schemeClr val="accent2"/>
              </a:solidFill>
              <a:ln w="9525" cap="flat" cmpd="sng" algn="ctr">
                <a:solidFill>
                  <a:schemeClr val="accent2">
                    <a:shade val="95000"/>
                    <a:satMod val="105000"/>
                  </a:schemeClr>
                </a:solidFill>
                <a:prstDash val="solid"/>
                <a:round/>
              </a:ln>
              <a:effectLst/>
            </c:spPr>
          </c:marker>
          <c:cat>
            <c:strRef>
              <c:f>Inputs!$C$11:$G$11</c:f>
              <c:strCache>
                <c:ptCount val="5"/>
                <c:pt idx="0">
                  <c:v>Year 1</c:v>
                </c:pt>
                <c:pt idx="1">
                  <c:v>Year 2</c:v>
                </c:pt>
                <c:pt idx="2">
                  <c:v>Year 3</c:v>
                </c:pt>
                <c:pt idx="3">
                  <c:v>Year 4</c:v>
                </c:pt>
                <c:pt idx="4">
                  <c:v>Year 5</c:v>
                </c:pt>
              </c:strCache>
            </c:strRef>
          </c:cat>
          <c:val>
            <c:numRef>
              <c:f>Inputs!$C$12:$G$12</c:f>
              <c:numCache>
                <c:formatCode>\£0.0;[Red]\(\£0.0\);\-</c:formatCode>
                <c:ptCount val="5"/>
                <c:pt idx="0">
                  <c:v>10</c:v>
                </c:pt>
                <c:pt idx="1">
                  <c:v>12</c:v>
                </c:pt>
                <c:pt idx="2">
                  <c:v>14</c:v>
                </c:pt>
                <c:pt idx="3">
                  <c:v>10</c:v>
                </c:pt>
                <c:pt idx="4">
                  <c:v>8</c:v>
                </c:pt>
              </c:numCache>
            </c:numRef>
          </c:val>
          <c:smooth val="0"/>
          <c:extLst>
            <c:ext xmlns:c16="http://schemas.microsoft.com/office/drawing/2014/chart" uri="{C3380CC4-5D6E-409C-BE32-E72D297353CC}">
              <c16:uniqueId val="{00000000-A2FA-4C27-8779-A39B4D659B6E}"/>
            </c:ext>
          </c:extLst>
        </c:ser>
        <c:ser>
          <c:idx val="1"/>
          <c:order val="1"/>
          <c:tx>
            <c:v>Project B</c:v>
          </c:tx>
          <c:spPr>
            <a:ln w="28575" cap="rnd" cmpd="sng" algn="ctr">
              <a:solidFill>
                <a:schemeClr val="accent4">
                  <a:shade val="95000"/>
                  <a:satMod val="105000"/>
                </a:schemeClr>
              </a:solidFill>
              <a:prstDash val="solid"/>
              <a:round/>
            </a:ln>
            <a:effectLst/>
          </c:spPr>
          <c:marker>
            <c:spPr>
              <a:solidFill>
                <a:schemeClr val="accent4"/>
              </a:solidFill>
              <a:ln w="9525" cap="flat" cmpd="sng" algn="ctr">
                <a:solidFill>
                  <a:schemeClr val="accent4">
                    <a:shade val="95000"/>
                    <a:satMod val="105000"/>
                  </a:schemeClr>
                </a:solidFill>
                <a:prstDash val="solid"/>
                <a:round/>
              </a:ln>
              <a:effectLst/>
            </c:spPr>
          </c:marker>
          <c:cat>
            <c:strRef>
              <c:f>Inputs!$C$11:$G$11</c:f>
              <c:strCache>
                <c:ptCount val="5"/>
                <c:pt idx="0">
                  <c:v>Year 1</c:v>
                </c:pt>
                <c:pt idx="1">
                  <c:v>Year 2</c:v>
                </c:pt>
                <c:pt idx="2">
                  <c:v>Year 3</c:v>
                </c:pt>
                <c:pt idx="3">
                  <c:v>Year 4</c:v>
                </c:pt>
                <c:pt idx="4">
                  <c:v>Year 5</c:v>
                </c:pt>
              </c:strCache>
            </c:strRef>
          </c:cat>
          <c:val>
            <c:numRef>
              <c:f>Inputs!$C$13:$G$13</c:f>
              <c:numCache>
                <c:formatCode>\£0.0;[Red]\(\£0.0\);\-</c:formatCode>
                <c:ptCount val="5"/>
                <c:pt idx="0">
                  <c:v>11</c:v>
                </c:pt>
                <c:pt idx="1">
                  <c:v>11</c:v>
                </c:pt>
                <c:pt idx="2">
                  <c:v>11</c:v>
                </c:pt>
                <c:pt idx="3">
                  <c:v>11</c:v>
                </c:pt>
                <c:pt idx="4">
                  <c:v>11</c:v>
                </c:pt>
              </c:numCache>
            </c:numRef>
          </c:val>
          <c:smooth val="0"/>
          <c:extLst>
            <c:ext xmlns:c16="http://schemas.microsoft.com/office/drawing/2014/chart" uri="{C3380CC4-5D6E-409C-BE32-E72D297353CC}">
              <c16:uniqueId val="{00000001-A2FA-4C27-8779-A39B4D659B6E}"/>
            </c:ext>
          </c:extLst>
        </c:ser>
        <c:ser>
          <c:idx val="2"/>
          <c:order val="2"/>
          <c:tx>
            <c:v>Project C</c:v>
          </c:tx>
          <c:spPr>
            <a:ln w="28575" cap="rnd" cmpd="sng" algn="ctr">
              <a:solidFill>
                <a:schemeClr val="accent6">
                  <a:shade val="95000"/>
                  <a:satMod val="105000"/>
                </a:schemeClr>
              </a:solidFill>
              <a:prstDash val="solid"/>
              <a:round/>
            </a:ln>
            <a:effectLst/>
          </c:spPr>
          <c:marker>
            <c:spPr>
              <a:solidFill>
                <a:schemeClr val="accent6"/>
              </a:solidFill>
              <a:ln w="9525" cap="flat" cmpd="sng" algn="ctr">
                <a:solidFill>
                  <a:schemeClr val="accent6">
                    <a:shade val="95000"/>
                    <a:satMod val="105000"/>
                  </a:schemeClr>
                </a:solidFill>
                <a:prstDash val="solid"/>
                <a:round/>
              </a:ln>
              <a:effectLst/>
            </c:spPr>
          </c:marker>
          <c:cat>
            <c:strRef>
              <c:f>Inputs!$C$11:$G$11</c:f>
              <c:strCache>
                <c:ptCount val="5"/>
                <c:pt idx="0">
                  <c:v>Year 1</c:v>
                </c:pt>
                <c:pt idx="1">
                  <c:v>Year 2</c:v>
                </c:pt>
                <c:pt idx="2">
                  <c:v>Year 3</c:v>
                </c:pt>
                <c:pt idx="3">
                  <c:v>Year 4</c:v>
                </c:pt>
                <c:pt idx="4">
                  <c:v>Year 5</c:v>
                </c:pt>
              </c:strCache>
            </c:strRef>
          </c:cat>
          <c:val>
            <c:numRef>
              <c:f>Inputs!$C$14:$G$14</c:f>
              <c:numCache>
                <c:formatCode>\£0.0;[Red]\(\£0.0\);\-</c:formatCode>
                <c:ptCount val="5"/>
                <c:pt idx="0">
                  <c:v>5</c:v>
                </c:pt>
                <c:pt idx="1">
                  <c:v>10</c:v>
                </c:pt>
                <c:pt idx="2">
                  <c:v>20</c:v>
                </c:pt>
                <c:pt idx="3">
                  <c:v>25</c:v>
                </c:pt>
                <c:pt idx="4">
                  <c:v>5</c:v>
                </c:pt>
              </c:numCache>
            </c:numRef>
          </c:val>
          <c:smooth val="0"/>
          <c:extLst>
            <c:ext xmlns:c16="http://schemas.microsoft.com/office/drawing/2014/chart" uri="{C3380CC4-5D6E-409C-BE32-E72D297353CC}">
              <c16:uniqueId val="{00000002-A2FA-4C27-8779-A39B4D659B6E}"/>
            </c:ext>
          </c:extLst>
        </c:ser>
        <c:dLbls>
          <c:showLegendKey val="0"/>
          <c:showVal val="0"/>
          <c:showCatName val="0"/>
          <c:showSerName val="0"/>
          <c:showPercent val="0"/>
          <c:showBubbleSize val="0"/>
        </c:dLbls>
        <c:marker val="1"/>
        <c:smooth val="0"/>
        <c:axId val="48650112"/>
        <c:axId val="48672768"/>
      </c:lineChart>
      <c:catAx>
        <c:axId val="48650112"/>
        <c:scaling>
          <c:orientation val="minMax"/>
        </c:scaling>
        <c:delete val="0"/>
        <c:axPos val="b"/>
        <c:majorGridlines>
          <c:spPr>
            <a:ln w="9525" cap="flat" cmpd="sng" algn="ctr">
              <a:solidFill>
                <a:srgbClr val="CCCCCC"/>
              </a:solidFill>
              <a:prstDash val="dash"/>
              <a:round/>
            </a:ln>
            <a:effectLst/>
          </c:spPr>
        </c:majorGridlines>
        <c:title>
          <c:tx>
            <c:rich>
              <a:bodyPr rot="0" spcFirstLastPara="1" vertOverflow="ellipsis" vert="horz" wrap="square" anchor="ctr" anchorCtr="1"/>
              <a:lstStyle/>
              <a:p>
                <a:r>
                  <a:rPr lang="en-US"/>
                  <a:t>Year</a:t>
                </a:r>
              </a:p>
            </c:rich>
          </c:tx>
          <c:overlay val="0"/>
          <c:spPr>
            <a:noFill/>
            <a:ln>
              <a:noFill/>
            </a:ln>
            <a:effectLst/>
          </c:spPr>
        </c:title>
        <c:numFmt formatCode="General" sourceLinked="1"/>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8672768"/>
        <c:crosses val="autoZero"/>
        <c:auto val="1"/>
        <c:lblAlgn val="ctr"/>
        <c:lblOffset val="100"/>
        <c:noMultiLvlLbl val="0"/>
      </c:catAx>
      <c:valAx>
        <c:axId val="48672768"/>
        <c:scaling>
          <c:orientation val="minMax"/>
        </c:scaling>
        <c:delete val="0"/>
        <c:axPos val="l"/>
        <c:majorGridlines>
          <c:spPr>
            <a:ln w="9525" cap="flat" cmpd="sng" algn="ctr">
              <a:solidFill>
                <a:srgbClr val="CCCCCC"/>
              </a:solidFill>
              <a:prstDash val="dash"/>
              <a:round/>
            </a:ln>
            <a:effectLst/>
          </c:spPr>
        </c:majorGridlines>
        <c:title>
          <c:tx>
            <c:rich>
              <a:bodyPr rot="-5400000" spcFirstLastPara="1" vertOverflow="ellipsis" vert="horz" wrap="square" anchor="ctr" anchorCtr="1"/>
              <a:lstStyle/>
              <a:p>
                <a:r>
                  <a:rPr lang="en-US"/>
                  <a:t>Net cash inflow (£m)</a:t>
                </a:r>
              </a:p>
            </c:rich>
          </c:tx>
          <c:overlay val="0"/>
          <c:spPr>
            <a:noFill/>
            <a:ln>
              <a:noFill/>
            </a:ln>
            <a:effectLst/>
          </c:spPr>
        </c:title>
        <c:numFmt formatCode="\£0" sourceLinked="0"/>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8650112"/>
        <c:crosses val="autoZero"/>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legend>
    <c:plotVisOnly val="1"/>
    <c:dispBlanksAs val="zero"/>
    <c:showDLblsOverMax val="1"/>
  </c:chart>
  <c:spPr>
    <a:solidFill>
      <a:schemeClr val="bg1"/>
    </a:solidFill>
    <a:ln w="9525" cap="flat" cmpd="sng" algn="ctr">
      <a:solidFill>
        <a:srgbClr val="D9D9D9"/>
      </a:solidFill>
      <a:prstDash val="solid"/>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r>
              <a:rPr lang="en-US"/>
              <a:t>NPV by Project at 8%</a:t>
            </a:r>
          </a:p>
        </c:rich>
      </c:tx>
      <c:overlay val="0"/>
      <c:spPr>
        <a:noFill/>
        <a:ln>
          <a:noFill/>
        </a:ln>
        <a:effectLst/>
      </c:spPr>
    </c:title>
    <c:autoTitleDeleted val="0"/>
    <c:plotArea>
      <c:layout/>
      <c:barChart>
        <c:barDir val="col"/>
        <c:grouping val="clustered"/>
        <c:varyColors val="0"/>
        <c:ser>
          <c:idx val="0"/>
          <c:order val="0"/>
          <c:tx>
            <c:v>NPV</c:v>
          </c:tx>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invertIfNegative val="1"/>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Summary!$A$4:$A$6</c:f>
              <c:strCache>
                <c:ptCount val="3"/>
                <c:pt idx="0">
                  <c:v>Project A</c:v>
                </c:pt>
                <c:pt idx="1">
                  <c:v>Project B</c:v>
                </c:pt>
                <c:pt idx="2">
                  <c:v>Project C</c:v>
                </c:pt>
              </c:strCache>
            </c:strRef>
          </c:cat>
          <c:val>
            <c:numRef>
              <c:f>Summary!$H$4:$H$6</c:f>
              <c:numCache>
                <c:formatCode>\£0.000;[Red]\(\£0.000\);\-</c:formatCode>
                <c:ptCount val="3"/>
                <c:pt idx="0">
                  <c:v>-6.5440594186024104</c:v>
                </c:pt>
                <c:pt idx="1">
                  <c:v>-6.0801895921410667</c:v>
                </c:pt>
                <c:pt idx="2">
                  <c:v>0.85832495813095111</c:v>
                </c:pt>
              </c:numCache>
            </c:numRef>
          </c:val>
          <c:extLst>
            <c:ext xmlns:c16="http://schemas.microsoft.com/office/drawing/2014/chart" uri="{C3380CC4-5D6E-409C-BE32-E72D297353CC}">
              <c16:uniqueId val="{00000000-649B-4A0E-BDA5-4F4FB32F8B56}"/>
            </c:ext>
          </c:extLst>
        </c:ser>
        <c:dLbls>
          <c:dLblPos val="inEnd"/>
          <c:showLegendKey val="0"/>
          <c:showVal val="1"/>
          <c:showCatName val="0"/>
          <c:showSerName val="0"/>
          <c:showPercent val="0"/>
          <c:showBubbleSize val="0"/>
        </c:dLbls>
        <c:gapWidth val="41"/>
        <c:axId val="48650112"/>
        <c:axId val="48672768"/>
      </c:barChart>
      <c:catAx>
        <c:axId val="48650112"/>
        <c:scaling>
          <c:orientation val="minMax"/>
        </c:scaling>
        <c:delete val="0"/>
        <c:axPos val="b"/>
        <c:title>
          <c:tx>
            <c:rich>
              <a:bodyPr rot="0" spcFirstLastPara="1" vertOverflow="ellipsis" vert="horz" wrap="square" anchor="ctr" anchorCtr="1"/>
              <a:lstStyle/>
              <a:p>
                <a:r>
                  <a:rPr lang="en-US"/>
                  <a:t>Project</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48672768"/>
        <c:crosses val="autoZero"/>
        <c:auto val="1"/>
        <c:lblAlgn val="ctr"/>
        <c:lblOffset val="100"/>
        <c:noMultiLvlLbl val="0"/>
      </c:catAx>
      <c:valAx>
        <c:axId val="48672768"/>
        <c:scaling>
          <c:orientation val="minMax"/>
        </c:scaling>
        <c:delete val="1"/>
        <c:axPos val="l"/>
        <c:title>
          <c:tx>
            <c:rich>
              <a:bodyPr rot="-5400000" spcFirstLastPara="1" vertOverflow="ellipsis" vert="horz" wrap="square" anchor="ctr" anchorCtr="1"/>
              <a:lstStyle/>
              <a:p>
                <a:r>
                  <a:rPr lang="en-US"/>
                  <a:t>NPV (£m)</a:t>
                </a:r>
              </a:p>
            </c:rich>
          </c:tx>
          <c:overlay val="0"/>
          <c:spPr>
            <a:noFill/>
            <a:ln>
              <a:noFill/>
            </a:ln>
            <a:effectLst/>
          </c:spPr>
        </c:title>
        <c:numFmt formatCode="\£0.0;[Red]\(\£0.0\);\-" sourceLinked="0"/>
        <c:majorTickMark val="none"/>
        <c:minorTickMark val="none"/>
        <c:tickLblPos val="nextTo"/>
        <c:crossAx val="4865011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1"/>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r>
              <a:rPr lang="en-US" b="1"/>
              <a:t>NPV of Feasible Portfolios</a:t>
            </a:r>
          </a:p>
        </c:rich>
      </c:tx>
      <c:overlay val="0"/>
      <c:spPr>
        <a:noFill/>
        <a:ln>
          <a:noFill/>
        </a:ln>
        <a:effectLst/>
      </c:spPr>
    </c:title>
    <c:autoTitleDeleted val="0"/>
    <c:plotArea>
      <c:layout/>
      <c:barChart>
        <c:barDir val="col"/>
        <c:grouping val="clustered"/>
        <c:varyColors val="0"/>
        <c:ser>
          <c:idx val="0"/>
          <c:order val="0"/>
          <c:tx>
            <c:v>Combined NPV</c:v>
          </c:tx>
          <c:spPr>
            <a:gradFill rotWithShape="1">
              <a:gsLst>
                <a:gs pos="0">
                  <a:schemeClr val="accent2">
                    <a:tint val="100000"/>
                    <a:shade val="100000"/>
                    <a:satMod val="130000"/>
                  </a:schemeClr>
                </a:gs>
                <a:gs pos="100000">
                  <a:schemeClr val="accent2">
                    <a:tint val="50000"/>
                    <a:shade val="100000"/>
                    <a:satMod val="350000"/>
                  </a:schemeClr>
                </a:gs>
              </a:gsLst>
              <a:lin ang="16200000" scaled="0"/>
            </a:gradFill>
            <a:ln>
              <a:noFill/>
            </a:ln>
            <a:effectLst>
              <a:outerShdw blurRad="40000" dist="23000" dir="5400000" rotWithShape="0">
                <a:srgbClr val="000000">
                  <a:alpha val="35000"/>
                </a:srgbClr>
              </a:outerShdw>
            </a:effectLst>
          </c:spPr>
          <c:invertIfNegative val="1"/>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'Capital Rationing'!$A$4:$A$9</c:f>
              <c:strCache>
                <c:ptCount val="6"/>
                <c:pt idx="0">
                  <c:v>A only</c:v>
                </c:pt>
                <c:pt idx="1">
                  <c:v>B only</c:v>
                </c:pt>
                <c:pt idx="2">
                  <c:v>C only</c:v>
                </c:pt>
                <c:pt idx="3">
                  <c:v>A + B</c:v>
                </c:pt>
                <c:pt idx="4">
                  <c:v>A + C</c:v>
                </c:pt>
                <c:pt idx="5">
                  <c:v>B + C</c:v>
                </c:pt>
              </c:strCache>
            </c:strRef>
          </c:cat>
          <c:val>
            <c:numRef>
              <c:f>'Capital Rationing'!$E$4:$E$9</c:f>
              <c:numCache>
                <c:formatCode>\£0.000;[Red]\(\£0.000\);\-</c:formatCode>
                <c:ptCount val="6"/>
                <c:pt idx="0">
                  <c:v>-6.5440594186024104</c:v>
                </c:pt>
                <c:pt idx="1">
                  <c:v>-6.0801895921410667</c:v>
                </c:pt>
                <c:pt idx="2">
                  <c:v>0.85832495813095111</c:v>
                </c:pt>
                <c:pt idx="3">
                  <c:v>-12.624249010743476</c:v>
                </c:pt>
                <c:pt idx="4">
                  <c:v>-5.6857344604714593</c:v>
                </c:pt>
                <c:pt idx="5">
                  <c:v>-5.2218646340101156</c:v>
                </c:pt>
              </c:numCache>
            </c:numRef>
          </c:val>
          <c:extLst>
            <c:ext xmlns:c16="http://schemas.microsoft.com/office/drawing/2014/chart" uri="{C3380CC4-5D6E-409C-BE32-E72D297353CC}">
              <c16:uniqueId val="{00000000-427E-4FEA-8E52-E482356D72B6}"/>
            </c:ext>
          </c:extLst>
        </c:ser>
        <c:dLbls>
          <c:dLblPos val="outEnd"/>
          <c:showLegendKey val="0"/>
          <c:showVal val="1"/>
          <c:showCatName val="0"/>
          <c:showSerName val="0"/>
          <c:showPercent val="0"/>
          <c:showBubbleSize val="0"/>
        </c:dLbls>
        <c:gapWidth val="100"/>
        <c:overlap val="-24"/>
        <c:axId val="48650112"/>
        <c:axId val="48672768"/>
      </c:barChart>
      <c:catAx>
        <c:axId val="48650112"/>
        <c:scaling>
          <c:orientation val="minMax"/>
        </c:scaling>
        <c:delete val="0"/>
        <c:axPos val="b"/>
        <c:title>
          <c:tx>
            <c:rich>
              <a:bodyPr rot="0" spcFirstLastPara="1" vertOverflow="ellipsis" vert="horz" wrap="square" anchor="ctr" anchorCtr="1"/>
              <a:lstStyle/>
              <a:p>
                <a:r>
                  <a:rPr lang="en-US"/>
                  <a:t>Portfolio</a:t>
                </a:r>
              </a:p>
            </c:rich>
          </c:tx>
          <c:layout>
            <c:manualLayout>
              <c:xMode val="edge"/>
              <c:yMode val="edge"/>
              <c:x val="0.37848630438105391"/>
              <c:y val="0.76122630504520272"/>
            </c:manualLayout>
          </c:layout>
          <c:overlay val="0"/>
          <c:spPr>
            <a:noFill/>
            <a:ln>
              <a:noFill/>
            </a:ln>
            <a:effectLst/>
          </c:sp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672768"/>
        <c:crosses val="autoZero"/>
        <c:auto val="1"/>
        <c:lblAlgn val="ctr"/>
        <c:lblOffset val="100"/>
        <c:noMultiLvlLbl val="0"/>
      </c:catAx>
      <c:valAx>
        <c:axId val="48672768"/>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r>
                  <a:rPr lang="en-US"/>
                  <a:t>Combined NPV (£m)</a:t>
                </a:r>
              </a:p>
            </c:rich>
          </c:tx>
          <c:layout>
            <c:manualLayout>
              <c:xMode val="edge"/>
              <c:yMode val="edge"/>
              <c:x val="2.2013207924754852E-2"/>
              <c:y val="7.7314814814814822E-2"/>
            </c:manualLayout>
          </c:layout>
          <c:overlay val="0"/>
          <c:spPr>
            <a:noFill/>
            <a:ln>
              <a:noFill/>
            </a:ln>
            <a:effectLst/>
          </c:spPr>
        </c:title>
        <c:numFmt formatCode="\£0.0;[Red]\(\£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650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zero"/>
    <c:showDLblsOverMax val="1"/>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5A698-B9D3-4072-ABE9-A4DE5ADE9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39</Pages>
  <Words>8744</Words>
  <Characters>49843</Characters>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2026-07-23T17:26:00Z</dcterms:created>
  <dcterms:modified xsi:type="dcterms:W3CDTF">2026-07-24T07:23:00Z</dcterms:modified>
</cp:coreProperties>
</file>