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14DA1" w14:textId="77777777" w:rsidR="007E5653" w:rsidRDefault="007E5653" w:rsidP="007E5653">
      <w:pPr>
        <w:pStyle w:val="Normal1"/>
        <w:jc w:val="center"/>
        <w:rPr>
          <w:rFonts w:ascii="Times New Roman" w:hAnsi="Times New Roman" w:cs="Times New Roman"/>
          <w:sz w:val="40"/>
          <w:szCs w:val="40"/>
          <w:lang w:val="en-GB"/>
        </w:rPr>
      </w:pPr>
      <w:proofErr w:type="spellStart"/>
      <w:r>
        <w:rPr>
          <w:rFonts w:ascii="Times New Roman" w:hAnsi="Times New Roman" w:cs="Times New Roman"/>
          <w:b/>
          <w:bCs/>
          <w:i/>
          <w:iCs/>
          <w:sz w:val="40"/>
          <w:szCs w:val="40"/>
        </w:rPr>
        <w:t>Programme</w:t>
      </w:r>
      <w:proofErr w:type="spellEnd"/>
      <w:r>
        <w:rPr>
          <w:rFonts w:ascii="Times New Roman" w:hAnsi="Times New Roman" w:cs="Times New Roman"/>
          <w:b/>
          <w:bCs/>
          <w:i/>
          <w:iCs/>
          <w:sz w:val="40"/>
          <w:szCs w:val="40"/>
        </w:rPr>
        <w:t>:</w:t>
      </w:r>
      <w:r>
        <w:rPr>
          <w:rFonts w:ascii="Times New Roman" w:hAnsi="Times New Roman" w:cs="Times New Roman"/>
          <w:sz w:val="40"/>
          <w:szCs w:val="40"/>
        </w:rPr>
        <w:t xml:space="preserve">  BA </w:t>
      </w:r>
      <w:r>
        <w:rPr>
          <w:rFonts w:ascii="Times New Roman" w:hAnsi="Times New Roman" w:cs="Times New Roman"/>
          <w:sz w:val="40"/>
          <w:szCs w:val="40"/>
          <w:lang w:val="en-GB"/>
        </w:rPr>
        <w:t>Business Management</w:t>
      </w:r>
    </w:p>
    <w:p w14:paraId="798BD055" w14:textId="77777777" w:rsidR="007E5653" w:rsidRDefault="007E5653" w:rsidP="007E5653">
      <w:pPr>
        <w:pStyle w:val="Normal1"/>
        <w:jc w:val="center"/>
        <w:rPr>
          <w:rFonts w:ascii="Times New Roman" w:hAnsi="Times New Roman" w:cs="Times New Roman"/>
          <w:sz w:val="40"/>
          <w:szCs w:val="40"/>
          <w:lang w:val="en-GB"/>
        </w:rPr>
      </w:pPr>
    </w:p>
    <w:p w14:paraId="7E83BBF1" w14:textId="77777777" w:rsidR="007E5653" w:rsidRPr="007E5653" w:rsidRDefault="007E5653" w:rsidP="007E5653">
      <w:pPr>
        <w:pStyle w:val="Normal1"/>
        <w:jc w:val="center"/>
        <w:rPr>
          <w:rFonts w:ascii="Times New Roman" w:hAnsi="Times New Roman" w:cs="Times New Roman"/>
          <w:sz w:val="40"/>
          <w:szCs w:val="40"/>
          <w:lang w:val="en-GB"/>
        </w:rPr>
      </w:pPr>
      <w:r>
        <w:rPr>
          <w:rFonts w:ascii="Times New Roman" w:hAnsi="Times New Roman" w:cs="Times New Roman"/>
          <w:b/>
          <w:bCs/>
          <w:i/>
          <w:iCs/>
          <w:sz w:val="40"/>
          <w:szCs w:val="40"/>
          <w:lang w:val="en-GB"/>
        </w:rPr>
        <w:t>Module Name:</w:t>
      </w:r>
      <w:r>
        <w:rPr>
          <w:rFonts w:ascii="Times New Roman" w:hAnsi="Times New Roman" w:cs="Times New Roman"/>
          <w:sz w:val="40"/>
          <w:szCs w:val="40"/>
          <w:lang w:val="en-GB"/>
        </w:rPr>
        <w:t xml:space="preserve"> </w:t>
      </w:r>
      <w:r w:rsidRPr="007E5653">
        <w:rPr>
          <w:rFonts w:ascii="Times New Roman" w:hAnsi="Times New Roman" w:cs="Times New Roman"/>
          <w:sz w:val="40"/>
          <w:szCs w:val="40"/>
          <w:lang w:val="en-GB"/>
        </w:rPr>
        <w:t>Leadership and Management, Theory</w:t>
      </w:r>
    </w:p>
    <w:p w14:paraId="03C44B96" w14:textId="1ECE08A2" w:rsidR="007E5653" w:rsidRDefault="007E5653" w:rsidP="007E5653">
      <w:pPr>
        <w:pStyle w:val="Normal1"/>
        <w:jc w:val="center"/>
        <w:rPr>
          <w:rFonts w:ascii="Times New Roman" w:hAnsi="Times New Roman" w:cs="Times New Roman"/>
          <w:sz w:val="40"/>
          <w:szCs w:val="40"/>
          <w:lang w:val="en-GB"/>
        </w:rPr>
      </w:pPr>
      <w:r w:rsidRPr="007E5653">
        <w:rPr>
          <w:rFonts w:ascii="Times New Roman" w:hAnsi="Times New Roman" w:cs="Times New Roman"/>
          <w:sz w:val="40"/>
          <w:szCs w:val="40"/>
          <w:lang w:val="en-GB"/>
        </w:rPr>
        <w:t>and Practice</w:t>
      </w:r>
    </w:p>
    <w:p w14:paraId="1C9472F7" w14:textId="77777777" w:rsidR="007E5653" w:rsidRDefault="007E5653" w:rsidP="007E5653">
      <w:pPr>
        <w:pStyle w:val="Normal1"/>
        <w:jc w:val="center"/>
        <w:rPr>
          <w:rFonts w:ascii="Times New Roman" w:hAnsi="Times New Roman" w:cs="Times New Roman"/>
          <w:sz w:val="40"/>
          <w:szCs w:val="40"/>
          <w:lang w:val="en-GB"/>
        </w:rPr>
      </w:pPr>
    </w:p>
    <w:p w14:paraId="060B2D6C" w14:textId="3CE54D6C" w:rsidR="007E5653" w:rsidRDefault="007E5653" w:rsidP="007E5653">
      <w:pPr>
        <w:spacing w:line="240" w:lineRule="auto"/>
        <w:jc w:val="center"/>
        <w:rPr>
          <w:rFonts w:cs="Times New Roman"/>
          <w:sz w:val="40"/>
          <w:szCs w:val="40"/>
        </w:rPr>
      </w:pPr>
      <w:r>
        <w:rPr>
          <w:rFonts w:eastAsia="Times New Roman" w:cs="Times New Roman"/>
          <w:b/>
          <w:bCs/>
          <w:i/>
          <w:color w:val="000000"/>
          <w:sz w:val="40"/>
          <w:szCs w:val="40"/>
          <w:lang w:val="en-GB"/>
        </w:rPr>
        <w:t>Module Code:</w:t>
      </w:r>
      <w:r>
        <w:rPr>
          <w:rFonts w:cs="Times New Roman"/>
          <w:b/>
          <w:bCs/>
          <w:i/>
          <w:sz w:val="40"/>
          <w:szCs w:val="40"/>
          <w:lang w:val="en-GB"/>
        </w:rPr>
        <w:t xml:space="preserve"> </w:t>
      </w:r>
      <w:r>
        <w:rPr>
          <w:rFonts w:cs="Times New Roman"/>
          <w:sz w:val="40"/>
          <w:szCs w:val="40"/>
        </w:rPr>
        <w:t xml:space="preserve"> LCBB600</w:t>
      </w:r>
      <w:r>
        <w:rPr>
          <w:rFonts w:cs="Times New Roman"/>
          <w:sz w:val="40"/>
          <w:szCs w:val="40"/>
        </w:rPr>
        <w:t>3</w:t>
      </w:r>
    </w:p>
    <w:p w14:paraId="52762CAA" w14:textId="15DDE1DE" w:rsidR="007E5653" w:rsidRDefault="007E5653" w:rsidP="00586B3C">
      <w:pPr>
        <w:spacing w:line="240" w:lineRule="auto"/>
        <w:rPr>
          <w:rFonts w:eastAsia="Times New Roman" w:cs="Times New Roman"/>
          <w:b/>
          <w:bCs/>
          <w:i/>
          <w:color w:val="000000"/>
          <w:sz w:val="40"/>
          <w:szCs w:val="40"/>
          <w:lang w:val="en-GB"/>
        </w:rPr>
      </w:pPr>
    </w:p>
    <w:p w14:paraId="1A9C5AB0" w14:textId="77777777" w:rsidR="007E5653" w:rsidRDefault="007E5653" w:rsidP="007E5653">
      <w:pPr>
        <w:pStyle w:val="Normal1"/>
        <w:jc w:val="center"/>
        <w:rPr>
          <w:rFonts w:ascii="Times New Roman" w:hAnsi="Times New Roman" w:cs="Times New Roman"/>
          <w:sz w:val="40"/>
          <w:szCs w:val="40"/>
          <w:lang w:val="en-GB"/>
        </w:rPr>
      </w:pPr>
    </w:p>
    <w:p w14:paraId="7B4FDF1C" w14:textId="77777777" w:rsidR="007E5653" w:rsidRDefault="007E5653" w:rsidP="007E5653">
      <w:pPr>
        <w:jc w:val="center"/>
        <w:rPr>
          <w:rFonts w:cs="Times New Roman"/>
          <w:sz w:val="40"/>
          <w:szCs w:val="40"/>
          <w:lang w:val="en-GB"/>
        </w:rPr>
      </w:pPr>
      <w:r>
        <w:rPr>
          <w:rFonts w:cs="Times New Roman"/>
          <w:b/>
          <w:bCs/>
          <w:i/>
          <w:iCs/>
          <w:sz w:val="40"/>
          <w:szCs w:val="40"/>
          <w:lang w:val="en-GB"/>
        </w:rPr>
        <w:t>Student name</w:t>
      </w:r>
      <w:r>
        <w:rPr>
          <w:rFonts w:cs="Times New Roman"/>
          <w:i/>
          <w:iCs/>
          <w:sz w:val="40"/>
          <w:szCs w:val="40"/>
          <w:lang w:val="en-GB"/>
        </w:rPr>
        <w:t>:</w:t>
      </w:r>
      <w:r>
        <w:rPr>
          <w:rFonts w:cs="Times New Roman"/>
          <w:sz w:val="40"/>
          <w:szCs w:val="40"/>
          <w:lang w:val="en-GB"/>
        </w:rPr>
        <w:t xml:space="preserve"> Irina Midrigan (ID 2020527)</w:t>
      </w:r>
    </w:p>
    <w:p w14:paraId="2E00B5F2" w14:textId="77777777" w:rsidR="001E1FE8" w:rsidRDefault="001E1FE8" w:rsidP="007E5653">
      <w:pPr>
        <w:jc w:val="center"/>
        <w:rPr>
          <w:rFonts w:cs="Times New Roman"/>
          <w:sz w:val="40"/>
          <w:szCs w:val="40"/>
          <w:lang w:val="en-GB"/>
        </w:rPr>
      </w:pPr>
    </w:p>
    <w:p w14:paraId="757B83E9" w14:textId="77777777" w:rsidR="001E1FE8" w:rsidRDefault="001E1FE8" w:rsidP="007E5653">
      <w:pPr>
        <w:jc w:val="center"/>
        <w:rPr>
          <w:rFonts w:cs="Times New Roman"/>
          <w:sz w:val="40"/>
          <w:szCs w:val="40"/>
          <w:lang w:val="en-GB"/>
        </w:rPr>
      </w:pPr>
    </w:p>
    <w:p w14:paraId="4391ED1D" w14:textId="77777777" w:rsidR="001E1FE8" w:rsidRDefault="001E1FE8" w:rsidP="007E5653">
      <w:pPr>
        <w:jc w:val="center"/>
        <w:rPr>
          <w:rFonts w:cs="Times New Roman"/>
          <w:sz w:val="40"/>
          <w:szCs w:val="40"/>
          <w:lang w:val="en-GB"/>
        </w:rPr>
      </w:pPr>
    </w:p>
    <w:p w14:paraId="192A60DF" w14:textId="77777777" w:rsidR="001E1FE8" w:rsidRDefault="001E1FE8" w:rsidP="007E5653">
      <w:pPr>
        <w:jc w:val="center"/>
        <w:rPr>
          <w:rFonts w:cs="Times New Roman"/>
          <w:sz w:val="40"/>
          <w:szCs w:val="40"/>
          <w:lang w:val="en-GB"/>
        </w:rPr>
      </w:pPr>
    </w:p>
    <w:p w14:paraId="7EC76F96" w14:textId="77777777" w:rsidR="001E1FE8" w:rsidRDefault="001E1FE8" w:rsidP="007E5653">
      <w:pPr>
        <w:jc w:val="center"/>
        <w:rPr>
          <w:rFonts w:cs="Times New Roman"/>
          <w:sz w:val="40"/>
          <w:szCs w:val="40"/>
          <w:lang w:val="en-GB"/>
        </w:rPr>
      </w:pPr>
    </w:p>
    <w:p w14:paraId="54315184" w14:textId="77777777" w:rsidR="001E1FE8" w:rsidRDefault="001E1FE8" w:rsidP="007E5653">
      <w:pPr>
        <w:jc w:val="center"/>
        <w:rPr>
          <w:rFonts w:cs="Times New Roman"/>
          <w:sz w:val="40"/>
          <w:szCs w:val="40"/>
          <w:lang w:val="en-GB"/>
        </w:rPr>
      </w:pPr>
    </w:p>
    <w:p w14:paraId="41546934" w14:textId="77777777" w:rsidR="001E1FE8" w:rsidRDefault="001E1FE8" w:rsidP="007E5653">
      <w:pPr>
        <w:jc w:val="center"/>
        <w:rPr>
          <w:rFonts w:cs="Times New Roman"/>
          <w:sz w:val="40"/>
          <w:szCs w:val="40"/>
          <w:lang w:val="en-GB"/>
        </w:rPr>
      </w:pPr>
    </w:p>
    <w:p w14:paraId="72EEF495" w14:textId="77777777" w:rsidR="001E1FE8" w:rsidRDefault="001E1FE8" w:rsidP="007E5653">
      <w:pPr>
        <w:jc w:val="center"/>
        <w:rPr>
          <w:rFonts w:cs="Times New Roman"/>
          <w:sz w:val="40"/>
          <w:szCs w:val="40"/>
          <w:lang w:val="en-GB"/>
        </w:rPr>
      </w:pPr>
    </w:p>
    <w:p w14:paraId="69FD5D0E" w14:textId="77777777" w:rsidR="001E1FE8" w:rsidRDefault="001E1FE8" w:rsidP="007E5653">
      <w:pPr>
        <w:jc w:val="center"/>
        <w:rPr>
          <w:rFonts w:cs="Times New Roman"/>
          <w:sz w:val="40"/>
          <w:szCs w:val="40"/>
          <w:lang w:val="en-GB"/>
        </w:rPr>
      </w:pPr>
    </w:p>
    <w:p w14:paraId="51661628" w14:textId="77777777" w:rsidR="001E1FE8" w:rsidRDefault="001E1FE8" w:rsidP="007E5653">
      <w:pPr>
        <w:jc w:val="center"/>
        <w:rPr>
          <w:rFonts w:cs="Times New Roman"/>
          <w:sz w:val="40"/>
          <w:szCs w:val="40"/>
          <w:lang w:val="en-GB"/>
        </w:rPr>
      </w:pPr>
    </w:p>
    <w:p w14:paraId="23961B32" w14:textId="444B4420" w:rsidR="007E5653" w:rsidRDefault="007E5653" w:rsidP="007E5653"/>
    <w:p w14:paraId="29975683" w14:textId="09ABA4DE" w:rsidR="001E1FE8" w:rsidRPr="001E1FE8" w:rsidRDefault="001E1FE8" w:rsidP="001E1FE8">
      <w:pPr>
        <w:pStyle w:val="Heading1"/>
      </w:pPr>
    </w:p>
    <w:p w14:paraId="2DDE970A" w14:textId="77777777" w:rsidR="001E1FE8" w:rsidRDefault="001E1FE8" w:rsidP="001E1FE8">
      <w:r>
        <w:t xml:space="preserve">GE was led by Jack Welch's </w:t>
      </w:r>
      <w:proofErr w:type="spellStart"/>
      <w:r>
        <w:t>decentralisation</w:t>
      </w:r>
      <w:proofErr w:type="spellEnd"/>
      <w:r>
        <w:t xml:space="preserve"> and autonomy. Managers may quickly and decisively respond to market shifts and client requests due to the </w:t>
      </w:r>
      <w:proofErr w:type="spellStart"/>
      <w:r>
        <w:t>decentralisation</w:t>
      </w:r>
      <w:proofErr w:type="spellEnd"/>
      <w:r>
        <w:t xml:space="preserve"> of decision-making. Welch encouraged ownership and responsibility by giving managers authority. Employees were empowered to run their enterprises and perform. GE may respond to different market situations and capture opportunities with more </w:t>
      </w:r>
      <w:proofErr w:type="spellStart"/>
      <w:r>
        <w:t>localised</w:t>
      </w:r>
      <w:proofErr w:type="spellEnd"/>
      <w:r>
        <w:t xml:space="preserve"> decision-making. </w:t>
      </w:r>
      <w:proofErr w:type="spellStart"/>
      <w:r>
        <w:t>Decentralisation</w:t>
      </w:r>
      <w:proofErr w:type="spellEnd"/>
      <w:r>
        <w:t xml:space="preserve"> has drawbacks (Vaia </w:t>
      </w:r>
      <w:r>
        <w:rPr>
          <w:i/>
        </w:rPr>
        <w:t>et al</w:t>
      </w:r>
      <w:r>
        <w:t xml:space="preserve">., 2022). Managers </w:t>
      </w:r>
      <w:proofErr w:type="gramStart"/>
      <w:r>
        <w:t>have to</w:t>
      </w:r>
      <w:proofErr w:type="gramEnd"/>
      <w:r>
        <w:t xml:space="preserve"> combine autonomy with company strategy. This may have caused inconsistent business unit cooperation.</w:t>
      </w:r>
    </w:p>
    <w:p w14:paraId="4F551DFE" w14:textId="77777777" w:rsidR="001E1FE8" w:rsidRDefault="001E1FE8" w:rsidP="001E1FE8">
      <w:proofErr w:type="spellStart"/>
      <w:r>
        <w:t>Decentralisation</w:t>
      </w:r>
      <w:proofErr w:type="spellEnd"/>
      <w:r>
        <w:t xml:space="preserve"> required strong management confidence. This strategy stimulated innovation and agility but also risked mismatched strategies and unit disputes.</w:t>
      </w:r>
    </w:p>
    <w:p w14:paraId="3E818892" w14:textId="28E64C47" w:rsidR="001E1FE8" w:rsidRPr="001E1FE8" w:rsidRDefault="001E1FE8" w:rsidP="001E1FE8">
      <w:r>
        <w:t xml:space="preserve">Welch's </w:t>
      </w:r>
      <w:proofErr w:type="spellStart"/>
      <w:r>
        <w:t>decentralisation</w:t>
      </w:r>
      <w:proofErr w:type="spellEnd"/>
      <w:r>
        <w:t xml:space="preserve"> and autonomy shaped GE's culture and efficiency. It needed diligent management to preserve alignment and guarantee that autonomy's advantages exceeded its downsides.</w:t>
      </w:r>
      <w:bookmarkStart w:id="0" w:name="_8im6dzfaon17" w:colFirst="0" w:colLast="0"/>
      <w:bookmarkEnd w:id="0"/>
    </w:p>
    <w:p w14:paraId="0A612F78" w14:textId="77777777" w:rsidR="001E1FE8" w:rsidRDefault="001E1FE8" w:rsidP="001E1FE8">
      <w:r>
        <w:t xml:space="preserve">GE's silos were broken to create a boundaryless, innovative, and creative </w:t>
      </w:r>
      <w:proofErr w:type="spellStart"/>
      <w:r>
        <w:t>organisation</w:t>
      </w:r>
      <w:proofErr w:type="spellEnd"/>
      <w:r>
        <w:t>. GE sought breakthrough discoveries via cross-functional cooperation. This method accelerates business unit knowledge and idea sharing. Collaboration across departments improves problem-solving and decision-making by drawing on more perspectives.</w:t>
      </w:r>
    </w:p>
    <w:p w14:paraId="0B9363FD" w14:textId="2886E6D0" w:rsidR="001E1FE8" w:rsidRPr="004F5F68" w:rsidRDefault="001E1FE8" w:rsidP="004F5F68">
      <w:r>
        <w:t xml:space="preserve">Implementing a boundaryless </w:t>
      </w:r>
      <w:proofErr w:type="spellStart"/>
      <w:r>
        <w:t>organisation</w:t>
      </w:r>
      <w:proofErr w:type="spellEnd"/>
      <w:r>
        <w:t xml:space="preserve"> was difficult. Silos may have comforted some managers and staff, making change difficult (Karpen </w:t>
      </w:r>
      <w:r>
        <w:rPr>
          <w:i/>
        </w:rPr>
        <w:t>et al</w:t>
      </w:r>
      <w:r>
        <w:t xml:space="preserve">., 2022). Integrating disparate teams and </w:t>
      </w:r>
      <w:proofErr w:type="spellStart"/>
      <w:r>
        <w:t>harmonising</w:t>
      </w:r>
      <w:proofErr w:type="spellEnd"/>
      <w:r>
        <w:t xml:space="preserve"> their goals took time and communication. Without defined boundaries, overlapping roles and responsibilities may have occurred. A boundaryless </w:t>
      </w:r>
      <w:proofErr w:type="spellStart"/>
      <w:r>
        <w:t>organisation</w:t>
      </w:r>
      <w:proofErr w:type="spellEnd"/>
      <w:r>
        <w:t xml:space="preserve"> </w:t>
      </w:r>
      <w:proofErr w:type="gramStart"/>
      <w:r>
        <w:t>required</w:t>
      </w:r>
      <w:proofErr w:type="gramEnd"/>
      <w:r>
        <w:t xml:space="preserve"> concentration and accountability.</w:t>
      </w:r>
      <w:bookmarkStart w:id="1" w:name="_isdxqzgk4ht7" w:colFirst="0" w:colLast="0"/>
      <w:bookmarkEnd w:id="1"/>
    </w:p>
    <w:p w14:paraId="08D21649" w14:textId="4BABA2FA" w:rsidR="001E1FE8" w:rsidRPr="004F5F68" w:rsidRDefault="001E1FE8" w:rsidP="004F5F68">
      <w:r>
        <w:t xml:space="preserve">Jack Welch's "Rank and Yank" system identified and rewarded top performers and addressed underperformance. The system's competitiveness may have driven people to succeed and develop, improving performance (Economics, 2020). However, the forced ranking has problems. It generated a competitive climate that may have hindered cooperation, information exchange, and problem-solving. The system's ethics were </w:t>
      </w:r>
      <w:proofErr w:type="spellStart"/>
      <w:r>
        <w:t>criticised</w:t>
      </w:r>
      <w:proofErr w:type="spellEnd"/>
      <w:r>
        <w:t xml:space="preserve">. Job insecurity may have caused stress and burnout. Due to its subjectivity and biases, the rating procedure may have been unfair. The Rank and Yank system may have helped keep high-performing staff, but it also risked losing important talent, especially if the </w:t>
      </w:r>
      <w:proofErr w:type="spellStart"/>
      <w:r>
        <w:t>organisation</w:t>
      </w:r>
      <w:proofErr w:type="spellEnd"/>
      <w:r>
        <w:t xml:space="preserve"> was unable to retain lower percentile personnel.</w:t>
      </w:r>
      <w:bookmarkStart w:id="2" w:name="_20chiaaal53g" w:colFirst="0" w:colLast="0"/>
      <w:bookmarkEnd w:id="2"/>
    </w:p>
    <w:p w14:paraId="7C460314" w14:textId="33C3BA43" w:rsidR="001E1FE8" w:rsidRPr="004F5F68" w:rsidRDefault="001E1FE8" w:rsidP="004F5F68">
      <w:r>
        <w:lastRenderedPageBreak/>
        <w:t xml:space="preserve">Jack Welch believed talent management was crucial to </w:t>
      </w:r>
      <w:proofErr w:type="spellStart"/>
      <w:r>
        <w:t>organisational</w:t>
      </w:r>
      <w:proofErr w:type="spellEnd"/>
      <w:r>
        <w:t xml:space="preserve"> success. GE </w:t>
      </w:r>
      <w:proofErr w:type="spellStart"/>
      <w:r>
        <w:t>maximised</w:t>
      </w:r>
      <w:proofErr w:type="spellEnd"/>
      <w:r>
        <w:t xml:space="preserve"> production and employment happiness by matching talents and knowledge to company demands. Finding and developing talent is difficult. Subjectivity and biases may impact talent discovery and promotion choices (</w:t>
      </w:r>
      <w:proofErr w:type="spellStart"/>
      <w:r>
        <w:t>Hunkenschroer</w:t>
      </w:r>
      <w:proofErr w:type="spellEnd"/>
      <w:r>
        <w:t xml:space="preserve">, and </w:t>
      </w:r>
      <w:proofErr w:type="spellStart"/>
      <w:r>
        <w:t>Luetge</w:t>
      </w:r>
      <w:proofErr w:type="spellEnd"/>
      <w:r>
        <w:t>, 2022). Some sectors or skill sets have small talent pools, making talent acquisition and retention harder. In a competitive employment market, employee development and engagement must be strategic. Talent development was essential to GE's expansion.</w:t>
      </w:r>
      <w:bookmarkStart w:id="3" w:name="_tz8yzepx4o8t" w:colFirst="0" w:colLast="0"/>
      <w:bookmarkEnd w:id="3"/>
    </w:p>
    <w:p w14:paraId="24F104C9" w14:textId="77777777" w:rsidR="001E1FE8" w:rsidRDefault="001E1FE8" w:rsidP="001E1FE8">
      <w:r>
        <w:t xml:space="preserve">Jack Welch's leadership and management contributed to GE's market capitalization increase. His dynamic, demanding leadership gave the </w:t>
      </w:r>
      <w:proofErr w:type="spellStart"/>
      <w:r>
        <w:t>organisation</w:t>
      </w:r>
      <w:proofErr w:type="spellEnd"/>
      <w:r>
        <w:t xml:space="preserve"> direction and energy (Welch </w:t>
      </w:r>
      <w:proofErr w:type="gramStart"/>
      <w:r>
        <w:t>and  Byrne</w:t>
      </w:r>
      <w:proofErr w:type="gramEnd"/>
      <w:r>
        <w:t xml:space="preserve">, 2001). </w:t>
      </w:r>
      <w:proofErr w:type="spellStart"/>
      <w:r>
        <w:t>Decentralisation</w:t>
      </w:r>
      <w:proofErr w:type="spellEnd"/>
      <w:r>
        <w:t xml:space="preserve"> and autonomy helped GE adapt to market changes and stay competitive. The boundaryless </w:t>
      </w:r>
      <w:proofErr w:type="spellStart"/>
      <w:r>
        <w:t>organisation</w:t>
      </w:r>
      <w:proofErr w:type="spellEnd"/>
      <w:r>
        <w:t xml:space="preserve"> encouraged innovation and creativity, helping GE introduce new products and boost its market share (Gelles, 2022). Welch's leadership did not simply drive GE's market capitalization growth. Global economic shifts, technological advances, and competitive changes also contributed. Welch's leadership and these external circumstances help explain GE's exceptional market capitalization rise during his tenure.</w:t>
      </w:r>
    </w:p>
    <w:p w14:paraId="128ECC6C" w14:textId="77777777" w:rsidR="003123FF" w:rsidRDefault="003123FF" w:rsidP="001E1FE8"/>
    <w:p w14:paraId="716AD819" w14:textId="77777777" w:rsidR="003123FF" w:rsidRDefault="003123FF" w:rsidP="001E1FE8"/>
    <w:p w14:paraId="7A5CFF6B" w14:textId="77777777" w:rsidR="003123FF" w:rsidRDefault="003123FF" w:rsidP="001E1FE8"/>
    <w:p w14:paraId="40F6DE1D" w14:textId="77777777" w:rsidR="003123FF" w:rsidRDefault="003123FF" w:rsidP="001E1FE8"/>
    <w:p w14:paraId="63F6873E" w14:textId="77777777" w:rsidR="003123FF" w:rsidRDefault="003123FF" w:rsidP="001E1FE8"/>
    <w:p w14:paraId="76144DC9" w14:textId="77777777" w:rsidR="003123FF" w:rsidRDefault="003123FF" w:rsidP="001E1FE8"/>
    <w:p w14:paraId="05627D0C" w14:textId="77777777" w:rsidR="003123FF" w:rsidRDefault="003123FF" w:rsidP="001E1FE8"/>
    <w:p w14:paraId="4AF93F21" w14:textId="77777777" w:rsidR="003123FF" w:rsidRDefault="003123FF" w:rsidP="001E1FE8"/>
    <w:p w14:paraId="75BBBB0A" w14:textId="77777777" w:rsidR="003123FF" w:rsidRDefault="003123FF" w:rsidP="001E1FE8"/>
    <w:p w14:paraId="243E7F63" w14:textId="77777777" w:rsidR="003123FF" w:rsidRDefault="003123FF" w:rsidP="001E1FE8"/>
    <w:p w14:paraId="655A506F" w14:textId="77777777" w:rsidR="003123FF" w:rsidRDefault="003123FF" w:rsidP="001E1FE8"/>
    <w:p w14:paraId="4AAAA512" w14:textId="77777777" w:rsidR="003123FF" w:rsidRDefault="003123FF" w:rsidP="001E1FE8"/>
    <w:p w14:paraId="74D469BA" w14:textId="77777777" w:rsidR="003123FF" w:rsidRDefault="003123FF" w:rsidP="001E1FE8"/>
    <w:p w14:paraId="6C635D5E" w14:textId="77777777" w:rsidR="003123FF" w:rsidRDefault="003123FF" w:rsidP="001E1FE8"/>
    <w:p w14:paraId="5086812A" w14:textId="77777777" w:rsidR="003123FF" w:rsidRDefault="003123FF" w:rsidP="001E1FE8"/>
    <w:p w14:paraId="57C7EA46" w14:textId="77777777" w:rsidR="003123FF" w:rsidRDefault="003123FF" w:rsidP="001E1FE8"/>
    <w:p w14:paraId="022649E6" w14:textId="28E21B81" w:rsidR="003123FF" w:rsidRDefault="003123FF" w:rsidP="001E1FE8">
      <w:r>
        <w:lastRenderedPageBreak/>
        <w:t>References</w:t>
      </w:r>
    </w:p>
    <w:p w14:paraId="7AB3CB38" w14:textId="77777777" w:rsidR="00B67E0E" w:rsidRDefault="00B67E0E" w:rsidP="00B67E0E">
      <w:pPr>
        <w:spacing w:before="240" w:after="240"/>
        <w:rPr>
          <w:color w:val="222222"/>
        </w:rPr>
      </w:pPr>
      <w:r>
        <w:rPr>
          <w:color w:val="222222"/>
        </w:rPr>
        <w:t>Economics, 2020, “</w:t>
      </w:r>
      <w:r>
        <w:rPr>
          <w:i/>
          <w:color w:val="222222"/>
        </w:rPr>
        <w:t>Competitiveness</w:t>
      </w:r>
      <w:r>
        <w:rPr>
          <w:color w:val="222222"/>
        </w:rPr>
        <w:t>”, Available at:</w:t>
      </w:r>
      <w:hyperlink r:id="rId5">
        <w:r>
          <w:rPr>
            <w:color w:val="222222"/>
          </w:rPr>
          <w:t xml:space="preserve"> https://www.economicsonline.co.uk/global_economics/competitiveness.html/</w:t>
        </w:r>
      </w:hyperlink>
      <w:r>
        <w:rPr>
          <w:color w:val="222222"/>
        </w:rPr>
        <w:t xml:space="preserve"> [Accessed on 17</w:t>
      </w:r>
      <w:r>
        <w:rPr>
          <w:color w:val="222222"/>
          <w:vertAlign w:val="superscript"/>
        </w:rPr>
        <w:t>th</w:t>
      </w:r>
      <w:r>
        <w:rPr>
          <w:color w:val="222222"/>
        </w:rPr>
        <w:t xml:space="preserve"> July 2023]</w:t>
      </w:r>
    </w:p>
    <w:p w14:paraId="65965CED" w14:textId="35A0276F" w:rsidR="003123FF" w:rsidRDefault="00B67E0E" w:rsidP="001E1FE8">
      <w:pPr>
        <w:rPr>
          <w:color w:val="222222"/>
        </w:rPr>
      </w:pPr>
      <w:r>
        <w:rPr>
          <w:color w:val="222222"/>
        </w:rPr>
        <w:t xml:space="preserve">Gelles, D., 2022. </w:t>
      </w:r>
      <w:r>
        <w:rPr>
          <w:i/>
          <w:color w:val="222222"/>
        </w:rPr>
        <w:t>The Man Who Broke Capitalism: How Jack Welch Gutted the Heartland and Crushed the Soul of Corporate America—and How to Undo His Legacy</w:t>
      </w:r>
      <w:r>
        <w:rPr>
          <w:color w:val="222222"/>
        </w:rPr>
        <w:t>. Simon and Schuster.</w:t>
      </w:r>
    </w:p>
    <w:p w14:paraId="2E7CAE47" w14:textId="77777777" w:rsidR="00B67E0E" w:rsidRDefault="00B67E0E" w:rsidP="00B67E0E">
      <w:pPr>
        <w:spacing w:before="240" w:after="240"/>
        <w:rPr>
          <w:color w:val="222222"/>
        </w:rPr>
      </w:pPr>
      <w:proofErr w:type="spellStart"/>
      <w:r>
        <w:rPr>
          <w:color w:val="222222"/>
        </w:rPr>
        <w:t>Hunkenschroer</w:t>
      </w:r>
      <w:proofErr w:type="spellEnd"/>
      <w:r>
        <w:rPr>
          <w:color w:val="222222"/>
        </w:rPr>
        <w:t xml:space="preserve">, A.L. and </w:t>
      </w:r>
      <w:proofErr w:type="spellStart"/>
      <w:r>
        <w:rPr>
          <w:color w:val="222222"/>
        </w:rPr>
        <w:t>Luetge</w:t>
      </w:r>
      <w:proofErr w:type="spellEnd"/>
      <w:r>
        <w:rPr>
          <w:color w:val="222222"/>
        </w:rPr>
        <w:t xml:space="preserve">, C., 2022. Ethics of AI-enabled recruiting and selection: A review and research agenda. </w:t>
      </w:r>
      <w:r>
        <w:rPr>
          <w:i/>
          <w:color w:val="222222"/>
        </w:rPr>
        <w:t>Journal of Business Ethics</w:t>
      </w:r>
      <w:r>
        <w:rPr>
          <w:color w:val="222222"/>
        </w:rPr>
        <w:t xml:space="preserve">, </w:t>
      </w:r>
      <w:r>
        <w:rPr>
          <w:i/>
          <w:color w:val="222222"/>
        </w:rPr>
        <w:t>178</w:t>
      </w:r>
      <w:r>
        <w:rPr>
          <w:color w:val="222222"/>
        </w:rPr>
        <w:t>(4), pp.977-1007.</w:t>
      </w:r>
    </w:p>
    <w:p w14:paraId="0036A660" w14:textId="77777777" w:rsidR="00B67E0E" w:rsidRDefault="00B67E0E" w:rsidP="00B67E0E">
      <w:pPr>
        <w:spacing w:before="240" w:after="240"/>
        <w:rPr>
          <w:color w:val="222222"/>
        </w:rPr>
      </w:pPr>
      <w:r>
        <w:rPr>
          <w:color w:val="222222"/>
        </w:rPr>
        <w:t xml:space="preserve">Karpen, I.O., Vink, J. and Trischler, J., 2022. Service design for systemic change in legacy organizations: A bottom-up approach to redesign. In </w:t>
      </w:r>
      <w:r>
        <w:rPr>
          <w:i/>
          <w:color w:val="222222"/>
        </w:rPr>
        <w:t>The Palgrave Handbook of Service Management</w:t>
      </w:r>
      <w:r>
        <w:rPr>
          <w:color w:val="222222"/>
        </w:rPr>
        <w:t xml:space="preserve"> (pp. 457-479). Cham: Springer International Publishing.</w:t>
      </w:r>
    </w:p>
    <w:p w14:paraId="04A7DE49" w14:textId="77777777" w:rsidR="00B67E0E" w:rsidRDefault="00B67E0E" w:rsidP="00B67E0E">
      <w:pPr>
        <w:spacing w:before="240" w:after="240"/>
        <w:rPr>
          <w:color w:val="222222"/>
        </w:rPr>
      </w:pPr>
      <w:r>
        <w:rPr>
          <w:color w:val="222222"/>
        </w:rPr>
        <w:t xml:space="preserve">Vaia, G., Arkhipova, D. and DeLone, W., 2022. Digital governance mechanisms and principles that enable agile responses in dynamic competitive environments. </w:t>
      </w:r>
      <w:r>
        <w:rPr>
          <w:i/>
          <w:color w:val="222222"/>
        </w:rPr>
        <w:t>European Journal of Information Systems</w:t>
      </w:r>
      <w:r>
        <w:rPr>
          <w:color w:val="222222"/>
        </w:rPr>
        <w:t xml:space="preserve">, </w:t>
      </w:r>
      <w:r>
        <w:rPr>
          <w:i/>
          <w:color w:val="222222"/>
        </w:rPr>
        <w:t>31</w:t>
      </w:r>
      <w:r>
        <w:rPr>
          <w:color w:val="222222"/>
        </w:rPr>
        <w:t>(6), pp.662-680.</w:t>
      </w:r>
    </w:p>
    <w:p w14:paraId="1C10F9E9" w14:textId="77777777" w:rsidR="00B67E0E" w:rsidRDefault="00B67E0E" w:rsidP="00B67E0E">
      <w:pPr>
        <w:spacing w:before="240" w:after="240"/>
        <w:rPr>
          <w:color w:val="222222"/>
        </w:rPr>
      </w:pPr>
      <w:r>
        <w:rPr>
          <w:color w:val="222222"/>
        </w:rPr>
        <w:t xml:space="preserve">Welch, J. and Byrne, J.A. 2001. </w:t>
      </w:r>
      <w:r>
        <w:rPr>
          <w:i/>
          <w:color w:val="222222"/>
        </w:rPr>
        <w:t xml:space="preserve">Jack: Straight from the gut. </w:t>
      </w:r>
      <w:r>
        <w:rPr>
          <w:color w:val="222222"/>
        </w:rPr>
        <w:t>Warner Business Books.</w:t>
      </w:r>
    </w:p>
    <w:p w14:paraId="23BF8040" w14:textId="77777777" w:rsidR="00B67E0E" w:rsidRDefault="00B67E0E" w:rsidP="00B67E0E">
      <w:pPr>
        <w:spacing w:before="240" w:after="240"/>
        <w:rPr>
          <w:color w:val="222222"/>
        </w:rPr>
      </w:pPr>
    </w:p>
    <w:p w14:paraId="53B6FFB5" w14:textId="77777777" w:rsidR="00B67E0E" w:rsidRDefault="00B67E0E" w:rsidP="001E1FE8"/>
    <w:p w14:paraId="59BC8D02" w14:textId="77777777" w:rsidR="001E1FE8" w:rsidRDefault="001E1FE8" w:rsidP="007E5653"/>
    <w:sectPr w:rsidR="001E1F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E1E00"/>
    <w:multiLevelType w:val="multilevel"/>
    <w:tmpl w:val="1CF2B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421F4D"/>
    <w:multiLevelType w:val="multilevel"/>
    <w:tmpl w:val="22103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4625B9"/>
    <w:multiLevelType w:val="multilevel"/>
    <w:tmpl w:val="A5C05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5B3447"/>
    <w:multiLevelType w:val="multilevel"/>
    <w:tmpl w:val="75466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2294678"/>
    <w:multiLevelType w:val="multilevel"/>
    <w:tmpl w:val="39468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25841F3"/>
    <w:multiLevelType w:val="multilevel"/>
    <w:tmpl w:val="773CA4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7B73365"/>
    <w:multiLevelType w:val="multilevel"/>
    <w:tmpl w:val="CC321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F573AE3"/>
    <w:multiLevelType w:val="multilevel"/>
    <w:tmpl w:val="9D4C1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6845EC"/>
    <w:multiLevelType w:val="multilevel"/>
    <w:tmpl w:val="810AE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97106774">
    <w:abstractNumId w:val="3"/>
  </w:num>
  <w:num w:numId="2" w16cid:durableId="1900313398">
    <w:abstractNumId w:val="0"/>
  </w:num>
  <w:num w:numId="3" w16cid:durableId="586696508">
    <w:abstractNumId w:val="5"/>
  </w:num>
  <w:num w:numId="4" w16cid:durableId="71970825">
    <w:abstractNumId w:val="8"/>
  </w:num>
  <w:num w:numId="5" w16cid:durableId="1935475263">
    <w:abstractNumId w:val="7"/>
  </w:num>
  <w:num w:numId="6" w16cid:durableId="1818063350">
    <w:abstractNumId w:val="2"/>
  </w:num>
  <w:num w:numId="7" w16cid:durableId="770929184">
    <w:abstractNumId w:val="6"/>
  </w:num>
  <w:num w:numId="8" w16cid:durableId="2026009635">
    <w:abstractNumId w:val="1"/>
  </w:num>
  <w:num w:numId="9" w16cid:durableId="8974759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A53"/>
    <w:rsid w:val="001E1FE8"/>
    <w:rsid w:val="003123FF"/>
    <w:rsid w:val="004F5F68"/>
    <w:rsid w:val="00586B3C"/>
    <w:rsid w:val="00660A53"/>
    <w:rsid w:val="007E5653"/>
    <w:rsid w:val="00B67E0E"/>
    <w:rsid w:val="00BF6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8CD74"/>
  <w15:chartTrackingRefBased/>
  <w15:docId w15:val="{1659285F-931C-446A-AFD8-ACC3198A6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653"/>
    <w:pPr>
      <w:spacing w:after="0" w:line="360" w:lineRule="auto"/>
      <w:jc w:val="both"/>
    </w:pPr>
    <w:rPr>
      <w:rFonts w:ascii="Times New Roman" w:eastAsia="Arial" w:hAnsi="Times New Roman" w:cs="Arial"/>
      <w:kern w:val="0"/>
      <w:sz w:val="24"/>
      <w:lang w:eastAsia="zh-CN"/>
      <w14:ligatures w14:val="none"/>
    </w:rPr>
  </w:style>
  <w:style w:type="paragraph" w:styleId="Heading1">
    <w:name w:val="heading 1"/>
    <w:basedOn w:val="Normal"/>
    <w:next w:val="Normal"/>
    <w:link w:val="Heading1Char"/>
    <w:uiPriority w:val="9"/>
    <w:qFormat/>
    <w:rsid w:val="001E1FE8"/>
    <w:pPr>
      <w:keepNext/>
      <w:keepLines/>
      <w:spacing w:before="400" w:after="120"/>
      <w:outlineLvl w:val="0"/>
    </w:pPr>
    <w:rPr>
      <w:rFonts w:eastAsia="Times New Roman" w:cs="Times New Roman"/>
      <w:b/>
      <w:sz w:val="28"/>
      <w:szCs w:val="28"/>
      <w:lang w:val="e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E5653"/>
    <w:pPr>
      <w:spacing w:after="0" w:line="276" w:lineRule="auto"/>
    </w:pPr>
    <w:rPr>
      <w:rFonts w:ascii="Arial" w:eastAsia="Arial" w:hAnsi="Arial" w:cs="Arial"/>
      <w:kern w:val="0"/>
      <w:lang w:eastAsia="zh-CN"/>
      <w14:ligatures w14:val="none"/>
    </w:rPr>
  </w:style>
  <w:style w:type="character" w:customStyle="1" w:styleId="Heading1Char">
    <w:name w:val="Heading 1 Char"/>
    <w:basedOn w:val="DefaultParagraphFont"/>
    <w:link w:val="Heading1"/>
    <w:uiPriority w:val="9"/>
    <w:rsid w:val="001E1FE8"/>
    <w:rPr>
      <w:rFonts w:ascii="Times New Roman" w:eastAsia="Times New Roman" w:hAnsi="Times New Roman" w:cs="Times New Roman"/>
      <w:b/>
      <w:kern w:val="0"/>
      <w:sz w:val="28"/>
      <w:szCs w:val="28"/>
      <w:lang w:val="e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conomicsonline.co.uk/global_economics/competitivenes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754</Words>
  <Characters>4302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Irina</cp:lastModifiedBy>
  <cp:revision>5</cp:revision>
  <dcterms:created xsi:type="dcterms:W3CDTF">2023-07-30T05:44:00Z</dcterms:created>
  <dcterms:modified xsi:type="dcterms:W3CDTF">2023-07-30T06:11:00Z</dcterms:modified>
</cp:coreProperties>
</file>