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20A1C23" w:rsidP="020A1C23" w:rsidRDefault="020A1C23" w14:paraId="244A340C" w14:textId="12D7DB79">
      <w:pPr>
        <w:pStyle w:val="Normal"/>
        <w:jc w:val="center"/>
      </w:pPr>
    </w:p>
    <w:p w:rsidR="020A1C23" w:rsidP="020A1C23" w:rsidRDefault="020A1C23" w14:paraId="3F5CFB29" w14:textId="61DF1A28">
      <w:pPr>
        <w:pStyle w:val="Normal"/>
        <w:jc w:val="center"/>
      </w:pPr>
    </w:p>
    <w:p w:rsidR="020A1C23" w:rsidP="020A1C23" w:rsidRDefault="020A1C23" w14:paraId="74469FB1" w14:textId="3CAA9D2A">
      <w:pPr>
        <w:pStyle w:val="Normal"/>
        <w:jc w:val="center"/>
      </w:pPr>
    </w:p>
    <w:p w:rsidR="020A1C23" w:rsidP="020A1C23" w:rsidRDefault="020A1C23" w14:paraId="51DF7EE8" w14:textId="439FD39B">
      <w:pPr>
        <w:pStyle w:val="Normal"/>
        <w:jc w:val="center"/>
        <w:rPr>
          <w:b w:val="1"/>
          <w:bCs w:val="1"/>
        </w:rPr>
      </w:pPr>
      <w:r w:rsidRPr="020A1C23" w:rsidR="020A1C23">
        <w:rPr>
          <w:b w:val="1"/>
          <w:bCs w:val="1"/>
        </w:rPr>
        <w:t>PESTEL AND SWOT ANALYSIS OF ROYAL DUTCH SHELL</w:t>
      </w:r>
    </w:p>
    <w:p w:rsidR="020A1C23" w:rsidP="020A1C23" w:rsidRDefault="020A1C23" w14:paraId="51A0C547" w14:textId="755C8018">
      <w:pPr>
        <w:pStyle w:val="Normal"/>
        <w:jc w:val="center"/>
        <w:rPr>
          <w:b w:val="1"/>
          <w:bCs w:val="1"/>
        </w:rPr>
      </w:pPr>
    </w:p>
    <w:p w:rsidR="020A1C23" w:rsidP="020A1C23" w:rsidRDefault="020A1C23" w14:paraId="0CB6F0A7" w14:textId="4863181B">
      <w:pPr>
        <w:pStyle w:val="Normal"/>
        <w:jc w:val="center"/>
        <w:rPr>
          <w:b w:val="1"/>
          <w:bCs w:val="1"/>
        </w:rPr>
      </w:pPr>
      <w:r w:rsidRPr="020A1C23" w:rsidR="020A1C23">
        <w:rPr>
          <w:b w:val="1"/>
          <w:bCs w:val="1"/>
        </w:rPr>
        <w:t>BY</w:t>
      </w:r>
    </w:p>
    <w:p w:rsidR="020A1C23" w:rsidP="020A1C23" w:rsidRDefault="020A1C23" w14:paraId="5DC4D4D2" w14:textId="7AE6641D">
      <w:pPr>
        <w:pStyle w:val="Normal"/>
        <w:jc w:val="center"/>
        <w:rPr>
          <w:b w:val="1"/>
          <w:bCs w:val="1"/>
        </w:rPr>
      </w:pPr>
    </w:p>
    <w:p w:rsidR="020A1C23" w:rsidP="020A1C23" w:rsidRDefault="020A1C23" w14:paraId="58DB420D" w14:textId="699B71FE">
      <w:pPr>
        <w:pStyle w:val="Normal"/>
        <w:jc w:val="center"/>
        <w:rPr>
          <w:b w:val="1"/>
          <w:bCs w:val="1"/>
        </w:rPr>
      </w:pPr>
      <w:r w:rsidRPr="020A1C23" w:rsidR="020A1C23">
        <w:rPr>
          <w:b w:val="1"/>
          <w:bCs w:val="1"/>
        </w:rPr>
        <w:t>FRANCES OYINEZE OKOH</w:t>
      </w:r>
    </w:p>
    <w:p w:rsidR="020A1C23" w:rsidP="020A1C23" w:rsidRDefault="020A1C23" w14:paraId="5B647371" w14:textId="4D91227A">
      <w:pPr>
        <w:pStyle w:val="Normal"/>
        <w:jc w:val="center"/>
        <w:rPr>
          <w:b w:val="1"/>
          <w:bCs w:val="1"/>
        </w:rPr>
      </w:pPr>
      <w:r w:rsidRPr="020A1C23" w:rsidR="020A1C23">
        <w:rPr>
          <w:b w:val="1"/>
          <w:bCs w:val="1"/>
        </w:rPr>
        <w:t>STUDENT NUMBER: 2114831</w:t>
      </w:r>
    </w:p>
    <w:p w:rsidR="020A1C23" w:rsidP="020A1C23" w:rsidRDefault="020A1C23" w14:paraId="63A3A37E" w14:textId="1FE9082B">
      <w:pPr>
        <w:pStyle w:val="Normal"/>
        <w:jc w:val="center"/>
        <w:rPr>
          <w:b w:val="1"/>
          <w:bCs w:val="1"/>
        </w:rPr>
      </w:pPr>
      <w:r w:rsidRPr="020A1C23" w:rsidR="020A1C23">
        <w:rPr>
          <w:b w:val="1"/>
          <w:bCs w:val="1"/>
        </w:rPr>
        <w:t>MODULE: GLOBAL BUSINESS CHALLENGES (BMMB7006D)</w:t>
      </w:r>
    </w:p>
    <w:p w:rsidR="020A1C23" w:rsidP="020A1C23" w:rsidRDefault="020A1C23" w14:paraId="5FB65D9A" w14:textId="138A8916">
      <w:pPr>
        <w:pStyle w:val="Normal"/>
        <w:jc w:val="center"/>
        <w:rPr>
          <w:b w:val="1"/>
          <w:bCs w:val="1"/>
        </w:rPr>
      </w:pPr>
      <w:r w:rsidRPr="020A1C23" w:rsidR="020A1C23">
        <w:rPr>
          <w:b w:val="1"/>
          <w:bCs w:val="1"/>
        </w:rPr>
        <w:t>TUTOR: ANTHONY BURNS</w:t>
      </w:r>
    </w:p>
    <w:p w:rsidR="020A1C23" w:rsidP="020A1C23" w:rsidRDefault="020A1C23" w14:paraId="336B210B" w14:textId="734737AE">
      <w:pPr>
        <w:pStyle w:val="Normal"/>
        <w:jc w:val="center"/>
        <w:rPr>
          <w:b w:val="1"/>
          <w:bCs w:val="1"/>
        </w:rPr>
      </w:pPr>
    </w:p>
    <w:p w:rsidR="020A1C23" w:rsidP="020A1C23" w:rsidRDefault="020A1C23" w14:paraId="660C985F" w14:textId="60C79FA7">
      <w:pPr>
        <w:pStyle w:val="Normal"/>
        <w:jc w:val="center"/>
        <w:rPr>
          <w:b w:val="1"/>
          <w:bCs w:val="1"/>
        </w:rPr>
      </w:pPr>
    </w:p>
    <w:p w:rsidR="020A1C23" w:rsidP="020A1C23" w:rsidRDefault="020A1C23" w14:paraId="54E4EF28" w14:textId="2B408DA3">
      <w:pPr>
        <w:pStyle w:val="Normal"/>
        <w:jc w:val="center"/>
        <w:rPr>
          <w:b w:val="1"/>
          <w:bCs w:val="1"/>
        </w:rPr>
      </w:pPr>
    </w:p>
    <w:p w:rsidR="020A1C23" w:rsidP="020A1C23" w:rsidRDefault="020A1C23" w14:paraId="37FEEBD6" w14:textId="34989A85">
      <w:pPr>
        <w:pStyle w:val="Normal"/>
        <w:jc w:val="center"/>
        <w:rPr>
          <w:b w:val="1"/>
          <w:bCs w:val="1"/>
        </w:rPr>
      </w:pPr>
    </w:p>
    <w:p w:rsidR="020A1C23" w:rsidP="020A1C23" w:rsidRDefault="020A1C23" w14:paraId="429721AE" w14:textId="0CF0259C">
      <w:pPr>
        <w:pStyle w:val="Normal"/>
        <w:jc w:val="center"/>
        <w:rPr>
          <w:b w:val="1"/>
          <w:bCs w:val="1"/>
        </w:rPr>
      </w:pPr>
      <w:r w:rsidRPr="020A1C23" w:rsidR="020A1C23">
        <w:rPr>
          <w:b w:val="1"/>
          <w:bCs w:val="1"/>
        </w:rPr>
        <w:t>A REPORT SUBMITTED TO THE UNIVERSITY OF WALES TRINITY SAINT DAVID,</w:t>
      </w:r>
    </w:p>
    <w:p w:rsidR="020A1C23" w:rsidP="020A1C23" w:rsidRDefault="020A1C23" w14:paraId="235934D1" w14:textId="72EBA3C3">
      <w:pPr>
        <w:pStyle w:val="Normal"/>
        <w:jc w:val="center"/>
        <w:rPr>
          <w:b w:val="1"/>
          <w:bCs w:val="1"/>
        </w:rPr>
      </w:pPr>
      <w:r w:rsidRPr="020A1C23" w:rsidR="020A1C23">
        <w:rPr>
          <w:b w:val="1"/>
          <w:bCs w:val="1"/>
        </w:rPr>
        <w:t>CARMARTHEN CAMPUS, CARMARTHEN SA31 3EP</w:t>
      </w:r>
    </w:p>
    <w:p w:rsidR="020A1C23" w:rsidP="020A1C23" w:rsidRDefault="020A1C23" w14:paraId="3E667ED1" w14:textId="52CABECB">
      <w:pPr>
        <w:pStyle w:val="Normal"/>
        <w:jc w:val="center"/>
        <w:rPr>
          <w:b w:val="1"/>
          <w:bCs w:val="1"/>
        </w:rPr>
      </w:pPr>
    </w:p>
    <w:p w:rsidR="020A1C23" w:rsidP="020A1C23" w:rsidRDefault="020A1C23" w14:paraId="1BE8B26B" w14:textId="3753B4BE">
      <w:pPr>
        <w:pStyle w:val="Normal"/>
        <w:jc w:val="center"/>
        <w:rPr>
          <w:b w:val="1"/>
          <w:bCs w:val="1"/>
        </w:rPr>
      </w:pPr>
    </w:p>
    <w:p w:rsidR="020A1C23" w:rsidP="020A1C23" w:rsidRDefault="020A1C23" w14:paraId="16A208AD" w14:textId="33F05866">
      <w:pPr>
        <w:pStyle w:val="Normal"/>
        <w:jc w:val="center"/>
        <w:rPr>
          <w:b w:val="1"/>
          <w:bCs w:val="1"/>
        </w:rPr>
      </w:pPr>
    </w:p>
    <w:p w:rsidR="020A1C23" w:rsidP="020A1C23" w:rsidRDefault="020A1C23" w14:paraId="103F590A" w14:textId="1DF0C98D">
      <w:pPr>
        <w:pStyle w:val="Normal"/>
        <w:jc w:val="center"/>
        <w:rPr>
          <w:b w:val="1"/>
          <w:bCs w:val="1"/>
        </w:rPr>
      </w:pPr>
      <w:r w:rsidRPr="020A1C23" w:rsidR="020A1C23">
        <w:rPr>
          <w:b w:val="1"/>
          <w:bCs w:val="1"/>
        </w:rPr>
        <w:t>17</w:t>
      </w:r>
      <w:r w:rsidRPr="020A1C23" w:rsidR="020A1C23">
        <w:rPr>
          <w:b w:val="1"/>
          <w:bCs w:val="1"/>
          <w:vertAlign w:val="superscript"/>
        </w:rPr>
        <w:t>TH</w:t>
      </w:r>
      <w:r w:rsidRPr="020A1C23" w:rsidR="020A1C23">
        <w:rPr>
          <w:b w:val="1"/>
          <w:bCs w:val="1"/>
        </w:rPr>
        <w:t xml:space="preserve"> DECEMBER, 2021</w:t>
      </w:r>
    </w:p>
    <w:p w:rsidR="020A1C23" w:rsidP="020A1C23" w:rsidRDefault="020A1C23" w14:paraId="1E8B38B1" w14:textId="48436E5C">
      <w:pPr>
        <w:pStyle w:val="Normal"/>
      </w:pPr>
    </w:p>
    <w:p w:rsidR="020A1C23" w:rsidP="020A1C23" w:rsidRDefault="020A1C23" w14:paraId="5B768D84" w14:textId="3A5B0C39">
      <w:pPr>
        <w:pStyle w:val="Normal"/>
      </w:pPr>
    </w:p>
    <w:p w:rsidR="020A1C23" w:rsidP="020A1C23" w:rsidRDefault="020A1C23" w14:paraId="6EC017A8" w14:textId="178EA3B5">
      <w:pPr>
        <w:pStyle w:val="Normal"/>
      </w:pPr>
    </w:p>
    <w:p w:rsidR="020A1C23" w:rsidP="020A1C23" w:rsidRDefault="020A1C23" w14:paraId="7EDE1C7E" w14:textId="658D9087">
      <w:pPr>
        <w:pStyle w:val="Normal"/>
      </w:pPr>
    </w:p>
    <w:p w:rsidR="020A1C23" w:rsidP="020A1C23" w:rsidRDefault="020A1C23" w14:paraId="151710C6" w14:textId="7B669E13">
      <w:pPr>
        <w:pStyle w:val="Normal"/>
      </w:pPr>
    </w:p>
    <w:p w:rsidR="020A1C23" w:rsidP="020A1C23" w:rsidRDefault="020A1C23" w14:paraId="050AA9F3" w14:textId="2F95F2BD">
      <w:pPr>
        <w:pStyle w:val="Normal"/>
      </w:pPr>
    </w:p>
    <w:p w:rsidR="020A1C23" w:rsidP="020A1C23" w:rsidRDefault="020A1C23" w14:paraId="2FBF3765" w14:textId="4D42EF0E">
      <w:pPr>
        <w:pStyle w:val="Normal"/>
      </w:pPr>
    </w:p>
    <w:p w:rsidR="020A1C23" w:rsidP="020A1C23" w:rsidRDefault="020A1C23" w14:paraId="2CBF7BED" w14:textId="33004F59">
      <w:pPr>
        <w:pStyle w:val="Normal"/>
      </w:pPr>
    </w:p>
    <w:p w:rsidR="020A1C23" w:rsidP="020A1C23" w:rsidRDefault="020A1C23" w14:paraId="6940AAA1" w14:textId="16854A00">
      <w:pPr>
        <w:pStyle w:val="Normal"/>
      </w:pPr>
    </w:p>
    <w:p w:rsidR="020A1C23" w:rsidP="020A1C23" w:rsidRDefault="020A1C23" w14:paraId="5D67C916" w14:textId="005DAC8C">
      <w:pPr>
        <w:pStyle w:val="Normal"/>
        <w:rPr>
          <w:b w:val="1"/>
          <w:bCs w:val="1"/>
        </w:rPr>
      </w:pPr>
      <w:r w:rsidRPr="020A1C23" w:rsidR="020A1C23">
        <w:rPr>
          <w:b w:val="1"/>
          <w:bCs w:val="1"/>
        </w:rPr>
        <w:t>Table of Contents</w:t>
      </w:r>
    </w:p>
    <w:sdt>
      <w:sdtPr>
        <w:id w:val="1074331164"/>
        <w:docPartObj>
          <w:docPartGallery w:val="Table of Contents"/>
          <w:docPartUnique/>
        </w:docPartObj>
      </w:sdtPr>
      <w:sdtContent>
        <w:p w:rsidR="020A1C23" w:rsidP="020A1C23" w:rsidRDefault="020A1C23" w14:paraId="352626BE" w14:textId="2E8BAB35">
          <w:pPr>
            <w:pStyle w:val="TOC1"/>
            <w:tabs>
              <w:tab w:val="right" w:leader="dot" w:pos="9360"/>
            </w:tabs>
            <w:bidi w:val="0"/>
          </w:pPr>
          <w:r>
            <w:fldChar w:fldCharType="begin"/>
          </w:r>
          <w:r>
            <w:instrText xml:space="preserve">TOC \o \z \u \h</w:instrText>
          </w:r>
          <w:r>
            <w:fldChar w:fldCharType="separate"/>
          </w:r>
          <w:hyperlink w:anchor="_Toc2015704857">
            <w:r w:rsidRPr="020A1C23" w:rsidR="020A1C23">
              <w:rPr>
                <w:rStyle w:val="Hyperlink"/>
              </w:rPr>
              <w:t>Executive Summary</w:t>
            </w:r>
            <w:r>
              <w:tab/>
            </w:r>
            <w:r>
              <w:fldChar w:fldCharType="begin"/>
            </w:r>
            <w:r>
              <w:instrText xml:space="preserve">PAGEREF _Toc2015704857 \h</w:instrText>
            </w:r>
            <w:r>
              <w:fldChar w:fldCharType="separate"/>
            </w:r>
            <w:r w:rsidRPr="020A1C23" w:rsidR="020A1C23">
              <w:rPr>
                <w:rStyle w:val="Hyperlink"/>
              </w:rPr>
              <w:t>3</w:t>
            </w:r>
            <w:r>
              <w:fldChar w:fldCharType="end"/>
            </w:r>
          </w:hyperlink>
        </w:p>
        <w:p w:rsidR="020A1C23" w:rsidP="020A1C23" w:rsidRDefault="020A1C23" w14:paraId="152C7337" w14:textId="7DEF3405">
          <w:pPr>
            <w:pStyle w:val="TOC2"/>
            <w:tabs>
              <w:tab w:val="right" w:leader="dot" w:pos="9360"/>
            </w:tabs>
            <w:bidi w:val="0"/>
          </w:pPr>
          <w:hyperlink w:anchor="_Toc49393568">
            <w:r w:rsidRPr="020A1C23" w:rsidR="020A1C23">
              <w:rPr>
                <w:rStyle w:val="Hyperlink"/>
              </w:rPr>
              <w:t>Overview of Royal Dutch Shell</w:t>
            </w:r>
            <w:r>
              <w:tab/>
            </w:r>
            <w:r>
              <w:fldChar w:fldCharType="begin"/>
            </w:r>
            <w:r>
              <w:instrText xml:space="preserve">PAGEREF _Toc49393568 \h</w:instrText>
            </w:r>
            <w:r>
              <w:fldChar w:fldCharType="separate"/>
            </w:r>
            <w:r w:rsidRPr="020A1C23" w:rsidR="020A1C23">
              <w:rPr>
                <w:rStyle w:val="Hyperlink"/>
              </w:rPr>
              <w:t>3</w:t>
            </w:r>
            <w:r>
              <w:fldChar w:fldCharType="end"/>
            </w:r>
          </w:hyperlink>
        </w:p>
        <w:p w:rsidR="020A1C23" w:rsidP="020A1C23" w:rsidRDefault="020A1C23" w14:paraId="7AE4E0F1" w14:textId="349BED42">
          <w:pPr>
            <w:pStyle w:val="TOC1"/>
            <w:tabs>
              <w:tab w:val="right" w:leader="dot" w:pos="9360"/>
            </w:tabs>
            <w:bidi w:val="0"/>
          </w:pPr>
          <w:hyperlink w:anchor="_Toc2056115070">
            <w:r w:rsidRPr="020A1C23" w:rsidR="020A1C23">
              <w:rPr>
                <w:rStyle w:val="Hyperlink"/>
              </w:rPr>
              <w:t>CHAPTER ONE</w:t>
            </w:r>
            <w:r>
              <w:tab/>
            </w:r>
            <w:r>
              <w:fldChar w:fldCharType="begin"/>
            </w:r>
            <w:r>
              <w:instrText xml:space="preserve">PAGEREF _Toc2056115070 \h</w:instrText>
            </w:r>
            <w:r>
              <w:fldChar w:fldCharType="separate"/>
            </w:r>
            <w:r w:rsidRPr="020A1C23" w:rsidR="020A1C23">
              <w:rPr>
                <w:rStyle w:val="Hyperlink"/>
              </w:rPr>
              <w:t>4</w:t>
            </w:r>
            <w:r>
              <w:fldChar w:fldCharType="end"/>
            </w:r>
          </w:hyperlink>
        </w:p>
        <w:p w:rsidR="020A1C23" w:rsidP="020A1C23" w:rsidRDefault="020A1C23" w14:paraId="576BE35A" w14:textId="6E18E22A">
          <w:pPr>
            <w:pStyle w:val="TOC2"/>
            <w:tabs>
              <w:tab w:val="right" w:leader="dot" w:pos="9360"/>
            </w:tabs>
            <w:bidi w:val="0"/>
          </w:pPr>
          <w:hyperlink w:anchor="_Toc1040645775">
            <w:r w:rsidRPr="020A1C23" w:rsidR="020A1C23">
              <w:rPr>
                <w:rStyle w:val="Hyperlink"/>
              </w:rPr>
              <w:t>INTRODUCTION</w:t>
            </w:r>
            <w:r>
              <w:tab/>
            </w:r>
            <w:r>
              <w:fldChar w:fldCharType="begin"/>
            </w:r>
            <w:r>
              <w:instrText xml:space="preserve">PAGEREF _Toc1040645775 \h</w:instrText>
            </w:r>
            <w:r>
              <w:fldChar w:fldCharType="separate"/>
            </w:r>
            <w:r w:rsidRPr="020A1C23" w:rsidR="020A1C23">
              <w:rPr>
                <w:rStyle w:val="Hyperlink"/>
              </w:rPr>
              <w:t>4</w:t>
            </w:r>
            <w:r>
              <w:fldChar w:fldCharType="end"/>
            </w:r>
          </w:hyperlink>
        </w:p>
        <w:p w:rsidR="020A1C23" w:rsidP="020A1C23" w:rsidRDefault="020A1C23" w14:paraId="18EB98CD" w14:textId="7041A7BD">
          <w:pPr>
            <w:pStyle w:val="TOC3"/>
            <w:tabs>
              <w:tab w:val="right" w:leader="dot" w:pos="9360"/>
            </w:tabs>
            <w:bidi w:val="0"/>
          </w:pPr>
          <w:hyperlink w:anchor="_Toc446272606">
            <w:r w:rsidRPr="020A1C23" w:rsidR="020A1C23">
              <w:rPr>
                <w:rStyle w:val="Hyperlink"/>
              </w:rPr>
              <w:t>1.1 PESTLE Analysis</w:t>
            </w:r>
            <w:r>
              <w:tab/>
            </w:r>
            <w:r>
              <w:fldChar w:fldCharType="begin"/>
            </w:r>
            <w:r>
              <w:instrText xml:space="preserve">PAGEREF _Toc446272606 \h</w:instrText>
            </w:r>
            <w:r>
              <w:fldChar w:fldCharType="separate"/>
            </w:r>
            <w:r w:rsidRPr="020A1C23" w:rsidR="020A1C23">
              <w:rPr>
                <w:rStyle w:val="Hyperlink"/>
              </w:rPr>
              <w:t>4</w:t>
            </w:r>
            <w:r>
              <w:fldChar w:fldCharType="end"/>
            </w:r>
          </w:hyperlink>
        </w:p>
        <w:p w:rsidR="020A1C23" w:rsidP="020A1C23" w:rsidRDefault="020A1C23" w14:paraId="4400DB16" w14:textId="47E44976">
          <w:pPr>
            <w:pStyle w:val="TOC3"/>
            <w:tabs>
              <w:tab w:val="right" w:leader="dot" w:pos="9360"/>
            </w:tabs>
            <w:bidi w:val="0"/>
          </w:pPr>
          <w:hyperlink w:anchor="_Toc943054759">
            <w:r w:rsidRPr="020A1C23" w:rsidR="020A1C23">
              <w:rPr>
                <w:rStyle w:val="Hyperlink"/>
              </w:rPr>
              <w:t>1.2 SWOT Analysis</w:t>
            </w:r>
            <w:r>
              <w:tab/>
            </w:r>
            <w:r>
              <w:fldChar w:fldCharType="begin"/>
            </w:r>
            <w:r>
              <w:instrText xml:space="preserve">PAGEREF _Toc943054759 \h</w:instrText>
            </w:r>
            <w:r>
              <w:fldChar w:fldCharType="separate"/>
            </w:r>
            <w:r w:rsidRPr="020A1C23" w:rsidR="020A1C23">
              <w:rPr>
                <w:rStyle w:val="Hyperlink"/>
              </w:rPr>
              <w:t>4</w:t>
            </w:r>
            <w:r>
              <w:fldChar w:fldCharType="end"/>
            </w:r>
          </w:hyperlink>
        </w:p>
        <w:p w:rsidR="020A1C23" w:rsidP="020A1C23" w:rsidRDefault="020A1C23" w14:paraId="46548A0E" w14:textId="7F28344E">
          <w:pPr>
            <w:pStyle w:val="TOC3"/>
            <w:tabs>
              <w:tab w:val="right" w:leader="dot" w:pos="9360"/>
            </w:tabs>
            <w:bidi w:val="0"/>
          </w:pPr>
          <w:hyperlink w:anchor="_Toc1483505886">
            <w:r w:rsidRPr="020A1C23" w:rsidR="020A1C23">
              <w:rPr>
                <w:rStyle w:val="Hyperlink"/>
              </w:rPr>
              <w:t>1.3 Problem Statement</w:t>
            </w:r>
            <w:r>
              <w:tab/>
            </w:r>
            <w:r>
              <w:fldChar w:fldCharType="begin"/>
            </w:r>
            <w:r>
              <w:instrText xml:space="preserve">PAGEREF _Toc1483505886 \h</w:instrText>
            </w:r>
            <w:r>
              <w:fldChar w:fldCharType="separate"/>
            </w:r>
            <w:r w:rsidRPr="020A1C23" w:rsidR="020A1C23">
              <w:rPr>
                <w:rStyle w:val="Hyperlink"/>
              </w:rPr>
              <w:t>5</w:t>
            </w:r>
            <w:r>
              <w:fldChar w:fldCharType="end"/>
            </w:r>
          </w:hyperlink>
        </w:p>
        <w:p w:rsidR="020A1C23" w:rsidP="020A1C23" w:rsidRDefault="020A1C23" w14:paraId="535ED611" w14:textId="7D4B5718">
          <w:pPr>
            <w:pStyle w:val="TOC3"/>
            <w:tabs>
              <w:tab w:val="right" w:leader="dot" w:pos="9360"/>
            </w:tabs>
            <w:bidi w:val="0"/>
          </w:pPr>
          <w:hyperlink w:anchor="_Toc362741957">
            <w:r w:rsidRPr="020A1C23" w:rsidR="020A1C23">
              <w:rPr>
                <w:rStyle w:val="Hyperlink"/>
              </w:rPr>
              <w:t>1.4 Aim and Objectives of the study</w:t>
            </w:r>
            <w:r>
              <w:tab/>
            </w:r>
            <w:r>
              <w:fldChar w:fldCharType="begin"/>
            </w:r>
            <w:r>
              <w:instrText xml:space="preserve">PAGEREF _Toc362741957 \h</w:instrText>
            </w:r>
            <w:r>
              <w:fldChar w:fldCharType="separate"/>
            </w:r>
            <w:r w:rsidRPr="020A1C23" w:rsidR="020A1C23">
              <w:rPr>
                <w:rStyle w:val="Hyperlink"/>
              </w:rPr>
              <w:t>5</w:t>
            </w:r>
            <w:r>
              <w:fldChar w:fldCharType="end"/>
            </w:r>
          </w:hyperlink>
        </w:p>
        <w:p w:rsidR="020A1C23" w:rsidP="020A1C23" w:rsidRDefault="020A1C23" w14:paraId="3228A106" w14:textId="4D176D6D">
          <w:pPr>
            <w:pStyle w:val="TOC1"/>
            <w:tabs>
              <w:tab w:val="right" w:leader="dot" w:pos="9360"/>
            </w:tabs>
            <w:bidi w:val="0"/>
          </w:pPr>
          <w:hyperlink w:anchor="_Toc1145640941">
            <w:r w:rsidRPr="020A1C23" w:rsidR="020A1C23">
              <w:rPr>
                <w:rStyle w:val="Hyperlink"/>
              </w:rPr>
              <w:t>CHAPTER TWO</w:t>
            </w:r>
            <w:r>
              <w:tab/>
            </w:r>
            <w:r>
              <w:fldChar w:fldCharType="begin"/>
            </w:r>
            <w:r>
              <w:instrText xml:space="preserve">PAGEREF _Toc1145640941 \h</w:instrText>
            </w:r>
            <w:r>
              <w:fldChar w:fldCharType="separate"/>
            </w:r>
            <w:r w:rsidRPr="020A1C23" w:rsidR="020A1C23">
              <w:rPr>
                <w:rStyle w:val="Hyperlink"/>
              </w:rPr>
              <w:t>5</w:t>
            </w:r>
            <w:r>
              <w:fldChar w:fldCharType="end"/>
            </w:r>
          </w:hyperlink>
        </w:p>
        <w:p w:rsidR="020A1C23" w:rsidP="020A1C23" w:rsidRDefault="020A1C23" w14:paraId="26D3104F" w14:textId="792ABCEC">
          <w:pPr>
            <w:pStyle w:val="TOC2"/>
            <w:tabs>
              <w:tab w:val="right" w:leader="dot" w:pos="9360"/>
            </w:tabs>
            <w:bidi w:val="0"/>
          </w:pPr>
          <w:hyperlink w:anchor="_Toc147167825">
            <w:r w:rsidRPr="020A1C23" w:rsidR="020A1C23">
              <w:rPr>
                <w:rStyle w:val="Hyperlink"/>
              </w:rPr>
              <w:t>PESTLE ANALYSIS OF ROYAL DUTCH SHELL</w:t>
            </w:r>
            <w:r>
              <w:tab/>
            </w:r>
            <w:r>
              <w:fldChar w:fldCharType="begin"/>
            </w:r>
            <w:r>
              <w:instrText xml:space="preserve">PAGEREF _Toc147167825 \h</w:instrText>
            </w:r>
            <w:r>
              <w:fldChar w:fldCharType="separate"/>
            </w:r>
            <w:r w:rsidRPr="020A1C23" w:rsidR="020A1C23">
              <w:rPr>
                <w:rStyle w:val="Hyperlink"/>
              </w:rPr>
              <w:t>5</w:t>
            </w:r>
            <w:r>
              <w:fldChar w:fldCharType="end"/>
            </w:r>
          </w:hyperlink>
        </w:p>
        <w:p w:rsidR="020A1C23" w:rsidP="020A1C23" w:rsidRDefault="020A1C23" w14:paraId="10D3DCBA" w14:textId="6E0FE5AB">
          <w:pPr>
            <w:pStyle w:val="TOC3"/>
            <w:tabs>
              <w:tab w:val="right" w:leader="dot" w:pos="9360"/>
            </w:tabs>
            <w:bidi w:val="0"/>
          </w:pPr>
          <w:hyperlink w:anchor="_Toc1820252910">
            <w:r w:rsidRPr="020A1C23" w:rsidR="020A1C23">
              <w:rPr>
                <w:rStyle w:val="Hyperlink"/>
              </w:rPr>
              <w:t>2.1 Political Factors Impacting Royal Dutch Shell</w:t>
            </w:r>
            <w:r>
              <w:tab/>
            </w:r>
            <w:r>
              <w:fldChar w:fldCharType="begin"/>
            </w:r>
            <w:r>
              <w:instrText xml:space="preserve">PAGEREF _Toc1820252910 \h</w:instrText>
            </w:r>
            <w:r>
              <w:fldChar w:fldCharType="separate"/>
            </w:r>
            <w:r w:rsidRPr="020A1C23" w:rsidR="020A1C23">
              <w:rPr>
                <w:rStyle w:val="Hyperlink"/>
              </w:rPr>
              <w:t>6</w:t>
            </w:r>
            <w:r>
              <w:fldChar w:fldCharType="end"/>
            </w:r>
          </w:hyperlink>
        </w:p>
        <w:p w:rsidR="020A1C23" w:rsidP="020A1C23" w:rsidRDefault="020A1C23" w14:paraId="4886A612" w14:textId="218CD8D1">
          <w:pPr>
            <w:pStyle w:val="TOC3"/>
            <w:tabs>
              <w:tab w:val="right" w:leader="dot" w:pos="9360"/>
            </w:tabs>
            <w:bidi w:val="0"/>
          </w:pPr>
          <w:hyperlink w:anchor="_Toc761892496">
            <w:r w:rsidRPr="020A1C23" w:rsidR="020A1C23">
              <w:rPr>
                <w:rStyle w:val="Hyperlink"/>
              </w:rPr>
              <w:t>2.2 Economic Factors Impacting Royal Dutch Shell</w:t>
            </w:r>
            <w:r>
              <w:tab/>
            </w:r>
            <w:r>
              <w:fldChar w:fldCharType="begin"/>
            </w:r>
            <w:r>
              <w:instrText xml:space="preserve">PAGEREF _Toc761892496 \h</w:instrText>
            </w:r>
            <w:r>
              <w:fldChar w:fldCharType="separate"/>
            </w:r>
            <w:r w:rsidRPr="020A1C23" w:rsidR="020A1C23">
              <w:rPr>
                <w:rStyle w:val="Hyperlink"/>
              </w:rPr>
              <w:t>7</w:t>
            </w:r>
            <w:r>
              <w:fldChar w:fldCharType="end"/>
            </w:r>
          </w:hyperlink>
        </w:p>
        <w:p w:rsidR="020A1C23" w:rsidP="020A1C23" w:rsidRDefault="020A1C23" w14:paraId="701E4079" w14:textId="0912238D">
          <w:pPr>
            <w:pStyle w:val="TOC3"/>
            <w:tabs>
              <w:tab w:val="right" w:leader="dot" w:pos="9360"/>
            </w:tabs>
            <w:bidi w:val="0"/>
          </w:pPr>
          <w:hyperlink w:anchor="_Toc1964980687">
            <w:r w:rsidRPr="020A1C23" w:rsidR="020A1C23">
              <w:rPr>
                <w:rStyle w:val="Hyperlink"/>
              </w:rPr>
              <w:t>2.3 Social Factors Impacting Royal Dutch Shell</w:t>
            </w:r>
            <w:r>
              <w:tab/>
            </w:r>
            <w:r>
              <w:fldChar w:fldCharType="begin"/>
            </w:r>
            <w:r>
              <w:instrText xml:space="preserve">PAGEREF _Toc1964980687 \h</w:instrText>
            </w:r>
            <w:r>
              <w:fldChar w:fldCharType="separate"/>
            </w:r>
            <w:r w:rsidRPr="020A1C23" w:rsidR="020A1C23">
              <w:rPr>
                <w:rStyle w:val="Hyperlink"/>
              </w:rPr>
              <w:t>7</w:t>
            </w:r>
            <w:r>
              <w:fldChar w:fldCharType="end"/>
            </w:r>
          </w:hyperlink>
        </w:p>
        <w:p w:rsidR="020A1C23" w:rsidP="020A1C23" w:rsidRDefault="020A1C23" w14:paraId="7890C778" w14:textId="6C7C5A0D">
          <w:pPr>
            <w:pStyle w:val="TOC3"/>
            <w:tabs>
              <w:tab w:val="right" w:leader="dot" w:pos="9360"/>
            </w:tabs>
            <w:bidi w:val="0"/>
          </w:pPr>
          <w:hyperlink w:anchor="_Toc691302684">
            <w:r w:rsidRPr="020A1C23" w:rsidR="020A1C23">
              <w:rPr>
                <w:rStyle w:val="Hyperlink"/>
              </w:rPr>
              <w:t>2.4 Technological Factors Impacting Royal Dutch Shell</w:t>
            </w:r>
            <w:r>
              <w:tab/>
            </w:r>
            <w:r>
              <w:fldChar w:fldCharType="begin"/>
            </w:r>
            <w:r>
              <w:instrText xml:space="preserve">PAGEREF _Toc691302684 \h</w:instrText>
            </w:r>
            <w:r>
              <w:fldChar w:fldCharType="separate"/>
            </w:r>
            <w:r w:rsidRPr="020A1C23" w:rsidR="020A1C23">
              <w:rPr>
                <w:rStyle w:val="Hyperlink"/>
              </w:rPr>
              <w:t>8</w:t>
            </w:r>
            <w:r>
              <w:fldChar w:fldCharType="end"/>
            </w:r>
          </w:hyperlink>
        </w:p>
        <w:p w:rsidR="020A1C23" w:rsidP="020A1C23" w:rsidRDefault="020A1C23" w14:paraId="17DE8A3C" w14:textId="36454AAB">
          <w:pPr>
            <w:pStyle w:val="TOC3"/>
            <w:tabs>
              <w:tab w:val="right" w:leader="dot" w:pos="9360"/>
            </w:tabs>
            <w:bidi w:val="0"/>
          </w:pPr>
          <w:hyperlink w:anchor="_Toc260710650">
            <w:r w:rsidRPr="020A1C23" w:rsidR="020A1C23">
              <w:rPr>
                <w:rStyle w:val="Hyperlink"/>
              </w:rPr>
              <w:t>2.5 Legal Factors Impacting Royal Dutch Shell</w:t>
            </w:r>
            <w:r>
              <w:tab/>
            </w:r>
            <w:r>
              <w:fldChar w:fldCharType="begin"/>
            </w:r>
            <w:r>
              <w:instrText xml:space="preserve">PAGEREF _Toc260710650 \h</w:instrText>
            </w:r>
            <w:r>
              <w:fldChar w:fldCharType="separate"/>
            </w:r>
            <w:r w:rsidRPr="020A1C23" w:rsidR="020A1C23">
              <w:rPr>
                <w:rStyle w:val="Hyperlink"/>
              </w:rPr>
              <w:t>8</w:t>
            </w:r>
            <w:r>
              <w:fldChar w:fldCharType="end"/>
            </w:r>
          </w:hyperlink>
        </w:p>
        <w:p w:rsidR="020A1C23" w:rsidP="020A1C23" w:rsidRDefault="020A1C23" w14:paraId="566A3F07" w14:textId="25CF780D">
          <w:pPr>
            <w:pStyle w:val="TOC3"/>
            <w:tabs>
              <w:tab w:val="right" w:leader="dot" w:pos="9360"/>
            </w:tabs>
            <w:bidi w:val="0"/>
          </w:pPr>
          <w:hyperlink w:anchor="_Toc1041982531">
            <w:r w:rsidRPr="020A1C23" w:rsidR="020A1C23">
              <w:rPr>
                <w:rStyle w:val="Hyperlink"/>
              </w:rPr>
              <w:t>2.6 Environmental Factors</w:t>
            </w:r>
            <w:r>
              <w:tab/>
            </w:r>
            <w:r>
              <w:fldChar w:fldCharType="begin"/>
            </w:r>
            <w:r>
              <w:instrText xml:space="preserve">PAGEREF _Toc1041982531 \h</w:instrText>
            </w:r>
            <w:r>
              <w:fldChar w:fldCharType="separate"/>
            </w:r>
            <w:r w:rsidRPr="020A1C23" w:rsidR="020A1C23">
              <w:rPr>
                <w:rStyle w:val="Hyperlink"/>
              </w:rPr>
              <w:t>9</w:t>
            </w:r>
            <w:r>
              <w:fldChar w:fldCharType="end"/>
            </w:r>
          </w:hyperlink>
        </w:p>
        <w:p w:rsidR="020A1C23" w:rsidP="020A1C23" w:rsidRDefault="020A1C23" w14:paraId="2B51A93C" w14:textId="141D2D43">
          <w:pPr>
            <w:pStyle w:val="TOC1"/>
            <w:tabs>
              <w:tab w:val="right" w:leader="dot" w:pos="9360"/>
            </w:tabs>
            <w:bidi w:val="0"/>
          </w:pPr>
          <w:hyperlink w:anchor="_Toc844843778">
            <w:r w:rsidRPr="020A1C23" w:rsidR="020A1C23">
              <w:rPr>
                <w:rStyle w:val="Hyperlink"/>
              </w:rPr>
              <w:t>CHAPTER THREE</w:t>
            </w:r>
            <w:r>
              <w:tab/>
            </w:r>
            <w:r>
              <w:fldChar w:fldCharType="begin"/>
            </w:r>
            <w:r>
              <w:instrText xml:space="preserve">PAGEREF _Toc844843778 \h</w:instrText>
            </w:r>
            <w:r>
              <w:fldChar w:fldCharType="separate"/>
            </w:r>
            <w:r w:rsidRPr="020A1C23" w:rsidR="020A1C23">
              <w:rPr>
                <w:rStyle w:val="Hyperlink"/>
              </w:rPr>
              <w:t>10</w:t>
            </w:r>
            <w:r>
              <w:fldChar w:fldCharType="end"/>
            </w:r>
          </w:hyperlink>
        </w:p>
        <w:p w:rsidR="020A1C23" w:rsidP="020A1C23" w:rsidRDefault="020A1C23" w14:paraId="48606143" w14:textId="5031BD09">
          <w:pPr>
            <w:pStyle w:val="TOC2"/>
            <w:tabs>
              <w:tab w:val="right" w:leader="dot" w:pos="9360"/>
            </w:tabs>
            <w:bidi w:val="0"/>
          </w:pPr>
          <w:hyperlink w:anchor="_Toc960165398">
            <w:r w:rsidRPr="020A1C23" w:rsidR="020A1C23">
              <w:rPr>
                <w:rStyle w:val="Hyperlink"/>
              </w:rPr>
              <w:t>SWOT ANALYSIS OF ROYAL DUTCH SHELL</w:t>
            </w:r>
            <w:r>
              <w:tab/>
            </w:r>
            <w:r>
              <w:fldChar w:fldCharType="begin"/>
            </w:r>
            <w:r>
              <w:instrText xml:space="preserve">PAGEREF _Toc960165398 \h</w:instrText>
            </w:r>
            <w:r>
              <w:fldChar w:fldCharType="separate"/>
            </w:r>
            <w:r w:rsidRPr="020A1C23" w:rsidR="020A1C23">
              <w:rPr>
                <w:rStyle w:val="Hyperlink"/>
              </w:rPr>
              <w:t>10</w:t>
            </w:r>
            <w:r>
              <w:fldChar w:fldCharType="end"/>
            </w:r>
          </w:hyperlink>
        </w:p>
        <w:p w:rsidR="020A1C23" w:rsidP="020A1C23" w:rsidRDefault="020A1C23" w14:paraId="36BB8076" w14:textId="46CB0BEC">
          <w:pPr>
            <w:pStyle w:val="TOC3"/>
            <w:tabs>
              <w:tab w:val="right" w:leader="dot" w:pos="9360"/>
            </w:tabs>
            <w:bidi w:val="0"/>
          </w:pPr>
          <w:hyperlink w:anchor="_Toc113191618">
            <w:r w:rsidRPr="020A1C23" w:rsidR="020A1C23">
              <w:rPr>
                <w:rStyle w:val="Hyperlink"/>
              </w:rPr>
              <w:t>2.1 Strengths of Royal Dutch Shell</w:t>
            </w:r>
            <w:r>
              <w:tab/>
            </w:r>
            <w:r>
              <w:fldChar w:fldCharType="begin"/>
            </w:r>
            <w:r>
              <w:instrText xml:space="preserve">PAGEREF _Toc113191618 \h</w:instrText>
            </w:r>
            <w:r>
              <w:fldChar w:fldCharType="separate"/>
            </w:r>
            <w:r w:rsidRPr="020A1C23" w:rsidR="020A1C23">
              <w:rPr>
                <w:rStyle w:val="Hyperlink"/>
              </w:rPr>
              <w:t>11</w:t>
            </w:r>
            <w:r>
              <w:fldChar w:fldCharType="end"/>
            </w:r>
          </w:hyperlink>
        </w:p>
        <w:p w:rsidR="020A1C23" w:rsidP="020A1C23" w:rsidRDefault="020A1C23" w14:paraId="351FBB6B" w14:textId="4D6965BD">
          <w:pPr>
            <w:pStyle w:val="TOC3"/>
            <w:tabs>
              <w:tab w:val="right" w:leader="dot" w:pos="9360"/>
            </w:tabs>
            <w:bidi w:val="0"/>
          </w:pPr>
          <w:hyperlink w:anchor="_Toc2001084242">
            <w:r w:rsidRPr="020A1C23" w:rsidR="020A1C23">
              <w:rPr>
                <w:rStyle w:val="Hyperlink"/>
              </w:rPr>
              <w:t>2.2 Weaknesses of Royal Dutch Shell</w:t>
            </w:r>
            <w:r>
              <w:tab/>
            </w:r>
            <w:r>
              <w:fldChar w:fldCharType="begin"/>
            </w:r>
            <w:r>
              <w:instrText xml:space="preserve">PAGEREF _Toc2001084242 \h</w:instrText>
            </w:r>
            <w:r>
              <w:fldChar w:fldCharType="separate"/>
            </w:r>
            <w:r w:rsidRPr="020A1C23" w:rsidR="020A1C23">
              <w:rPr>
                <w:rStyle w:val="Hyperlink"/>
              </w:rPr>
              <w:t>12</w:t>
            </w:r>
            <w:r>
              <w:fldChar w:fldCharType="end"/>
            </w:r>
          </w:hyperlink>
        </w:p>
        <w:p w:rsidR="020A1C23" w:rsidP="020A1C23" w:rsidRDefault="020A1C23" w14:paraId="28730147" w14:textId="7AF28D79">
          <w:pPr>
            <w:pStyle w:val="TOC3"/>
            <w:tabs>
              <w:tab w:val="right" w:leader="dot" w:pos="9360"/>
            </w:tabs>
            <w:bidi w:val="0"/>
          </w:pPr>
          <w:hyperlink w:anchor="_Toc550508451">
            <w:r w:rsidRPr="020A1C23" w:rsidR="020A1C23">
              <w:rPr>
                <w:rStyle w:val="Hyperlink"/>
              </w:rPr>
              <w:t>2.3 Opportunities of Royal Dutch Shell</w:t>
            </w:r>
            <w:r>
              <w:tab/>
            </w:r>
            <w:r>
              <w:fldChar w:fldCharType="begin"/>
            </w:r>
            <w:r>
              <w:instrText xml:space="preserve">PAGEREF _Toc550508451 \h</w:instrText>
            </w:r>
            <w:r>
              <w:fldChar w:fldCharType="separate"/>
            </w:r>
            <w:r w:rsidRPr="020A1C23" w:rsidR="020A1C23">
              <w:rPr>
                <w:rStyle w:val="Hyperlink"/>
              </w:rPr>
              <w:t>13</w:t>
            </w:r>
            <w:r>
              <w:fldChar w:fldCharType="end"/>
            </w:r>
          </w:hyperlink>
        </w:p>
        <w:p w:rsidR="020A1C23" w:rsidP="020A1C23" w:rsidRDefault="020A1C23" w14:paraId="54DB88DE" w14:textId="5E7086C2">
          <w:pPr>
            <w:pStyle w:val="TOC3"/>
            <w:tabs>
              <w:tab w:val="right" w:leader="dot" w:pos="9360"/>
            </w:tabs>
            <w:bidi w:val="0"/>
          </w:pPr>
          <w:hyperlink w:anchor="_Toc430612669">
            <w:r w:rsidRPr="020A1C23" w:rsidR="020A1C23">
              <w:rPr>
                <w:rStyle w:val="Hyperlink"/>
              </w:rPr>
              <w:t>2.4 Threats of Royal Dutch Shell</w:t>
            </w:r>
            <w:r>
              <w:tab/>
            </w:r>
            <w:r>
              <w:fldChar w:fldCharType="begin"/>
            </w:r>
            <w:r>
              <w:instrText xml:space="preserve">PAGEREF _Toc430612669 \h</w:instrText>
            </w:r>
            <w:r>
              <w:fldChar w:fldCharType="separate"/>
            </w:r>
            <w:r w:rsidRPr="020A1C23" w:rsidR="020A1C23">
              <w:rPr>
                <w:rStyle w:val="Hyperlink"/>
              </w:rPr>
              <w:t>14</w:t>
            </w:r>
            <w:r>
              <w:fldChar w:fldCharType="end"/>
            </w:r>
          </w:hyperlink>
        </w:p>
        <w:p w:rsidR="020A1C23" w:rsidP="020A1C23" w:rsidRDefault="020A1C23" w14:paraId="464949D9" w14:textId="2FE78C8E">
          <w:pPr>
            <w:pStyle w:val="TOC1"/>
            <w:tabs>
              <w:tab w:val="right" w:leader="dot" w:pos="9360"/>
            </w:tabs>
            <w:bidi w:val="0"/>
          </w:pPr>
          <w:hyperlink w:anchor="_Toc478509746">
            <w:r w:rsidRPr="020A1C23" w:rsidR="020A1C23">
              <w:rPr>
                <w:rStyle w:val="Hyperlink"/>
              </w:rPr>
              <w:t>References</w:t>
            </w:r>
            <w:r>
              <w:tab/>
            </w:r>
            <w:r>
              <w:fldChar w:fldCharType="begin"/>
            </w:r>
            <w:r>
              <w:instrText xml:space="preserve">PAGEREF _Toc478509746 \h</w:instrText>
            </w:r>
            <w:r>
              <w:fldChar w:fldCharType="separate"/>
            </w:r>
            <w:r w:rsidRPr="020A1C23" w:rsidR="020A1C23">
              <w:rPr>
                <w:rStyle w:val="Hyperlink"/>
              </w:rPr>
              <w:t>14</w:t>
            </w:r>
            <w:r>
              <w:fldChar w:fldCharType="end"/>
            </w:r>
          </w:hyperlink>
          <w:r>
            <w:fldChar w:fldCharType="end"/>
          </w:r>
        </w:p>
      </w:sdtContent>
    </w:sdt>
    <w:p w:rsidR="020A1C23" w:rsidP="020A1C23" w:rsidRDefault="020A1C23" w14:paraId="30D96B22" w14:textId="7C040B91">
      <w:pPr>
        <w:pStyle w:val="Normal"/>
      </w:pPr>
    </w:p>
    <w:p w:rsidR="020A1C23" w:rsidP="020A1C23" w:rsidRDefault="020A1C23" w14:paraId="4BD1984B" w14:textId="6C0D137F">
      <w:pPr>
        <w:pStyle w:val="Normal"/>
      </w:pPr>
    </w:p>
    <w:p w:rsidR="020A1C23" w:rsidP="020A1C23" w:rsidRDefault="020A1C23" w14:paraId="3D4F0E09" w14:textId="11B4DE2F">
      <w:pPr>
        <w:pStyle w:val="Normal"/>
      </w:pPr>
    </w:p>
    <w:p w:rsidR="020A1C23" w:rsidP="020A1C23" w:rsidRDefault="020A1C23" w14:paraId="6EC6A488" w14:textId="013CAAFC">
      <w:pPr>
        <w:pStyle w:val="Normal"/>
      </w:pPr>
    </w:p>
    <w:p w:rsidR="020A1C23" w:rsidP="020A1C23" w:rsidRDefault="020A1C23" w14:paraId="37CB25E2" w14:textId="4CF25AB7">
      <w:pPr>
        <w:pStyle w:val="Normal"/>
      </w:pPr>
    </w:p>
    <w:p w:rsidR="020A1C23" w:rsidP="020A1C23" w:rsidRDefault="020A1C23" w14:paraId="1892B20C" w14:textId="39A02CB5">
      <w:pPr>
        <w:pStyle w:val="Normal"/>
      </w:pPr>
    </w:p>
    <w:p w:rsidR="020A1C23" w:rsidP="020A1C23" w:rsidRDefault="020A1C23" w14:paraId="14F09B89" w14:textId="42574FFB">
      <w:pPr>
        <w:pStyle w:val="Normal"/>
      </w:pPr>
    </w:p>
    <w:p w:rsidR="020A1C23" w:rsidP="020A1C23" w:rsidRDefault="020A1C23" w14:paraId="74845F52" w14:textId="344D5FE7">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28B60D8B" w14:textId="062D58BA">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bookmarkStart w:name="_Toc2015704857" w:id="892140019"/>
      <w:r w:rsidRPr="020A1C23" w:rsidR="020A1C23">
        <w:rPr>
          <w:rFonts w:ascii="Calibri" w:hAnsi="Calibri" w:eastAsia="Calibri" w:cs="Calibri" w:asciiTheme="minorAscii" w:hAnsiTheme="minorAscii" w:eastAsiaTheme="minorAscii" w:cstheme="minorAscii"/>
          <w:b w:val="1"/>
          <w:bCs w:val="1"/>
          <w:color w:val="000000" w:themeColor="text1" w:themeTint="FF" w:themeShade="FF"/>
          <w:sz w:val="22"/>
          <w:szCs w:val="22"/>
        </w:rPr>
        <w:t>Executive Summary</w:t>
      </w:r>
      <w:bookmarkEnd w:id="892140019"/>
    </w:p>
    <w:p w:rsidR="020A1C23" w:rsidP="020A1C23" w:rsidRDefault="020A1C23" w14:paraId="06A61C15" w14:textId="2F9C1D93">
      <w:pPr>
        <w:pStyle w:val="Heading2"/>
        <w:rPr>
          <w:rFonts w:ascii="Calibri" w:hAnsi="Calibri" w:eastAsia="Calibri" w:cs="Calibri" w:asciiTheme="minorAscii" w:hAnsiTheme="minorAscii" w:eastAsiaTheme="minorAscii" w:cstheme="minorAscii"/>
          <w:b w:val="1"/>
          <w:bCs w:val="1"/>
          <w:color w:val="000000" w:themeColor="text1" w:themeTint="FF" w:themeShade="FF"/>
          <w:sz w:val="22"/>
          <w:szCs w:val="22"/>
        </w:rPr>
      </w:pPr>
      <w:bookmarkStart w:name="_Toc49393568" w:id="1199109601"/>
      <w:r w:rsidRPr="020A1C23" w:rsidR="020A1C23">
        <w:rPr>
          <w:rFonts w:ascii="Calibri" w:hAnsi="Calibri" w:eastAsia="Calibri" w:cs="Calibri" w:asciiTheme="minorAscii" w:hAnsiTheme="minorAscii" w:eastAsiaTheme="minorAscii" w:cstheme="minorAscii"/>
          <w:b w:val="1"/>
          <w:bCs w:val="1"/>
          <w:color w:val="000000" w:themeColor="text1" w:themeTint="FF" w:themeShade="FF"/>
          <w:sz w:val="22"/>
          <w:szCs w:val="22"/>
        </w:rPr>
        <w:t>Overview of Royal Dutch Shell</w:t>
      </w:r>
      <w:bookmarkEnd w:id="1199109601"/>
    </w:p>
    <w:p w:rsidR="020A1C23" w:rsidP="020A1C23" w:rsidRDefault="020A1C23" w14:paraId="4BF34231" w14:textId="6BF976E7">
      <w:pPr>
        <w:pStyle w:val="Normal"/>
      </w:pPr>
      <w:r w:rsidR="020A1C23">
        <w:rPr/>
        <w:t>This study is concerned with the assessment of the current environmental forces in which Royal Dutch Shell operates. Royal Dutch Shell is a global energy enterprise based in The Hague, Netherlands. The organization is involved in the manufacturing, producing, exploring, processing and trading of natural gas, crude oil and a variety of different petrochemicals.</w:t>
      </w:r>
    </w:p>
    <w:p w:rsidR="020A1C23" w:rsidP="020A1C23" w:rsidRDefault="020A1C23" w14:paraId="7B11374B" w14:textId="23E26B4A">
      <w:pPr>
        <w:pStyle w:val="Normal"/>
      </w:pPr>
      <w:r w:rsidR="020A1C23">
        <w:rPr/>
        <w:t xml:space="preserve">Shell performs business operations in over 70 countries with over 82,000 employees as at the year 2021. The </w:t>
      </w:r>
      <w:proofErr w:type="spellStart"/>
      <w:r w:rsidR="020A1C23">
        <w:rPr/>
        <w:t>organisation</w:t>
      </w:r>
      <w:proofErr w:type="spellEnd"/>
      <w:r w:rsidR="020A1C23">
        <w:rPr/>
        <w:t xml:space="preserve"> operates 21 oil-refineries with a total production of about 3.7 million barrels of crude oil per day. They are four major areas of business that the company operates in: Integrated Gas, Upstream, Downstream and New Energies.</w:t>
      </w:r>
    </w:p>
    <w:p w:rsidR="020A1C23" w:rsidP="020A1C23" w:rsidRDefault="020A1C23" w14:paraId="1ACCFA21" w14:textId="0A226900">
      <w:pPr>
        <w:pStyle w:val="Normal"/>
      </w:pPr>
      <w:r w:rsidR="020A1C23">
        <w:rPr/>
        <w:t>The Integrated Gas division deals with the production and marketing of liquefied natural gas (LNG). The Upstream division entails the exploring, extracting, advertising and transporting of crude oil and gas. The Downstream division involves the production of lube oils, lubricants and petrochemicals. The New Energies division entails the research and exploration of opportunities in energy originating from solar, geothermal, hydroelectric and various renewable energy sources (Royal Dutch Shell, 2021).</w:t>
      </w:r>
    </w:p>
    <w:p w:rsidR="020A1C23" w:rsidP="020A1C23" w:rsidRDefault="020A1C23" w14:paraId="4B59DECB" w14:textId="1C9CFF30">
      <w:pPr>
        <w:pStyle w:val="Normal"/>
      </w:pPr>
      <w:r w:rsidR="020A1C23">
        <w:rPr/>
        <w:t xml:space="preserve">The aim of this work is to assess the environmental conditions in which Royal Dutch Shell operates using both the Maco-economic and Micro-economic theories to demonstrate the actual and potential implications of these various factors on the </w:t>
      </w:r>
      <w:proofErr w:type="spellStart"/>
      <w:r w:rsidR="020A1C23">
        <w:rPr/>
        <w:t>organisation</w:t>
      </w:r>
      <w:proofErr w:type="spellEnd"/>
      <w:r w:rsidR="020A1C23">
        <w:rPr/>
        <w:t xml:space="preserve"> as a whole using analysis tools such as PESTLE and SWOT.</w:t>
      </w:r>
    </w:p>
    <w:p w:rsidR="020A1C23" w:rsidP="020A1C23" w:rsidRDefault="020A1C23" w14:paraId="0D726DDF" w14:textId="4F2F8A67">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w:rsidR="020A1C23" w:rsidP="020A1C23" w:rsidRDefault="020A1C23" w14:paraId="5289BA9B" w14:textId="0081F16B">
      <w:pPr>
        <w:pStyle w:val="Normal"/>
      </w:pPr>
    </w:p>
    <w:p w:rsidR="020A1C23" w:rsidP="020A1C23" w:rsidRDefault="020A1C23" w14:paraId="54495FA2" w14:textId="07AADF7A">
      <w:pPr>
        <w:pStyle w:val="Normal"/>
      </w:pPr>
    </w:p>
    <w:p w:rsidR="020A1C23" w:rsidP="020A1C23" w:rsidRDefault="020A1C23" w14:paraId="6A13C40F" w14:textId="0811BD45">
      <w:pPr>
        <w:pStyle w:val="Normal"/>
      </w:pPr>
    </w:p>
    <w:p w:rsidR="020A1C23" w:rsidP="020A1C23" w:rsidRDefault="020A1C23" w14:paraId="7AB10A63" w14:textId="0177F99F">
      <w:pPr>
        <w:pStyle w:val="Normal"/>
      </w:pPr>
    </w:p>
    <w:p w:rsidR="020A1C23" w:rsidP="020A1C23" w:rsidRDefault="020A1C23" w14:paraId="0B638C7D" w14:textId="67BD3E9D">
      <w:pPr>
        <w:pStyle w:val="Normal"/>
      </w:pPr>
    </w:p>
    <w:p w:rsidR="020A1C23" w:rsidP="020A1C23" w:rsidRDefault="020A1C23" w14:paraId="32EEEE2E" w14:textId="0F64C1C2">
      <w:pPr>
        <w:pStyle w:val="Normal"/>
      </w:pPr>
    </w:p>
    <w:p w:rsidR="020A1C23" w:rsidP="020A1C23" w:rsidRDefault="020A1C23" w14:paraId="6C4CED4D" w14:textId="3D7A4F00">
      <w:pPr>
        <w:pStyle w:val="Normal"/>
      </w:pPr>
    </w:p>
    <w:p w:rsidR="020A1C23" w:rsidP="020A1C23" w:rsidRDefault="020A1C23" w14:paraId="454DEF5E" w14:textId="0705F0D5">
      <w:pPr>
        <w:pStyle w:val="Normal"/>
      </w:pPr>
    </w:p>
    <w:p w:rsidR="020A1C23" w:rsidP="020A1C23" w:rsidRDefault="020A1C23" w14:paraId="6597434B" w14:textId="4DDCE5BB">
      <w:pPr>
        <w:pStyle w:val="Normal"/>
      </w:pPr>
    </w:p>
    <w:p w:rsidR="020A1C23" w:rsidP="020A1C23" w:rsidRDefault="020A1C23" w14:paraId="1B2E193D" w14:textId="0D7AB355">
      <w:pPr>
        <w:pStyle w:val="Normal"/>
      </w:pPr>
    </w:p>
    <w:p w:rsidR="020A1C23" w:rsidP="020A1C23" w:rsidRDefault="020A1C23" w14:paraId="25BA26B1" w14:textId="75FC8C3B">
      <w:pPr>
        <w:pStyle w:val="Normal"/>
        <w:rPr>
          <w:b w:val="1"/>
          <w:bCs w:val="1"/>
        </w:rPr>
      </w:pPr>
    </w:p>
    <w:p w:rsidR="020A1C23" w:rsidP="020A1C23" w:rsidRDefault="020A1C23" w14:paraId="64515A48" w14:textId="7E7E3191">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bookmarkStart w:name="_Toc2056115070" w:id="66088829"/>
      <w:r w:rsidRPr="020A1C23" w:rsidR="020A1C23">
        <w:rPr>
          <w:rFonts w:ascii="Calibri" w:hAnsi="Calibri" w:eastAsia="Calibri" w:cs="Calibri" w:asciiTheme="minorAscii" w:hAnsiTheme="minorAscii" w:eastAsiaTheme="minorAscii" w:cstheme="minorAscii"/>
          <w:b w:val="1"/>
          <w:bCs w:val="1"/>
          <w:color w:val="000000" w:themeColor="text1" w:themeTint="FF" w:themeShade="FF"/>
          <w:sz w:val="22"/>
          <w:szCs w:val="22"/>
        </w:rPr>
        <w:t>CHAPTER ONE</w:t>
      </w:r>
      <w:bookmarkEnd w:id="66088829"/>
    </w:p>
    <w:p w:rsidR="020A1C23" w:rsidP="020A1C23" w:rsidRDefault="020A1C23" w14:paraId="13B45BFA" w14:textId="1C4CA358">
      <w:pPr>
        <w:pStyle w:val="Heading2"/>
        <w:bidi w:val="0"/>
        <w:rPr>
          <w:rFonts w:ascii="Calibri" w:hAnsi="Calibri" w:eastAsia="Calibri" w:cs="Calibri" w:asciiTheme="minorAscii" w:hAnsiTheme="minorAscii" w:eastAsiaTheme="minorAscii" w:cstheme="minorAscii"/>
          <w:b w:val="1"/>
          <w:bCs w:val="1"/>
          <w:color w:val="000000" w:themeColor="text1" w:themeTint="FF" w:themeShade="FF"/>
          <w:sz w:val="22"/>
          <w:szCs w:val="22"/>
        </w:rPr>
      </w:pPr>
      <w:bookmarkStart w:name="_Toc1040645775" w:id="194402413"/>
      <w:r w:rsidRPr="020A1C23" w:rsidR="020A1C23">
        <w:rPr>
          <w:rFonts w:ascii="Calibri" w:hAnsi="Calibri" w:eastAsia="Calibri" w:cs="Calibri" w:asciiTheme="minorAscii" w:hAnsiTheme="minorAscii" w:eastAsiaTheme="minorAscii" w:cstheme="minorAscii"/>
          <w:b w:val="1"/>
          <w:bCs w:val="1"/>
          <w:color w:val="000000" w:themeColor="text1" w:themeTint="FF" w:themeShade="FF"/>
          <w:sz w:val="22"/>
          <w:szCs w:val="22"/>
        </w:rPr>
        <w:t>INTRODUCTION</w:t>
      </w:r>
      <w:bookmarkEnd w:id="194402413"/>
    </w:p>
    <w:p w:rsidR="020A1C23" w:rsidP="020A1C23" w:rsidRDefault="020A1C23" w14:paraId="19F8C99C" w14:textId="10D01F76">
      <w:pPr>
        <w:pStyle w:val="Heading3"/>
        <w:bidi w:val="0"/>
        <w:rPr>
          <w:rFonts w:ascii="Calibri" w:hAnsi="Calibri" w:eastAsia="Calibri" w:cs="Calibri" w:asciiTheme="minorAscii" w:hAnsiTheme="minorAscii" w:eastAsiaTheme="minorAscii" w:cstheme="minorAscii"/>
          <w:b w:val="1"/>
          <w:bCs w:val="1"/>
          <w:color w:val="000000" w:themeColor="text1" w:themeTint="FF" w:themeShade="FF"/>
          <w:sz w:val="22"/>
          <w:szCs w:val="22"/>
        </w:rPr>
      </w:pPr>
      <w:bookmarkStart w:name="_Toc446272606" w:id="1911547329"/>
      <w:r w:rsidRPr="020A1C23" w:rsidR="020A1C23">
        <w:rPr>
          <w:rFonts w:ascii="Calibri" w:hAnsi="Calibri" w:eastAsia="Calibri" w:cs="Calibri" w:asciiTheme="minorAscii" w:hAnsiTheme="minorAscii" w:eastAsiaTheme="minorAscii" w:cstheme="minorAscii"/>
          <w:b w:val="1"/>
          <w:bCs w:val="1"/>
          <w:color w:val="000000" w:themeColor="text1" w:themeTint="FF" w:themeShade="FF"/>
          <w:sz w:val="22"/>
          <w:szCs w:val="22"/>
        </w:rPr>
        <w:t>1.1 PESTLE Analysis</w:t>
      </w:r>
      <w:bookmarkEnd w:id="1911547329"/>
    </w:p>
    <w:p w:rsidR="020A1C23" w:rsidP="020A1C23" w:rsidRDefault="020A1C23" w14:paraId="245A7CE6" w14:textId="644D05E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rPr>
      </w:pPr>
      <w:r w:rsidRPr="020A1C23" w:rsidR="020A1C23">
        <w:rPr>
          <w:rFonts w:ascii="Calibri" w:hAnsi="Calibri" w:eastAsia="Calibri" w:cs="Calibri" w:asciiTheme="minorAscii" w:hAnsiTheme="minorAscii" w:eastAsiaTheme="minorAscii" w:cstheme="minorAscii"/>
          <w:sz w:val="22"/>
          <w:szCs w:val="22"/>
        </w:rPr>
        <w:t xml:space="preserve">PESTEL Analysis is an analytical tool used by organizations, </w:t>
      </w:r>
      <w:r w:rsidRPr="020A1C23" w:rsidR="020A1C23">
        <w:rPr>
          <w:rFonts w:ascii="Calibri" w:hAnsi="Calibri" w:eastAsia="Calibri" w:cs="Calibri" w:asciiTheme="minorAscii" w:hAnsiTheme="minorAscii" w:eastAsiaTheme="minorAscii" w:cstheme="minorAscii"/>
          <w:sz w:val="22"/>
          <w:szCs w:val="22"/>
        </w:rPr>
        <w:t>businesses</w:t>
      </w:r>
      <w:r w:rsidRPr="020A1C23" w:rsidR="020A1C23">
        <w:rPr>
          <w:rFonts w:ascii="Calibri" w:hAnsi="Calibri" w:eastAsia="Calibri" w:cs="Calibri" w:asciiTheme="minorAscii" w:hAnsiTheme="minorAscii" w:eastAsiaTheme="minorAscii" w:cstheme="minorAscii"/>
          <w:sz w:val="22"/>
          <w:szCs w:val="22"/>
        </w:rPr>
        <w:t xml:space="preserve"> and enterprises as a method of tracking the environment or forces that a business </w:t>
      </w:r>
      <w:r w:rsidRPr="020A1C23" w:rsidR="020A1C23">
        <w:rPr>
          <w:rFonts w:ascii="Calibri" w:hAnsi="Calibri" w:eastAsia="Calibri" w:cs="Calibri" w:asciiTheme="minorAscii" w:hAnsiTheme="minorAscii" w:eastAsiaTheme="minorAscii" w:cstheme="minorAscii"/>
          <w:sz w:val="22"/>
          <w:szCs w:val="22"/>
        </w:rPr>
        <w:t>operates</w:t>
      </w:r>
      <w:r w:rsidRPr="020A1C23" w:rsidR="020A1C23">
        <w:rPr>
          <w:rFonts w:ascii="Calibri" w:hAnsi="Calibri" w:eastAsia="Calibri" w:cs="Calibri" w:asciiTheme="minorAscii" w:hAnsiTheme="minorAscii" w:eastAsiaTheme="minorAscii" w:cstheme="minorAscii"/>
          <w:sz w:val="22"/>
          <w:szCs w:val="22"/>
        </w:rPr>
        <w:t xml:space="preserve"> in.</w:t>
      </w:r>
    </w:p>
    <w:p w:rsidR="020A1C23" w:rsidP="020A1C23" w:rsidRDefault="020A1C23" w14:paraId="0D0285EF" w14:textId="124E64E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rPr>
      </w:pPr>
      <w:r w:rsidRPr="020A1C23" w:rsidR="020A1C23">
        <w:rPr>
          <w:rFonts w:ascii="Calibri" w:hAnsi="Calibri" w:eastAsia="Calibri" w:cs="Calibri" w:asciiTheme="minorAscii" w:hAnsiTheme="minorAscii" w:eastAsiaTheme="minorAscii" w:cstheme="minorAscii"/>
          <w:sz w:val="22"/>
          <w:szCs w:val="22"/>
        </w:rPr>
        <w:t xml:space="preserve">PESTLE is an acronym that stands for: </w:t>
      </w:r>
    </w:p>
    <w:p w:rsidR="020A1C23" w:rsidP="020A1C23" w:rsidRDefault="020A1C23" w14:paraId="1B772BB6" w14:textId="6F4BC88E">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Pr="020A1C23" w:rsidR="020A1C23">
        <w:rPr>
          <w:rFonts w:ascii="Calibri" w:hAnsi="Calibri" w:eastAsia="Calibri" w:cs="Calibri" w:asciiTheme="minorAscii" w:hAnsiTheme="minorAscii" w:eastAsiaTheme="minorAscii" w:cstheme="minorAscii"/>
          <w:sz w:val="22"/>
          <w:szCs w:val="22"/>
        </w:rPr>
        <w:t>Political</w:t>
      </w:r>
    </w:p>
    <w:p w:rsidR="020A1C23" w:rsidP="020A1C23" w:rsidRDefault="020A1C23" w14:paraId="002E062F" w14:textId="34D7BF8B">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Pr="020A1C23" w:rsidR="020A1C23">
        <w:rPr>
          <w:rFonts w:ascii="Calibri" w:hAnsi="Calibri" w:eastAsia="Calibri" w:cs="Calibri" w:asciiTheme="minorAscii" w:hAnsiTheme="minorAscii" w:eastAsiaTheme="minorAscii" w:cstheme="minorAscii"/>
          <w:sz w:val="22"/>
          <w:szCs w:val="22"/>
        </w:rPr>
        <w:t>Economic</w:t>
      </w:r>
    </w:p>
    <w:p w:rsidR="020A1C23" w:rsidP="020A1C23" w:rsidRDefault="020A1C23" w14:paraId="695478E3" w14:textId="209C091E">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Pr="020A1C23" w:rsidR="020A1C23">
        <w:rPr>
          <w:rFonts w:ascii="Calibri" w:hAnsi="Calibri" w:eastAsia="Calibri" w:cs="Calibri" w:asciiTheme="minorAscii" w:hAnsiTheme="minorAscii" w:eastAsiaTheme="minorAscii" w:cstheme="minorAscii"/>
          <w:sz w:val="22"/>
          <w:szCs w:val="22"/>
        </w:rPr>
        <w:t>Sociological</w:t>
      </w:r>
    </w:p>
    <w:p w:rsidR="020A1C23" w:rsidP="020A1C23" w:rsidRDefault="020A1C23" w14:paraId="08B6B1CE" w14:textId="603D6BAD">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Pr="020A1C23" w:rsidR="020A1C23">
        <w:rPr>
          <w:rFonts w:ascii="Calibri" w:hAnsi="Calibri" w:eastAsia="Calibri" w:cs="Calibri" w:asciiTheme="minorAscii" w:hAnsiTheme="minorAscii" w:eastAsiaTheme="minorAscii" w:cstheme="minorAscii"/>
          <w:sz w:val="22"/>
          <w:szCs w:val="22"/>
        </w:rPr>
        <w:t>Technological</w:t>
      </w:r>
    </w:p>
    <w:p w:rsidR="020A1C23" w:rsidP="020A1C23" w:rsidRDefault="020A1C23" w14:paraId="290A55FB" w14:textId="7F943894">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Pr="020A1C23" w:rsidR="020A1C23">
        <w:rPr>
          <w:rFonts w:ascii="Calibri" w:hAnsi="Calibri" w:eastAsia="Calibri" w:cs="Calibri" w:asciiTheme="minorAscii" w:hAnsiTheme="minorAscii" w:eastAsiaTheme="minorAscii" w:cstheme="minorAscii"/>
          <w:sz w:val="22"/>
          <w:szCs w:val="22"/>
        </w:rPr>
        <w:t>Legal</w:t>
      </w:r>
    </w:p>
    <w:p w:rsidR="020A1C23" w:rsidP="020A1C23" w:rsidRDefault="020A1C23" w14:paraId="740C5DE0" w14:textId="09F7B84C">
      <w:pPr>
        <w:pStyle w:val="ListParagraph"/>
        <w:numPr>
          <w:ilvl w:val="0"/>
          <w:numId w:val="1"/>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Pr="020A1C23" w:rsidR="020A1C23">
        <w:rPr>
          <w:rFonts w:ascii="Calibri" w:hAnsi="Calibri" w:eastAsia="Calibri" w:cs="Calibri" w:asciiTheme="minorAscii" w:hAnsiTheme="minorAscii" w:eastAsiaTheme="minorAscii" w:cstheme="minorAscii"/>
          <w:sz w:val="22"/>
          <w:szCs w:val="22"/>
        </w:rPr>
        <w:t>Environmental</w:t>
      </w:r>
    </w:p>
    <w:p w:rsidR="020A1C23" w:rsidP="020A1C23" w:rsidRDefault="020A1C23" w14:paraId="0E3742E7" w14:textId="3AC1AF64">
      <w:pPr>
        <w:pStyle w:val="Heading3"/>
        <w:bidi w:val="0"/>
        <w:rPr>
          <w:rFonts w:ascii="Calibri" w:hAnsi="Calibri" w:eastAsia="Calibri" w:cs="Calibri" w:asciiTheme="minorAscii" w:hAnsiTheme="minorAscii" w:eastAsiaTheme="minorAscii" w:cstheme="minorAscii"/>
          <w:b w:val="1"/>
          <w:bCs w:val="1"/>
          <w:color w:val="000000" w:themeColor="text1" w:themeTint="FF" w:themeShade="FF"/>
          <w:sz w:val="22"/>
          <w:szCs w:val="22"/>
        </w:rPr>
      </w:pPr>
      <w:bookmarkStart w:name="_Toc943054759" w:id="253066894"/>
      <w:r w:rsidRPr="020A1C23" w:rsidR="020A1C23">
        <w:rPr>
          <w:rFonts w:ascii="Calibri" w:hAnsi="Calibri" w:eastAsia="Calibri" w:cs="Calibri" w:asciiTheme="minorAscii" w:hAnsiTheme="minorAscii" w:eastAsiaTheme="minorAscii" w:cstheme="minorAscii"/>
          <w:b w:val="1"/>
          <w:bCs w:val="1"/>
          <w:color w:val="000000" w:themeColor="text1" w:themeTint="FF" w:themeShade="FF"/>
          <w:sz w:val="22"/>
          <w:szCs w:val="22"/>
        </w:rPr>
        <w:t>1.2 SWOT Analysis</w:t>
      </w:r>
      <w:bookmarkEnd w:id="253066894"/>
    </w:p>
    <w:p w:rsidR="020A1C23" w:rsidP="020A1C23" w:rsidRDefault="020A1C23" w14:paraId="31204AC5" w14:textId="7EBC7C2A">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sz w:val="22"/>
          <w:szCs w:val="22"/>
        </w:rPr>
      </w:pPr>
      <w:r w:rsidRPr="020A1C23" w:rsidR="020A1C23">
        <w:rPr>
          <w:rFonts w:ascii="Calibri" w:hAnsi="Calibri" w:eastAsia="Calibri" w:cs="Calibri" w:asciiTheme="minorAscii" w:hAnsiTheme="minorAscii" w:eastAsiaTheme="minorAscii" w:cstheme="minorAscii"/>
          <w:b w:val="0"/>
          <w:bCs w:val="0"/>
          <w:sz w:val="22"/>
          <w:szCs w:val="22"/>
        </w:rPr>
        <w:t xml:space="preserve">SWOT Analysis is a framework that is used by </w:t>
      </w:r>
      <w:proofErr w:type="spellStart"/>
      <w:r w:rsidRPr="020A1C23" w:rsidR="020A1C23">
        <w:rPr>
          <w:rFonts w:ascii="Calibri" w:hAnsi="Calibri" w:eastAsia="Calibri" w:cs="Calibri" w:asciiTheme="minorAscii" w:hAnsiTheme="minorAscii" w:eastAsiaTheme="minorAscii" w:cstheme="minorAscii"/>
          <w:b w:val="0"/>
          <w:bCs w:val="0"/>
          <w:sz w:val="22"/>
          <w:szCs w:val="22"/>
        </w:rPr>
        <w:t>organisations</w:t>
      </w:r>
      <w:proofErr w:type="spellEnd"/>
      <w:r w:rsidRPr="020A1C23" w:rsidR="020A1C23">
        <w:rPr>
          <w:rFonts w:ascii="Calibri" w:hAnsi="Calibri" w:eastAsia="Calibri" w:cs="Calibri" w:asciiTheme="minorAscii" w:hAnsiTheme="minorAscii" w:eastAsiaTheme="minorAscii" w:cstheme="minorAscii"/>
          <w:b w:val="0"/>
          <w:bCs w:val="0"/>
          <w:sz w:val="22"/>
          <w:szCs w:val="22"/>
        </w:rPr>
        <w:t>, businesses and enterprises to assess their competitive position in the economy and plan strategically for the future.</w:t>
      </w:r>
    </w:p>
    <w:p w:rsidR="020A1C23" w:rsidP="020A1C23" w:rsidRDefault="020A1C23" w14:paraId="7C086E7B" w14:textId="2B24061C">
      <w:pPr>
        <w:pStyle w:val="Normal"/>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sz w:val="22"/>
          <w:szCs w:val="22"/>
        </w:rPr>
      </w:pPr>
      <w:r w:rsidRPr="020A1C23" w:rsidR="020A1C23">
        <w:rPr>
          <w:rFonts w:ascii="Calibri" w:hAnsi="Calibri" w:eastAsia="Calibri" w:cs="Calibri" w:asciiTheme="minorAscii" w:hAnsiTheme="minorAscii" w:eastAsiaTheme="minorAscii" w:cstheme="minorAscii"/>
          <w:b w:val="0"/>
          <w:bCs w:val="0"/>
          <w:sz w:val="22"/>
          <w:szCs w:val="22"/>
        </w:rPr>
        <w:t>SWOT is an acronym that stands for:</w:t>
      </w:r>
    </w:p>
    <w:p w:rsidR="020A1C23" w:rsidP="020A1C23" w:rsidRDefault="020A1C23" w14:paraId="49F8001B" w14:textId="5C29632B">
      <w:pPr>
        <w:pStyle w:val="ListParagraph"/>
        <w:numPr>
          <w:ilvl w:val="0"/>
          <w:numId w:val="3"/>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sz w:val="22"/>
          <w:szCs w:val="22"/>
        </w:rPr>
      </w:pPr>
      <w:r w:rsidRPr="020A1C23" w:rsidR="020A1C23">
        <w:rPr>
          <w:rFonts w:ascii="Calibri" w:hAnsi="Calibri" w:eastAsia="Calibri" w:cs="Calibri" w:asciiTheme="minorAscii" w:hAnsiTheme="minorAscii" w:eastAsiaTheme="minorAscii" w:cstheme="minorAscii"/>
          <w:b w:val="0"/>
          <w:bCs w:val="0"/>
          <w:sz w:val="22"/>
          <w:szCs w:val="22"/>
        </w:rPr>
        <w:t>Strengths</w:t>
      </w:r>
    </w:p>
    <w:p w:rsidR="020A1C23" w:rsidP="020A1C23" w:rsidRDefault="020A1C23" w14:paraId="50824591" w14:textId="3005F5DD">
      <w:pPr>
        <w:pStyle w:val="ListParagraph"/>
        <w:numPr>
          <w:ilvl w:val="0"/>
          <w:numId w:val="3"/>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sz w:val="22"/>
          <w:szCs w:val="22"/>
        </w:rPr>
      </w:pPr>
      <w:r w:rsidRPr="020A1C23" w:rsidR="020A1C23">
        <w:rPr>
          <w:rFonts w:ascii="Calibri" w:hAnsi="Calibri" w:eastAsia="Calibri" w:cs="Calibri" w:asciiTheme="minorAscii" w:hAnsiTheme="minorAscii" w:eastAsiaTheme="minorAscii" w:cstheme="minorAscii"/>
          <w:b w:val="0"/>
          <w:bCs w:val="0"/>
          <w:sz w:val="22"/>
          <w:szCs w:val="22"/>
        </w:rPr>
        <w:t>Weaknesses</w:t>
      </w:r>
    </w:p>
    <w:p w:rsidR="020A1C23" w:rsidP="020A1C23" w:rsidRDefault="020A1C23" w14:paraId="07C1B916" w14:textId="24197065">
      <w:pPr>
        <w:pStyle w:val="ListParagraph"/>
        <w:numPr>
          <w:ilvl w:val="0"/>
          <w:numId w:val="3"/>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sz w:val="22"/>
          <w:szCs w:val="22"/>
        </w:rPr>
      </w:pPr>
      <w:r w:rsidRPr="020A1C23" w:rsidR="020A1C23">
        <w:rPr>
          <w:rFonts w:ascii="Calibri" w:hAnsi="Calibri" w:eastAsia="Calibri" w:cs="Calibri" w:asciiTheme="minorAscii" w:hAnsiTheme="minorAscii" w:eastAsiaTheme="minorAscii" w:cstheme="minorAscii"/>
          <w:b w:val="0"/>
          <w:bCs w:val="0"/>
          <w:sz w:val="22"/>
          <w:szCs w:val="22"/>
        </w:rPr>
        <w:t>Opportunities</w:t>
      </w:r>
    </w:p>
    <w:p w:rsidR="020A1C23" w:rsidP="020A1C23" w:rsidRDefault="020A1C23" w14:paraId="6EFDF9D5" w14:textId="6CC47CF8">
      <w:pPr>
        <w:pStyle w:val="ListParagraph"/>
        <w:numPr>
          <w:ilvl w:val="0"/>
          <w:numId w:val="3"/>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b w:val="0"/>
          <w:bCs w:val="0"/>
          <w:sz w:val="22"/>
          <w:szCs w:val="22"/>
        </w:rPr>
      </w:pPr>
      <w:r w:rsidRPr="020A1C23" w:rsidR="020A1C23">
        <w:rPr>
          <w:rFonts w:ascii="Calibri" w:hAnsi="Calibri" w:eastAsia="Calibri" w:cs="Calibri" w:asciiTheme="minorAscii" w:hAnsiTheme="minorAscii" w:eastAsiaTheme="minorAscii" w:cstheme="minorAscii"/>
          <w:b w:val="0"/>
          <w:bCs w:val="0"/>
          <w:sz w:val="22"/>
          <w:szCs w:val="22"/>
        </w:rPr>
        <w:t>Threats</w:t>
      </w:r>
    </w:p>
    <w:p w:rsidR="020A1C23" w:rsidP="020A1C23" w:rsidRDefault="020A1C23" w14:paraId="06B042AF" w14:textId="03AA84FB">
      <w:pPr>
        <w:pStyle w:val="Heading3"/>
        <w:bidi w:val="0"/>
        <w:rPr>
          <w:rFonts w:ascii="Calibri" w:hAnsi="Calibri" w:eastAsia="Calibri" w:cs="Calibri" w:asciiTheme="minorAscii" w:hAnsiTheme="minorAscii" w:eastAsiaTheme="minorAscii" w:cstheme="minorAscii"/>
          <w:b w:val="1"/>
          <w:bCs w:val="1"/>
          <w:color w:val="1F3763"/>
          <w:sz w:val="22"/>
          <w:szCs w:val="22"/>
        </w:rPr>
      </w:pPr>
      <w:bookmarkStart w:name="_Toc1483505886" w:id="795337200"/>
      <w:r w:rsidRPr="020A1C23" w:rsidR="020A1C23">
        <w:rPr>
          <w:rFonts w:ascii="Calibri" w:hAnsi="Calibri" w:eastAsia="Calibri" w:cs="Calibri" w:asciiTheme="minorAscii" w:hAnsiTheme="minorAscii" w:eastAsiaTheme="minorAscii" w:cstheme="minorAscii"/>
          <w:b w:val="1"/>
          <w:bCs w:val="1"/>
          <w:sz w:val="22"/>
          <w:szCs w:val="22"/>
        </w:rPr>
        <w:t>1.3 Problem Statement</w:t>
      </w:r>
      <w:bookmarkEnd w:id="795337200"/>
    </w:p>
    <w:p w:rsidR="020A1C23" w:rsidP="020A1C23" w:rsidRDefault="020A1C23" w14:paraId="7A9079D4" w14:textId="027EEF5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rPr>
      </w:pPr>
      <w:r w:rsidRPr="020A1C23" w:rsidR="020A1C23">
        <w:rPr>
          <w:rFonts w:ascii="Calibri" w:hAnsi="Calibri" w:eastAsia="Calibri" w:cs="Calibri" w:asciiTheme="minorAscii" w:hAnsiTheme="minorAscii" w:eastAsiaTheme="minorAscii" w:cstheme="minorAscii"/>
          <w:sz w:val="22"/>
          <w:szCs w:val="22"/>
        </w:rPr>
        <w:t xml:space="preserve">This report explores the macro-economic factors that </w:t>
      </w:r>
      <w:r w:rsidRPr="020A1C23" w:rsidR="020A1C23">
        <w:rPr>
          <w:rFonts w:ascii="Calibri" w:hAnsi="Calibri" w:eastAsia="Calibri" w:cs="Calibri" w:asciiTheme="minorAscii" w:hAnsiTheme="minorAscii" w:eastAsiaTheme="minorAscii" w:cstheme="minorAscii"/>
          <w:sz w:val="22"/>
          <w:szCs w:val="22"/>
        </w:rPr>
        <w:t>impact</w:t>
      </w:r>
      <w:r w:rsidRPr="020A1C23" w:rsidR="020A1C23">
        <w:rPr>
          <w:rFonts w:ascii="Calibri" w:hAnsi="Calibri" w:eastAsia="Calibri" w:cs="Calibri" w:asciiTheme="minorAscii" w:hAnsiTheme="minorAscii" w:eastAsiaTheme="minorAscii" w:cstheme="minorAscii"/>
          <w:sz w:val="22"/>
          <w:szCs w:val="22"/>
        </w:rPr>
        <w:t xml:space="preserve"> Royal Dutch Shell using the PESTLE analysis tool to obtain a comprehensive conclusion that reflects the current position of the </w:t>
      </w:r>
      <w:proofErr w:type="spellStart"/>
      <w:r w:rsidRPr="020A1C23" w:rsidR="020A1C23">
        <w:rPr>
          <w:rFonts w:ascii="Calibri" w:hAnsi="Calibri" w:eastAsia="Calibri" w:cs="Calibri" w:asciiTheme="minorAscii" w:hAnsiTheme="minorAscii" w:eastAsiaTheme="minorAscii" w:cstheme="minorAscii"/>
          <w:sz w:val="22"/>
          <w:szCs w:val="22"/>
        </w:rPr>
        <w:t>organisation</w:t>
      </w:r>
      <w:proofErr w:type="spellEnd"/>
      <w:r w:rsidRPr="020A1C23" w:rsidR="020A1C23">
        <w:rPr>
          <w:rFonts w:ascii="Calibri" w:hAnsi="Calibri" w:eastAsia="Calibri" w:cs="Calibri" w:asciiTheme="minorAscii" w:hAnsiTheme="minorAscii" w:eastAsiaTheme="minorAscii" w:cstheme="minorAscii"/>
          <w:sz w:val="22"/>
          <w:szCs w:val="22"/>
        </w:rPr>
        <w:t xml:space="preserve"> within the international market.</w:t>
      </w:r>
    </w:p>
    <w:p w:rsidR="020A1C23" w:rsidP="020A1C23" w:rsidRDefault="020A1C23" w14:paraId="3E4A5B6F" w14:textId="28676D66">
      <w:pPr>
        <w:pStyle w:val="Heading3"/>
        <w:bidi w:val="0"/>
        <w:rPr>
          <w:rFonts w:ascii="Calibri" w:hAnsi="Calibri" w:eastAsia="Calibri" w:cs="Calibri" w:asciiTheme="minorAscii" w:hAnsiTheme="minorAscii" w:eastAsiaTheme="minorAscii" w:cstheme="minorAscii"/>
          <w:b w:val="1"/>
          <w:bCs w:val="1"/>
          <w:color w:val="1F3763"/>
          <w:sz w:val="22"/>
          <w:szCs w:val="22"/>
        </w:rPr>
      </w:pPr>
      <w:bookmarkStart w:name="_Toc362741957" w:id="655499580"/>
      <w:r w:rsidRPr="020A1C23" w:rsidR="020A1C23">
        <w:rPr>
          <w:rFonts w:ascii="Calibri" w:hAnsi="Calibri" w:eastAsia="Calibri" w:cs="Calibri" w:asciiTheme="minorAscii" w:hAnsiTheme="minorAscii" w:eastAsiaTheme="minorAscii" w:cstheme="minorAscii"/>
          <w:b w:val="1"/>
          <w:bCs w:val="1"/>
          <w:sz w:val="22"/>
          <w:szCs w:val="22"/>
        </w:rPr>
        <w:t>1.4 Aim and Objectives of the study</w:t>
      </w:r>
      <w:bookmarkEnd w:id="655499580"/>
    </w:p>
    <w:p w:rsidR="020A1C23" w:rsidP="020A1C23" w:rsidRDefault="020A1C23" w14:paraId="1F65048A" w14:textId="0ED726F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rPr>
      </w:pPr>
      <w:r w:rsidRPr="020A1C23" w:rsidR="020A1C23">
        <w:rPr>
          <w:rFonts w:ascii="Calibri" w:hAnsi="Calibri" w:eastAsia="Calibri" w:cs="Calibri" w:asciiTheme="minorAscii" w:hAnsiTheme="minorAscii" w:eastAsiaTheme="minorAscii" w:cstheme="minorAscii"/>
          <w:sz w:val="22"/>
          <w:szCs w:val="22"/>
        </w:rPr>
        <w:t xml:space="preserve">The aim of this work is to assess the environmental conditions in which Royal Dutch Shell </w:t>
      </w:r>
      <w:r w:rsidRPr="020A1C23" w:rsidR="020A1C23">
        <w:rPr>
          <w:rFonts w:ascii="Calibri" w:hAnsi="Calibri" w:eastAsia="Calibri" w:cs="Calibri" w:asciiTheme="minorAscii" w:hAnsiTheme="minorAscii" w:eastAsiaTheme="minorAscii" w:cstheme="minorAscii"/>
          <w:sz w:val="22"/>
          <w:szCs w:val="22"/>
        </w:rPr>
        <w:t>operates</w:t>
      </w:r>
      <w:r w:rsidRPr="020A1C23" w:rsidR="020A1C23">
        <w:rPr>
          <w:rFonts w:ascii="Calibri" w:hAnsi="Calibri" w:eastAsia="Calibri" w:cs="Calibri" w:asciiTheme="minorAscii" w:hAnsiTheme="minorAscii" w:eastAsiaTheme="minorAscii" w:cstheme="minorAscii"/>
          <w:sz w:val="22"/>
          <w:szCs w:val="22"/>
        </w:rPr>
        <w:t xml:space="preserve"> using both the Maco-economic and Micro-economic theories to </w:t>
      </w:r>
      <w:r w:rsidRPr="020A1C23" w:rsidR="020A1C23">
        <w:rPr>
          <w:rFonts w:ascii="Calibri" w:hAnsi="Calibri" w:eastAsia="Calibri" w:cs="Calibri" w:asciiTheme="minorAscii" w:hAnsiTheme="minorAscii" w:eastAsiaTheme="minorAscii" w:cstheme="minorAscii"/>
          <w:sz w:val="22"/>
          <w:szCs w:val="22"/>
        </w:rPr>
        <w:t>demonstrate</w:t>
      </w:r>
      <w:r w:rsidRPr="020A1C23" w:rsidR="020A1C23">
        <w:rPr>
          <w:rFonts w:ascii="Calibri" w:hAnsi="Calibri" w:eastAsia="Calibri" w:cs="Calibri" w:asciiTheme="minorAscii" w:hAnsiTheme="minorAscii" w:eastAsiaTheme="minorAscii" w:cstheme="minorAscii"/>
          <w:sz w:val="22"/>
          <w:szCs w:val="22"/>
        </w:rPr>
        <w:t xml:space="preserve"> the actual and potential implications of these </w:t>
      </w:r>
      <w:r w:rsidRPr="020A1C23" w:rsidR="020A1C23">
        <w:rPr>
          <w:rFonts w:ascii="Calibri" w:hAnsi="Calibri" w:eastAsia="Calibri" w:cs="Calibri" w:asciiTheme="minorAscii" w:hAnsiTheme="minorAscii" w:eastAsiaTheme="minorAscii" w:cstheme="minorAscii"/>
          <w:sz w:val="22"/>
          <w:szCs w:val="22"/>
        </w:rPr>
        <w:t>various factors</w:t>
      </w:r>
      <w:r w:rsidRPr="020A1C23" w:rsidR="020A1C23">
        <w:rPr>
          <w:rFonts w:ascii="Calibri" w:hAnsi="Calibri" w:eastAsia="Calibri" w:cs="Calibri" w:asciiTheme="minorAscii" w:hAnsiTheme="minorAscii" w:eastAsiaTheme="minorAscii" w:cstheme="minorAscii"/>
          <w:sz w:val="22"/>
          <w:szCs w:val="22"/>
        </w:rPr>
        <w:t xml:space="preserve"> on the </w:t>
      </w:r>
      <w:proofErr w:type="spellStart"/>
      <w:r w:rsidRPr="020A1C23" w:rsidR="020A1C23">
        <w:rPr>
          <w:rFonts w:ascii="Calibri" w:hAnsi="Calibri" w:eastAsia="Calibri" w:cs="Calibri" w:asciiTheme="minorAscii" w:hAnsiTheme="minorAscii" w:eastAsiaTheme="minorAscii" w:cstheme="minorAscii"/>
          <w:sz w:val="22"/>
          <w:szCs w:val="22"/>
        </w:rPr>
        <w:t>organisation</w:t>
      </w:r>
      <w:proofErr w:type="spellEnd"/>
      <w:r w:rsidRPr="020A1C23" w:rsidR="020A1C23">
        <w:rPr>
          <w:rFonts w:ascii="Calibri" w:hAnsi="Calibri" w:eastAsia="Calibri" w:cs="Calibri" w:asciiTheme="minorAscii" w:hAnsiTheme="minorAscii" w:eastAsiaTheme="minorAscii" w:cstheme="minorAscii"/>
          <w:sz w:val="22"/>
          <w:szCs w:val="22"/>
        </w:rPr>
        <w:t xml:space="preserve"> as a whole</w:t>
      </w:r>
      <w:r w:rsidRPr="020A1C23" w:rsidR="020A1C23">
        <w:rPr>
          <w:rFonts w:ascii="Calibri" w:hAnsi="Calibri" w:eastAsia="Calibri" w:cs="Calibri" w:asciiTheme="minorAscii" w:hAnsiTheme="minorAscii" w:eastAsiaTheme="minorAscii" w:cstheme="minorAscii"/>
          <w:sz w:val="22"/>
          <w:szCs w:val="22"/>
        </w:rPr>
        <w:t xml:space="preserve">. The </w:t>
      </w:r>
      <w:r w:rsidRPr="020A1C23" w:rsidR="020A1C23">
        <w:rPr>
          <w:rFonts w:ascii="Calibri" w:hAnsi="Calibri" w:eastAsia="Calibri" w:cs="Calibri" w:asciiTheme="minorAscii" w:hAnsiTheme="minorAscii" w:eastAsiaTheme="minorAscii" w:cstheme="minorAscii"/>
          <w:sz w:val="22"/>
          <w:szCs w:val="22"/>
        </w:rPr>
        <w:t>objectives</w:t>
      </w:r>
      <w:r w:rsidRPr="020A1C23" w:rsidR="020A1C23">
        <w:rPr>
          <w:rFonts w:ascii="Calibri" w:hAnsi="Calibri" w:eastAsia="Calibri" w:cs="Calibri" w:asciiTheme="minorAscii" w:hAnsiTheme="minorAscii" w:eastAsiaTheme="minorAscii" w:cstheme="minorAscii"/>
          <w:sz w:val="22"/>
          <w:szCs w:val="22"/>
        </w:rPr>
        <w:t xml:space="preserve"> if this study </w:t>
      </w:r>
      <w:proofErr w:type="gramStart"/>
      <w:r w:rsidRPr="020A1C23" w:rsidR="020A1C23">
        <w:rPr>
          <w:rFonts w:ascii="Calibri" w:hAnsi="Calibri" w:eastAsia="Calibri" w:cs="Calibri" w:asciiTheme="minorAscii" w:hAnsiTheme="minorAscii" w:eastAsiaTheme="minorAscii" w:cstheme="minorAscii"/>
          <w:sz w:val="22"/>
          <w:szCs w:val="22"/>
        </w:rPr>
        <w:t>are</w:t>
      </w:r>
      <w:proofErr w:type="gramEnd"/>
      <w:r w:rsidRPr="020A1C23" w:rsidR="020A1C23">
        <w:rPr>
          <w:rFonts w:ascii="Calibri" w:hAnsi="Calibri" w:eastAsia="Calibri" w:cs="Calibri" w:asciiTheme="minorAscii" w:hAnsiTheme="minorAscii" w:eastAsiaTheme="minorAscii" w:cstheme="minorAscii"/>
          <w:sz w:val="22"/>
          <w:szCs w:val="22"/>
        </w:rPr>
        <w:t>:</w:t>
      </w:r>
    </w:p>
    <w:p w:rsidR="020A1C23" w:rsidP="020A1C23" w:rsidRDefault="020A1C23" w14:paraId="24C36E6C" w14:textId="07CEE799">
      <w:pPr>
        <w:pStyle w:val="ListParagraph"/>
        <w:numPr>
          <w:ilvl w:val="0"/>
          <w:numId w:val="2"/>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Pr="020A1C23" w:rsidR="020A1C23">
        <w:rPr>
          <w:rFonts w:ascii="Calibri" w:hAnsi="Calibri" w:eastAsia="Calibri" w:cs="Calibri" w:asciiTheme="minorAscii" w:hAnsiTheme="minorAscii" w:eastAsiaTheme="minorAscii" w:cstheme="minorAscii"/>
          <w:sz w:val="22"/>
          <w:szCs w:val="22"/>
        </w:rPr>
        <w:t xml:space="preserve">To assess, </w:t>
      </w:r>
      <w:proofErr w:type="spellStart"/>
      <w:r w:rsidRPr="020A1C23" w:rsidR="020A1C23">
        <w:rPr>
          <w:rFonts w:ascii="Calibri" w:hAnsi="Calibri" w:eastAsia="Calibri" w:cs="Calibri" w:asciiTheme="minorAscii" w:hAnsiTheme="minorAscii" w:eastAsiaTheme="minorAscii" w:cstheme="minorAscii"/>
          <w:sz w:val="22"/>
          <w:szCs w:val="22"/>
        </w:rPr>
        <w:t>analyse</w:t>
      </w:r>
      <w:proofErr w:type="spellEnd"/>
      <w:r w:rsidRPr="020A1C23" w:rsidR="020A1C23">
        <w:rPr>
          <w:rFonts w:ascii="Calibri" w:hAnsi="Calibri" w:eastAsia="Calibri" w:cs="Calibri" w:asciiTheme="minorAscii" w:hAnsiTheme="minorAscii" w:eastAsiaTheme="minorAscii" w:cstheme="minorAscii"/>
          <w:sz w:val="22"/>
          <w:szCs w:val="22"/>
        </w:rPr>
        <w:t xml:space="preserve"> and </w:t>
      </w:r>
      <w:proofErr w:type="spellStart"/>
      <w:r w:rsidRPr="020A1C23" w:rsidR="020A1C23">
        <w:rPr>
          <w:rFonts w:ascii="Calibri" w:hAnsi="Calibri" w:eastAsia="Calibri" w:cs="Calibri" w:asciiTheme="minorAscii" w:hAnsiTheme="minorAscii" w:eastAsiaTheme="minorAscii" w:cstheme="minorAscii"/>
          <w:sz w:val="22"/>
          <w:szCs w:val="22"/>
        </w:rPr>
        <w:t>interprete</w:t>
      </w:r>
      <w:proofErr w:type="spellEnd"/>
      <w:r w:rsidRPr="020A1C23" w:rsidR="020A1C23">
        <w:rPr>
          <w:rFonts w:ascii="Calibri" w:hAnsi="Calibri" w:eastAsia="Calibri" w:cs="Calibri" w:asciiTheme="minorAscii" w:hAnsiTheme="minorAscii" w:eastAsiaTheme="minorAscii" w:cstheme="minorAscii"/>
          <w:sz w:val="22"/>
          <w:szCs w:val="22"/>
        </w:rPr>
        <w:t xml:space="preserve"> the environment that Royal Dutch Shell </w:t>
      </w:r>
      <w:r w:rsidRPr="020A1C23" w:rsidR="020A1C23">
        <w:rPr>
          <w:rFonts w:ascii="Calibri" w:hAnsi="Calibri" w:eastAsia="Calibri" w:cs="Calibri" w:asciiTheme="minorAscii" w:hAnsiTheme="minorAscii" w:eastAsiaTheme="minorAscii" w:cstheme="minorAscii"/>
          <w:sz w:val="22"/>
          <w:szCs w:val="22"/>
        </w:rPr>
        <w:t>operates</w:t>
      </w:r>
      <w:r w:rsidRPr="020A1C23" w:rsidR="020A1C23">
        <w:rPr>
          <w:rFonts w:ascii="Calibri" w:hAnsi="Calibri" w:eastAsia="Calibri" w:cs="Calibri" w:asciiTheme="minorAscii" w:hAnsiTheme="minorAscii" w:eastAsiaTheme="minorAscii" w:cstheme="minorAscii"/>
          <w:sz w:val="22"/>
          <w:szCs w:val="22"/>
        </w:rPr>
        <w:t xml:space="preserve"> in using industry specific figures</w:t>
      </w:r>
    </w:p>
    <w:p w:rsidR="020A1C23" w:rsidP="020A1C23" w:rsidRDefault="020A1C23" w14:paraId="342D1D70" w14:textId="35D25874">
      <w:pPr>
        <w:pStyle w:val="ListParagraph"/>
        <w:numPr>
          <w:ilvl w:val="0"/>
          <w:numId w:val="2"/>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sz w:val="22"/>
          <w:szCs w:val="22"/>
        </w:rPr>
      </w:pPr>
      <w:r w:rsidRPr="020A1C23" w:rsidR="020A1C23">
        <w:rPr>
          <w:rFonts w:ascii="Calibri" w:hAnsi="Calibri" w:eastAsia="Calibri" w:cs="Calibri" w:asciiTheme="minorAscii" w:hAnsiTheme="minorAscii" w:eastAsiaTheme="minorAscii" w:cstheme="minorAscii"/>
          <w:sz w:val="22"/>
          <w:szCs w:val="22"/>
        </w:rPr>
        <w:t xml:space="preserve">To </w:t>
      </w:r>
      <w:proofErr w:type="spellStart"/>
      <w:r w:rsidRPr="020A1C23" w:rsidR="020A1C23">
        <w:rPr>
          <w:rFonts w:ascii="Calibri" w:hAnsi="Calibri" w:eastAsia="Calibri" w:cs="Calibri" w:asciiTheme="minorAscii" w:hAnsiTheme="minorAscii" w:eastAsiaTheme="minorAscii" w:cstheme="minorAscii"/>
          <w:sz w:val="22"/>
          <w:szCs w:val="22"/>
        </w:rPr>
        <w:t>analyse</w:t>
      </w:r>
      <w:proofErr w:type="spellEnd"/>
      <w:r w:rsidRPr="020A1C23" w:rsidR="020A1C23">
        <w:rPr>
          <w:rFonts w:ascii="Calibri" w:hAnsi="Calibri" w:eastAsia="Calibri" w:cs="Calibri" w:asciiTheme="minorAscii" w:hAnsiTheme="minorAscii" w:eastAsiaTheme="minorAscii" w:cstheme="minorAscii"/>
          <w:sz w:val="22"/>
          <w:szCs w:val="22"/>
        </w:rPr>
        <w:t xml:space="preserve"> using PESTLE as a macroeconomic analysis tool for taking a critical look on a range of national and international performance indicators</w:t>
      </w:r>
    </w:p>
    <w:p w:rsidR="020A1C23" w:rsidP="020A1C23" w:rsidRDefault="020A1C23" w14:paraId="0235161C" w14:textId="072EB64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rPr>
      </w:pPr>
    </w:p>
    <w:p w:rsidR="020A1C23" w:rsidP="020A1C23" w:rsidRDefault="020A1C23" w14:paraId="11F98FD5" w14:textId="76F670E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rPr>
      </w:pPr>
    </w:p>
    <w:p w:rsidR="020A1C23" w:rsidP="020A1C23" w:rsidRDefault="020A1C23" w14:paraId="59C1E0A2" w14:textId="41FB9EE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rPr>
      </w:pPr>
    </w:p>
    <w:p w:rsidR="020A1C23" w:rsidP="020A1C23" w:rsidRDefault="020A1C23" w14:paraId="1DA24172" w14:textId="295BD46F">
      <w:pPr>
        <w:pStyle w:val="Heading1"/>
        <w:bidi w:val="0"/>
        <w:rPr>
          <w:rFonts w:ascii="Calibri" w:hAnsi="Calibri" w:eastAsia="Calibri" w:cs="Calibri" w:asciiTheme="minorAscii" w:hAnsiTheme="minorAscii" w:eastAsiaTheme="minorAscii" w:cstheme="minorAscii"/>
          <w:b w:val="1"/>
          <w:bCs w:val="1"/>
          <w:color w:val="000000" w:themeColor="text1" w:themeTint="FF" w:themeShade="FF"/>
          <w:sz w:val="22"/>
          <w:szCs w:val="22"/>
        </w:rPr>
      </w:pPr>
      <w:bookmarkStart w:name="_Toc1145640941" w:id="1688046863"/>
      <w:r w:rsidRPr="020A1C23" w:rsidR="020A1C23">
        <w:rPr>
          <w:rFonts w:ascii="Calibri" w:hAnsi="Calibri" w:eastAsia="Calibri" w:cs="Calibri" w:asciiTheme="minorAscii" w:hAnsiTheme="minorAscii" w:eastAsiaTheme="minorAscii" w:cstheme="minorAscii"/>
          <w:b w:val="1"/>
          <w:bCs w:val="1"/>
          <w:color w:val="000000" w:themeColor="text1" w:themeTint="FF" w:themeShade="FF"/>
          <w:sz w:val="22"/>
          <w:szCs w:val="22"/>
        </w:rPr>
        <w:t>CHAPTER TWO</w:t>
      </w:r>
      <w:bookmarkEnd w:id="1688046863"/>
    </w:p>
    <w:p w:rsidR="020A1C23" w:rsidP="020A1C23" w:rsidRDefault="020A1C23" w14:paraId="5A0F814A" w14:textId="66E6394E">
      <w:pPr>
        <w:pStyle w:val="Heading2"/>
        <w:bidi w:val="0"/>
        <w:rPr>
          <w:rFonts w:ascii="Calibri" w:hAnsi="Calibri" w:eastAsia="Calibri" w:cs="Calibri" w:asciiTheme="minorAscii" w:hAnsiTheme="minorAscii" w:eastAsiaTheme="minorAscii" w:cstheme="minorAscii"/>
          <w:b w:val="1"/>
          <w:bCs w:val="1"/>
          <w:color w:val="000000" w:themeColor="text1" w:themeTint="FF" w:themeShade="FF"/>
          <w:sz w:val="22"/>
          <w:szCs w:val="22"/>
        </w:rPr>
      </w:pPr>
      <w:bookmarkStart w:name="_Toc147167825" w:id="306328829"/>
      <w:r w:rsidRPr="020A1C23" w:rsidR="020A1C23">
        <w:rPr>
          <w:rFonts w:ascii="Calibri" w:hAnsi="Calibri" w:eastAsia="Calibri" w:cs="Calibri" w:asciiTheme="minorAscii" w:hAnsiTheme="minorAscii" w:eastAsiaTheme="minorAscii" w:cstheme="minorAscii"/>
          <w:b w:val="1"/>
          <w:bCs w:val="1"/>
          <w:color w:val="000000" w:themeColor="text1" w:themeTint="FF" w:themeShade="FF"/>
          <w:sz w:val="22"/>
          <w:szCs w:val="22"/>
        </w:rPr>
        <w:t>PESTLE ANALYSIS OF ROYAL DUTCH SHELL</w:t>
      </w:r>
      <w:bookmarkEnd w:id="306328829"/>
    </w:p>
    <w:p w:rsidR="020A1C23" w:rsidP="020A1C23" w:rsidRDefault="020A1C23" w14:paraId="0224B3E8" w14:textId="500B748A">
      <w:pPr>
        <w:bidi w:val="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 PESTLE analysis for Royal Dutch Shell is presented below:</w:t>
      </w:r>
    </w:p>
    <w:tbl>
      <w:tblPr>
        <w:tblStyle w:val="TableGrid"/>
        <w:bidiVisual w:val="0"/>
        <w:tblW w:w="0" w:type="auto"/>
        <w:tblLayout w:type="fixed"/>
        <w:tblLook w:val="06A0" w:firstRow="1" w:lastRow="0" w:firstColumn="1" w:lastColumn="0" w:noHBand="1" w:noVBand="1"/>
      </w:tblPr>
      <w:tblGrid>
        <w:gridCol w:w="4680"/>
        <w:gridCol w:w="4680"/>
      </w:tblGrid>
      <w:tr w:rsidR="020A1C23" w:rsidTr="020A1C23" w14:paraId="6AED80C4">
        <w:trPr>
          <w:trHeight w:val="420"/>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3CC23481" w14:textId="34DFF66A">
            <w:pPr>
              <w:bidi w:val="0"/>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 xml:space="preserve">Political </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03D05EDE" w14:textId="46457E9C">
            <w:pPr>
              <w:bidi w:val="0"/>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Economic</w:t>
            </w:r>
          </w:p>
        </w:tc>
      </w:tr>
      <w:tr w:rsidR="020A1C23" w:rsidTr="020A1C23" w14:paraId="79A36F86">
        <w:trPr>
          <w:trHeight w:val="2280"/>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01526D9D" w14:textId="3591E2C1">
            <w:pPr>
              <w:bidi w:val="0"/>
              <w:ind w:left="343" w:hanging="34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1. Antagonism in the Niger Delta towards foreign oil companies  </w:t>
            </w:r>
          </w:p>
          <w:p w:rsidR="020A1C23" w:rsidP="020A1C23" w:rsidRDefault="020A1C23" w14:paraId="61658402" w14:textId="4E489DC0">
            <w:pPr>
              <w:bidi w:val="0"/>
              <w:ind w:left="368" w:hanging="368"/>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2. Political lobbying by oil companies to stop the enactment of climate change policies  </w:t>
            </w:r>
          </w:p>
          <w:p w:rsidR="020A1C23" w:rsidP="020A1C23" w:rsidRDefault="020A1C23" w14:paraId="7AA89F08" w14:textId="2A0D7285">
            <w:pPr>
              <w:bidi w:val="0"/>
              <w:ind w:left="368" w:hanging="368"/>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3. Political unrest in the Middle East as well as the Persian Gulf</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280A4AE7" w14:textId="07822C53">
            <w:pPr>
              <w:bidi w:val="0"/>
              <w:ind w:firstLine="18"/>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1. Contradictory economic environments across the world </w:t>
            </w:r>
          </w:p>
          <w:p w:rsidR="020A1C23" w:rsidP="020A1C23" w:rsidRDefault="020A1C23" w14:paraId="70D52028" w14:textId="36A042CF">
            <w:pPr>
              <w:bidi w:val="0"/>
              <w:ind w:firstLine="18"/>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2. Decline in global demand for oil</w:t>
            </w:r>
          </w:p>
        </w:tc>
      </w:tr>
      <w:tr w:rsidR="020A1C23" w:rsidTr="020A1C23" w14:paraId="34F8A050">
        <w:trPr>
          <w:trHeight w:val="420"/>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72050404" w14:textId="27C84AD8">
            <w:pPr>
              <w:bidi w:val="0"/>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 xml:space="preserve">Social </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6A4BD3A4" w14:textId="2F65CA10">
            <w:pPr>
              <w:bidi w:val="0"/>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Technological</w:t>
            </w:r>
          </w:p>
        </w:tc>
      </w:tr>
      <w:tr w:rsidR="020A1C23" w:rsidTr="020A1C23" w14:paraId="539AA73D">
        <w:trPr>
          <w:trHeight w:val="1530"/>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25F5FEB4" w14:textId="01334DA5">
            <w:pPr>
              <w:bidi w:val="0"/>
              <w:ind w:left="343" w:hanging="34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1. Pessimistic social perception about the oil and gas industry </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5D2B8863" w14:textId="2A040881">
            <w:pPr>
              <w:bidi w:val="0"/>
              <w:ind w:left="340" w:hanging="34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1. Artificial intelligence applications in </w:t>
            </w: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battery technology</w:t>
            </w: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  </w:t>
            </w:r>
          </w:p>
          <w:p w:rsidR="020A1C23" w:rsidP="020A1C23" w:rsidRDefault="020A1C23" w14:paraId="64A4D683" w14:textId="10A2133C">
            <w:pPr>
              <w:bidi w:val="0"/>
              <w:ind w:left="368" w:hanging="368"/>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2. Use of new technology such as blockchain at different points of the oil and gas supply chain </w:t>
            </w:r>
          </w:p>
        </w:tc>
      </w:tr>
      <w:tr w:rsidR="020A1C23" w:rsidTr="020A1C23" w14:paraId="6D713D14">
        <w:trPr>
          <w:trHeight w:val="420"/>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4AD9AC45" w14:textId="48053FFD">
            <w:pPr>
              <w:bidi w:val="0"/>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 xml:space="preserve">Legal </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43777BF6" w14:textId="1A8C93F3">
            <w:pPr>
              <w:bidi w:val="0"/>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Environmental</w:t>
            </w:r>
          </w:p>
        </w:tc>
      </w:tr>
      <w:tr w:rsidR="020A1C23" w:rsidTr="020A1C23" w14:paraId="60B514BC">
        <w:trPr>
          <w:trHeight w:val="1905"/>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58F6E1A4" w14:textId="13360544">
            <w:pPr>
              <w:bidi w:val="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1. Antitrust and competition laws </w:t>
            </w:r>
          </w:p>
          <w:p w:rsidR="020A1C23" w:rsidP="020A1C23" w:rsidRDefault="020A1C23" w14:paraId="52134BFA" w14:textId="4A75EBA5">
            <w:pPr>
              <w:bidi w:val="0"/>
              <w:ind w:left="3" w:hanging="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2. Trade compliance laws and regulations </w:t>
            </w:r>
          </w:p>
          <w:p w:rsidR="020A1C23" w:rsidP="020A1C23" w:rsidRDefault="020A1C23" w14:paraId="04A9A1B9" w14:textId="4ACEFEF5">
            <w:pPr>
              <w:bidi w:val="0"/>
              <w:ind w:left="3" w:hanging="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3. Data protection laws across the world </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141C398F" w14:textId="0266DE55">
            <w:pPr>
              <w:bidi w:val="0"/>
              <w:ind w:firstLine="18"/>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1. Increasing focus on sustainability across the world </w:t>
            </w:r>
          </w:p>
          <w:p w:rsidR="020A1C23" w:rsidP="020A1C23" w:rsidRDefault="020A1C23" w14:paraId="35BE904D" w14:textId="5D7305F0">
            <w:pPr>
              <w:bidi w:val="0"/>
              <w:ind w:firstLine="18"/>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2. Rising concerns about climate change </w:t>
            </w:r>
          </w:p>
          <w:p w:rsidR="020A1C23" w:rsidP="020A1C23" w:rsidRDefault="020A1C23" w14:paraId="6BFE3350" w14:textId="53F4DC82">
            <w:pPr>
              <w:bidi w:val="0"/>
              <w:ind w:left="375" w:hanging="375"/>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3. Geological problems caused by oil exploration operations</w:t>
            </w:r>
          </w:p>
        </w:tc>
      </w:tr>
    </w:tbl>
    <w:p w:rsidR="020A1C23" w:rsidP="020A1C23" w:rsidRDefault="020A1C23" w14:paraId="13FE862F" w14:textId="0961DB4C">
      <w:pPr>
        <w:pStyle w:val="Normal"/>
        <w:bidi w:val="0"/>
        <w:jc w:val="left"/>
        <w:rPr>
          <w:rFonts w:ascii="Calibri" w:hAnsi="Calibri" w:eastAsia="Calibri" w:cs="Calibri" w:asciiTheme="minorAscii" w:hAnsiTheme="minorAscii" w:eastAsiaTheme="minorAscii" w:cstheme="minorAscii"/>
          <w:sz w:val="22"/>
          <w:szCs w:val="22"/>
        </w:rPr>
      </w:pPr>
      <w:r>
        <w:br/>
      </w:r>
      <w:r>
        <w:br/>
      </w:r>
    </w:p>
    <w:p w:rsidR="020A1C23" w:rsidP="020A1C23" w:rsidRDefault="020A1C23" w14:paraId="4D052B6A" w14:textId="0E8B3160">
      <w:pPr>
        <w:pStyle w:val="Heading3"/>
        <w:bidi w:val="0"/>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US"/>
        </w:rPr>
      </w:pPr>
      <w:bookmarkStart w:name="_Toc1820252910" w:id="151520239"/>
      <w:r w:rsidRPr="020A1C23" w:rsidR="020A1C23">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US"/>
        </w:rPr>
        <w:t>2.1 Political Factors Impacting Royal Dutch Shell</w:t>
      </w:r>
      <w:bookmarkEnd w:id="151520239"/>
    </w:p>
    <w:p w:rsidR="020A1C23" w:rsidP="020A1C23" w:rsidRDefault="020A1C23" w14:paraId="54F5088F" w14:textId="6D39E699">
      <w:pPr>
        <w:pStyle w:val="Normal"/>
        <w:bidi w:val="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2.1.1 Antagonism in the Niger Delta towards Foreign Oil Companies</w:t>
      </w:r>
    </w:p>
    <w:p w:rsidR="020A1C23" w:rsidP="020A1C23" w:rsidRDefault="020A1C23" w14:paraId="0994F5D2" w14:textId="6599FD97">
      <w:pPr>
        <w:pStyle w:val="Normal"/>
        <w:bidi w:val="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There is so much indignation in the Niger Delta, towards foreign oil and gas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organisations</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as a result of the effects of the oil exploration activities on the local communities and the environment. The fact that the returns acquired by giving permits to foreign oil companies is currently not used in developing of the country also adds to the irritation. This has resulted to many soldiers targeting the installations of foreign oil companies with brutality with a demand for more influence over the oil resources.  One of such groups is known as Movement for the Emancipation of the Niger Delta (MEND). They began their oil production disruption activities in 2006 in the Niger Delta. Royal Dutch Shell at a point in time was the largest oil exploration operator in Nigeria but had to close operations as a result of the brutal attacks by MEND (</w:t>
      </w:r>
      <w:r w:rsidRPr="020A1C23" w:rsidR="020A1C23">
        <w:rPr>
          <w:rFonts w:ascii="Calibri" w:hAnsi="Calibri" w:eastAsia="Calibri" w:cs="Calibri" w:asciiTheme="minorAscii" w:hAnsiTheme="minorAscii" w:eastAsiaTheme="minorAscii" w:cstheme="minorAscii"/>
          <w:noProof w:val="0"/>
          <w:sz w:val="22"/>
          <w:szCs w:val="22"/>
          <w:lang w:val="en-US"/>
        </w:rPr>
        <w:t>BBC News, 2021</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p>
    <w:p w:rsidR="020A1C23" w:rsidP="020A1C23" w:rsidRDefault="020A1C23" w14:paraId="7521CDBB" w14:textId="4BBA1D14">
      <w:pPr>
        <w:pStyle w:val="Normal"/>
        <w:bidi w:val="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Furthermore, the Federal Republic of Nigeria in 2011 accused Royal Dutch Shell of giving bribes for obtaining exploration rights. In a current ruling, the UK Supreme Court declared that polluted communities adversely affected by Royal Dutch Shell’s activities could sue Shell in all British courts (BBC, 2021). The pollution caused by Royal Dutch Shell in the Nigerian delta is massive and UN estimates say that it will take more than 30 years to clean up. Pollution has endangered the people of Ogale and affected the fishes in the neighbouring rivers with the toxic discharges in waterbodies caused by Royal Dutch Shell. This is a huge dilemma for the people of Ogale as their source of livelihood comes mainly from fishing. There have been over 40 recorded oil spillages from Royal Dutch Shell’s pipelines in the Niger Delta since 1989. </w:t>
      </w:r>
    </w:p>
    <w:p w:rsidR="020A1C23" w:rsidP="020A1C23" w:rsidRDefault="020A1C23" w14:paraId="1EE75E6E" w14:textId="54469A1B">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2.1.2</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Political lobbying by oil companies to stop the enactment of climate change policies</w:t>
      </w:r>
    </w:p>
    <w:p w:rsidR="020A1C23" w:rsidP="020A1C23" w:rsidRDefault="020A1C23" w14:paraId="6145250E" w14:textId="4F33A250">
      <w:pPr>
        <w:pStyle w:val="Normal"/>
        <w:bidi w:val="0"/>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Some of the largest oil companies Royal Dutch, BP, Shell, Chevron, ExxonMobil and Total are said to spend more than $200 million yearly in lobbying to stop the enactment of certain policies tackling climate change. The companies are allegedly open about encouraging climate change policies by spending $197 million annually on advertisement and secretly attempting to stop them. Royal Dutch Shell rejects the allegation and makes its stand known that it is truly in support of climate change policies.</w:t>
      </w:r>
    </w:p>
    <w:p w:rsidR="020A1C23" w:rsidP="020A1C23" w:rsidRDefault="020A1C23" w14:paraId="22E5C599" w14:textId="7B4C7C81">
      <w:pPr>
        <w:pStyle w:val="Normal"/>
        <w:bidi w:val="0"/>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 xml:space="preserve">2.1.3 </w:t>
      </w: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Political unrest in the Middle East as well as the Persian Gulf</w:t>
      </w: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 </w:t>
      </w:r>
    </w:p>
    <w:p w:rsidR="020A1C23" w:rsidP="020A1C23" w:rsidRDefault="020A1C23" w14:paraId="1C85EC32" w14:textId="144AFF5F">
      <w:pPr>
        <w:pStyle w:val="Normal"/>
        <w:bidi w:val="0"/>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Iran and Saudi Arabia are fighting over the rule of the Persian Gulf and the Middle East. The sanctions placed by the US on Iran and the truculent activities in the Persian Gulf as of mid-2019 have led to the rise in tension in these parts of the world. Shell operates the Pearl GTL plant in Qatar and has 30% interest in Oman LNG. This means that any war or hostile activities in those regions may negatively impact Shell’s operations in the region. In 2020, an attack on a Saudi oil tanker (owned by Saudi Aramco) by explosives reaffirmed the anxiety about oil companies that Gulf insecurity may be on the rise again. The attack raised the prices of Brent futures to $50 per barrel. This blast came a month after the cruise missile strike that damaged a Saudi Aramco oil storage facility. OPEC has also shown hostility towards Libya for increasing oil exports to non-OPEC countries (George, 2018).</w:t>
      </w:r>
    </w:p>
    <w:p w:rsidR="020A1C23" w:rsidP="020A1C23" w:rsidRDefault="020A1C23" w14:paraId="58E3AE5C" w14:textId="2AD82CF3">
      <w:pPr>
        <w:pStyle w:val="Normal"/>
        <w:bidi w:val="0"/>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p>
    <w:p w:rsidR="020A1C23" w:rsidP="020A1C23" w:rsidRDefault="020A1C23" w14:paraId="388F9351" w14:textId="3F526388">
      <w:pPr>
        <w:pStyle w:val="Heading3"/>
        <w:bidi w:val="0"/>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US"/>
        </w:rPr>
      </w:pPr>
      <w:bookmarkStart w:name="_Toc761892496" w:id="1072949303"/>
      <w:r w:rsidRPr="020A1C23" w:rsidR="020A1C23">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US"/>
        </w:rPr>
        <w:t>2.2 Economic Factors Impacting Royal Dutch Shell</w:t>
      </w:r>
      <w:bookmarkEnd w:id="1072949303"/>
    </w:p>
    <w:p w:rsidR="020A1C23" w:rsidP="020A1C23" w:rsidRDefault="020A1C23" w14:paraId="09CAC2BD" w14:textId="59171435">
      <w:pPr>
        <w:pStyle w:val="Normal"/>
        <w:bidi w:val="0"/>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 xml:space="preserve">2.2.1 </w:t>
      </w: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Contradictory Economic Environments across the World</w:t>
      </w:r>
    </w:p>
    <w:p w:rsidR="020A1C23" w:rsidP="020A1C23" w:rsidRDefault="020A1C23" w14:paraId="54189A35" w14:textId="5F6EBEC7">
      <w:pPr>
        <w:pStyle w:val="Normal"/>
        <w:bidi w:val="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Royal Dutch Shell’s subsidiaries and divisions around the world are affected by varying economic conditions. If the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organisation’s</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access to debt markets is impacted, it could have a negative effect on the liquidity of the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organisation</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as debt instruments are used to raise capital. Brexit has led to the decreased growth of the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organisation</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in the United Kingdom and the surrounding areas. Also, the US-China trade war impacted the Chinese economy in 2019.  Argentina and Turkey slumped into recession and investors have in turn, become conservative in their approach to minimize risk. The company has also been impacted by variations in currency exchange rates. The Upstream, Downstream and Integrated Gas businesses of the company have commodity trading as an important component. Shell does foreign exchange and commodity hedging for some businesses but that may at times not give the desired outcome as a result of the varying economic conditions around the world. Shell is also affected by credit risk of customers and partners in various regions.</w:t>
      </w:r>
    </w:p>
    <w:p w:rsidR="020A1C23" w:rsidP="020A1C23" w:rsidRDefault="020A1C23" w14:paraId="77FE2360" w14:textId="5CCC27B6">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2.2.2 Decline in global demand for oil</w:t>
      </w:r>
    </w:p>
    <w:p w:rsidR="020A1C23" w:rsidP="020A1C23" w:rsidRDefault="020A1C23" w14:paraId="07187D6E" w14:textId="2B59031C">
      <w:pPr>
        <w:pStyle w:val="Normal"/>
        <w:bidi w:val="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COVID-19 and other recent events stemming from the pandemic and the consequent government measures have resulted in the reduction in global demand for oil and energy. Oil companies like Royal Dutch Shell experienced production delays due to transportation restrictions, supply chain disruptions, etc. The economic downturn associated with the pandemic is expected to have a long-lasting negative impact on the oil industry. Economists predict that US oil demands are expected to fall. On the supply side, climate issues and the regulations arising from it are expected to slow oil production. Also, lack of cheap capital may also result in a high cost of production (George, 2018).</w:t>
      </w:r>
    </w:p>
    <w:p w:rsidR="020A1C23" w:rsidP="020A1C23" w:rsidRDefault="020A1C23" w14:paraId="46D56454" w14:textId="0833F40E">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p>
    <w:p w:rsidR="020A1C23" w:rsidP="020A1C23" w:rsidRDefault="020A1C23" w14:paraId="180ED705" w14:textId="2EA18C5D">
      <w:pPr>
        <w:pStyle w:val="Heading3"/>
        <w:bidi w:val="0"/>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US"/>
        </w:rPr>
      </w:pPr>
      <w:bookmarkStart w:name="_Toc1964980687" w:id="1374942774"/>
      <w:r w:rsidRPr="020A1C23" w:rsidR="020A1C23">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US"/>
        </w:rPr>
        <w:t>2.3 Social Factors Impacting Royal Dutch Shell</w:t>
      </w:r>
      <w:bookmarkEnd w:id="1374942774"/>
    </w:p>
    <w:p w:rsidR="020A1C23" w:rsidP="020A1C23" w:rsidRDefault="020A1C23" w14:paraId="16B37B55" w14:textId="79D27E89">
      <w:pPr>
        <w:pStyle w:val="Normal"/>
        <w:bidi w:val="0"/>
        <w:jc w:val="left"/>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 xml:space="preserve">2.3.1 </w:t>
      </w: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Pessimistic social perception about the oil and gas industry</w:t>
      </w:r>
    </w:p>
    <w:p w:rsidR="020A1C23" w:rsidP="020A1C23" w:rsidRDefault="020A1C23" w14:paraId="2C29E63C" w14:textId="4BB5F2A9">
      <w:pPr>
        <w:pStyle w:val="Normal"/>
        <w:bidi w:val="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Although, the oil and gas industry </w:t>
      </w:r>
      <w:proofErr w:type="gram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is</w:t>
      </w:r>
      <w:proofErr w:type="gram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one of the primary forces of the global economy, there is an increasing concern about the pollution in the environment which in turn has led to an increase in the negative social perception about the entire industry. According to a survey of 33000 people from almost 30 nations, the energy industry is the least trusted industry (George, 2018). This is a huge shift in consumer preferences in a short period of time because in 2018 only 25% consumers chose renewable fuel compared to 40% in 2019. Moreover, 45% of the survey respondents agreed that they were ready to pay a higher price for clean fuel.</w:t>
      </w:r>
    </w:p>
    <w:p w:rsidR="020A1C23" w:rsidP="020A1C23" w:rsidRDefault="020A1C23" w14:paraId="61173690" w14:textId="1FDBDFA8">
      <w:pPr>
        <w:pStyle w:val="Normal"/>
        <w:bidi w:val="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w:rsidR="020A1C23" w:rsidP="020A1C23" w:rsidRDefault="020A1C23" w14:paraId="19AB17CC" w14:textId="33A5FED5">
      <w:pPr>
        <w:pStyle w:val="Heading3"/>
        <w:bidi w:val="0"/>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US"/>
        </w:rPr>
      </w:pPr>
      <w:bookmarkStart w:name="_Toc691302684" w:id="1515326021"/>
      <w:r w:rsidRPr="020A1C23" w:rsidR="020A1C23">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US"/>
        </w:rPr>
        <w:t>2.4 Technological Factors Impacting Royal Dutch Shell</w:t>
      </w:r>
      <w:bookmarkEnd w:id="1515326021"/>
    </w:p>
    <w:p w:rsidR="020A1C23" w:rsidP="020A1C23" w:rsidRDefault="020A1C23" w14:paraId="367CB883" w14:textId="1BC9A37F">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2.4.1 Artificial intelligence applications in battery technology</w:t>
      </w:r>
    </w:p>
    <w:p w:rsidR="020A1C23" w:rsidP="020A1C23" w:rsidRDefault="020A1C23" w14:paraId="7B91737D" w14:textId="006CC926">
      <w:pPr>
        <w:pStyle w:val="Normal"/>
        <w:bidi w:val="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The global sales of electric vehicles </w:t>
      </w:r>
      <w:proofErr w:type="gram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is</w:t>
      </w:r>
      <w:proofErr w:type="gram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expected to exceed 30 million by 2030. This requires improvement in battery technology for which artificial intelligence might be the crucial. The battery market is expected to be worth a total of 250 billion pounds by 2025. Current electric vehicle batteries cannot be charged as quickly as it takes to fill a fuel tank. They also do not have a high range. Artificial intelligence can aid in the manufacturing of such batteries. Shell’s Smart Manufacturing system is an application of Artificial Intelligence to predict the demand and supply shortages of oil (</w:t>
      </w:r>
      <w:r w:rsidRPr="020A1C23" w:rsidR="020A1C23">
        <w:rPr>
          <w:rFonts w:ascii="Calibri" w:hAnsi="Calibri" w:eastAsia="Calibri" w:cs="Calibri" w:asciiTheme="minorAscii" w:hAnsiTheme="minorAscii" w:eastAsiaTheme="minorAscii" w:cstheme="minorAscii"/>
          <w:noProof w:val="0"/>
          <w:sz w:val="22"/>
          <w:szCs w:val="22"/>
          <w:lang w:val="en-US"/>
        </w:rPr>
        <w:t>Royal Dutch Shell, 2021)</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p>
    <w:p w:rsidR="020A1C23" w:rsidP="020A1C23" w:rsidRDefault="020A1C23" w14:paraId="03E0FBA6" w14:textId="5DAABBBA">
      <w:pPr>
        <w:pStyle w:val="Normal"/>
        <w:bidi w:val="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 xml:space="preserve">2.4.2 Use of new technology such as blockchain at different points of the oil and gas supply chain </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Blockchain technology enables various industries to use a secure way of recording transactions by reducing the number of middlemen. In 2017, a blockchain division was set up by Shell for building blockchain applications throughout the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organisation</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A blockchain platform for lubricants tracking is being developed to halt the sale of counterfeit lubricants manufactured by Shell. A company called Applied Blockchain has developed an internal trading platform for Shell on blockchain technology. The trading team traded the premier derivative trade of oil products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utilising</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blockchain technology on November 1, 2018.  Shell is part of the Energy Web Foundation that advocates adopting blockchain technology in the energy sector. Shell is currently developing nine blockchain projects and is one of the founders of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Vakt</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which is a blockchain platform that involves the processing of Brent crude trades (</w:t>
      </w:r>
      <w:r w:rsidRPr="020A1C23" w:rsidR="020A1C23">
        <w:rPr>
          <w:rFonts w:ascii="Calibri" w:hAnsi="Calibri" w:eastAsia="Calibri" w:cs="Calibri" w:asciiTheme="minorAscii" w:hAnsiTheme="minorAscii" w:eastAsiaTheme="minorAscii" w:cstheme="minorAscii"/>
          <w:noProof w:val="0"/>
          <w:sz w:val="22"/>
          <w:szCs w:val="22"/>
          <w:lang w:val="en-US"/>
        </w:rPr>
        <w:t>Royal Dutch Shell, 2020)</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p>
    <w:p w:rsidR="020A1C23" w:rsidP="020A1C23" w:rsidRDefault="020A1C23" w14:paraId="55EC1E4E" w14:textId="52C633E5">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p>
    <w:p w:rsidR="020A1C23" w:rsidP="020A1C23" w:rsidRDefault="020A1C23" w14:paraId="29727ABE" w14:textId="4C940CCA">
      <w:pPr>
        <w:pStyle w:val="Heading3"/>
        <w:bidi w:val="0"/>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US"/>
        </w:rPr>
      </w:pPr>
      <w:bookmarkStart w:name="_Toc260710650" w:id="269230988"/>
      <w:r w:rsidRPr="020A1C23" w:rsidR="020A1C23">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US"/>
        </w:rPr>
        <w:t>2.5 Legal Factors Impacting Royal Dutch Shell</w:t>
      </w:r>
      <w:bookmarkEnd w:id="269230988"/>
    </w:p>
    <w:p w:rsidR="020A1C23" w:rsidP="020A1C23" w:rsidRDefault="020A1C23" w14:paraId="0B77DF4D" w14:textId="3E55C8D5">
      <w:pPr>
        <w:pStyle w:val="Normal"/>
        <w:bidi w:val="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 xml:space="preserve">2.5.1 Antitrust and competition laws: </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Shell must follow antitrust and competition laws in all aspects of its operations. The company in the past has faced fines for antitrust violations. In 2018, the company was sued by two former Chinese distributors alleging antitrust violation. The company was faced with a penalty by the European Commission Directorate General for Competition and any further EU antitrust violation by Shell may result in heavier penalties which in turn may have negative effects on operations.  This could taint the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organisation’s</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reputation.</w:t>
      </w:r>
    </w:p>
    <w:p w:rsidR="020A1C23" w:rsidP="020A1C23" w:rsidRDefault="020A1C23" w14:paraId="77E2A285" w14:textId="0A4C07E7">
      <w:pPr>
        <w:pStyle w:val="Normal"/>
        <w:bidi w:val="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 xml:space="preserve">2.5.2 Trade compliance laws and regulations: </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Trade compliance laws are various national and international laws that regulate trade of items across national boundaries. For example, restrictions imposed by USA and EU on some transactions with Syria and Iran, as well as US sanctions for oil and gas industry on Russia and Venezuela. Other nations apart from US and EU have also </w:t>
      </w:r>
      <w:proofErr w:type="gram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began</w:t>
      </w:r>
      <w:proofErr w:type="gram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to adopt sanctions programs. This increase in sanctions globally has an influence on the business activities in nations where Shell operates. Violations of these trade compliance laws may result in prosecution, penalties and damage of Shell’s reputation. I</w:t>
      </w:r>
    </w:p>
    <w:p w:rsidR="020A1C23" w:rsidP="020A1C23" w:rsidRDefault="020A1C23" w14:paraId="32E0CC90" w14:textId="5A3E714F">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2.5.3 Data protection laws across the world</w:t>
      </w:r>
    </w:p>
    <w:p w:rsidR="020A1C23" w:rsidP="020A1C23" w:rsidRDefault="020A1C23" w14:paraId="124EE082" w14:textId="21080811">
      <w:pPr>
        <w:pStyle w:val="Normal"/>
        <w:bidi w:val="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In 2018, amidst growing privacy concerns, EU passed a law called the General Data Protection Regulation (GDPR). Inability to comply with these laws could result in fines and damage of reputation. If regulators ban Shell from acquiring personal data, it could block the company’s operations. Affected entities may also decide they want to sue the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organisation</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In 2010, Shell suffered a huge data breach which resulted in the personal details of contractors being leaked to activists opposing the company. In March 2021, Shell became a victim of cyber-crime that also resulted in a data breach. These incidents of data breaches are damaging the company’s reputation and may drive away investors in the long run if measures are not put in place to curb them.</w:t>
      </w:r>
    </w:p>
    <w:p w:rsidR="020A1C23" w:rsidP="020A1C23" w:rsidRDefault="020A1C23" w14:paraId="2BCB1D08" w14:textId="15F8988C">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p>
    <w:p w:rsidR="020A1C23" w:rsidP="020A1C23" w:rsidRDefault="020A1C23" w14:paraId="4DB710D8" w14:textId="1C8C106F">
      <w:pPr>
        <w:pStyle w:val="Heading3"/>
        <w:bidi w:val="0"/>
        <w:rPr>
          <w:rFonts w:ascii="Calibri" w:hAnsi="Calibri" w:eastAsia="Calibri" w:cs="Calibri" w:asciiTheme="minorAscii" w:hAnsiTheme="minorAscii" w:eastAsiaTheme="minorAscii" w:cstheme="minorAscii"/>
          <w:noProof w:val="0"/>
          <w:color w:val="1F3763"/>
          <w:sz w:val="22"/>
          <w:szCs w:val="22"/>
          <w:lang w:val="en-US"/>
        </w:rPr>
      </w:pPr>
      <w:bookmarkStart w:name="_Toc1041982531" w:id="210035782"/>
      <w:r w:rsidRPr="020A1C23" w:rsidR="020A1C23">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US"/>
        </w:rPr>
        <w:t>2.6 Environmental Factors</w:t>
      </w:r>
      <w:r w:rsidRPr="020A1C23" w:rsidR="020A1C23">
        <w:rPr>
          <w:rFonts w:ascii="Calibri" w:hAnsi="Calibri" w:eastAsia="Calibri" w:cs="Calibri" w:asciiTheme="minorAscii" w:hAnsiTheme="minorAscii" w:eastAsiaTheme="minorAscii" w:cstheme="minorAscii"/>
          <w:noProof w:val="0"/>
          <w:sz w:val="22"/>
          <w:szCs w:val="22"/>
          <w:lang w:val="en-US"/>
        </w:rPr>
        <w:t xml:space="preserve">   </w:t>
      </w:r>
      <w:bookmarkEnd w:id="210035782"/>
    </w:p>
    <w:p w:rsidR="020A1C23" w:rsidP="020A1C23" w:rsidRDefault="020A1C23" w14:paraId="784C8671" w14:textId="672C52FE">
      <w:pPr>
        <w:pStyle w:val="Normal"/>
        <w:bidi w:val="0"/>
        <w:jc w:val="left"/>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2.6.1 Rising focus on sustainability across the world</w:t>
      </w:r>
    </w:p>
    <w:p w:rsidR="020A1C23" w:rsidP="020A1C23" w:rsidRDefault="020A1C23" w14:paraId="1B32976E" w14:textId="604B0778">
      <w:pPr>
        <w:pStyle w:val="Normal"/>
        <w:bidi w:val="0"/>
        <w:jc w:val="left"/>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 rising awareness on sustainability has made it imperative for companies to focus on sustainability initiatives. Such initiatives help in improving social perception of companies. Shell’s approach to sustainability is to provide clean energy solutions by balancing short term and long-term interests. The company implements sustainability concepts in its projects. Shell focuses the most on three of the UN’s sustainable development goals: goal 7 (access to affordable and sustainable energy), goal 8 (economic growth and decent work) and goal 13 (action on climate). In 2020, Shell managed to reduce net carbon footprint from 78 g CO</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vertAlign w:val="subscript"/>
          <w:lang w:val="en-US"/>
        </w:rPr>
        <w:t>2</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e/MJ to 75. Scope 1 GHG emissions went down to 63 million tons of CO2 from 73 in 2019. Upstream flaring saw a large reduction from 5.9 million tons of CO</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vertAlign w:val="subscript"/>
          <w:lang w:val="en-US"/>
        </w:rPr>
        <w:t xml:space="preserve">2 </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to 3.8 million tons in 2020.  </w:t>
      </w:r>
    </w:p>
    <w:p w:rsidR="020A1C23" w:rsidP="020A1C23" w:rsidRDefault="020A1C23" w14:paraId="39C5DB0F" w14:textId="2AD33A00">
      <w:pPr>
        <w:bidi w:val="0"/>
        <w:ind w:left="355" w:hanging="355"/>
        <w:jc w:val="both"/>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2.6.2 Issues related to rising concern about climate change</w:t>
      </w:r>
    </w:p>
    <w:p w:rsidR="020A1C23" w:rsidP="020A1C23" w:rsidRDefault="020A1C23" w14:paraId="64EF1FEF" w14:textId="13364253">
      <w:pPr>
        <w:bidi w:val="0"/>
        <w:ind w:left="0" w:hanging="0"/>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Rising climate change concerns might lead to new regulations that could affect Shell’s projects. After the Paris Agreement, more focus on climate change is expected. New regulations could lead to increased costs of compliance. The regulations are expected to suppress fossil fuel demand through taxes, incentives or control on sales of vehicles. This could reduce revenues of Shell. Pressure on investors from environmental groups to stop investing in oil and gas companies could hinder Shell’s access to capital markets.  The World Bank has decided to discontinue financing oil and gas projects from 2019, following which, other financial institutions are also said to be considering the same. The effects of climate change like rising sea levels and temperatures could adversely affect the company’s operations. </w:t>
      </w:r>
    </w:p>
    <w:p w:rsidR="020A1C23" w:rsidP="020A1C23" w:rsidRDefault="020A1C23" w14:paraId="3AB618D4" w14:textId="0D3BFEC7">
      <w:pPr>
        <w:bidi w:val="0"/>
        <w:ind w:left="359" w:hanging="359"/>
        <w:jc w:val="both"/>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2.5.3 Geological issues caused by operations</w:t>
      </w:r>
    </w:p>
    <w:p w:rsidR="020A1C23" w:rsidP="020A1C23" w:rsidRDefault="020A1C23" w14:paraId="00E124AC" w14:textId="159BC864">
      <w:pPr>
        <w:bidi w:val="0"/>
        <w:ind w:left="0" w:hanging="0"/>
        <w:jc w:val="both"/>
        <w:rPr>
          <w:rFonts w:ascii="Calibri" w:hAnsi="Calibri" w:eastAsia="Calibri" w:cs="Calibri" w:asciiTheme="minorAscii" w:hAnsiTheme="minorAscii" w:eastAsiaTheme="minorAscii" w:cstheme="minorAscii"/>
          <w:sz w:val="22"/>
          <w:szCs w:val="22"/>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Oil and gas operations can result in geological interruptions in a region. Shell and ExxonMobil have invested in a gas production project in Groningen in The Netherlands. The operations in the province have caused earthquakes in the region since 1995 which have led to the damaging of houses and property. This has resulted in lawsuits filed by the local communities. Shell and the other entities involved in the project have been forced to gradually reduce operations in the region, aiming at complete stoppage of production by 2030. </w:t>
      </w:r>
      <w:r>
        <w:br/>
      </w:r>
    </w:p>
    <w:p w:rsidR="020A1C23" w:rsidP="020A1C23" w:rsidRDefault="020A1C23" w14:paraId="05BFD18D" w14:textId="6C97A42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rPr>
      </w:pPr>
    </w:p>
    <w:p w:rsidR="020A1C23" w:rsidP="020A1C23" w:rsidRDefault="020A1C23" w14:paraId="0875F5A0" w14:textId="45C946F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rPr>
      </w:pPr>
    </w:p>
    <w:p w:rsidR="020A1C23" w:rsidP="020A1C23" w:rsidRDefault="020A1C23" w14:paraId="3E44ED4B" w14:textId="0BDE7FF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rPr>
      </w:pPr>
    </w:p>
    <w:p w:rsidR="020A1C23" w:rsidP="020A1C23" w:rsidRDefault="020A1C23" w14:paraId="1EB96A94" w14:textId="20811013">
      <w:pPr>
        <w:pStyle w:val="Normal"/>
        <w:rPr>
          <w:rFonts w:ascii="Calibri" w:hAnsi="Calibri" w:eastAsia="Calibri" w:cs="Calibri" w:asciiTheme="minorAscii" w:hAnsiTheme="minorAscii" w:eastAsiaTheme="minorAscii" w:cstheme="minorAscii"/>
          <w:sz w:val="22"/>
          <w:szCs w:val="22"/>
        </w:rPr>
      </w:pPr>
    </w:p>
    <w:p w:rsidR="020A1C23" w:rsidP="020A1C23" w:rsidRDefault="020A1C23" w14:paraId="40199BFE" w14:textId="4ECD025B">
      <w:pPr>
        <w:pStyle w:val="Normal"/>
        <w:rPr>
          <w:rFonts w:ascii="Calibri" w:hAnsi="Calibri" w:eastAsia="Calibri" w:cs="Calibri" w:asciiTheme="minorAscii" w:hAnsiTheme="minorAscii" w:eastAsiaTheme="minorAscii" w:cstheme="minorAscii"/>
          <w:sz w:val="22"/>
          <w:szCs w:val="22"/>
        </w:rPr>
      </w:pPr>
    </w:p>
    <w:p w:rsidR="020A1C23" w:rsidP="020A1C23" w:rsidRDefault="020A1C23" w14:paraId="35001201" w14:textId="39E900AD">
      <w:pPr>
        <w:pStyle w:val="Normal"/>
        <w:rPr>
          <w:rFonts w:ascii="Calibri" w:hAnsi="Calibri" w:eastAsia="Calibri" w:cs="Calibri" w:asciiTheme="minorAscii" w:hAnsiTheme="minorAscii" w:eastAsiaTheme="minorAscii" w:cstheme="minorAscii"/>
          <w:sz w:val="22"/>
          <w:szCs w:val="22"/>
        </w:rPr>
      </w:pPr>
    </w:p>
    <w:p w:rsidR="020A1C23" w:rsidP="020A1C23" w:rsidRDefault="020A1C23" w14:paraId="2C5EB985" w14:textId="0CF246AA">
      <w:pPr>
        <w:pStyle w:val="Normal"/>
        <w:rPr>
          <w:rFonts w:ascii="Calibri" w:hAnsi="Calibri" w:eastAsia="Calibri" w:cs="Calibri" w:asciiTheme="minorAscii" w:hAnsiTheme="minorAscii" w:eastAsiaTheme="minorAscii" w:cstheme="minorAscii"/>
          <w:sz w:val="22"/>
          <w:szCs w:val="22"/>
        </w:rPr>
      </w:pPr>
    </w:p>
    <w:p w:rsidR="020A1C23" w:rsidP="020A1C23" w:rsidRDefault="020A1C23" w14:paraId="05F3DA46" w14:textId="7C66CA83">
      <w:pPr>
        <w:pStyle w:val="Normal"/>
        <w:rPr>
          <w:rFonts w:ascii="Calibri" w:hAnsi="Calibri" w:eastAsia="Calibri" w:cs="Calibri" w:asciiTheme="minorAscii" w:hAnsiTheme="minorAscii" w:eastAsiaTheme="minorAscii" w:cstheme="minorAscii"/>
          <w:sz w:val="22"/>
          <w:szCs w:val="22"/>
        </w:rPr>
      </w:pPr>
    </w:p>
    <w:p w:rsidR="020A1C23" w:rsidP="020A1C23" w:rsidRDefault="020A1C23" w14:paraId="1415B898" w14:textId="7DBF7DB2">
      <w:pPr>
        <w:pStyle w:val="Normal"/>
        <w:rPr>
          <w:rFonts w:ascii="Calibri" w:hAnsi="Calibri" w:eastAsia="Calibri" w:cs="Calibri" w:asciiTheme="minorAscii" w:hAnsiTheme="minorAscii" w:eastAsiaTheme="minorAscii" w:cstheme="minorAscii"/>
          <w:sz w:val="22"/>
          <w:szCs w:val="22"/>
        </w:rPr>
      </w:pPr>
    </w:p>
    <w:p w:rsidR="020A1C23" w:rsidP="020A1C23" w:rsidRDefault="020A1C23" w14:paraId="7D7F95F1" w14:textId="45693770">
      <w:pPr>
        <w:pStyle w:val="Normal"/>
        <w:rPr>
          <w:rFonts w:ascii="Calibri" w:hAnsi="Calibri" w:eastAsia="Calibri" w:cs="Calibri" w:asciiTheme="minorAscii" w:hAnsiTheme="minorAscii" w:eastAsiaTheme="minorAscii" w:cstheme="minorAscii"/>
          <w:sz w:val="22"/>
          <w:szCs w:val="22"/>
        </w:rPr>
      </w:pPr>
    </w:p>
    <w:p w:rsidR="020A1C23" w:rsidP="020A1C23" w:rsidRDefault="020A1C23" w14:paraId="6DE5F129" w14:textId="28B9B67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sz w:val="22"/>
          <w:szCs w:val="22"/>
        </w:rPr>
      </w:pPr>
    </w:p>
    <w:p w:rsidR="020A1C23" w:rsidP="020A1C23" w:rsidRDefault="020A1C23" w14:paraId="04221406" w14:textId="4FB10CD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sz w:val="22"/>
          <w:szCs w:val="22"/>
        </w:rPr>
      </w:pPr>
    </w:p>
    <w:p w:rsidR="020A1C23" w:rsidP="020A1C23" w:rsidRDefault="020A1C23" w14:paraId="5954654D" w14:textId="2A74F12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sz w:val="22"/>
          <w:szCs w:val="22"/>
        </w:rPr>
      </w:pPr>
    </w:p>
    <w:p w:rsidR="020A1C23" w:rsidP="020A1C23" w:rsidRDefault="020A1C23" w14:paraId="58A1F737" w14:textId="0B50F7B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sz w:val="22"/>
          <w:szCs w:val="22"/>
        </w:rPr>
      </w:pPr>
    </w:p>
    <w:p w:rsidR="020A1C23" w:rsidP="020A1C23" w:rsidRDefault="020A1C23" w14:paraId="49691709" w14:textId="3298559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sz w:val="22"/>
          <w:szCs w:val="22"/>
        </w:rPr>
      </w:pPr>
    </w:p>
    <w:p w:rsidR="020A1C23" w:rsidP="020A1C23" w:rsidRDefault="020A1C23" w14:paraId="67D2CD30" w14:textId="66672B8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sz w:val="22"/>
          <w:szCs w:val="22"/>
        </w:rPr>
      </w:pPr>
    </w:p>
    <w:p w:rsidR="020A1C23" w:rsidP="020A1C23" w:rsidRDefault="020A1C23" w14:paraId="1B5CCED7" w14:textId="0CAE3875">
      <w:pPr>
        <w:pStyle w:val="Heading1"/>
        <w:bidi w:val="0"/>
        <w:rPr>
          <w:rFonts w:ascii="Calibri" w:hAnsi="Calibri" w:eastAsia="Calibri" w:cs="Calibri" w:asciiTheme="minorAscii" w:hAnsiTheme="minorAscii" w:eastAsiaTheme="minorAscii" w:cstheme="minorAscii"/>
          <w:sz w:val="22"/>
          <w:szCs w:val="22"/>
        </w:rPr>
      </w:pPr>
    </w:p>
    <w:p w:rsidR="020A1C23" w:rsidP="020A1C23" w:rsidRDefault="020A1C23" w14:paraId="66DFB19D" w14:textId="5AE09C55">
      <w:pPr>
        <w:pStyle w:val="Heading1"/>
        <w:bidi w:val="0"/>
        <w:rPr>
          <w:rFonts w:ascii="Calibri" w:hAnsi="Calibri" w:eastAsia="Calibri" w:cs="Calibri" w:asciiTheme="minorAscii" w:hAnsiTheme="minorAscii" w:eastAsiaTheme="minorAscii" w:cstheme="minorAscii"/>
          <w:b w:val="1"/>
          <w:bCs w:val="1"/>
          <w:color w:val="000000" w:themeColor="text1" w:themeTint="FF" w:themeShade="FF"/>
          <w:sz w:val="22"/>
          <w:szCs w:val="22"/>
        </w:rPr>
      </w:pPr>
      <w:bookmarkStart w:name="_Toc844843778" w:id="4707966"/>
      <w:r w:rsidRPr="020A1C23" w:rsidR="020A1C23">
        <w:rPr>
          <w:rFonts w:ascii="Calibri" w:hAnsi="Calibri" w:eastAsia="Calibri" w:cs="Calibri" w:asciiTheme="minorAscii" w:hAnsiTheme="minorAscii" w:eastAsiaTheme="minorAscii" w:cstheme="minorAscii"/>
          <w:b w:val="1"/>
          <w:bCs w:val="1"/>
          <w:color w:val="000000" w:themeColor="text1" w:themeTint="FF" w:themeShade="FF"/>
          <w:sz w:val="22"/>
          <w:szCs w:val="22"/>
        </w:rPr>
        <w:t>CHAPTER THREE</w:t>
      </w:r>
      <w:bookmarkEnd w:id="4707966"/>
    </w:p>
    <w:p w:rsidR="020A1C23" w:rsidP="020A1C23" w:rsidRDefault="020A1C23" w14:paraId="75D2714A" w14:textId="2F9D1739">
      <w:pPr>
        <w:pStyle w:val="Heading2"/>
        <w:bidi w:val="0"/>
        <w:rPr>
          <w:rFonts w:ascii="Calibri" w:hAnsi="Calibri" w:eastAsia="Calibri" w:cs="Calibri" w:asciiTheme="minorAscii" w:hAnsiTheme="minorAscii" w:eastAsiaTheme="minorAscii" w:cstheme="minorAscii"/>
          <w:b w:val="1"/>
          <w:bCs w:val="1"/>
          <w:color w:val="000000" w:themeColor="text1" w:themeTint="FF" w:themeShade="FF"/>
          <w:sz w:val="22"/>
          <w:szCs w:val="22"/>
        </w:rPr>
      </w:pPr>
      <w:bookmarkStart w:name="_Toc960165398" w:id="1600897228"/>
      <w:r w:rsidRPr="020A1C23" w:rsidR="020A1C23">
        <w:rPr>
          <w:rFonts w:ascii="Calibri" w:hAnsi="Calibri" w:eastAsia="Calibri" w:cs="Calibri" w:asciiTheme="minorAscii" w:hAnsiTheme="minorAscii" w:eastAsiaTheme="minorAscii" w:cstheme="minorAscii"/>
          <w:b w:val="1"/>
          <w:bCs w:val="1"/>
          <w:color w:val="000000" w:themeColor="text1" w:themeTint="FF" w:themeShade="FF"/>
          <w:sz w:val="22"/>
          <w:szCs w:val="22"/>
        </w:rPr>
        <w:t>SWOT ANALYSIS OF ROYAL DUTCH SHELL</w:t>
      </w:r>
      <w:bookmarkEnd w:id="1600897228"/>
    </w:p>
    <w:p w:rsidR="020A1C23" w:rsidP="020A1C23" w:rsidRDefault="020A1C23" w14:paraId="6CDC999B" w14:textId="3E3CDD4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2"/>
          <w:szCs w:val="22"/>
        </w:rPr>
      </w:pPr>
      <w:r w:rsidRPr="020A1C23" w:rsidR="020A1C23">
        <w:rPr>
          <w:rFonts w:ascii="Calibri" w:hAnsi="Calibri" w:eastAsia="Calibri" w:cs="Calibri" w:asciiTheme="minorAscii" w:hAnsiTheme="minorAscii" w:eastAsiaTheme="minorAscii" w:cstheme="minorAscii"/>
          <w:sz w:val="22"/>
          <w:szCs w:val="22"/>
        </w:rPr>
        <w:t>The SWOT analysis for Royal Dutch Shell can be found below:</w:t>
      </w:r>
    </w:p>
    <w:tbl>
      <w:tblPr>
        <w:tblStyle w:val="TableGrid"/>
        <w:tblW w:w="0" w:type="auto"/>
        <w:tblLayout w:type="fixed"/>
        <w:tblLook w:val="06A0" w:firstRow="1" w:lastRow="0" w:firstColumn="1" w:lastColumn="0" w:noHBand="1" w:noVBand="1"/>
      </w:tblPr>
      <w:tblGrid>
        <w:gridCol w:w="4680"/>
        <w:gridCol w:w="4680"/>
      </w:tblGrid>
      <w:tr w:rsidR="020A1C23" w:rsidTr="020A1C23" w14:paraId="0F0001FF">
        <w:trPr>
          <w:trHeight w:val="420"/>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611A9306" w14:textId="00313F82">
            <w:pPr>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 xml:space="preserve">Strengths </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2546CCF3" w14:textId="019741AD">
            <w:pPr>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Weaknesses</w:t>
            </w:r>
          </w:p>
        </w:tc>
      </w:tr>
      <w:tr w:rsidR="020A1C23" w:rsidTr="020A1C23" w14:paraId="2FEA4B5B">
        <w:trPr>
          <w:trHeight w:val="2085"/>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1ECA6D29" w14:textId="568A4C46">
            <w:pPr>
              <w:ind w:left="344" w:hanging="34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1. One of the world’s largest energy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organisations</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 </w:t>
            </w:r>
          </w:p>
          <w:p w:rsidR="020A1C23" w:rsidP="020A1C23" w:rsidRDefault="020A1C23" w14:paraId="763AEC22" w14:textId="54EE255F">
            <w:pPr>
              <w:ind w:left="361" w:hanging="361"/>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2. Strong financial performances</w:t>
            </w:r>
          </w:p>
          <w:p w:rsidR="020A1C23" w:rsidP="020A1C23" w:rsidRDefault="020A1C23" w14:paraId="18D78F49" w14:textId="16216A8A">
            <w:pPr>
              <w:ind w:left="361" w:hanging="361"/>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3. A business model that is established on the amalgamation of businesses which serves as a competitive advantage </w:t>
            </w:r>
          </w:p>
          <w:p w:rsidR="020A1C23" w:rsidP="020A1C23" w:rsidRDefault="020A1C23" w14:paraId="25D9CDCC" w14:textId="0E696771">
            <w:pP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4. Big focus on technology and innovation</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3A83D299" w14:textId="2EFC44B5">
            <w:pPr>
              <w:ind w:firstLine="18"/>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1. </w:t>
            </w: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Scuffle to</w:t>
            </w: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 resolve safety and trust issues </w:t>
            </w:r>
          </w:p>
          <w:p w:rsidR="020A1C23" w:rsidP="020A1C23" w:rsidRDefault="020A1C23" w14:paraId="6A399AA3" w14:textId="34DFB779">
            <w:pPr>
              <w:ind w:firstLine="18"/>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2. Proceeds of the company not yet sustainable </w:t>
            </w:r>
          </w:p>
          <w:p w:rsidR="020A1C23" w:rsidP="020A1C23" w:rsidRDefault="020A1C23" w14:paraId="521D3FCE" w14:textId="4934218A">
            <w:pPr>
              <w:ind w:firstLine="18"/>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3. Mass layoffs of employees to counter losses</w:t>
            </w:r>
          </w:p>
        </w:tc>
      </w:tr>
      <w:tr w:rsidR="020A1C23" w:rsidTr="020A1C23" w14:paraId="6587DF8B">
        <w:trPr>
          <w:trHeight w:val="420"/>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05B1019D" w14:textId="3E2F2349">
            <w:pPr>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 xml:space="preserve">Opportunities </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01461DCC" w14:textId="1A7E3ECB">
            <w:pPr>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Threats</w:t>
            </w:r>
          </w:p>
        </w:tc>
      </w:tr>
      <w:tr w:rsidR="020A1C23" w:rsidTr="020A1C23" w14:paraId="6CCF284D">
        <w:trPr>
          <w:trHeight w:val="1905"/>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3C2B2703" w14:textId="4A5F385A">
            <w:pP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1. Increased demand for LNG worldwide  </w:t>
            </w:r>
          </w:p>
          <w:p w:rsidR="020A1C23" w:rsidP="020A1C23" w:rsidRDefault="020A1C23" w14:paraId="31E92ECB" w14:textId="5AB7AE50">
            <w:pPr>
              <w:ind w:left="368" w:hanging="368"/>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2. Positive outlook for the African energy industry </w:t>
            </w:r>
          </w:p>
          <w:p w:rsidR="020A1C23" w:rsidP="020A1C23" w:rsidRDefault="020A1C23" w14:paraId="431D4383" w14:textId="52E0A6E6">
            <w:pP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3. Increasing market for biofuels worldwide</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0A1C23" w:rsidP="020A1C23" w:rsidRDefault="020A1C23" w14:paraId="6F55D3AD" w14:textId="18DD0557">
            <w:pPr>
              <w:ind w:left="351" w:hanging="351"/>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1. Variations in prices of petrochemicals</w:t>
            </w:r>
          </w:p>
          <w:p w:rsidR="020A1C23" w:rsidP="020A1C23" w:rsidRDefault="020A1C23" w14:paraId="060ACC62" w14:textId="529C509E">
            <w:pPr>
              <w:ind w:left="351" w:hanging="351"/>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2. High competitiveness in the oil and gas industry </w:t>
            </w:r>
          </w:p>
          <w:p w:rsidR="020A1C23" w:rsidP="020A1C23" w:rsidRDefault="020A1C23" w14:paraId="52C3817D" w14:textId="6ADF69AC">
            <w:pPr>
              <w:ind w:left="351" w:hanging="351"/>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3. Interference in operations by </w:t>
            </w: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cyber-attacks</w:t>
            </w: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 </w:t>
            </w:r>
          </w:p>
          <w:p w:rsidR="020A1C23" w:rsidP="020A1C23" w:rsidRDefault="020A1C23" w14:paraId="0195B9F7" w14:textId="3D96C23D">
            <w:pPr>
              <w:ind w:left="351" w:hanging="351"/>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4. Increasing anxiety around climate change may lead </w:t>
            </w: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to regulatory</w:t>
            </w:r>
            <w:r w:rsidRPr="020A1C23" w:rsidR="020A1C23">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t xml:space="preserve"> measures</w:t>
            </w:r>
          </w:p>
        </w:tc>
      </w:tr>
    </w:tbl>
    <w:p w:rsidR="020A1C23" w:rsidP="020A1C23" w:rsidRDefault="020A1C23" w14:paraId="3E88A41C" w14:textId="6C33CF2F">
      <w:pPr>
        <w:pStyle w:val="Normal"/>
        <w:rPr>
          <w:rFonts w:ascii="Calibri" w:hAnsi="Calibri" w:eastAsia="Calibri" w:cs="Calibri" w:asciiTheme="minorAscii" w:hAnsiTheme="minorAscii" w:eastAsiaTheme="minorAscii" w:cstheme="minorAscii"/>
          <w:sz w:val="22"/>
          <w:szCs w:val="22"/>
        </w:rPr>
      </w:pPr>
    </w:p>
    <w:p w:rsidR="020A1C23" w:rsidP="020A1C23" w:rsidRDefault="020A1C23" w14:paraId="5DC68299" w14:textId="7EDB6CE3">
      <w:pPr>
        <w:pStyle w:val="Heading3"/>
        <w:rPr>
          <w:rFonts w:ascii="Calibri" w:hAnsi="Calibri" w:eastAsia="Calibri" w:cs="Calibri" w:asciiTheme="minorAscii" w:hAnsiTheme="minorAscii" w:eastAsiaTheme="minorAscii" w:cstheme="minorAscii"/>
          <w:b w:val="1"/>
          <w:bCs w:val="1"/>
          <w:color w:val="000000" w:themeColor="text1" w:themeTint="FF" w:themeShade="FF"/>
          <w:sz w:val="22"/>
          <w:szCs w:val="22"/>
        </w:rPr>
      </w:pPr>
      <w:bookmarkStart w:name="_Toc113191618" w:id="1489389826"/>
      <w:r w:rsidRPr="020A1C23" w:rsidR="020A1C23">
        <w:rPr>
          <w:rFonts w:ascii="Calibri" w:hAnsi="Calibri" w:eastAsia="Calibri" w:cs="Calibri" w:asciiTheme="minorAscii" w:hAnsiTheme="minorAscii" w:eastAsiaTheme="minorAscii" w:cstheme="minorAscii"/>
          <w:b w:val="1"/>
          <w:bCs w:val="1"/>
          <w:color w:val="000000" w:themeColor="text1" w:themeTint="FF" w:themeShade="FF"/>
          <w:sz w:val="22"/>
          <w:szCs w:val="22"/>
        </w:rPr>
        <w:t>2.1 Strengths</w:t>
      </w:r>
      <w:r w:rsidRPr="020A1C23" w:rsidR="020A1C23">
        <w:rPr>
          <w:rFonts w:ascii="Calibri" w:hAnsi="Calibri" w:eastAsia="Calibri" w:cs="Calibri" w:asciiTheme="minorAscii" w:hAnsiTheme="minorAscii" w:eastAsiaTheme="minorAscii" w:cstheme="minorAscii"/>
          <w:b w:val="1"/>
          <w:bCs w:val="1"/>
          <w:color w:val="000000" w:themeColor="text1" w:themeTint="FF" w:themeShade="FF"/>
          <w:sz w:val="22"/>
          <w:szCs w:val="22"/>
        </w:rPr>
        <w:t xml:space="preserve"> of Royal Dutch Shell</w:t>
      </w:r>
      <w:bookmarkEnd w:id="1489389826"/>
    </w:p>
    <w:p w:rsidR="020A1C23" w:rsidP="020A1C23" w:rsidRDefault="020A1C23" w14:paraId="49A45626" w14:textId="4E422918">
      <w:pPr>
        <w:pStyle w:val="Normal"/>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sz w:val="22"/>
          <w:szCs w:val="22"/>
        </w:rPr>
        <w:t>2.1.1</w:t>
      </w:r>
      <w:r w:rsidRPr="020A1C23" w:rsidR="020A1C23">
        <w:rPr>
          <w:rFonts w:ascii="Calibri" w:hAnsi="Calibri" w:eastAsia="Calibri" w:cs="Calibri" w:asciiTheme="minorAscii" w:hAnsiTheme="minorAscii" w:eastAsiaTheme="minorAscii" w:cstheme="minorAscii"/>
          <w:sz w:val="22"/>
          <w:szCs w:val="22"/>
        </w:rPr>
        <w:t xml:space="preserve"> </w:t>
      </w: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 xml:space="preserve">One of the world’s largest </w:t>
      </w:r>
      <w:proofErr w:type="spellStart"/>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organisations</w:t>
      </w:r>
      <w:proofErr w:type="spellEnd"/>
    </w:p>
    <w:p w:rsidR="020A1C23" w:rsidP="020A1C23" w:rsidRDefault="020A1C23" w14:paraId="1C41AF12" w14:textId="73289745">
      <w:pPr>
        <w:ind w:left="0" w:hanging="0"/>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Royal Dutch Shell conducts operations in various fields such as exploration, development, production, refining and marketing of oil and natural gas. Royal Dutch Shell is also involved in the manufacturing and marketing of petrochemicals. Royal Dutch Shell is presently the largest global independent company in the energy sector based on market capitalization, cash flow from operating activities, and production levels. Shareholder value is created through exploration, LNG production, energy transportation and refining and chemical production. Some of their recent major projects include deep-water oil and gas development at Appomattox (2019), LNG Canada project (2018), redevelopment of Penguins oil fields in the UK (2018), construction of Pennsylvania Petrochemical Complex (2017),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etc</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(Murray, 2021). </w:t>
      </w:r>
    </w:p>
    <w:p w:rsidR="020A1C23" w:rsidP="020A1C23" w:rsidRDefault="020A1C23" w14:paraId="79D68C4D" w14:textId="126A8F0A">
      <w:pPr>
        <w:pStyle w:val="Normal"/>
        <w:ind w:left="0" w:hanging="0"/>
        <w:jc w:val="both"/>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2.1.2 Strong financial performances</w:t>
      </w:r>
    </w:p>
    <w:p w:rsidR="020A1C23" w:rsidP="020A1C23" w:rsidRDefault="020A1C23" w14:paraId="39215497" w14:textId="23073724">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Shell saw a good overall financial performance in 2018. The company’s performance improvement efforts along with high oil prices resulted in an increase in cash flow from operations to $53 billion in 2018 from $35.7 billion in 2017.  Shell successfully delivered on its promises such as the conclusion of a $30 billion divestment and commencing important growth projects like expansion of a chemical plant in China and starting deep water production in the Gulf of Mexico, while showing capital investment discipline by spending slightly less than $25 billion. The company managed to reduce debt, paid dividends of $15.7 billion completely in cash and started the share buyback program aimed at buying back at least $25 billions of shares by the end of 2020. Income rose from $13.4 billion in 2017 to $23.9 billion in 2018. While cash flow reduced and went down to $34 billion compared to $42 billion in 2019, Shell still showed industry-leading cash flows compared to its peers. The Retail and Lubricants sections showed adjusted earnings growth of 5% and 18% respectively and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Opex</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yield increased from 54% to 63% in 2020.</w:t>
      </w:r>
    </w:p>
    <w:p w:rsidR="020A1C23" w:rsidP="020A1C23" w:rsidRDefault="020A1C23" w14:paraId="4CF60463" w14:textId="3072D68B">
      <w:pPr>
        <w:pStyle w:val="Normal"/>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sz w:val="22"/>
          <w:szCs w:val="22"/>
        </w:rPr>
        <w:t xml:space="preserve">2.1.3 </w:t>
      </w: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A business model that is established on the amalgamation of businesses which serves as a competitive advantage</w:t>
      </w:r>
    </w:p>
    <w:p w:rsidR="020A1C23" w:rsidP="020A1C23" w:rsidRDefault="020A1C23" w14:paraId="0C72A8B2" w14:textId="3744ECFE">
      <w:pPr>
        <w:pStyle w:val="Normal"/>
        <w:rPr>
          <w:rFonts w:ascii="Calibri" w:hAnsi="Calibri" w:eastAsia="Calibri" w:cs="Calibri" w:asciiTheme="minorAscii" w:hAnsiTheme="minorAscii" w:eastAsiaTheme="minorAscii" w:cstheme="minorAscii"/>
          <w:sz w:val="22"/>
          <w:szCs w:val="22"/>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Royal Dutch Shell creates shareholder value through multiple ways. One way is exploration for natural gas and crude oil from existing sources as well as developing new sources. The company is also involved in LNG production and conversion of gas to liquids, transporting and trading of gas, oil and other energy products like carbon emission rights and electricity. The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organisation</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is also involved in alternative energy sources like hydrogen, biofuels and solar power.  All these businesses combined provide a competitive advantage that enables the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organisation</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to optimize across its entire portfolio. Shell’s recent venture in Brazil shows how they are quickly establishing their hold in high-potential areas. Brazil houses one of the world’s biggest sources of renewable power, containing ample solar, wind and hydroelectric resources. Natural gas is Brazil’s second largest growing energy source after solar. With the energy demand in Brazil set to double over the next 20 years, Shell’s venture into Brazil can lead to long-term benefits for the company (</w:t>
      </w:r>
      <w:r w:rsidRPr="020A1C23" w:rsidR="020A1C23">
        <w:rPr>
          <w:rFonts w:ascii="Calibri" w:hAnsi="Calibri" w:eastAsia="Calibri" w:cs="Calibri" w:asciiTheme="minorAscii" w:hAnsiTheme="minorAscii" w:eastAsiaTheme="minorAscii" w:cstheme="minorAscii"/>
          <w:noProof w:val="0"/>
          <w:sz w:val="22"/>
          <w:szCs w:val="22"/>
          <w:lang w:val="en-US"/>
        </w:rPr>
        <w:t>Royal Dutch Shell, 2020)</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p>
    <w:p w:rsidR="020A1C23" w:rsidP="020A1C23" w:rsidRDefault="020A1C23" w14:paraId="7B223EF7" w14:textId="50A9E4FD">
      <w:pPr>
        <w:pStyle w:val="Normal"/>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sz w:val="22"/>
          <w:szCs w:val="22"/>
        </w:rPr>
        <w:t>2</w:t>
      </w:r>
      <w:r w:rsidRPr="020A1C23" w:rsidR="020A1C23">
        <w:rPr>
          <w:rFonts w:ascii="Calibri" w:hAnsi="Calibri" w:eastAsia="Calibri" w:cs="Calibri" w:asciiTheme="minorAscii" w:hAnsiTheme="minorAscii" w:eastAsiaTheme="minorAscii" w:cstheme="minorAscii"/>
          <w:b w:val="1"/>
          <w:bCs w:val="1"/>
          <w:sz w:val="22"/>
          <w:szCs w:val="22"/>
        </w:rPr>
        <w:t xml:space="preserve">.1.4 </w:t>
      </w: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Bi</w:t>
      </w: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g focus on technology and i</w:t>
      </w: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nno</w:t>
      </w: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vatio</w:t>
      </w: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n</w:t>
      </w:r>
    </w:p>
    <w:p w:rsidR="020A1C23" w:rsidP="020A1C23" w:rsidRDefault="020A1C23" w14:paraId="580DA790" w14:textId="1A31D070">
      <w:pPr>
        <w:pStyle w:val="Normal"/>
        <w:ind w:left="0" w:hanging="0"/>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Royal Dutch Shell stays constantly searching for </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new technologies</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that could be integrated into the business. In 2018, the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organisation</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spent $986 million on Research and Development, compared to $922 million in 2017 and </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$1014 million</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in 2016. India, USA and the Netherlands are the zones of major technology hubs amongst all others such as Qatar, Germany, Oman, China and Brazil. The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organisation</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has a strong portfolio of 10325 patents and pending applications for patents. Shell has a dedicated catalyst team whose sole focus is to develop new technological advancements to improve Shell’s portfolio. The catalyst division of the Research and Development team is working on methane abatement, ethylene oxide, and gas-to-liquid processes and they conduct 1,000-hour tests to prove that these developments will work on industrial engines. Royal Dutch Shell spent $907 million on Research and Development in 2020 (</w:t>
      </w:r>
      <w:r w:rsidRPr="020A1C23" w:rsidR="020A1C23">
        <w:rPr>
          <w:rFonts w:ascii="Calibri" w:hAnsi="Calibri" w:eastAsia="Calibri" w:cs="Calibri" w:asciiTheme="minorAscii" w:hAnsiTheme="minorAscii" w:eastAsiaTheme="minorAscii" w:cstheme="minorAscii"/>
          <w:noProof w:val="0"/>
          <w:sz w:val="22"/>
          <w:szCs w:val="22"/>
          <w:lang w:val="en-US"/>
        </w:rPr>
        <w:t>Royal Dutch Shell, 2020)</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p>
    <w:p w:rsidR="020A1C23" w:rsidP="020A1C23" w:rsidRDefault="020A1C23" w14:paraId="1BE7367C" w14:textId="147D3460">
      <w:pPr>
        <w:pStyle w:val="Normal"/>
        <w:ind w:firstLine="6"/>
        <w:jc w:val="both"/>
        <w:rPr>
          <w:rFonts w:ascii="Calibri" w:hAnsi="Calibri" w:eastAsia="Calibri" w:cs="Calibri" w:asciiTheme="minorAscii" w:hAnsiTheme="minorAscii" w:eastAsiaTheme="minorAscii" w:cstheme="minorAscii"/>
          <w:b w:val="1"/>
          <w:bCs w:val="1"/>
          <w:sz w:val="22"/>
          <w:szCs w:val="22"/>
        </w:rPr>
      </w:pPr>
    </w:p>
    <w:p w:rsidR="020A1C23" w:rsidP="020A1C23" w:rsidRDefault="020A1C23" w14:paraId="40F5EC7A" w14:textId="3D72966D">
      <w:pPr>
        <w:pStyle w:val="Heading3"/>
        <w:rPr>
          <w:rFonts w:ascii="Calibri" w:hAnsi="Calibri" w:eastAsia="Calibri" w:cs="Calibri" w:asciiTheme="minorAscii" w:hAnsiTheme="minorAscii" w:eastAsiaTheme="minorAscii" w:cstheme="minorAscii"/>
          <w:b w:val="1"/>
          <w:bCs w:val="1"/>
          <w:color w:val="000000" w:themeColor="text1" w:themeTint="FF" w:themeShade="FF"/>
          <w:sz w:val="22"/>
          <w:szCs w:val="22"/>
        </w:rPr>
      </w:pPr>
      <w:bookmarkStart w:name="_Toc2001084242" w:id="111803731"/>
      <w:r w:rsidRPr="020A1C23" w:rsidR="020A1C23">
        <w:rPr>
          <w:rFonts w:ascii="Calibri" w:hAnsi="Calibri" w:eastAsia="Calibri" w:cs="Calibri" w:asciiTheme="minorAscii" w:hAnsiTheme="minorAscii" w:eastAsiaTheme="minorAscii" w:cstheme="minorAscii"/>
          <w:b w:val="1"/>
          <w:bCs w:val="1"/>
          <w:color w:val="000000" w:themeColor="text1" w:themeTint="FF" w:themeShade="FF"/>
          <w:sz w:val="22"/>
          <w:szCs w:val="22"/>
        </w:rPr>
        <w:t>2.2 Weaknesses of Royal Dutch Shell</w:t>
      </w:r>
      <w:bookmarkEnd w:id="111803731"/>
    </w:p>
    <w:p w:rsidR="020A1C23" w:rsidP="020A1C23" w:rsidRDefault="020A1C23" w14:paraId="0696B55F" w14:textId="665582C5">
      <w:pPr>
        <w:pStyle w:val="Normal"/>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sz w:val="22"/>
          <w:szCs w:val="22"/>
        </w:rPr>
        <w:t xml:space="preserve">2.2.1 </w:t>
      </w: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Scuffle to resolve safety and trust issues</w:t>
      </w:r>
    </w:p>
    <w:p w:rsidR="020A1C23" w:rsidP="020A1C23" w:rsidRDefault="020A1C23" w14:paraId="75530B9F" w14:textId="7BE778BA">
      <w:pPr>
        <w:ind w:left="0" w:hanging="0"/>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In 2004, Shell lost the trust of investors after some senior executives misrepresented the company’s oil reserves size. In 2011, Shell and Eni were accused by the Nigerian government of paying bribes for obtaining exploration rights called Oil Prospecting License 245 in the Gulf of Guinea. An investigation followed the accusations and in 2019, a Dutch appeals court ordered Shell Nigeria to pay compensation to the Nigerian farmers. The company is making efforts to rebuild trust by sensitizing employees of the importance of integrity. Shell is also trying to eliminate safety issues. Though the number of safety incidents in 2018 was less than in 2017, two people died on the job in 2018 (Royal Dutch Shell, 2020). While Shell has been publicizing its clean-energy transition, reports suggest that only a small part of their business is focused on </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these climate</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positive initiatives. </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2018, Shell invested $25 billion in oil exploration and only $300 million was allocated for clean fuel for the next three years. </w:t>
      </w:r>
    </w:p>
    <w:p w:rsidR="020A1C23" w:rsidP="020A1C23" w:rsidRDefault="020A1C23" w14:paraId="43F15D73" w14:textId="1E6DB46C">
      <w:pPr>
        <w:pStyle w:val="Normal"/>
        <w:ind w:firstLine="1"/>
        <w:jc w:val="both"/>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2.2.2 Proceeds of the company not yet sustainable</w:t>
      </w:r>
    </w:p>
    <w:p w:rsidR="020A1C23" w:rsidP="020A1C23" w:rsidRDefault="020A1C23" w14:paraId="3F072AE5" w14:textId="1C3DD2E1">
      <w:pPr>
        <w:pStyle w:val="Normal"/>
        <w:ind w:firstLine="1"/>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2018, the company had made enough cash to pay dividends and reduce debt, but the earnings are not yet sustainable. Volatility in Shell’s working capital is a cause of concern for investors. The return on average capital employed was 7.6%, which was below the cost of capital estimates. Though Shell might be able to set right its financials by 2020, there is a question mark on the company’s ability to boost returns while investing on renewable sources of energy. The COVID-19 pandemic was a huge blow not only to oil companies but also to investors who had stocks in those companies. Shell decided to cut its dividend from $3.7 in Q4 2019 to $1.3 in Q4 2020 (Royal Dutch Shell, 2020).  Investors may choose Shell’s competitors like ExxonMobil and Chevron, both of which are providing higher yields than Shell.</w:t>
      </w:r>
    </w:p>
    <w:p w:rsidR="020A1C23" w:rsidP="020A1C23" w:rsidRDefault="020A1C23" w14:paraId="496B7BA7" w14:textId="62BA6686">
      <w:pPr>
        <w:pStyle w:val="Normal"/>
        <w:ind w:firstLine="18"/>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2.2.3 Mass layoffs of employees to counter losses</w:t>
      </w:r>
    </w:p>
    <w:p w:rsidR="020A1C23" w:rsidP="020A1C23" w:rsidRDefault="020A1C23" w14:paraId="0DBFFA4C" w14:textId="26B3C811">
      <w:pPr>
        <w:pStyle w:val="Normal"/>
        <w:ind w:firstLine="1"/>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Shell suffered losses amounting to over $21.7 billion due to the adverse effects of the COVID-19 </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pandemic</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Factories were shut down following government directives and workers in oil exploration sites were reduced to prevent the spread of the virus. The losses are a stark contrast against the $15.8 billion profits posted in 2019. To cut their losses and reduce operational costs, Shell decided to layoff over 9,000 employees in 2020 and 2021 (German, 2021).</w:t>
      </w:r>
    </w:p>
    <w:p w:rsidR="020A1C23" w:rsidP="020A1C23" w:rsidRDefault="020A1C23" w14:paraId="26FAEFAC" w14:textId="74E7410C">
      <w:pPr>
        <w:pStyle w:val="Normal"/>
        <w:ind w:firstLine="1"/>
        <w:jc w:val="both"/>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p>
    <w:p w:rsidR="020A1C23" w:rsidP="020A1C23" w:rsidRDefault="020A1C23" w14:paraId="23FC0B74" w14:textId="7E02E4B6">
      <w:pPr>
        <w:pStyle w:val="Heading3"/>
        <w:rPr>
          <w:rFonts w:ascii="Calibri" w:hAnsi="Calibri" w:eastAsia="Calibri" w:cs="Calibri" w:asciiTheme="minorAscii" w:hAnsiTheme="minorAscii" w:eastAsiaTheme="minorAscii" w:cstheme="minorAscii"/>
          <w:b w:val="1"/>
          <w:bCs w:val="1"/>
          <w:color w:val="000000" w:themeColor="text1" w:themeTint="FF" w:themeShade="FF"/>
          <w:sz w:val="22"/>
          <w:szCs w:val="22"/>
        </w:rPr>
      </w:pPr>
      <w:bookmarkStart w:name="_Toc550508451" w:id="1734015874"/>
      <w:r w:rsidRPr="020A1C23" w:rsidR="020A1C23">
        <w:rPr>
          <w:rFonts w:ascii="Calibri" w:hAnsi="Calibri" w:eastAsia="Calibri" w:cs="Calibri" w:asciiTheme="minorAscii" w:hAnsiTheme="minorAscii" w:eastAsiaTheme="minorAscii" w:cstheme="minorAscii"/>
          <w:b w:val="1"/>
          <w:bCs w:val="1"/>
          <w:color w:val="000000" w:themeColor="text1" w:themeTint="FF" w:themeShade="FF"/>
          <w:sz w:val="22"/>
          <w:szCs w:val="22"/>
        </w:rPr>
        <w:t>2.3 Opportunities of Royal Dutch Shell</w:t>
      </w:r>
      <w:bookmarkEnd w:id="1734015874"/>
    </w:p>
    <w:p w:rsidR="020A1C23" w:rsidP="020A1C23" w:rsidRDefault="020A1C23" w14:paraId="14EA261C" w14:textId="3BFBA8BE">
      <w:pPr>
        <w:pStyle w:val="Normal"/>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sz w:val="22"/>
          <w:szCs w:val="22"/>
        </w:rPr>
        <w:t xml:space="preserve">2.3.1 </w:t>
      </w: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Increased demand for LNG worldwide</w:t>
      </w:r>
    </w:p>
    <w:p w:rsidR="020A1C23" w:rsidP="020A1C23" w:rsidRDefault="020A1C23" w14:paraId="496204FD" w14:textId="55EF30FE">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2018, there was rapid growth in LNG use due to demand for cleaner fuel in Asia. The demand worldwide increased by 27 million tons to 319 million tons. It is expected to rise to 384 million tons in 2020. Europe and Asia are expected to absorb the expected additional LNG supply of 35 million tons in 2019. China’s import of LNG rose by 16 million tons in 2018, an increase of 40% over 2017, due to urban air quality improvement efforts. By the end of 2018, Australia’s LNG exports were on par with those of Qatar. Both the countries are well positioned to supply LNG to developing countries across Asia. Shell is the largest marketer of LNG.  It has competitive positions in Japan, China, South Korea, Jordan and Malta. Shell has developed the largest LNG liquefaction capacity through joint ventures. In 2020, due to COVID-19, the demand for LNG slowed down and grew by 1% as the entire global gas demand declined. However, the share of LNG in the global gas supply is expected to increase in the longer run, from 13% to 25% by 2050 (</w:t>
      </w:r>
      <w:r w:rsidRPr="020A1C23" w:rsidR="020A1C23">
        <w:rPr>
          <w:rFonts w:ascii="Calibri" w:hAnsi="Calibri" w:eastAsia="Calibri" w:cs="Calibri" w:asciiTheme="minorAscii" w:hAnsiTheme="minorAscii" w:eastAsiaTheme="minorAscii" w:cstheme="minorAscii"/>
          <w:noProof w:val="0"/>
          <w:sz w:val="22"/>
          <w:szCs w:val="22"/>
          <w:lang w:val="en-US"/>
        </w:rPr>
        <w:t>Royal Dutch Shell, 2020)</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p>
    <w:p w:rsidR="020A1C23" w:rsidP="020A1C23" w:rsidRDefault="020A1C23" w14:paraId="09696E2A" w14:textId="0CAD4379">
      <w:pPr>
        <w:pStyle w:val="Normal"/>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2.3.2 Positive Outlook for the African Energy Industry</w:t>
      </w:r>
    </w:p>
    <w:p w:rsidR="020A1C23" w:rsidP="020A1C23" w:rsidRDefault="020A1C23" w14:paraId="45629C17" w14:textId="6F208681">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Shell has a large presence in Africa. In the early 1980s, Shell and Egyptian General Petroleum Corporation formed a joint venture named Badr Petroleum Company in Egypt. Shell and Endeavor Energy are developing a FSRU (Floating Storage Regasification Unit) in Ghana as part of a project to provide power to western part of Ghana. In 2019, Africa accounted for 8.8% of the global total oil production with Nigeria coming first with 2.2%, followed by Algeria, Angola and Libya (</w:t>
      </w:r>
      <w:r w:rsidRPr="020A1C23" w:rsidR="020A1C23">
        <w:rPr>
          <w:rFonts w:ascii="Calibri" w:hAnsi="Calibri" w:eastAsia="Calibri" w:cs="Calibri" w:asciiTheme="minorAscii" w:hAnsiTheme="minorAscii" w:eastAsiaTheme="minorAscii" w:cstheme="minorAscii"/>
          <w:noProof w:val="0"/>
          <w:sz w:val="22"/>
          <w:szCs w:val="22"/>
          <w:lang w:val="en-US"/>
        </w:rPr>
        <w:t>Royal Dutch Shell, 2020)</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p>
    <w:p w:rsidR="020A1C23" w:rsidP="020A1C23" w:rsidRDefault="020A1C23" w14:paraId="5092F76C" w14:textId="4E0C83D1">
      <w:pPr>
        <w:pStyle w:val="Normal"/>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2.3.3 Increasing market for biofuels worldwide</w:t>
      </w:r>
    </w:p>
    <w:p w:rsidR="020A1C23" w:rsidP="020A1C23" w:rsidRDefault="020A1C23" w14:paraId="278A358E" w14:textId="201FFB09">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According to Zion Market Research, the global biofuels market value was $168 billion in 2016. It is expected to grow at a CAGR of 4.5% between 2017 and 2022 to reach $218.7 billion in 2022. The major growth drivers are improvement in economy, rising living standards and rising demand for vegetable oil in biodiesel production. North America is expected to account for the largest revenue share during 2017-2022, closely followed by Europe.  Highest growth is expected in the Asia-Pacific market. Shell is involved in many biofuels’ projects worldwide. The company first moved into large scale production of biofuels in 2011 through a joint venture with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Raizen</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in Brazil. In 2017, the company finished installing a demonstration plant at India’s Shell Technology Centre located in Bangalore. In many countries where Shell operates, the government regulations mandate mixing of certain numbers of biofuels with petrol and diesel. In 2018, 9.5 billion liters of biofuels were mixed with the petrol and diesel sold worldwide by Shell.  Shell has partnered with DISA, Scania, IVECO, and </w:t>
      </w:r>
      <w:proofErr w:type="spellStart"/>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Nordsol</w:t>
      </w:r>
      <w:proofErr w:type="spellEnd"/>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to launch 2000 bio-LNG powered trucks on the roads and build LNG stations providing this kind of fuel. Through this partnership, Shell aims to provide net-zero bio-LNG to customers by 2025 (</w:t>
      </w:r>
      <w:r w:rsidRPr="020A1C23" w:rsidR="020A1C23">
        <w:rPr>
          <w:rFonts w:ascii="Calibri" w:hAnsi="Calibri" w:eastAsia="Calibri" w:cs="Calibri" w:asciiTheme="minorAscii" w:hAnsiTheme="minorAscii" w:eastAsiaTheme="minorAscii" w:cstheme="minorAscii"/>
          <w:noProof w:val="0"/>
          <w:sz w:val="22"/>
          <w:szCs w:val="22"/>
          <w:lang w:val="en-US"/>
        </w:rPr>
        <w:t>Royal Dutch Shell, 2021)</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w:t>
      </w:r>
    </w:p>
    <w:p w:rsidR="020A1C23" w:rsidP="020A1C23" w:rsidRDefault="020A1C23" w14:paraId="53A2839B" w14:textId="1F0BE40F">
      <w:pPr>
        <w:pStyle w:val="Normal"/>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p>
    <w:p w:rsidR="020A1C23" w:rsidP="020A1C23" w:rsidRDefault="020A1C23" w14:paraId="4811FFC4" w14:textId="0F3F27C0">
      <w:pPr>
        <w:pStyle w:val="Heading3"/>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US"/>
        </w:rPr>
      </w:pPr>
      <w:bookmarkStart w:name="_Toc430612669" w:id="1575226694"/>
      <w:r w:rsidRPr="020A1C23" w:rsidR="020A1C23">
        <w:rPr>
          <w:rFonts w:ascii="Calibri" w:hAnsi="Calibri" w:eastAsia="Calibri" w:cs="Calibri" w:asciiTheme="minorAscii" w:hAnsiTheme="minorAscii" w:eastAsiaTheme="minorAscii" w:cstheme="minorAscii"/>
          <w:b w:val="1"/>
          <w:bCs w:val="1"/>
          <w:noProof w:val="0"/>
          <w:color w:val="000000" w:themeColor="text1" w:themeTint="FF" w:themeShade="FF"/>
          <w:sz w:val="22"/>
          <w:szCs w:val="22"/>
          <w:lang w:val="en-US"/>
        </w:rPr>
        <w:t>2.4 Threats of Royal Dutch Shell</w:t>
      </w:r>
      <w:bookmarkEnd w:id="1575226694"/>
    </w:p>
    <w:p w:rsidR="020A1C23" w:rsidP="020A1C23" w:rsidRDefault="020A1C23" w14:paraId="74CB9D43" w14:textId="197AD353">
      <w:pPr>
        <w:pStyle w:val="Normal"/>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2.4.1</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w:t>
      </w: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Variations in prices of petrochemicals</w:t>
      </w:r>
    </w:p>
    <w:p w:rsidR="020A1C23" w:rsidP="020A1C23" w:rsidRDefault="020A1C23" w14:paraId="17D9AE44" w14:textId="1292A153">
      <w:pPr>
        <w:ind w:left="0" w:hanging="0"/>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Crude oil, chemical and natural gas prices are affected by global as well as regional demand and supply. They are also affected by government actions such as ban on diesel automobiles or a tax deduction for purchasing renewable automobiles. The factors affecting demand and supply are natural disasters, operational issues, political instability and actions by the producing countries. If the prices reduce, then Upstream and Integrated Gas businesses would generate less revenue. Low prices could also affect Shell’s long term capital investments and the payment of dividends. On the other hand, high prices could reduce the demand for the products of the Downstream business. The COVID-19 pandemic led to another shock to oil prices. There was an unexpected supply shock coupled with a fall in demand for oil. The crude oil sector was already weak due to growing pressures of clean energy transition. In 2020, oil prices reached their 30-year low. While demand for oil is expected to rebound in 2021, it will take some time for it to reach pre-pandemic levels. As more and more advanced countries are shifting away from oil and fossil fuel, the demand for oil will probably peak in a few years and then steadily decline (German, 2021).</w:t>
      </w:r>
    </w:p>
    <w:p w:rsidR="020A1C23" w:rsidP="020A1C23" w:rsidRDefault="020A1C23" w14:paraId="05FAC40B" w14:textId="17CB48B4">
      <w:pPr>
        <w:pStyle w:val="Normal"/>
        <w:ind w:firstLine="2"/>
        <w:jc w:val="both"/>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2.4.2 High competitiveness in the oil and gas industry</w:t>
      </w:r>
    </w:p>
    <w:p w:rsidR="020A1C23" w:rsidP="020A1C23" w:rsidRDefault="020A1C23" w14:paraId="2C2D23FF" w14:textId="123B7A05">
      <w:pPr>
        <w:pStyle w:val="Normal"/>
        <w:ind w:firstLine="2"/>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All the businesses of the company face high competition. Shell might be at a disadvantage compared to these state-owned entities during bidding on new projects as these entities might not need competitive returns. Based on the 2020 Fortune Global 500’s revenue figures, Shell ranks third in the world with a revenue of $352 billion in 2019-20, behind China’s Sinopec ($407 billion) and PetroChina ($379 billion) (George, 2018).</w:t>
      </w:r>
    </w:p>
    <w:p w:rsidR="020A1C23" w:rsidP="020A1C23" w:rsidRDefault="020A1C23" w14:paraId="0ADDAE2C" w14:textId="4F25FFDE">
      <w:pPr>
        <w:pStyle w:val="Normal"/>
        <w:ind w:firstLine="2"/>
        <w:jc w:val="both"/>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 xml:space="preserve">2.4.3 </w:t>
      </w: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Interference in operations by cyber-attacks</w:t>
      </w:r>
    </w:p>
    <w:p w:rsidR="020A1C23" w:rsidP="020A1C23" w:rsidRDefault="020A1C23" w14:paraId="445FF6E0" w14:textId="67EBC68A">
      <w:pPr>
        <w:pStyle w:val="Normal"/>
        <w:ind w:firstLine="2"/>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Shell is often the target for cyber-attacks that attempt to gain access to the systems and data. The company has been hit by cyber-attacks in the past. In 2008, an employee of one of Shell’s contractors had used personal information of Shell employees in running an unemployment insurance claim scam. In 2009, hackers stole personal information of 1400 New Zealand customers and 4500 Australian customers. Shell focuses on timely detection to try and prevent repeat of such incidents as </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they could</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damage the reputation and affect the financial performance.</w:t>
      </w:r>
    </w:p>
    <w:p w:rsidR="020A1C23" w:rsidP="020A1C23" w:rsidRDefault="020A1C23" w14:paraId="13EAEF8F" w14:textId="44A5A153">
      <w:pPr>
        <w:pStyle w:val="Normal"/>
        <w:ind w:firstLine="2"/>
        <w:jc w:val="both"/>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pPr>
      <w:r w:rsidRPr="020A1C23" w:rsidR="020A1C2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none"/>
          <w:lang w:val="en-US"/>
        </w:rPr>
        <w:t xml:space="preserve">2.4.4 </w:t>
      </w:r>
      <w:r w:rsidRPr="020A1C23" w:rsidR="020A1C23">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2"/>
          <w:szCs w:val="22"/>
          <w:u w:val="none"/>
        </w:rPr>
        <w:t>Increasing anxiety around climate change may lead to regulatory measures</w:t>
      </w:r>
    </w:p>
    <w:p w:rsidR="020A1C23" w:rsidP="020A1C23" w:rsidRDefault="020A1C23" w14:paraId="488FDBBF" w14:textId="3C2BE8BF">
      <w:pPr>
        <w:pStyle w:val="Normal"/>
        <w:ind w:firstLine="2"/>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pP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Royal Dutch Shell faces the threat of </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additional</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legal and regulatory measures due to increasing climate change. Not only will these call project delays and project call offs but can also lead to reduced demand for fossil fuels, increased compliance obligations and even the chance of litigations. The company is currently fully implementing the terms of the Paris Agreement which was adopted by 195 nations in December 2015. The aims of the agreement are to limit increases in global temperatures to below two degrees Celsius. The agreement however brought along with it several regulations that aim at reducing the emission of greenhouse gases (GHG). Shell thus has been faced with increased compliance costs and operational restrictions </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in order to</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 ensure that its GHG emissions are compliant </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 xml:space="preserve">with </w:t>
      </w:r>
      <w:r w:rsidRPr="020A1C23" w:rsidR="020A1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US"/>
        </w:rPr>
        <w:t>regulations (George, 2018).</w:t>
      </w:r>
    </w:p>
    <w:p w:rsidR="020A1C23" w:rsidP="020A1C23" w:rsidRDefault="020A1C23" w14:paraId="01B26227" w14:textId="5A633232">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6116BEEE" w14:textId="604D9163">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3B538189" w14:textId="1581D4AF">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43F1944E" w14:textId="598DB572">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6BFB7087" w14:textId="6AE655F9">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27555599" w14:textId="3121149B">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32D6AEFF" w14:textId="07E65927">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2AA46290" w14:textId="4D11C46D">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750D9E7D" w14:textId="7077EBBA">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2504C604" w14:textId="109B8F67">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6C4DB61C" w14:textId="10D67483">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0F0DBA7D" w14:textId="571B31D4">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60EA9EE6" w14:textId="1AE9C84E">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0D95F739" w14:textId="5B200F4D">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31935065" w14:textId="58866A3B">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699B9877" w14:textId="2BD18F15">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10A18129" w14:textId="5FD2246F">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272C4975" w14:textId="7FB66D1E">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74A80BB9" w14:textId="283DC589">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055A49CB" w14:textId="6B40F6EA">
      <w:pPr>
        <w:pStyle w:val="Heading1"/>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20A1C23" w:rsidP="020A1C23" w:rsidRDefault="020A1C23" w14:paraId="1EDD95AA" w14:textId="6ABDF140">
      <w:pPr>
        <w:pStyle w:val="Normal"/>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FED4CA"/>
    <w:rsid w:val="020A1C23"/>
    <w:rsid w:val="57FED4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ED4CA"/>
  <w15:chartTrackingRefBased/>
  <w15:docId w15:val="{675A086F-00BF-45F9-9AF9-203544E687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tyle1" w:customStyle="true">
    <w:name w:val="Style1"/>
    <w:basedOn w:val="Normal"/>
    <w:link w:val="Style1Char"/>
    <w:qFormat/>
    <w:rsid w:val="020A1C23"/>
    <w:rPr>
      <w:b w:val="1"/>
      <w:bCs w:val="1"/>
    </w:rPr>
    <w:pPr>
      <w:bidi w:val="0"/>
      <w:spacing w:before="0" w:beforeAutospacing="off" w:afterAutospacing="off"/>
      <w:ind w:left="0" w:right="0"/>
      <w:jc w:val="left"/>
    </w:pPr>
  </w:style>
  <w:style w:type="character" w:styleId="Style1Char" w:customStyle="true">
    <w:name w:val="Style1 Char"/>
    <w:basedOn w:val="DefaultParagraphFont"/>
    <w:link w:val="Style1"/>
    <w:rsid w:val="020A1C23"/>
    <w:rPr>
      <w:b w:val="1"/>
      <w:bCs w:val="1"/>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glossaryDocument" Target="glossary/document.xml" Id="R652ab00598cd4c56" /><Relationship Type="http://schemas.openxmlformats.org/officeDocument/2006/relationships/numbering" Target="numbering.xml" Id="Reb07f796b3a74e1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4fe166e-7438-489d-950c-26dc9811b4f9}"/>
      </w:docPartPr>
      <w:docPartBody>
        <w:p w14:paraId="49D3DD60">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2021-12-18T23:50:25.9502546Z</dcterms:created>
  <dcterms:modified xsi:type="dcterms:W3CDTF">2021-12-25T05:10:00.5984383Z</dcterms:modified>
  <dc:creator>Frances Okoh</dc:creator>
  <lastModifiedBy>Frances Okoh</lastModifiedBy>
</coreProperties>
</file>