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53A2AF4">
      <w:pPr>
        <w:jc w:val="both"/>
        <w:rPr>
          <w:rFonts w:ascii="Times New Roman" w:hAnsi="Times New Roman" w:cs="Times New Roman"/>
          <w:b/>
          <w:bCs/>
          <w:szCs w:val="22"/>
        </w:rPr>
      </w:pPr>
      <w:r>
        <w:rPr>
          <w:rFonts w:ascii="Times New Roman" w:hAnsi="Times New Roman" w:cs="Times New Roman"/>
          <w:b/>
          <w:bCs/>
          <w:szCs w:val="22"/>
          <w14:ligatures w14:val="none"/>
        </w:rPr>
        <w:drawing>
          <wp:inline distT="0" distB="0" distL="0" distR="0">
            <wp:extent cx="4890770" cy="1621790"/>
            <wp:effectExtent l="0" t="0" r="5080" b="0"/>
            <wp:docPr id="132612186"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12186" name="图片 2"/>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4900155" cy="1625094"/>
                    </a:xfrm>
                    <a:prstGeom prst="rect">
                      <a:avLst/>
                    </a:prstGeom>
                  </pic:spPr>
                </pic:pic>
              </a:graphicData>
            </a:graphic>
          </wp:inline>
        </w:drawing>
      </w:r>
    </w:p>
    <w:p w14:paraId="517C1360">
      <w:pPr>
        <w:jc w:val="both"/>
        <w:rPr>
          <w:rFonts w:ascii="Times New Roman" w:hAnsi="Times New Roman" w:cs="Times New Roman"/>
          <w:b/>
          <w:bCs/>
          <w:szCs w:val="22"/>
        </w:rPr>
      </w:pPr>
    </w:p>
    <w:p w14:paraId="4107EDE9">
      <w:pPr>
        <w:jc w:val="both"/>
        <w:rPr>
          <w:rFonts w:ascii="Times New Roman" w:hAnsi="Times New Roman" w:cs="Times New Roman"/>
          <w:b/>
          <w:bCs/>
          <w:szCs w:val="22"/>
        </w:rPr>
      </w:pPr>
    </w:p>
    <w:p w14:paraId="4E9B7187">
      <w:pPr>
        <w:jc w:val="both"/>
        <w:rPr>
          <w:rFonts w:ascii="Times New Roman" w:hAnsi="Times New Roman" w:cs="Times New Roman"/>
          <w:b/>
          <w:bCs/>
          <w:sz w:val="40"/>
          <w:szCs w:val="40"/>
        </w:rPr>
      </w:pPr>
      <w:r>
        <w:rPr>
          <w:rFonts w:ascii="Times New Roman" w:hAnsi="Times New Roman" w:cs="Times New Roman"/>
          <w:b/>
          <w:bCs/>
          <w:sz w:val="40"/>
          <w:szCs w:val="40"/>
        </w:rPr>
        <w:t>Artificial Intelligence Adoption and Employee Resistance: A Mapping Review</w:t>
      </w:r>
    </w:p>
    <w:p w14:paraId="2B780C2F">
      <w:pPr>
        <w:jc w:val="both"/>
        <w:rPr>
          <w:rFonts w:ascii="Times New Roman" w:hAnsi="Times New Roman" w:cs="Times New Roman"/>
          <w:b/>
          <w:bCs/>
          <w:szCs w:val="22"/>
        </w:rPr>
      </w:pPr>
    </w:p>
    <w:p w14:paraId="1AE6681D">
      <w:pPr>
        <w:jc w:val="both"/>
        <w:rPr>
          <w:rFonts w:ascii="Times New Roman" w:hAnsi="Times New Roman" w:cs="Times New Roman"/>
          <w:b/>
          <w:bCs/>
          <w:szCs w:val="22"/>
        </w:rPr>
      </w:pPr>
    </w:p>
    <w:p w14:paraId="4C9627A7">
      <w:pPr>
        <w:jc w:val="both"/>
        <w:rPr>
          <w:rFonts w:ascii="Times New Roman" w:hAnsi="Times New Roman" w:cs="Times New Roman"/>
          <w:b/>
          <w:bCs/>
          <w:szCs w:val="22"/>
        </w:rPr>
      </w:pPr>
    </w:p>
    <w:p w14:paraId="2FA0EB91">
      <w:pPr>
        <w:jc w:val="both"/>
        <w:rPr>
          <w:rFonts w:ascii="Times New Roman" w:hAnsi="Times New Roman" w:cs="Times New Roman"/>
          <w:b/>
          <w:bCs/>
          <w:szCs w:val="22"/>
        </w:rPr>
      </w:pPr>
    </w:p>
    <w:p w14:paraId="214357D5">
      <w:pPr>
        <w:jc w:val="both"/>
        <w:rPr>
          <w:rFonts w:ascii="Times New Roman" w:hAnsi="Times New Roman" w:cs="Times New Roman"/>
          <w:b/>
          <w:bCs/>
          <w:szCs w:val="22"/>
        </w:rPr>
      </w:pPr>
    </w:p>
    <w:p w14:paraId="754EEC75">
      <w:pPr>
        <w:jc w:val="both"/>
        <w:rPr>
          <w:rFonts w:ascii="Times New Roman" w:hAnsi="Times New Roman" w:cs="Times New Roman"/>
          <w:b/>
          <w:bCs/>
          <w:szCs w:val="22"/>
        </w:rPr>
      </w:pPr>
    </w:p>
    <w:p w14:paraId="2D48D5AC">
      <w:pPr>
        <w:jc w:val="both"/>
        <w:rPr>
          <w:rFonts w:ascii="Times New Roman" w:hAnsi="Times New Roman" w:cs="Times New Roman"/>
          <w:b/>
          <w:bCs/>
          <w:szCs w:val="22"/>
        </w:rPr>
      </w:pPr>
    </w:p>
    <w:p w14:paraId="6FBF5C70">
      <w:pPr>
        <w:jc w:val="both"/>
        <w:rPr>
          <w:rFonts w:ascii="Times New Roman" w:hAnsi="Times New Roman" w:cs="Times New Roman"/>
          <w:b/>
          <w:bCs/>
          <w:sz w:val="28"/>
          <w:szCs w:val="28"/>
        </w:rPr>
      </w:pPr>
    </w:p>
    <w:p w14:paraId="26DE503F">
      <w:pPr>
        <w:jc w:val="both"/>
        <w:rPr>
          <w:rFonts w:ascii="Times New Roman" w:hAnsi="Times New Roman" w:cs="Times New Roman"/>
          <w:b/>
          <w:bCs/>
          <w:sz w:val="28"/>
          <w:szCs w:val="28"/>
        </w:rPr>
      </w:pPr>
      <w:r>
        <w:rPr>
          <w:rFonts w:ascii="Times New Roman" w:hAnsi="Times New Roman" w:cs="Times New Roman"/>
          <w:b/>
          <w:bCs/>
          <w:sz w:val="28"/>
          <w:szCs w:val="28"/>
        </w:rPr>
        <w:t>Student Name：Guangzheng Wu</w:t>
      </w:r>
    </w:p>
    <w:p w14:paraId="39B941DA">
      <w:pPr>
        <w:jc w:val="both"/>
        <w:rPr>
          <w:rFonts w:ascii="Times New Roman" w:hAnsi="Times New Roman" w:cs="Times New Roman"/>
          <w:b/>
          <w:bCs/>
          <w:sz w:val="28"/>
          <w:szCs w:val="28"/>
        </w:rPr>
      </w:pPr>
      <w:r>
        <w:rPr>
          <w:rFonts w:ascii="Times New Roman" w:hAnsi="Times New Roman" w:cs="Times New Roman"/>
          <w:b/>
          <w:bCs/>
          <w:sz w:val="28"/>
          <w:szCs w:val="28"/>
        </w:rPr>
        <w:t>Student ID：2501013</w:t>
      </w:r>
    </w:p>
    <w:p w14:paraId="13200E2E">
      <w:pPr>
        <w:jc w:val="both"/>
        <w:rPr>
          <w:rFonts w:ascii="Times New Roman" w:hAnsi="Times New Roman" w:cs="Times New Roman"/>
          <w:b/>
          <w:bCs/>
          <w:sz w:val="28"/>
          <w:szCs w:val="28"/>
        </w:rPr>
      </w:pPr>
      <w:r>
        <w:rPr>
          <w:rFonts w:ascii="Times New Roman" w:hAnsi="Times New Roman" w:cs="Times New Roman"/>
          <w:b/>
          <w:bCs/>
          <w:sz w:val="28"/>
          <w:szCs w:val="28"/>
        </w:rPr>
        <w:t>Module: Critical Literature Review for Doctoral Research</w:t>
      </w:r>
    </w:p>
    <w:p w14:paraId="6E4B7C3D">
      <w:pPr>
        <w:jc w:val="both"/>
        <w:rPr>
          <w:rFonts w:ascii="Times New Roman" w:hAnsi="Times New Roman" w:cs="Times New Roman"/>
          <w:b/>
          <w:bCs/>
          <w:sz w:val="28"/>
          <w:szCs w:val="28"/>
        </w:rPr>
      </w:pPr>
      <w:r>
        <w:rPr>
          <w:rFonts w:ascii="Times New Roman" w:hAnsi="Times New Roman" w:cs="Times New Roman"/>
          <w:b/>
          <w:bCs/>
          <w:sz w:val="28"/>
          <w:szCs w:val="28"/>
        </w:rPr>
        <w:t>Module Lead: Dr. Helen Le</w:t>
      </w:r>
    </w:p>
    <w:p w14:paraId="12CCD76E">
      <w:pPr>
        <w:jc w:val="both"/>
        <w:rPr>
          <w:rFonts w:ascii="Times New Roman" w:hAnsi="Times New Roman" w:cs="Times New Roman"/>
          <w:b/>
          <w:bCs/>
          <w:szCs w:val="22"/>
        </w:rPr>
      </w:pPr>
    </w:p>
    <w:p w14:paraId="77123FA8">
      <w:pPr>
        <w:jc w:val="both"/>
        <w:rPr>
          <w:rFonts w:ascii="Times New Roman" w:hAnsi="Times New Roman" w:cs="Times New Roman"/>
          <w:b/>
          <w:bCs/>
          <w:szCs w:val="22"/>
        </w:rPr>
      </w:pPr>
    </w:p>
    <w:p w14:paraId="2E3FDF71">
      <w:pPr>
        <w:jc w:val="center"/>
        <w:rPr>
          <w:rFonts w:ascii="Times New Roman" w:hAnsi="Times New Roman" w:cs="Times New Roman"/>
          <w:b/>
          <w:bCs/>
          <w:sz w:val="24"/>
          <w:szCs w:val="24"/>
        </w:rPr>
      </w:pPr>
      <w:r>
        <w:rPr>
          <w:rFonts w:ascii="Times New Roman" w:hAnsi="Times New Roman" w:cs="Times New Roman"/>
          <w:b/>
          <w:bCs/>
          <w:sz w:val="24"/>
          <w:szCs w:val="24"/>
        </w:rPr>
        <w:t>Executive Summary</w:t>
      </w:r>
    </w:p>
    <w:p w14:paraId="4577C862">
      <w:pPr>
        <w:jc w:val="both"/>
        <w:rPr>
          <w:rFonts w:ascii="Times New Roman" w:hAnsi="Times New Roman" w:cs="Times New Roman"/>
          <w:szCs w:val="22"/>
        </w:rPr>
      </w:pPr>
      <w:r>
        <w:rPr>
          <w:rFonts w:ascii="Times New Roman" w:hAnsi="Times New Roman" w:cs="Times New Roman"/>
          <w:szCs w:val="22"/>
        </w:rPr>
        <w:t>This portfolio reflects on how a literature review was conducted for a study on artificial intelligence (AI) adoption and employee resistance. It is organised into three main sections. The first outlines what literature reviews are for, how they are conducted, and why they matter in building context, spotting gaps and shaping future studies. It compares three review approaches—narrative, systematic and mapping—and explains why a mapping review was chosen, since it fits best with classifying a diverse body of AI literature along dimensions tied to the research objectives.</w:t>
      </w:r>
    </w:p>
    <w:p w14:paraId="397F4C60">
      <w:pPr>
        <w:jc w:val="both"/>
        <w:rPr>
          <w:rFonts w:ascii="Times New Roman" w:hAnsi="Times New Roman" w:cs="Times New Roman"/>
          <w:szCs w:val="22"/>
        </w:rPr>
      </w:pPr>
      <w:r>
        <w:rPr>
          <w:rFonts w:ascii="Times New Roman" w:hAnsi="Times New Roman" w:cs="Times New Roman"/>
          <w:szCs w:val="22"/>
        </w:rPr>
        <w:t>The second section contains a mapping table of 100 scholarly sources on AI adoption and employee resistance. For each source, the table records the author, context, AI application, employee response, drivers and barriers, organisational support, theory and method, and key finding. The sources are organised around three objectives: identifying the key dimensions of AI adoption (RO1), identifying drivers and barriers shaping employee responses (RO2), and evaluating how organisational support helps employees adapt to AI-driven change (RO3).</w:t>
      </w:r>
    </w:p>
    <w:p w14:paraId="2046836A">
      <w:pPr>
        <w:jc w:val="both"/>
        <w:rPr>
          <w:rFonts w:ascii="Times New Roman" w:hAnsi="Times New Roman" w:cs="Times New Roman"/>
          <w:szCs w:val="22"/>
        </w:rPr>
      </w:pPr>
      <w:r>
        <w:rPr>
          <w:rFonts w:ascii="Times New Roman" w:hAnsi="Times New Roman" w:cs="Times New Roman"/>
          <w:szCs w:val="22"/>
        </w:rPr>
        <w:t>The final section gives an early thematic picture of what shapes employee responses to AI adoption, including trust, job insecurity, resistance and the moderating role of organisational support. It also points to gaps in the current literature, most notably the habit of treating resistance as a single construct and the absence of integrated theoretical frameworks—and suggests where future research could go. Taken together, the three sections show a systematic and critical research process and offer a solid base for further work on AI adoption and employee resistance.</w:t>
      </w:r>
    </w:p>
    <w:p w14:paraId="2E2116DC">
      <w:pPr>
        <w:jc w:val="both"/>
        <w:rPr>
          <w:rFonts w:ascii="Times New Roman" w:hAnsi="Times New Roman" w:cs="Times New Roman"/>
          <w:szCs w:val="22"/>
        </w:rPr>
      </w:pPr>
    </w:p>
    <w:p w14:paraId="7CA7B374">
      <w:pPr>
        <w:jc w:val="both"/>
        <w:rPr>
          <w:rFonts w:ascii="Times New Roman" w:hAnsi="Times New Roman" w:cs="Times New Roman"/>
          <w:szCs w:val="22"/>
        </w:rPr>
      </w:pPr>
    </w:p>
    <w:p w14:paraId="32F54D21">
      <w:pPr>
        <w:jc w:val="both"/>
        <w:rPr>
          <w:rFonts w:ascii="Times New Roman" w:hAnsi="Times New Roman" w:cs="Times New Roman"/>
          <w:szCs w:val="22"/>
        </w:rPr>
      </w:pPr>
    </w:p>
    <w:p w14:paraId="2201842B">
      <w:pPr>
        <w:jc w:val="both"/>
        <w:rPr>
          <w:rFonts w:ascii="Times New Roman" w:hAnsi="Times New Roman" w:cs="Times New Roman"/>
          <w:szCs w:val="22"/>
        </w:rPr>
      </w:pPr>
    </w:p>
    <w:p w14:paraId="1704FBCC">
      <w:pPr>
        <w:jc w:val="both"/>
        <w:rPr>
          <w:rFonts w:ascii="Times New Roman" w:hAnsi="Times New Roman" w:cs="Times New Roman"/>
          <w:szCs w:val="22"/>
        </w:rPr>
      </w:pPr>
    </w:p>
    <w:p w14:paraId="6F7060B3">
      <w:pPr>
        <w:jc w:val="both"/>
        <w:rPr>
          <w:rFonts w:ascii="Times New Roman" w:hAnsi="Times New Roman" w:cs="Times New Roman"/>
          <w:szCs w:val="22"/>
        </w:rPr>
      </w:pPr>
    </w:p>
    <w:p w14:paraId="7579ACF1">
      <w:pPr>
        <w:jc w:val="both"/>
        <w:rPr>
          <w:rFonts w:ascii="Times New Roman" w:hAnsi="Times New Roman" w:cs="Times New Roman"/>
          <w:szCs w:val="22"/>
        </w:rPr>
      </w:pPr>
    </w:p>
    <w:p w14:paraId="2A7FF6B0">
      <w:pPr>
        <w:jc w:val="both"/>
        <w:rPr>
          <w:rFonts w:ascii="Times New Roman" w:hAnsi="Times New Roman" w:cs="Times New Roman"/>
          <w:szCs w:val="22"/>
        </w:rPr>
      </w:pPr>
    </w:p>
    <w:p w14:paraId="14956D44">
      <w:pPr>
        <w:jc w:val="both"/>
        <w:rPr>
          <w:rFonts w:ascii="Times New Roman" w:hAnsi="Times New Roman" w:cs="Times New Roman"/>
          <w:szCs w:val="22"/>
        </w:rPr>
      </w:pPr>
    </w:p>
    <w:p w14:paraId="53D4A488">
      <w:pPr>
        <w:jc w:val="both"/>
        <w:rPr>
          <w:rFonts w:ascii="Times New Roman" w:hAnsi="Times New Roman" w:cs="Times New Roman"/>
          <w:szCs w:val="22"/>
        </w:rPr>
      </w:pPr>
    </w:p>
    <w:p w14:paraId="28E5C246">
      <w:pPr>
        <w:jc w:val="both"/>
        <w:rPr>
          <w:rFonts w:ascii="Times New Roman" w:hAnsi="Times New Roman" w:cs="Times New Roman"/>
          <w:szCs w:val="22"/>
        </w:rPr>
      </w:pPr>
    </w:p>
    <w:sdt>
      <w:sdtPr>
        <w:rPr>
          <w:rFonts w:ascii="宋体" w:hAnsi="宋体" w:eastAsia="宋体" w:cstheme="minorBidi"/>
          <w:b/>
          <w:bCs/>
          <w:kern w:val="2"/>
          <w:sz w:val="28"/>
          <w:szCs w:val="36"/>
          <w:lang w:val="en-US" w:eastAsia="zh-CN" w:bidi="ar-SA"/>
          <w14:ligatures w14:val="standardContextual"/>
        </w:rPr>
        <w:id w:val="147468985"/>
        <w15:color w:val="DBDBDB"/>
        <w:docPartObj>
          <w:docPartGallery w:val="Table of Contents"/>
          <w:docPartUnique/>
        </w:docPartObj>
      </w:sdtPr>
      <w:sdtEndPr>
        <w:rPr>
          <w:rFonts w:ascii="Times New Roman" w:hAnsi="Times New Roman" w:cs="Times New Roman" w:eastAsiaTheme="minorEastAsia"/>
          <w:kern w:val="2"/>
          <w:sz w:val="22"/>
          <w:szCs w:val="22"/>
          <w:lang w:val="en-US" w:eastAsia="zh-CN" w:bidi="ar-SA"/>
          <w14:ligatures w14:val="standardContextual"/>
        </w:rPr>
      </w:sdtEndPr>
      <w:sdtContent>
        <w:p w14:paraId="4F99A9FD">
          <w:pPr>
            <w:spacing w:before="0" w:beforeLines="0" w:after="0" w:afterLines="0" w:line="240" w:lineRule="auto"/>
            <w:ind w:left="0" w:leftChars="0" w:right="0" w:rightChars="0" w:firstLine="0" w:firstLineChars="0"/>
            <w:jc w:val="center"/>
            <w:rPr>
              <w:rFonts w:hint="default" w:ascii="Times New Roman" w:hAnsi="Times New Roman" w:eastAsia="宋体" w:cs="Times New Roman"/>
              <w:b/>
              <w:bCs/>
              <w:sz w:val="32"/>
              <w:szCs w:val="32"/>
              <w:lang w:val="en-US" w:eastAsia="zh-CN"/>
            </w:rPr>
          </w:pPr>
          <w:r>
            <w:rPr>
              <w:rFonts w:hint="default" w:ascii="Times New Roman" w:hAnsi="Times New Roman" w:eastAsia="宋体" w:cs="Times New Roman"/>
              <w:b/>
              <w:bCs/>
              <w:sz w:val="32"/>
              <w:szCs w:val="32"/>
              <w:lang w:val="en-US" w:eastAsia="zh-CN"/>
            </w:rPr>
            <w:t>TABL</w:t>
          </w:r>
          <w:r>
            <w:rPr>
              <w:rFonts w:hint="eastAsia" w:ascii="Times New Roman" w:hAnsi="Times New Roman" w:eastAsia="宋体" w:cs="Times New Roman"/>
              <w:b/>
              <w:bCs/>
              <w:sz w:val="32"/>
              <w:szCs w:val="32"/>
              <w:lang w:val="en-US" w:eastAsia="zh-CN"/>
            </w:rPr>
            <w:t>E</w:t>
          </w:r>
          <w:r>
            <w:rPr>
              <w:rFonts w:hint="default" w:ascii="Times New Roman" w:hAnsi="Times New Roman" w:eastAsia="宋体" w:cs="Times New Roman"/>
              <w:b/>
              <w:bCs/>
              <w:sz w:val="32"/>
              <w:szCs w:val="32"/>
              <w:lang w:val="en-US" w:eastAsia="zh-CN"/>
            </w:rPr>
            <w:t xml:space="preserve"> OF CONTENT</w:t>
          </w:r>
        </w:p>
        <w:p w14:paraId="2952B860">
          <w:pPr>
            <w:pStyle w:val="28"/>
            <w:tabs>
              <w:tab w:val="right" w:pos="8306"/>
            </w:tabs>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TOC \o "1-3" \h \u </w:instrText>
          </w:r>
          <w:r>
            <w:rPr>
              <w:rFonts w:hint="default" w:ascii="Times New Roman" w:hAnsi="Times New Roman" w:cs="Times New Roman"/>
              <w:sz w:val="22"/>
              <w:szCs w:val="22"/>
            </w:rPr>
            <w:fldChar w:fldCharType="separate"/>
          </w:r>
          <w:r>
            <w:rPr>
              <w:rFonts w:hint="default" w:ascii="Times New Roman" w:hAnsi="Times New Roman" w:cs="Times New Roman"/>
              <w:b/>
              <w:bCs/>
              <w:sz w:val="22"/>
              <w:szCs w:val="22"/>
            </w:rPr>
            <w:fldChar w:fldCharType="begin"/>
          </w:r>
          <w:r>
            <w:rPr>
              <w:rFonts w:hint="default" w:ascii="Times New Roman" w:hAnsi="Times New Roman" w:cs="Times New Roman"/>
              <w:b/>
              <w:bCs/>
              <w:sz w:val="22"/>
              <w:szCs w:val="22"/>
            </w:rPr>
            <w:instrText xml:space="preserve"> HYPERLINK \l _Toc18496 </w:instrText>
          </w:r>
          <w:r>
            <w:rPr>
              <w:rFonts w:hint="default" w:ascii="Times New Roman" w:hAnsi="Times New Roman" w:cs="Times New Roman"/>
              <w:b/>
              <w:bCs/>
              <w:sz w:val="22"/>
              <w:szCs w:val="22"/>
            </w:rPr>
            <w:fldChar w:fldCharType="separate"/>
          </w:r>
          <w:r>
            <w:rPr>
              <w:rFonts w:hint="default" w:ascii="Times New Roman" w:hAnsi="Times New Roman" w:cs="Times New Roman"/>
              <w:b/>
              <w:bCs/>
              <w:sz w:val="22"/>
              <w:szCs w:val="22"/>
            </w:rPr>
            <w:t>Part 1</w:t>
          </w:r>
          <w:r>
            <w:rPr>
              <w:rFonts w:hint="default" w:ascii="Times New Roman" w:hAnsi="Times New Roman" w:cs="Times New Roman"/>
              <w:b/>
              <w:bCs/>
              <w:sz w:val="22"/>
              <w:szCs w:val="22"/>
              <w:lang w:val="en-US" w:eastAsia="zh-CN"/>
            </w:rPr>
            <w:t xml:space="preserve">  </w:t>
          </w:r>
          <w:r>
            <w:rPr>
              <w:rFonts w:hint="default" w:ascii="Times New Roman" w:hAnsi="Times New Roman" w:cs="Times New Roman"/>
              <w:b/>
              <w:bCs/>
              <w:sz w:val="22"/>
              <w:szCs w:val="22"/>
            </w:rPr>
            <w:t>Understanding the Literature Review</w:t>
          </w:r>
          <w:r>
            <w:rPr>
              <w:rFonts w:hint="default" w:ascii="Times New Roman" w:hAnsi="Times New Roman" w:cs="Times New Roman"/>
              <w:b/>
              <w:bCs/>
              <w:sz w:val="22"/>
              <w:szCs w:val="22"/>
            </w:rPr>
            <w:tab/>
          </w:r>
          <w:r>
            <w:rPr>
              <w:rFonts w:hint="default" w:ascii="Times New Roman" w:hAnsi="Times New Roman" w:cs="Times New Roman"/>
              <w:b/>
              <w:bCs/>
              <w:sz w:val="22"/>
              <w:szCs w:val="22"/>
            </w:rPr>
            <w:fldChar w:fldCharType="begin"/>
          </w:r>
          <w:r>
            <w:rPr>
              <w:rFonts w:hint="default" w:ascii="Times New Roman" w:hAnsi="Times New Roman" w:cs="Times New Roman"/>
              <w:b/>
              <w:bCs/>
              <w:sz w:val="22"/>
              <w:szCs w:val="22"/>
            </w:rPr>
            <w:instrText xml:space="preserve"> PAGEREF _Toc18496 \h </w:instrText>
          </w:r>
          <w:r>
            <w:rPr>
              <w:rFonts w:hint="default" w:ascii="Times New Roman" w:hAnsi="Times New Roman" w:cs="Times New Roman"/>
              <w:b/>
              <w:bCs/>
              <w:sz w:val="22"/>
              <w:szCs w:val="22"/>
            </w:rPr>
            <w:fldChar w:fldCharType="separate"/>
          </w:r>
          <w:r>
            <w:rPr>
              <w:rFonts w:hint="default" w:ascii="Times New Roman" w:hAnsi="Times New Roman" w:cs="Times New Roman"/>
              <w:b/>
              <w:bCs/>
              <w:sz w:val="22"/>
              <w:szCs w:val="22"/>
            </w:rPr>
            <w:t>5</w:t>
          </w:r>
          <w:r>
            <w:rPr>
              <w:rFonts w:hint="default" w:ascii="Times New Roman" w:hAnsi="Times New Roman" w:cs="Times New Roman"/>
              <w:b/>
              <w:bCs/>
              <w:sz w:val="22"/>
              <w:szCs w:val="22"/>
            </w:rPr>
            <w:fldChar w:fldCharType="end"/>
          </w:r>
          <w:r>
            <w:rPr>
              <w:rFonts w:hint="default" w:ascii="Times New Roman" w:hAnsi="Times New Roman" w:cs="Times New Roman"/>
              <w:b/>
              <w:bCs/>
              <w:sz w:val="22"/>
              <w:szCs w:val="22"/>
            </w:rPr>
            <w:fldChar w:fldCharType="end"/>
          </w:r>
        </w:p>
        <w:p w14:paraId="180F3624">
          <w:pPr>
            <w:pStyle w:val="31"/>
            <w:tabs>
              <w:tab w:val="right" w:pos="8306"/>
            </w:tabs>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_Toc8201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rPr>
            <w:t>1.1 Introduction</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_Toc8201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6</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53C56B81">
          <w:pPr>
            <w:pStyle w:val="31"/>
            <w:tabs>
              <w:tab w:val="right" w:pos="8306"/>
            </w:tabs>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_Toc1761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rPr>
            <w:t>1.2 Literature review in research</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_Toc1761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6</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385CB6FB">
          <w:pPr>
            <w:pStyle w:val="25"/>
            <w:tabs>
              <w:tab w:val="right" w:pos="8306"/>
            </w:tabs>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_Toc26384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rPr>
            <w:t>1.2.1 Learn from previous research.</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_Toc26384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6</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15876765">
          <w:pPr>
            <w:pStyle w:val="25"/>
            <w:tabs>
              <w:tab w:val="right" w:pos="8306"/>
            </w:tabs>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_Toc11284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rPr>
            <w:t>1.2.2 Provide a context and refine the topic.</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_Toc11284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7</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6F8EBCC9">
          <w:pPr>
            <w:pStyle w:val="25"/>
            <w:tabs>
              <w:tab w:val="right" w:pos="8306"/>
            </w:tabs>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_Toc326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rPr>
            <w:t>1.2.3 Define gaps and provide justifications for the study.</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_Toc326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7</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71FE4557">
          <w:pPr>
            <w:pStyle w:val="25"/>
            <w:tabs>
              <w:tab w:val="right" w:pos="8306"/>
            </w:tabs>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_Toc22051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rPr>
            <w:t>1.2.4 Research gaps and objective of your study</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_Toc22051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7</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6D180C7E">
          <w:pPr>
            <w:pStyle w:val="31"/>
            <w:tabs>
              <w:tab w:val="right" w:pos="8306"/>
            </w:tabs>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_Toc22175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rPr>
            <w:t>1.3 Methods of Literature Review</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_Toc22175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8</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1B347CF3">
          <w:pPr>
            <w:pStyle w:val="25"/>
            <w:tabs>
              <w:tab w:val="right" w:pos="8306"/>
            </w:tabs>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_Toc8866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rPr>
            <w:t>1.3.1 Narrative Literature Review</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_Toc8866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8</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69A318A4">
          <w:pPr>
            <w:pStyle w:val="25"/>
            <w:tabs>
              <w:tab w:val="right" w:pos="8306"/>
            </w:tabs>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_Toc13860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rPr>
            <w:t>1.3.2 Systematic Literature Review</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_Toc13860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8</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162959A6">
          <w:pPr>
            <w:pStyle w:val="25"/>
            <w:tabs>
              <w:tab w:val="right" w:pos="8306"/>
            </w:tabs>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_Toc13616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rPr>
            <w:t>1.3.3 Mapping Review</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_Toc13616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9</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7584A1E5">
          <w:pPr>
            <w:pStyle w:val="25"/>
            <w:tabs>
              <w:tab w:val="right" w:pos="8306"/>
            </w:tabs>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_Toc27336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rPr>
            <w:t>1.3.4 Critical Comparison of the Three Approaches</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_Toc27336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9</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4D33D3BE">
          <w:pPr>
            <w:pStyle w:val="31"/>
            <w:tabs>
              <w:tab w:val="right" w:pos="8306"/>
            </w:tabs>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_Toc21370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rPr>
            <w:t>1.4 Conclusion</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_Toc21370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11</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25B6929B">
          <w:pPr>
            <w:pStyle w:val="31"/>
            <w:tabs>
              <w:tab w:val="right" w:pos="8306"/>
            </w:tabs>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_Toc22500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rPr>
            <w:t>Reference List</w:t>
          </w:r>
          <w:r>
            <w:rPr>
              <w:rFonts w:hint="default" w:ascii="Times New Roman" w:hAnsi="Times New Roman" w:cs="Times New Roman"/>
              <w:sz w:val="22"/>
              <w:szCs w:val="22"/>
            </w:rPr>
            <w:t xml:space="preserve"> </w:t>
          </w:r>
          <w:r>
            <w:rPr>
              <w:rFonts w:hint="default" w:ascii="Times New Roman" w:hAnsi="Times New Roman" w:cs="Times New Roman"/>
              <w:bCs/>
              <w:sz w:val="22"/>
              <w:szCs w:val="22"/>
            </w:rPr>
            <w:t>for Part 1</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_Toc22500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12</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1F1DA8CF">
          <w:pPr>
            <w:pStyle w:val="28"/>
            <w:tabs>
              <w:tab w:val="right" w:pos="8306"/>
            </w:tabs>
            <w:jc w:val="both"/>
            <w:rPr>
              <w:rFonts w:hint="default" w:ascii="Times New Roman" w:hAnsi="Times New Roman" w:cs="Times New Roman"/>
              <w:b/>
              <w:bCs/>
              <w:sz w:val="22"/>
              <w:szCs w:val="22"/>
            </w:rPr>
          </w:pPr>
          <w:r>
            <w:rPr>
              <w:rFonts w:hint="default" w:ascii="Times New Roman" w:hAnsi="Times New Roman" w:cs="Times New Roman"/>
              <w:b/>
              <w:bCs/>
              <w:sz w:val="22"/>
              <w:szCs w:val="22"/>
            </w:rPr>
            <w:fldChar w:fldCharType="begin"/>
          </w:r>
          <w:r>
            <w:rPr>
              <w:rFonts w:hint="default" w:ascii="Times New Roman" w:hAnsi="Times New Roman" w:cs="Times New Roman"/>
              <w:b/>
              <w:bCs/>
              <w:sz w:val="22"/>
              <w:szCs w:val="22"/>
            </w:rPr>
            <w:instrText xml:space="preserve"> HYPERLINK \l _Toc15953 </w:instrText>
          </w:r>
          <w:r>
            <w:rPr>
              <w:rFonts w:hint="default" w:ascii="Times New Roman" w:hAnsi="Times New Roman" w:cs="Times New Roman"/>
              <w:b/>
              <w:bCs/>
              <w:sz w:val="22"/>
              <w:szCs w:val="22"/>
            </w:rPr>
            <w:fldChar w:fldCharType="separate"/>
          </w:r>
          <w:r>
            <w:rPr>
              <w:rFonts w:hint="default" w:ascii="Times New Roman" w:hAnsi="Times New Roman" w:cs="Times New Roman"/>
              <w:b/>
              <w:bCs/>
              <w:sz w:val="22"/>
              <w:szCs w:val="22"/>
            </w:rPr>
            <w:t>Part 2</w:t>
          </w:r>
          <w:r>
            <w:rPr>
              <w:rFonts w:hint="default" w:ascii="Times New Roman" w:hAnsi="Times New Roman" w:cs="Times New Roman"/>
              <w:b/>
              <w:bCs/>
              <w:sz w:val="22"/>
              <w:szCs w:val="22"/>
              <w:lang w:val="en-US" w:eastAsia="zh-CN"/>
            </w:rPr>
            <w:t xml:space="preserve">  </w:t>
          </w:r>
          <w:r>
            <w:rPr>
              <w:rFonts w:hint="default" w:ascii="Times New Roman" w:hAnsi="Times New Roman" w:cs="Times New Roman"/>
              <w:b/>
              <w:bCs/>
              <w:sz w:val="22"/>
              <w:szCs w:val="22"/>
            </w:rPr>
            <w:t>Annotated Bibliography</w:t>
          </w:r>
          <w:r>
            <w:rPr>
              <w:rFonts w:hint="default" w:ascii="Times New Roman" w:hAnsi="Times New Roman" w:cs="Times New Roman"/>
              <w:b/>
              <w:bCs/>
              <w:sz w:val="22"/>
              <w:szCs w:val="22"/>
            </w:rPr>
            <w:tab/>
          </w:r>
          <w:r>
            <w:rPr>
              <w:rFonts w:hint="default" w:ascii="Times New Roman" w:hAnsi="Times New Roman" w:cs="Times New Roman"/>
              <w:b/>
              <w:bCs/>
              <w:sz w:val="22"/>
              <w:szCs w:val="22"/>
            </w:rPr>
            <w:fldChar w:fldCharType="begin"/>
          </w:r>
          <w:r>
            <w:rPr>
              <w:rFonts w:hint="default" w:ascii="Times New Roman" w:hAnsi="Times New Roman" w:cs="Times New Roman"/>
              <w:b/>
              <w:bCs/>
              <w:sz w:val="22"/>
              <w:szCs w:val="22"/>
            </w:rPr>
            <w:instrText xml:space="preserve"> PAGEREF _Toc15953 \h </w:instrText>
          </w:r>
          <w:r>
            <w:rPr>
              <w:rFonts w:hint="default" w:ascii="Times New Roman" w:hAnsi="Times New Roman" w:cs="Times New Roman"/>
              <w:b/>
              <w:bCs/>
              <w:sz w:val="22"/>
              <w:szCs w:val="22"/>
            </w:rPr>
            <w:fldChar w:fldCharType="separate"/>
          </w:r>
          <w:r>
            <w:rPr>
              <w:rFonts w:hint="default" w:ascii="Times New Roman" w:hAnsi="Times New Roman" w:cs="Times New Roman"/>
              <w:b/>
              <w:bCs/>
              <w:sz w:val="22"/>
              <w:szCs w:val="22"/>
            </w:rPr>
            <w:t>14</w:t>
          </w:r>
          <w:r>
            <w:rPr>
              <w:rFonts w:hint="default" w:ascii="Times New Roman" w:hAnsi="Times New Roman" w:cs="Times New Roman"/>
              <w:b/>
              <w:bCs/>
              <w:sz w:val="22"/>
              <w:szCs w:val="22"/>
            </w:rPr>
            <w:fldChar w:fldCharType="end"/>
          </w:r>
          <w:r>
            <w:rPr>
              <w:rFonts w:hint="default" w:ascii="Times New Roman" w:hAnsi="Times New Roman" w:cs="Times New Roman"/>
              <w:b/>
              <w:bCs/>
              <w:sz w:val="22"/>
              <w:szCs w:val="22"/>
            </w:rPr>
            <w:fldChar w:fldCharType="end"/>
          </w:r>
        </w:p>
        <w:p w14:paraId="4F5A346B">
          <w:pPr>
            <w:pStyle w:val="28"/>
            <w:tabs>
              <w:tab w:val="right" w:pos="8306"/>
            </w:tabs>
            <w:jc w:val="both"/>
            <w:rPr>
              <w:rFonts w:hint="default" w:ascii="Times New Roman" w:hAnsi="Times New Roman" w:cs="Times New Roman"/>
              <w:sz w:val="22"/>
              <w:szCs w:val="22"/>
            </w:rPr>
          </w:pPr>
          <w:r>
            <w:rPr>
              <w:rFonts w:hint="default" w:ascii="Times New Roman" w:hAnsi="Times New Roman" w:cs="Times New Roman"/>
              <w:b/>
              <w:bCs/>
              <w:sz w:val="22"/>
              <w:szCs w:val="22"/>
            </w:rPr>
            <w:fldChar w:fldCharType="begin"/>
          </w:r>
          <w:r>
            <w:rPr>
              <w:rFonts w:hint="default" w:ascii="Times New Roman" w:hAnsi="Times New Roman" w:cs="Times New Roman"/>
              <w:b/>
              <w:bCs/>
              <w:sz w:val="22"/>
              <w:szCs w:val="22"/>
            </w:rPr>
            <w:instrText xml:space="preserve"> HYPERLINK \l _Toc21951 </w:instrText>
          </w:r>
          <w:r>
            <w:rPr>
              <w:rFonts w:hint="default" w:ascii="Times New Roman" w:hAnsi="Times New Roman" w:cs="Times New Roman"/>
              <w:b/>
              <w:bCs/>
              <w:sz w:val="22"/>
              <w:szCs w:val="22"/>
            </w:rPr>
            <w:fldChar w:fldCharType="separate"/>
          </w:r>
          <w:r>
            <w:rPr>
              <w:rFonts w:hint="default" w:ascii="Times New Roman" w:hAnsi="Times New Roman" w:cs="Times New Roman"/>
              <w:b/>
              <w:bCs/>
              <w:sz w:val="22"/>
              <w:szCs w:val="22"/>
            </w:rPr>
            <w:t>Part 3</w:t>
          </w:r>
          <w:r>
            <w:rPr>
              <w:rFonts w:hint="default" w:ascii="Times New Roman" w:hAnsi="Times New Roman" w:cs="Times New Roman"/>
              <w:b/>
              <w:bCs/>
              <w:sz w:val="22"/>
              <w:szCs w:val="22"/>
              <w:lang w:val="en-US" w:eastAsia="zh-CN"/>
            </w:rPr>
            <w:t xml:space="preserve">  </w:t>
          </w:r>
          <w:r>
            <w:rPr>
              <w:rFonts w:hint="default" w:ascii="Times New Roman" w:hAnsi="Times New Roman" w:cs="Times New Roman"/>
              <w:b/>
              <w:bCs/>
              <w:sz w:val="22"/>
              <w:szCs w:val="22"/>
            </w:rPr>
            <w:t>Preliminary Review of Literatur</w:t>
          </w:r>
          <w:r>
            <w:rPr>
              <w:rFonts w:hint="eastAsia" w:ascii="Times New Roman" w:hAnsi="Times New Roman" w:cs="Times New Roman"/>
              <w:b/>
              <w:bCs/>
              <w:sz w:val="22"/>
              <w:szCs w:val="22"/>
              <w:lang w:val="en-US" w:eastAsia="zh-CN"/>
            </w:rPr>
            <w:t>e</w:t>
          </w:r>
          <w:r>
            <w:rPr>
              <w:rFonts w:hint="default" w:ascii="Times New Roman" w:hAnsi="Times New Roman" w:cs="Times New Roman"/>
              <w:b/>
              <w:bCs/>
              <w:sz w:val="22"/>
              <w:szCs w:val="22"/>
            </w:rPr>
            <w:tab/>
          </w:r>
          <w:r>
            <w:rPr>
              <w:rFonts w:hint="default" w:ascii="Times New Roman" w:hAnsi="Times New Roman" w:cs="Times New Roman"/>
              <w:b/>
              <w:bCs/>
              <w:sz w:val="22"/>
              <w:szCs w:val="22"/>
            </w:rPr>
            <w:fldChar w:fldCharType="begin"/>
          </w:r>
          <w:r>
            <w:rPr>
              <w:rFonts w:hint="default" w:ascii="Times New Roman" w:hAnsi="Times New Roman" w:cs="Times New Roman"/>
              <w:b/>
              <w:bCs/>
              <w:sz w:val="22"/>
              <w:szCs w:val="22"/>
            </w:rPr>
            <w:instrText xml:space="preserve"> PAGEREF _Toc21951 \h </w:instrText>
          </w:r>
          <w:r>
            <w:rPr>
              <w:rFonts w:hint="default" w:ascii="Times New Roman" w:hAnsi="Times New Roman" w:cs="Times New Roman"/>
              <w:b/>
              <w:bCs/>
              <w:sz w:val="22"/>
              <w:szCs w:val="22"/>
            </w:rPr>
            <w:fldChar w:fldCharType="separate"/>
          </w:r>
          <w:r>
            <w:rPr>
              <w:rFonts w:hint="default" w:ascii="Times New Roman" w:hAnsi="Times New Roman" w:cs="Times New Roman"/>
              <w:b/>
              <w:bCs/>
              <w:sz w:val="22"/>
              <w:szCs w:val="22"/>
            </w:rPr>
            <w:t>41</w:t>
          </w:r>
          <w:r>
            <w:rPr>
              <w:rFonts w:hint="default" w:ascii="Times New Roman" w:hAnsi="Times New Roman" w:cs="Times New Roman"/>
              <w:b/>
              <w:bCs/>
              <w:sz w:val="22"/>
              <w:szCs w:val="22"/>
            </w:rPr>
            <w:fldChar w:fldCharType="end"/>
          </w:r>
          <w:r>
            <w:rPr>
              <w:rFonts w:hint="default" w:ascii="Times New Roman" w:hAnsi="Times New Roman" w:cs="Times New Roman"/>
              <w:b/>
              <w:bCs/>
              <w:sz w:val="22"/>
              <w:szCs w:val="22"/>
            </w:rPr>
            <w:fldChar w:fldCharType="end"/>
          </w:r>
        </w:p>
        <w:p w14:paraId="17289985">
          <w:pPr>
            <w:pStyle w:val="31"/>
            <w:tabs>
              <w:tab w:val="right" w:pos="8306"/>
            </w:tabs>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_Toc9301 </w:instrText>
          </w:r>
          <w:r>
            <w:rPr>
              <w:rFonts w:hint="default" w:ascii="Times New Roman" w:hAnsi="Times New Roman" w:cs="Times New Roman"/>
              <w:sz w:val="22"/>
              <w:szCs w:val="22"/>
            </w:rPr>
            <w:fldChar w:fldCharType="separate"/>
          </w:r>
          <w:r>
            <w:rPr>
              <w:rFonts w:hint="default" w:ascii="Times New Roman" w:hAnsi="Times New Roman" w:eastAsia="宋体" w:cs="Times New Roman"/>
              <w:sz w:val="22"/>
              <w:szCs w:val="22"/>
            </w:rPr>
            <w:t>3.1 Introduction</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_Toc9301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42</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66AC0C91">
          <w:pPr>
            <w:pStyle w:val="31"/>
            <w:tabs>
              <w:tab w:val="right" w:pos="8306"/>
            </w:tabs>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_Toc24823 </w:instrText>
          </w:r>
          <w:r>
            <w:rPr>
              <w:rFonts w:hint="default" w:ascii="Times New Roman" w:hAnsi="Times New Roman" w:cs="Times New Roman"/>
              <w:sz w:val="22"/>
              <w:szCs w:val="22"/>
            </w:rPr>
            <w:fldChar w:fldCharType="separate"/>
          </w:r>
          <w:r>
            <w:rPr>
              <w:rFonts w:hint="default" w:ascii="Times New Roman" w:hAnsi="Times New Roman" w:eastAsia="宋体" w:cs="Times New Roman"/>
              <w:sz w:val="22"/>
              <w:szCs w:val="22"/>
              <w:lang w:eastAsia="zh-CN"/>
            </w:rPr>
            <w:t>3.2 Key Aim</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_Toc24823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42</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666222A7">
          <w:pPr>
            <w:pStyle w:val="31"/>
            <w:tabs>
              <w:tab w:val="right" w:pos="8306"/>
            </w:tabs>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_Toc13702 </w:instrText>
          </w:r>
          <w:r>
            <w:rPr>
              <w:rFonts w:hint="default" w:ascii="Times New Roman" w:hAnsi="Times New Roman" w:cs="Times New Roman"/>
              <w:sz w:val="22"/>
              <w:szCs w:val="22"/>
            </w:rPr>
            <w:fldChar w:fldCharType="separate"/>
          </w:r>
          <w:r>
            <w:rPr>
              <w:rFonts w:hint="default" w:ascii="Times New Roman" w:hAnsi="Times New Roman" w:eastAsia="宋体" w:cs="Times New Roman"/>
              <w:sz w:val="22"/>
              <w:szCs w:val="22"/>
            </w:rPr>
            <w:t>3.3 Defining Key Terms</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_Toc13702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42</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5FFADA61">
          <w:pPr>
            <w:pStyle w:val="31"/>
            <w:tabs>
              <w:tab w:val="right" w:pos="8306"/>
            </w:tabs>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_Toc30120 </w:instrText>
          </w:r>
          <w:r>
            <w:rPr>
              <w:rFonts w:hint="default" w:ascii="Times New Roman" w:hAnsi="Times New Roman" w:cs="Times New Roman"/>
              <w:sz w:val="22"/>
              <w:szCs w:val="22"/>
            </w:rPr>
            <w:fldChar w:fldCharType="separate"/>
          </w:r>
          <w:r>
            <w:rPr>
              <w:rFonts w:hint="default" w:ascii="Times New Roman" w:hAnsi="Times New Roman" w:eastAsia="宋体" w:cs="Times New Roman"/>
              <w:sz w:val="22"/>
              <w:szCs w:val="22"/>
            </w:rPr>
            <w:t>3.4 Mapping AI Adoption and Employee Responses</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_Toc30120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44</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47238EAF">
          <w:pPr>
            <w:pStyle w:val="31"/>
            <w:tabs>
              <w:tab w:val="right" w:pos="8306"/>
            </w:tabs>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_Toc9283 </w:instrText>
          </w:r>
          <w:r>
            <w:rPr>
              <w:rFonts w:hint="default" w:ascii="Times New Roman" w:hAnsi="Times New Roman" w:cs="Times New Roman"/>
              <w:sz w:val="22"/>
              <w:szCs w:val="22"/>
            </w:rPr>
            <w:fldChar w:fldCharType="separate"/>
          </w:r>
          <w:r>
            <w:rPr>
              <w:rFonts w:hint="default" w:ascii="Times New Roman" w:hAnsi="Times New Roman" w:eastAsia="宋体" w:cs="Times New Roman"/>
              <w:sz w:val="22"/>
              <w:szCs w:val="22"/>
            </w:rPr>
            <w:t>3.5 Drivers and Barriers Influencing Employee Responses</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_Toc9283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45</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65187E70">
          <w:pPr>
            <w:pStyle w:val="31"/>
            <w:tabs>
              <w:tab w:val="right" w:pos="8306"/>
            </w:tabs>
            <w:ind w:leftChars="400"/>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_Toc4635 </w:instrText>
          </w:r>
          <w:r>
            <w:rPr>
              <w:rFonts w:hint="default" w:ascii="Times New Roman" w:hAnsi="Times New Roman" w:cs="Times New Roman"/>
              <w:sz w:val="22"/>
              <w:szCs w:val="22"/>
            </w:rPr>
            <w:fldChar w:fldCharType="separate"/>
          </w:r>
          <w:r>
            <w:rPr>
              <w:rFonts w:hint="default" w:ascii="Times New Roman" w:hAnsi="Times New Roman" w:eastAsia="宋体" w:cs="Times New Roman"/>
              <w:sz w:val="22"/>
              <w:szCs w:val="22"/>
              <w:lang w:eastAsia="zh-CN"/>
            </w:rPr>
            <w:t>3.5.1 Drivers Influencing Employee Responses</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_Toc4635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45</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149F3178">
          <w:pPr>
            <w:pStyle w:val="31"/>
            <w:tabs>
              <w:tab w:val="right" w:pos="8306"/>
            </w:tabs>
            <w:ind w:leftChars="400"/>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_Toc18310 </w:instrText>
          </w:r>
          <w:r>
            <w:rPr>
              <w:rFonts w:hint="default" w:ascii="Times New Roman" w:hAnsi="Times New Roman" w:cs="Times New Roman"/>
              <w:sz w:val="22"/>
              <w:szCs w:val="22"/>
            </w:rPr>
            <w:fldChar w:fldCharType="separate"/>
          </w:r>
          <w:r>
            <w:rPr>
              <w:rFonts w:hint="default" w:ascii="Times New Roman" w:hAnsi="Times New Roman" w:eastAsia="宋体" w:cs="Times New Roman"/>
              <w:sz w:val="22"/>
              <w:szCs w:val="22"/>
              <w:lang w:eastAsia="zh-CN"/>
            </w:rPr>
            <w:t>3.5.2 Barriers Influencing Employee Responses</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_Toc18310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46</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34A3B6E7">
          <w:pPr>
            <w:pStyle w:val="31"/>
            <w:tabs>
              <w:tab w:val="right" w:pos="8306"/>
            </w:tabs>
            <w:ind w:leftChars="400"/>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_Toc9890 </w:instrText>
          </w:r>
          <w:r>
            <w:rPr>
              <w:rFonts w:hint="default" w:ascii="Times New Roman" w:hAnsi="Times New Roman" w:cs="Times New Roman"/>
              <w:sz w:val="22"/>
              <w:szCs w:val="22"/>
            </w:rPr>
            <w:fldChar w:fldCharType="separate"/>
          </w:r>
          <w:r>
            <w:rPr>
              <w:rFonts w:hint="default" w:ascii="Times New Roman" w:hAnsi="Times New Roman" w:eastAsia="宋体" w:cs="Times New Roman"/>
              <w:sz w:val="22"/>
              <w:szCs w:val="22"/>
              <w:lang w:eastAsia="zh-CN"/>
            </w:rPr>
            <w:t>3.5.3 Critical Synthesis of Drivers and Barriers</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_Toc9890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46</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5E17D86C">
          <w:pPr>
            <w:pStyle w:val="31"/>
            <w:tabs>
              <w:tab w:val="right" w:pos="8306"/>
            </w:tabs>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_Toc22184 </w:instrText>
          </w:r>
          <w:r>
            <w:rPr>
              <w:rFonts w:hint="default" w:ascii="Times New Roman" w:hAnsi="Times New Roman" w:cs="Times New Roman"/>
              <w:sz w:val="22"/>
              <w:szCs w:val="22"/>
            </w:rPr>
            <w:fldChar w:fldCharType="separate"/>
          </w:r>
          <w:r>
            <w:rPr>
              <w:rFonts w:hint="default" w:ascii="Times New Roman" w:hAnsi="Times New Roman" w:eastAsia="宋体" w:cs="Times New Roman"/>
              <w:sz w:val="22"/>
              <w:szCs w:val="22"/>
              <w:lang w:eastAsia="zh-CN"/>
            </w:rPr>
            <w:t>3.6 Organisational Support and Employee Adaptation</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_Toc22184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47</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0BF25FE2">
          <w:pPr>
            <w:pStyle w:val="31"/>
            <w:tabs>
              <w:tab w:val="right" w:pos="8306"/>
            </w:tabs>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_Toc15410 </w:instrText>
          </w:r>
          <w:r>
            <w:rPr>
              <w:rFonts w:hint="default" w:ascii="Times New Roman" w:hAnsi="Times New Roman" w:cs="Times New Roman"/>
              <w:sz w:val="22"/>
              <w:szCs w:val="22"/>
            </w:rPr>
            <w:fldChar w:fldCharType="separate"/>
          </w:r>
          <w:r>
            <w:rPr>
              <w:rFonts w:hint="default" w:ascii="Times New Roman" w:hAnsi="Times New Roman" w:eastAsia="宋体" w:cs="Times New Roman"/>
              <w:sz w:val="22"/>
              <w:szCs w:val="22"/>
              <w:lang w:eastAsia="zh-CN"/>
            </w:rPr>
            <w:t>3.7 Critical Synthesis of Mapped Literature</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_Toc15410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47</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309634F3">
          <w:pPr>
            <w:pStyle w:val="31"/>
            <w:tabs>
              <w:tab w:val="right" w:pos="8306"/>
            </w:tabs>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_Toc20910 </w:instrText>
          </w:r>
          <w:r>
            <w:rPr>
              <w:rFonts w:hint="default" w:ascii="Times New Roman" w:hAnsi="Times New Roman" w:cs="Times New Roman"/>
              <w:sz w:val="22"/>
              <w:szCs w:val="22"/>
            </w:rPr>
            <w:fldChar w:fldCharType="separate"/>
          </w:r>
          <w:r>
            <w:rPr>
              <w:rFonts w:hint="default" w:ascii="Times New Roman" w:hAnsi="Times New Roman" w:eastAsia="宋体" w:cs="Times New Roman"/>
              <w:sz w:val="22"/>
              <w:szCs w:val="22"/>
              <w:lang w:eastAsia="zh-CN"/>
            </w:rPr>
            <w:t>3.8 Conclusion</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_Toc20910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48</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5233E9ED">
          <w:pPr>
            <w:pStyle w:val="31"/>
            <w:tabs>
              <w:tab w:val="right" w:pos="8306"/>
            </w:tabs>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_Toc2591 </w:instrText>
          </w:r>
          <w:r>
            <w:rPr>
              <w:rFonts w:hint="default" w:ascii="Times New Roman" w:hAnsi="Times New Roman" w:cs="Times New Roman"/>
              <w:sz w:val="22"/>
              <w:szCs w:val="22"/>
            </w:rPr>
            <w:fldChar w:fldCharType="separate"/>
          </w:r>
          <w:r>
            <w:rPr>
              <w:rFonts w:hint="default" w:ascii="Times New Roman" w:hAnsi="Times New Roman" w:eastAsia="宋体" w:cs="Times New Roman"/>
              <w:sz w:val="22"/>
              <w:szCs w:val="22"/>
              <w:lang w:eastAsia="zh-CN"/>
            </w:rPr>
            <w:t>3.9 Findings, Research Gaps &amp; Future Research</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_Toc2591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48</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23366E3D">
          <w:pPr>
            <w:pStyle w:val="31"/>
            <w:tabs>
              <w:tab w:val="right" w:pos="8306"/>
            </w:tabs>
            <w:ind w:leftChars="400"/>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_Toc21645 </w:instrText>
          </w:r>
          <w:r>
            <w:rPr>
              <w:rFonts w:hint="default" w:ascii="Times New Roman" w:hAnsi="Times New Roman" w:cs="Times New Roman"/>
              <w:sz w:val="22"/>
              <w:szCs w:val="22"/>
            </w:rPr>
            <w:fldChar w:fldCharType="separate"/>
          </w:r>
          <w:r>
            <w:rPr>
              <w:rFonts w:hint="default" w:ascii="Times New Roman" w:hAnsi="Times New Roman" w:eastAsia="宋体" w:cs="Times New Roman"/>
              <w:sz w:val="22"/>
              <w:szCs w:val="22"/>
              <w:lang w:eastAsia="zh-CN"/>
            </w:rPr>
            <w:t>3.9.1 Key Findings</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_Toc21645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48</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095A2D81">
          <w:pPr>
            <w:pStyle w:val="31"/>
            <w:tabs>
              <w:tab w:val="right" w:pos="8306"/>
            </w:tabs>
            <w:ind w:leftChars="400"/>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_Toc16048 </w:instrText>
          </w:r>
          <w:r>
            <w:rPr>
              <w:rFonts w:hint="default" w:ascii="Times New Roman" w:hAnsi="Times New Roman" w:cs="Times New Roman"/>
              <w:sz w:val="22"/>
              <w:szCs w:val="22"/>
            </w:rPr>
            <w:fldChar w:fldCharType="separate"/>
          </w:r>
          <w:r>
            <w:rPr>
              <w:rFonts w:hint="default" w:ascii="Times New Roman" w:hAnsi="Times New Roman" w:eastAsia="宋体" w:cs="Times New Roman"/>
              <w:sz w:val="22"/>
              <w:szCs w:val="22"/>
              <w:lang w:eastAsia="zh-CN"/>
            </w:rPr>
            <w:t>3.9.2 Research Gaps</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_Toc16048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49</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56685713">
          <w:pPr>
            <w:pStyle w:val="31"/>
            <w:tabs>
              <w:tab w:val="right" w:pos="8306"/>
            </w:tabs>
            <w:ind w:leftChars="400"/>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_Toc30196 </w:instrText>
          </w:r>
          <w:r>
            <w:rPr>
              <w:rFonts w:hint="default" w:ascii="Times New Roman" w:hAnsi="Times New Roman" w:cs="Times New Roman"/>
              <w:sz w:val="22"/>
              <w:szCs w:val="22"/>
            </w:rPr>
            <w:fldChar w:fldCharType="separate"/>
          </w:r>
          <w:r>
            <w:rPr>
              <w:rFonts w:hint="default" w:ascii="Times New Roman" w:hAnsi="Times New Roman" w:eastAsia="宋体" w:cs="Times New Roman"/>
              <w:sz w:val="22"/>
              <w:szCs w:val="22"/>
              <w:lang w:eastAsia="zh-CN"/>
            </w:rPr>
            <w:t>3.9.3 Future Research Directions</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_Toc30196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49</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2607AC59">
          <w:pPr>
            <w:pStyle w:val="31"/>
            <w:tabs>
              <w:tab w:val="right" w:pos="8306"/>
            </w:tabs>
            <w:jc w:val="both"/>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_Toc14674 </w:instrText>
          </w:r>
          <w:r>
            <w:rPr>
              <w:rFonts w:hint="default" w:ascii="Times New Roman" w:hAnsi="Times New Roman" w:cs="Times New Roman"/>
              <w:sz w:val="22"/>
              <w:szCs w:val="22"/>
            </w:rPr>
            <w:fldChar w:fldCharType="separate"/>
          </w:r>
          <w:r>
            <w:rPr>
              <w:rFonts w:hint="default" w:ascii="Times New Roman" w:hAnsi="Times New Roman" w:eastAsia="宋体" w:cs="Times New Roman"/>
              <w:bCs/>
              <w:sz w:val="22"/>
              <w:szCs w:val="22"/>
            </w:rPr>
            <w:t>Reference List for Part3</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_Toc14674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51</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14:paraId="602A2321">
          <w:pPr>
            <w:jc w:val="both"/>
            <w:rPr>
              <w:rFonts w:ascii="Times New Roman" w:hAnsi="Times New Roman" w:cs="Times New Roman" w:eastAsiaTheme="minorEastAsia"/>
              <w:kern w:val="2"/>
              <w:sz w:val="22"/>
              <w:szCs w:val="22"/>
              <w:lang w:val="en-US" w:eastAsia="zh-CN" w:bidi="ar-SA"/>
              <w14:ligatures w14:val="standardContextual"/>
            </w:rPr>
          </w:pPr>
          <w:r>
            <w:rPr>
              <w:rFonts w:hint="default" w:ascii="Times New Roman" w:hAnsi="Times New Roman" w:cs="Times New Roman"/>
              <w:sz w:val="22"/>
              <w:szCs w:val="22"/>
            </w:rPr>
            <w:fldChar w:fldCharType="end"/>
          </w:r>
        </w:p>
      </w:sdtContent>
    </w:sdt>
    <w:p w14:paraId="0F179893">
      <w:pPr>
        <w:jc w:val="both"/>
        <w:rPr>
          <w:rFonts w:ascii="Times New Roman" w:hAnsi="Times New Roman" w:cs="Times New Roman" w:eastAsiaTheme="minorEastAsia"/>
          <w:kern w:val="2"/>
          <w:sz w:val="22"/>
          <w:szCs w:val="22"/>
          <w:lang w:val="en-US" w:eastAsia="zh-CN" w:bidi="ar-SA"/>
          <w14:ligatures w14:val="standardContextual"/>
        </w:rPr>
      </w:pPr>
    </w:p>
    <w:p w14:paraId="52AE42C7">
      <w:pPr>
        <w:jc w:val="both"/>
        <w:rPr>
          <w:rFonts w:ascii="Times New Roman" w:hAnsi="Times New Roman" w:cs="Times New Roman"/>
          <w:szCs w:val="22"/>
        </w:rPr>
      </w:pPr>
    </w:p>
    <w:p w14:paraId="1DCEA1BA">
      <w:pPr>
        <w:jc w:val="both"/>
        <w:rPr>
          <w:rFonts w:ascii="Times New Roman" w:hAnsi="Times New Roman" w:cs="Times New Roman"/>
          <w:szCs w:val="22"/>
        </w:rPr>
      </w:pPr>
    </w:p>
    <w:p w14:paraId="11F9A210">
      <w:pPr>
        <w:jc w:val="both"/>
        <w:rPr>
          <w:rFonts w:ascii="Times New Roman" w:hAnsi="Times New Roman" w:cs="Times New Roman"/>
          <w:szCs w:val="22"/>
        </w:rPr>
      </w:pPr>
    </w:p>
    <w:p w14:paraId="76821CEE">
      <w:pPr>
        <w:jc w:val="both"/>
        <w:rPr>
          <w:rFonts w:ascii="Times New Roman" w:hAnsi="Times New Roman" w:cs="Times New Roman"/>
          <w:szCs w:val="22"/>
        </w:rPr>
      </w:pPr>
    </w:p>
    <w:p w14:paraId="3120E952">
      <w:pPr>
        <w:jc w:val="both"/>
        <w:rPr>
          <w:rFonts w:ascii="Times New Roman" w:hAnsi="Times New Roman" w:cs="Times New Roman"/>
          <w:szCs w:val="22"/>
        </w:rPr>
      </w:pPr>
    </w:p>
    <w:p w14:paraId="620474CD">
      <w:pPr>
        <w:jc w:val="both"/>
        <w:rPr>
          <w:rFonts w:ascii="Times New Roman" w:hAnsi="Times New Roman" w:cs="Times New Roman"/>
          <w:szCs w:val="22"/>
        </w:rPr>
      </w:pPr>
    </w:p>
    <w:p w14:paraId="3D6864FA">
      <w:pPr>
        <w:jc w:val="both"/>
        <w:rPr>
          <w:rFonts w:ascii="Times New Roman" w:hAnsi="Times New Roman" w:cs="Times New Roman"/>
          <w:szCs w:val="22"/>
        </w:rPr>
      </w:pPr>
    </w:p>
    <w:p w14:paraId="56771754">
      <w:pPr>
        <w:jc w:val="both"/>
        <w:rPr>
          <w:rFonts w:ascii="Times New Roman" w:hAnsi="Times New Roman" w:cs="Times New Roman"/>
          <w:szCs w:val="22"/>
        </w:rPr>
      </w:pPr>
    </w:p>
    <w:p w14:paraId="332C2B74">
      <w:pPr>
        <w:jc w:val="both"/>
        <w:rPr>
          <w:rFonts w:ascii="Times New Roman" w:hAnsi="Times New Roman" w:cs="Times New Roman"/>
          <w:szCs w:val="22"/>
        </w:rPr>
      </w:pPr>
    </w:p>
    <w:p w14:paraId="5103595B">
      <w:pPr>
        <w:jc w:val="both"/>
        <w:rPr>
          <w:rFonts w:ascii="Times New Roman" w:hAnsi="Times New Roman" w:cs="Times New Roman"/>
          <w:szCs w:val="22"/>
        </w:rPr>
      </w:pPr>
    </w:p>
    <w:p w14:paraId="5C27C643">
      <w:pPr>
        <w:jc w:val="both"/>
        <w:rPr>
          <w:rFonts w:ascii="Times New Roman" w:hAnsi="Times New Roman" w:cs="Times New Roman"/>
          <w:szCs w:val="22"/>
        </w:rPr>
      </w:pPr>
    </w:p>
    <w:p w14:paraId="4C6B2BF3">
      <w:pPr>
        <w:jc w:val="both"/>
        <w:rPr>
          <w:rFonts w:ascii="Times New Roman" w:hAnsi="Times New Roman" w:cs="Times New Roman"/>
          <w:szCs w:val="22"/>
        </w:rPr>
      </w:pPr>
    </w:p>
    <w:p w14:paraId="0009C68A">
      <w:pPr>
        <w:jc w:val="both"/>
        <w:rPr>
          <w:rFonts w:ascii="Times New Roman" w:hAnsi="Times New Roman" w:cs="Times New Roman"/>
          <w:szCs w:val="22"/>
        </w:rPr>
      </w:pPr>
    </w:p>
    <w:p w14:paraId="64429CCF">
      <w:pPr>
        <w:jc w:val="both"/>
        <w:rPr>
          <w:rFonts w:ascii="Times New Roman" w:hAnsi="Times New Roman" w:cs="Times New Roman"/>
          <w:szCs w:val="22"/>
        </w:rPr>
      </w:pPr>
    </w:p>
    <w:p w14:paraId="48073771">
      <w:pPr>
        <w:jc w:val="both"/>
        <w:rPr>
          <w:rFonts w:ascii="Times New Roman" w:hAnsi="Times New Roman" w:cs="Times New Roman"/>
          <w:szCs w:val="22"/>
        </w:rPr>
      </w:pPr>
    </w:p>
    <w:p w14:paraId="4AADF6BC">
      <w:pPr>
        <w:jc w:val="both"/>
        <w:rPr>
          <w:rFonts w:ascii="Times New Roman" w:hAnsi="Times New Roman" w:cs="Times New Roman"/>
          <w:szCs w:val="22"/>
        </w:rPr>
      </w:pPr>
    </w:p>
    <w:p w14:paraId="293159FC">
      <w:pPr>
        <w:jc w:val="both"/>
        <w:rPr>
          <w:rFonts w:ascii="Times New Roman" w:hAnsi="Times New Roman" w:cs="Times New Roman"/>
          <w:szCs w:val="22"/>
        </w:rPr>
      </w:pPr>
    </w:p>
    <w:p w14:paraId="63059E5F">
      <w:pPr>
        <w:jc w:val="both"/>
        <w:rPr>
          <w:rFonts w:ascii="Times New Roman" w:hAnsi="Times New Roman" w:cs="Times New Roman"/>
          <w:szCs w:val="22"/>
        </w:rPr>
      </w:pPr>
    </w:p>
    <w:p w14:paraId="41BFC94C">
      <w:pPr>
        <w:jc w:val="both"/>
        <w:rPr>
          <w:rFonts w:ascii="Times New Roman" w:hAnsi="Times New Roman" w:cs="Times New Roman"/>
          <w:szCs w:val="22"/>
        </w:rPr>
      </w:pPr>
    </w:p>
    <w:p w14:paraId="38DA5420">
      <w:pPr>
        <w:jc w:val="both"/>
        <w:rPr>
          <w:rFonts w:ascii="Times New Roman" w:hAnsi="Times New Roman" w:cs="Times New Roman"/>
          <w:szCs w:val="22"/>
        </w:rPr>
      </w:pPr>
    </w:p>
    <w:p w14:paraId="0BACABFB">
      <w:pPr>
        <w:jc w:val="both"/>
        <w:rPr>
          <w:rFonts w:ascii="Times New Roman" w:hAnsi="Times New Roman" w:cs="Times New Roman"/>
          <w:szCs w:val="22"/>
        </w:rPr>
      </w:pPr>
    </w:p>
    <w:p w14:paraId="2BFC50A4">
      <w:pPr>
        <w:jc w:val="both"/>
        <w:rPr>
          <w:rFonts w:ascii="Times New Roman" w:hAnsi="Times New Roman" w:cs="Times New Roman"/>
          <w:szCs w:val="22"/>
        </w:rPr>
      </w:pPr>
    </w:p>
    <w:p w14:paraId="0298EB61">
      <w:pPr>
        <w:jc w:val="both"/>
        <w:rPr>
          <w:rFonts w:ascii="Times New Roman" w:hAnsi="Times New Roman" w:cs="Times New Roman"/>
          <w:szCs w:val="22"/>
        </w:rPr>
      </w:pPr>
    </w:p>
    <w:p w14:paraId="43F1C83E">
      <w:pPr>
        <w:jc w:val="both"/>
        <w:rPr>
          <w:rFonts w:ascii="Times New Roman" w:hAnsi="Times New Roman" w:cs="Times New Roman"/>
          <w:szCs w:val="22"/>
        </w:rPr>
      </w:pPr>
    </w:p>
    <w:p w14:paraId="4A249E2D">
      <w:pPr>
        <w:jc w:val="both"/>
        <w:rPr>
          <w:rFonts w:ascii="Times New Roman" w:hAnsi="Times New Roman" w:cs="Times New Roman"/>
          <w:szCs w:val="22"/>
        </w:rPr>
      </w:pPr>
    </w:p>
    <w:p w14:paraId="7C1C9E1D">
      <w:pPr>
        <w:jc w:val="both"/>
        <w:rPr>
          <w:rFonts w:ascii="Times New Roman" w:hAnsi="Times New Roman" w:cs="Times New Roman"/>
          <w:szCs w:val="22"/>
        </w:rPr>
      </w:pPr>
    </w:p>
    <w:p w14:paraId="77D533B7">
      <w:pPr>
        <w:jc w:val="both"/>
        <w:rPr>
          <w:rFonts w:ascii="Times New Roman" w:hAnsi="Times New Roman" w:cs="Times New Roman"/>
          <w:szCs w:val="22"/>
        </w:rPr>
      </w:pPr>
    </w:p>
    <w:p w14:paraId="44961785">
      <w:pPr>
        <w:keepNext w:val="0"/>
        <w:keepLines w:val="0"/>
        <w:pageBreakBefore w:val="0"/>
        <w:widowControl w:val="0"/>
        <w:kinsoku/>
        <w:wordWrap/>
        <w:overflowPunct/>
        <w:topLinePunct w:val="0"/>
        <w:autoSpaceDE/>
        <w:autoSpaceDN/>
        <w:bidi w:val="0"/>
        <w:adjustRightInd/>
        <w:snapToGrid/>
        <w:spacing w:line="279" w:lineRule="auto"/>
        <w:jc w:val="center"/>
        <w:textAlignment w:val="auto"/>
        <w:outlineLvl w:val="0"/>
        <w:rPr>
          <w:rFonts w:ascii="Times New Roman" w:hAnsi="Times New Roman" w:cs="Times New Roman"/>
          <w:b/>
          <w:bCs/>
          <w:sz w:val="96"/>
          <w:szCs w:val="96"/>
        </w:rPr>
      </w:pPr>
      <w:bookmarkStart w:id="0" w:name="_Toc18496"/>
      <w:r>
        <w:rPr>
          <w:rFonts w:ascii="Times New Roman" w:hAnsi="Times New Roman" w:cs="Times New Roman"/>
          <w:b/>
          <w:bCs/>
          <w:sz w:val="96"/>
          <w:szCs w:val="96"/>
        </w:rPr>
        <w:t>Part 1</w:t>
      </w:r>
      <w:bookmarkEnd w:id="0"/>
    </w:p>
    <w:p w14:paraId="02605888">
      <w:pPr>
        <w:keepNext w:val="0"/>
        <w:keepLines w:val="0"/>
        <w:pageBreakBefore w:val="0"/>
        <w:widowControl w:val="0"/>
        <w:kinsoku/>
        <w:wordWrap/>
        <w:overflowPunct/>
        <w:topLinePunct w:val="0"/>
        <w:autoSpaceDE/>
        <w:autoSpaceDN/>
        <w:bidi w:val="0"/>
        <w:adjustRightInd/>
        <w:snapToGrid/>
        <w:spacing w:line="279" w:lineRule="auto"/>
        <w:jc w:val="center"/>
        <w:textAlignment w:val="auto"/>
        <w:outlineLvl w:val="0"/>
        <w:rPr>
          <w:rFonts w:ascii="Times New Roman" w:hAnsi="Times New Roman" w:cs="Times New Roman"/>
          <w:sz w:val="56"/>
          <w:szCs w:val="56"/>
        </w:rPr>
      </w:pPr>
      <w:bookmarkStart w:id="1" w:name="_Toc20939"/>
      <w:r>
        <w:rPr>
          <w:rFonts w:ascii="Times New Roman" w:hAnsi="Times New Roman" w:cs="Times New Roman"/>
          <w:sz w:val="56"/>
          <w:szCs w:val="56"/>
        </w:rPr>
        <w:t>Understanding the Literature Review</w:t>
      </w:r>
      <w:bookmarkEnd w:id="1"/>
    </w:p>
    <w:p w14:paraId="07A8162F">
      <w:pPr>
        <w:jc w:val="both"/>
        <w:rPr>
          <w:rFonts w:ascii="Times New Roman" w:hAnsi="Times New Roman" w:cs="Times New Roman"/>
          <w:szCs w:val="22"/>
        </w:rPr>
      </w:pPr>
    </w:p>
    <w:p w14:paraId="62B3D62C">
      <w:pPr>
        <w:jc w:val="both"/>
        <w:rPr>
          <w:rFonts w:ascii="Times New Roman" w:hAnsi="Times New Roman" w:cs="Times New Roman"/>
          <w:szCs w:val="22"/>
        </w:rPr>
      </w:pPr>
    </w:p>
    <w:p w14:paraId="4410ADDB">
      <w:pPr>
        <w:jc w:val="both"/>
        <w:rPr>
          <w:rFonts w:ascii="Times New Roman" w:hAnsi="Times New Roman" w:cs="Times New Roman"/>
          <w:szCs w:val="22"/>
        </w:rPr>
      </w:pPr>
    </w:p>
    <w:p w14:paraId="16CC0462">
      <w:pPr>
        <w:jc w:val="both"/>
        <w:rPr>
          <w:rFonts w:ascii="Times New Roman" w:hAnsi="Times New Roman" w:cs="Times New Roman"/>
          <w:szCs w:val="22"/>
        </w:rPr>
      </w:pPr>
    </w:p>
    <w:p w14:paraId="081C91D1">
      <w:pPr>
        <w:jc w:val="both"/>
        <w:rPr>
          <w:rFonts w:ascii="Times New Roman" w:hAnsi="Times New Roman" w:cs="Times New Roman"/>
          <w:szCs w:val="22"/>
        </w:rPr>
      </w:pPr>
    </w:p>
    <w:p w14:paraId="28FC57F4">
      <w:pPr>
        <w:jc w:val="both"/>
        <w:rPr>
          <w:rFonts w:ascii="Times New Roman" w:hAnsi="Times New Roman" w:cs="Times New Roman"/>
          <w:szCs w:val="22"/>
        </w:rPr>
      </w:pPr>
    </w:p>
    <w:p w14:paraId="2FEE8D9F">
      <w:pPr>
        <w:jc w:val="both"/>
        <w:rPr>
          <w:rFonts w:ascii="Times New Roman" w:hAnsi="Times New Roman" w:cs="Times New Roman"/>
          <w:szCs w:val="22"/>
        </w:rPr>
      </w:pPr>
    </w:p>
    <w:p w14:paraId="25E21E4C">
      <w:pPr>
        <w:jc w:val="both"/>
        <w:rPr>
          <w:rFonts w:ascii="Times New Roman" w:hAnsi="Times New Roman" w:cs="Times New Roman"/>
          <w:szCs w:val="22"/>
        </w:rPr>
      </w:pPr>
    </w:p>
    <w:p w14:paraId="60464F61">
      <w:pPr>
        <w:jc w:val="both"/>
        <w:rPr>
          <w:rFonts w:ascii="Times New Roman" w:hAnsi="Times New Roman" w:cs="Times New Roman"/>
          <w:szCs w:val="22"/>
        </w:rPr>
      </w:pPr>
    </w:p>
    <w:p w14:paraId="7C59382F">
      <w:pPr>
        <w:jc w:val="both"/>
        <w:rPr>
          <w:rFonts w:ascii="Times New Roman" w:hAnsi="Times New Roman" w:cs="Times New Roman"/>
          <w:szCs w:val="22"/>
        </w:rPr>
      </w:pPr>
    </w:p>
    <w:p w14:paraId="0D7B41D9">
      <w:pPr>
        <w:jc w:val="both"/>
        <w:rPr>
          <w:rFonts w:ascii="Times New Roman" w:hAnsi="Times New Roman" w:cs="Times New Roman"/>
          <w:szCs w:val="22"/>
        </w:rPr>
      </w:pPr>
    </w:p>
    <w:p w14:paraId="75F0D07C">
      <w:pPr>
        <w:keepNext w:val="0"/>
        <w:keepLines w:val="0"/>
        <w:pageBreakBefore w:val="0"/>
        <w:widowControl w:val="0"/>
        <w:kinsoku/>
        <w:wordWrap/>
        <w:overflowPunct/>
        <w:topLinePunct w:val="0"/>
        <w:autoSpaceDE/>
        <w:autoSpaceDN/>
        <w:bidi w:val="0"/>
        <w:adjustRightInd/>
        <w:snapToGrid/>
        <w:spacing w:line="279" w:lineRule="auto"/>
        <w:jc w:val="both"/>
        <w:textAlignment w:val="auto"/>
        <w:outlineLvl w:val="1"/>
        <w:rPr>
          <w:rFonts w:ascii="Times New Roman" w:hAnsi="Times New Roman" w:cs="Times New Roman"/>
          <w:b/>
          <w:bCs/>
          <w:sz w:val="32"/>
          <w:szCs w:val="32"/>
        </w:rPr>
      </w:pPr>
      <w:bookmarkStart w:id="2" w:name="_Toc8201"/>
      <w:r>
        <w:rPr>
          <w:rFonts w:ascii="Times New Roman" w:hAnsi="Times New Roman" w:cs="Times New Roman"/>
          <w:b/>
          <w:bCs/>
          <w:sz w:val="32"/>
          <w:szCs w:val="32"/>
        </w:rPr>
        <w:t>1.1 Introduction</w:t>
      </w:r>
      <w:bookmarkEnd w:id="2"/>
    </w:p>
    <w:p w14:paraId="11702560">
      <w:pPr>
        <w:jc w:val="both"/>
        <w:rPr>
          <w:rFonts w:ascii="Times New Roman" w:hAnsi="Times New Roman" w:cs="Times New Roman"/>
          <w:i/>
          <w:iCs/>
          <w:sz w:val="28"/>
          <w:szCs w:val="28"/>
        </w:rPr>
      </w:pPr>
      <w:r>
        <w:rPr>
          <w:rFonts w:ascii="Times New Roman" w:hAnsi="Times New Roman" w:cs="Times New Roman"/>
          <w:b/>
          <w:bCs/>
          <w:i/>
          <w:iCs/>
          <w:sz w:val="28"/>
          <w:szCs w:val="28"/>
        </w:rPr>
        <w:t>Definition</w:t>
      </w:r>
    </w:p>
    <w:p w14:paraId="09E7DEB5">
      <w:pPr>
        <w:jc w:val="both"/>
        <w:rPr>
          <w:rFonts w:ascii="Times New Roman" w:hAnsi="Times New Roman" w:cs="Times New Roman"/>
          <w:b/>
          <w:bCs/>
          <w:i/>
          <w:iCs/>
          <w:szCs w:val="22"/>
        </w:rPr>
      </w:pPr>
      <w:r>
        <w:rPr>
          <w:rFonts w:ascii="Times New Roman" w:hAnsi="Times New Roman" w:cs="Times New Roman"/>
          <w:szCs w:val="22"/>
        </w:rPr>
        <w:t>A literature review is a systematic process of identifying, evaluating and synthesising existing knowledge on a particular subject (Snyder, 2019). Tranfield et al. (2003) claim that literature reviews help scholars to systematically categorise and identify research. Literature reviews are regarded as the most direct academic tool for organising and evaluating literature during transitions between old and new technologies, facilitating the iteration of theoretical and empirical models (Petticrew and Roberts, 2006). It is used to establish what is known, where evidence converges or conflicts, and where further research is justified (Snyder, 2019; Tranfield et al., 2003).</w:t>
      </w:r>
      <w:r>
        <w:rPr>
          <w:rFonts w:ascii="Times New Roman" w:hAnsi="Times New Roman" w:cs="Times New Roman"/>
          <w:b/>
          <w:bCs/>
          <w:i/>
          <w:iCs/>
          <w:szCs w:val="22"/>
        </w:rPr>
        <w:t xml:space="preserve"> </w:t>
      </w:r>
    </w:p>
    <w:p w14:paraId="7E0D5EDD">
      <w:pPr>
        <w:jc w:val="both"/>
        <w:rPr>
          <w:rFonts w:ascii="Times New Roman" w:hAnsi="Times New Roman" w:cs="Times New Roman"/>
          <w:i/>
          <w:iCs/>
          <w:sz w:val="28"/>
          <w:szCs w:val="28"/>
        </w:rPr>
      </w:pPr>
      <w:r>
        <w:rPr>
          <w:rFonts w:ascii="Times New Roman" w:hAnsi="Times New Roman" w:cs="Times New Roman"/>
          <w:b/>
          <w:bCs/>
          <w:i/>
          <w:iCs/>
          <w:sz w:val="28"/>
          <w:szCs w:val="28"/>
        </w:rPr>
        <w:t>Purpose</w:t>
      </w:r>
    </w:p>
    <w:p w14:paraId="0B119ADA">
      <w:pPr>
        <w:jc w:val="both"/>
        <w:rPr>
          <w:rFonts w:ascii="Times New Roman" w:hAnsi="Times New Roman" w:cs="Times New Roman"/>
          <w:szCs w:val="22"/>
        </w:rPr>
      </w:pPr>
      <w:r>
        <w:rPr>
          <w:rFonts w:ascii="Times New Roman" w:hAnsi="Times New Roman" w:cs="Times New Roman"/>
          <w:szCs w:val="22"/>
        </w:rPr>
        <w:t>The purpose of a literature review is to bring together</w:t>
      </w:r>
      <w:r>
        <w:rPr>
          <w:rFonts w:hint="eastAsia" w:ascii="Times New Roman" w:hAnsi="Times New Roman" w:cs="Times New Roman"/>
          <w:szCs w:val="22"/>
        </w:rPr>
        <w:t xml:space="preserve"> </w:t>
      </w:r>
      <w:r>
        <w:rPr>
          <w:rFonts w:ascii="Times New Roman" w:hAnsi="Times New Roman" w:cs="Times New Roman"/>
          <w:szCs w:val="22"/>
        </w:rPr>
        <w:t>existing evidence, to highlight where gaps or disagreements remain, and to prepare the basis for theory building and future research (Snyder, 2019). Another function is to assess the quality and coverage of earlier studies, so that researchers can make better choices about which frameworks and methods to adopt (Tranfield et al., 2003).</w:t>
      </w:r>
      <w:r>
        <w:rPr>
          <w:rFonts w:ascii="Microsoft YaHei UI" w:hAnsi="Microsoft YaHei UI" w:eastAsia="Microsoft YaHei UI" w:cs="Arial"/>
          <w:kern w:val="0"/>
          <w:sz w:val="18"/>
          <w:szCs w:val="18"/>
          <w14:ligatures w14:val="none"/>
        </w:rPr>
        <w:t xml:space="preserve"> </w:t>
      </w:r>
      <w:r>
        <w:rPr>
          <w:rFonts w:hint="eastAsia" w:ascii="Times New Roman" w:hAnsi="Times New Roman" w:cs="Times New Roman"/>
          <w:szCs w:val="22"/>
        </w:rPr>
        <w:t>D</w:t>
      </w:r>
      <w:r>
        <w:rPr>
          <w:rFonts w:ascii="Times New Roman" w:hAnsi="Times New Roman" w:cs="Times New Roman"/>
          <w:szCs w:val="22"/>
        </w:rPr>
        <w:t>ifferent review approaches make different methodological commitments concerning scope, searching, selection and synthesis.</w:t>
      </w:r>
    </w:p>
    <w:p w14:paraId="19D09566">
      <w:pPr>
        <w:jc w:val="both"/>
        <w:rPr>
          <w:rFonts w:ascii="Times New Roman" w:hAnsi="Times New Roman" w:cs="Times New Roman"/>
          <w:szCs w:val="22"/>
        </w:rPr>
      </w:pPr>
    </w:p>
    <w:p w14:paraId="67D9787B">
      <w:pPr>
        <w:jc w:val="both"/>
        <w:rPr>
          <w:rFonts w:ascii="Times New Roman" w:hAnsi="Times New Roman" w:cs="Times New Roman"/>
          <w:b/>
          <w:bCs/>
          <w:i/>
          <w:iCs/>
          <w:sz w:val="28"/>
          <w:szCs w:val="28"/>
        </w:rPr>
      </w:pPr>
      <w:r>
        <w:rPr>
          <w:rFonts w:ascii="Times New Roman" w:hAnsi="Times New Roman" w:cs="Times New Roman"/>
          <w:b/>
          <w:bCs/>
          <w:i/>
          <w:iCs/>
          <w:sz w:val="28"/>
          <w:szCs w:val="28"/>
        </w:rPr>
        <w:t>Importance</w:t>
      </w:r>
    </w:p>
    <w:p w14:paraId="29F26579">
      <w:pPr>
        <w:jc w:val="both"/>
        <w:rPr>
          <w:rFonts w:ascii="Times New Roman" w:hAnsi="Times New Roman" w:cs="Times New Roman"/>
          <w:szCs w:val="22"/>
        </w:rPr>
      </w:pPr>
      <w:r>
        <w:rPr>
          <w:rFonts w:ascii="Times New Roman" w:hAnsi="Times New Roman" w:cs="Times New Roman"/>
          <w:szCs w:val="22"/>
        </w:rPr>
        <w:t xml:space="preserve">Literature reviews are important for bringing together different findings, reducing the risk of duplicating previous work, and helping researchers and practitioners understand the current state of knowledge (Petticrew &amp; Roberts, 2006; Webster &amp; Watson, 2002). They also help to identify consensus, disagreement and emerging trends which </w:t>
      </w:r>
      <w:r>
        <w:rPr>
          <w:rFonts w:hint="eastAsia" w:ascii="Times New Roman" w:hAnsi="Times New Roman" w:cs="Times New Roman"/>
          <w:szCs w:val="22"/>
        </w:rPr>
        <w:t>are</w:t>
      </w:r>
      <w:r>
        <w:rPr>
          <w:rFonts w:ascii="Times New Roman" w:hAnsi="Times New Roman" w:cs="Times New Roman"/>
          <w:szCs w:val="22"/>
        </w:rPr>
        <w:t xml:space="preserve"> essential to the progress of both theory and practice.</w:t>
      </w:r>
    </w:p>
    <w:p w14:paraId="5E675056">
      <w:pPr>
        <w:jc w:val="both"/>
        <w:rPr>
          <w:rFonts w:ascii="Times New Roman" w:hAnsi="Times New Roman" w:cs="Times New Roman"/>
          <w:b/>
          <w:bCs/>
          <w:sz w:val="32"/>
          <w:szCs w:val="32"/>
          <w:highlight w:val="yellow"/>
        </w:rPr>
      </w:pPr>
    </w:p>
    <w:p w14:paraId="5ECAA4D8">
      <w:pPr>
        <w:keepNext w:val="0"/>
        <w:keepLines w:val="0"/>
        <w:pageBreakBefore w:val="0"/>
        <w:widowControl w:val="0"/>
        <w:kinsoku/>
        <w:wordWrap/>
        <w:overflowPunct/>
        <w:topLinePunct w:val="0"/>
        <w:autoSpaceDE/>
        <w:autoSpaceDN/>
        <w:bidi w:val="0"/>
        <w:adjustRightInd/>
        <w:snapToGrid/>
        <w:spacing w:line="279" w:lineRule="auto"/>
        <w:jc w:val="both"/>
        <w:textAlignment w:val="auto"/>
        <w:outlineLvl w:val="1"/>
        <w:rPr>
          <w:rFonts w:ascii="Times New Roman" w:hAnsi="Times New Roman" w:cs="Times New Roman"/>
          <w:b/>
          <w:bCs/>
          <w:sz w:val="32"/>
          <w:szCs w:val="32"/>
        </w:rPr>
      </w:pPr>
      <w:bookmarkStart w:id="3" w:name="_Toc1761"/>
      <w:r>
        <w:rPr>
          <w:rFonts w:ascii="Times New Roman" w:hAnsi="Times New Roman" w:cs="Times New Roman"/>
          <w:b/>
          <w:bCs/>
          <w:sz w:val="32"/>
          <w:szCs w:val="32"/>
        </w:rPr>
        <w:t xml:space="preserve">1.2 Literature </w:t>
      </w:r>
      <w:r>
        <w:rPr>
          <w:rFonts w:hint="eastAsia" w:ascii="Times New Roman" w:hAnsi="Times New Roman" w:cs="Times New Roman"/>
          <w:b/>
          <w:bCs/>
          <w:sz w:val="32"/>
          <w:szCs w:val="32"/>
        </w:rPr>
        <w:t>r</w:t>
      </w:r>
      <w:r>
        <w:rPr>
          <w:rFonts w:ascii="Times New Roman" w:hAnsi="Times New Roman" w:cs="Times New Roman"/>
          <w:b/>
          <w:bCs/>
          <w:sz w:val="32"/>
          <w:szCs w:val="32"/>
        </w:rPr>
        <w:t xml:space="preserve">eview in </w:t>
      </w:r>
      <w:r>
        <w:rPr>
          <w:rFonts w:hint="eastAsia" w:ascii="Times New Roman" w:hAnsi="Times New Roman" w:cs="Times New Roman"/>
          <w:b/>
          <w:bCs/>
          <w:sz w:val="32"/>
          <w:szCs w:val="32"/>
        </w:rPr>
        <w:t>r</w:t>
      </w:r>
      <w:r>
        <w:rPr>
          <w:rFonts w:ascii="Times New Roman" w:hAnsi="Times New Roman" w:cs="Times New Roman"/>
          <w:b/>
          <w:bCs/>
          <w:sz w:val="32"/>
          <w:szCs w:val="32"/>
        </w:rPr>
        <w:t>esearch</w:t>
      </w:r>
      <w:bookmarkEnd w:id="3"/>
      <w:r>
        <w:rPr>
          <w:rFonts w:ascii="Times New Roman" w:hAnsi="Times New Roman" w:cs="Times New Roman"/>
          <w:b/>
          <w:bCs/>
          <w:sz w:val="32"/>
          <w:szCs w:val="32"/>
        </w:rPr>
        <w:t xml:space="preserve"> </w:t>
      </w:r>
    </w:p>
    <w:p w14:paraId="2757428E">
      <w:pPr>
        <w:keepNext w:val="0"/>
        <w:keepLines w:val="0"/>
        <w:pageBreakBefore w:val="0"/>
        <w:widowControl w:val="0"/>
        <w:kinsoku/>
        <w:wordWrap/>
        <w:overflowPunct/>
        <w:topLinePunct w:val="0"/>
        <w:autoSpaceDE/>
        <w:autoSpaceDN/>
        <w:bidi w:val="0"/>
        <w:adjustRightInd/>
        <w:snapToGrid/>
        <w:spacing w:line="279" w:lineRule="auto"/>
        <w:jc w:val="both"/>
        <w:textAlignment w:val="auto"/>
        <w:outlineLvl w:val="2"/>
        <w:rPr>
          <w:rFonts w:ascii="Times New Roman" w:hAnsi="Times New Roman" w:cs="Times New Roman"/>
          <w:b/>
          <w:bCs/>
          <w:sz w:val="28"/>
          <w:szCs w:val="28"/>
        </w:rPr>
      </w:pPr>
      <w:bookmarkStart w:id="4" w:name="_Toc26384"/>
      <w:r>
        <w:rPr>
          <w:rFonts w:ascii="Times New Roman" w:hAnsi="Times New Roman" w:cs="Times New Roman"/>
          <w:b/>
          <w:bCs/>
          <w:sz w:val="28"/>
          <w:szCs w:val="28"/>
        </w:rPr>
        <w:t>1.2.1 Learn from previous research.</w:t>
      </w:r>
      <w:bookmarkEnd w:id="4"/>
    </w:p>
    <w:p w14:paraId="07FDC464">
      <w:pPr>
        <w:jc w:val="both"/>
        <w:rPr>
          <w:rFonts w:ascii="Times New Roman" w:hAnsi="Times New Roman" w:cs="Times New Roman"/>
          <w:b/>
          <w:bCs/>
          <w:szCs w:val="22"/>
        </w:rPr>
      </w:pPr>
      <w:r>
        <w:rPr>
          <w:rFonts w:ascii="Times New Roman" w:hAnsi="Times New Roman" w:cs="Times New Roman"/>
          <w:szCs w:val="22"/>
        </w:rPr>
        <w:t>The literature review serves as a key means through which researchers learn from previous research by drawing on existing knowledge (Rowley and Slack, 2004; Xiao and Watson, 2019). Through this process, researchers can understand what has already been established, which questions remain unresolved, and where current evidence is limited or contested (Snyder, 2019). This avoids unnecessary duplication of effort and allows new studies to build on previous work rather than repeat it (Tranfield et al., 2003).</w:t>
      </w:r>
    </w:p>
    <w:p w14:paraId="4E1EBE24">
      <w:pPr>
        <w:keepNext w:val="0"/>
        <w:keepLines w:val="0"/>
        <w:pageBreakBefore w:val="0"/>
        <w:widowControl w:val="0"/>
        <w:kinsoku/>
        <w:wordWrap/>
        <w:overflowPunct/>
        <w:topLinePunct w:val="0"/>
        <w:autoSpaceDE/>
        <w:autoSpaceDN/>
        <w:bidi w:val="0"/>
        <w:adjustRightInd/>
        <w:snapToGrid/>
        <w:spacing w:line="279" w:lineRule="auto"/>
        <w:jc w:val="both"/>
        <w:textAlignment w:val="auto"/>
        <w:outlineLvl w:val="2"/>
        <w:rPr>
          <w:rFonts w:ascii="Times New Roman" w:hAnsi="Times New Roman" w:cs="Times New Roman"/>
          <w:b/>
          <w:bCs/>
          <w:sz w:val="28"/>
          <w:szCs w:val="28"/>
        </w:rPr>
      </w:pPr>
      <w:bookmarkStart w:id="5" w:name="_Toc11284"/>
      <w:r>
        <w:rPr>
          <w:rFonts w:ascii="Times New Roman" w:hAnsi="Times New Roman" w:cs="Times New Roman"/>
          <w:b/>
          <w:bCs/>
          <w:sz w:val="28"/>
          <w:szCs w:val="28"/>
        </w:rPr>
        <w:t>1.2.2 Provide a context and refine the topic.</w:t>
      </w:r>
      <w:bookmarkEnd w:id="5"/>
    </w:p>
    <w:p w14:paraId="41C0C97A">
      <w:pPr>
        <w:jc w:val="both"/>
        <w:rPr>
          <w:rFonts w:ascii="Times New Roman" w:hAnsi="Times New Roman" w:cs="Times New Roman"/>
          <w:szCs w:val="22"/>
        </w:rPr>
      </w:pPr>
      <w:r>
        <w:rPr>
          <w:rFonts w:ascii="Times New Roman" w:hAnsi="Times New Roman" w:cs="Times New Roman"/>
          <w:szCs w:val="22"/>
        </w:rPr>
        <w:t>The literature review places the study within its broader scholarly and practical context, and determines its scope, key variables and theoretical framing (Arksey and O’Malley, 2005; Xiao and Watson, 2019). By comparing competing perspectives and highlighting what is known and what is contested, it supports the researcher in narrowing a broad starting point to a specific researchable problem (Booth et al., 2022).</w:t>
      </w:r>
    </w:p>
    <w:p w14:paraId="4E603306">
      <w:pPr>
        <w:keepNext w:val="0"/>
        <w:keepLines w:val="0"/>
        <w:pageBreakBefore w:val="0"/>
        <w:widowControl w:val="0"/>
        <w:kinsoku/>
        <w:wordWrap/>
        <w:overflowPunct/>
        <w:topLinePunct w:val="0"/>
        <w:autoSpaceDE/>
        <w:autoSpaceDN/>
        <w:bidi w:val="0"/>
        <w:adjustRightInd/>
        <w:snapToGrid/>
        <w:spacing w:line="279" w:lineRule="auto"/>
        <w:jc w:val="both"/>
        <w:textAlignment w:val="auto"/>
        <w:outlineLvl w:val="2"/>
        <w:rPr>
          <w:rFonts w:ascii="Times New Roman" w:hAnsi="Times New Roman" w:cs="Times New Roman"/>
          <w:b/>
          <w:bCs/>
          <w:sz w:val="28"/>
          <w:szCs w:val="28"/>
        </w:rPr>
      </w:pPr>
      <w:bookmarkStart w:id="6" w:name="_Toc326"/>
      <w:r>
        <w:rPr>
          <w:rFonts w:ascii="Times New Roman" w:hAnsi="Times New Roman" w:cs="Times New Roman"/>
          <w:b/>
          <w:bCs/>
          <w:sz w:val="28"/>
          <w:szCs w:val="28"/>
        </w:rPr>
        <w:t>1.2.3 Define gaps and provide justifications for the study.</w:t>
      </w:r>
      <w:bookmarkEnd w:id="6"/>
    </w:p>
    <w:p w14:paraId="1BC4A3C7">
      <w:pPr>
        <w:jc w:val="both"/>
        <w:rPr>
          <w:rFonts w:ascii="Times New Roman" w:hAnsi="Times New Roman" w:cs="Times New Roman"/>
          <w:szCs w:val="22"/>
        </w:rPr>
      </w:pPr>
      <w:r>
        <w:rPr>
          <w:rFonts w:ascii="Times New Roman" w:hAnsi="Times New Roman" w:cs="Times New Roman"/>
          <w:szCs w:val="22"/>
        </w:rPr>
        <w:t>The literature review contains inconsistencies, outdated frameworks, and underdeveloped areas, thus providing the rationale for a new study (Papaioannou et al., 201</w:t>
      </w:r>
      <w:r>
        <w:rPr>
          <w:rFonts w:hint="eastAsia" w:ascii="Times New Roman" w:hAnsi="Times New Roman" w:cs="Times New Roman"/>
          <w:szCs w:val="22"/>
        </w:rPr>
        <w:t>0</w:t>
      </w:r>
      <w:r>
        <w:rPr>
          <w:rFonts w:ascii="Times New Roman" w:hAnsi="Times New Roman" w:cs="Times New Roman"/>
          <w:szCs w:val="22"/>
        </w:rPr>
        <w:t>; Aveyard, 2023). The literature review helps to define research gaps by comparing conflicting findings, by identifying questions that remain unanswered, and by noting areas where existing frameworks no longer fit current practice (Paul and Criado, 2020). It also exposes where earlier findings have become obsolete or fragmented in fast-moving interdisciplinary fields, which makes gap identification both necessary and time-sensitive (Paul and Criado, 2020).</w:t>
      </w:r>
    </w:p>
    <w:p w14:paraId="4877B3D2">
      <w:pPr>
        <w:keepNext w:val="0"/>
        <w:keepLines w:val="0"/>
        <w:pageBreakBefore w:val="0"/>
        <w:widowControl w:val="0"/>
        <w:kinsoku/>
        <w:wordWrap/>
        <w:overflowPunct/>
        <w:topLinePunct w:val="0"/>
        <w:autoSpaceDE/>
        <w:autoSpaceDN/>
        <w:bidi w:val="0"/>
        <w:adjustRightInd/>
        <w:snapToGrid/>
        <w:spacing w:line="279" w:lineRule="auto"/>
        <w:jc w:val="both"/>
        <w:textAlignment w:val="auto"/>
        <w:outlineLvl w:val="2"/>
        <w:rPr>
          <w:rFonts w:ascii="Times New Roman" w:hAnsi="Times New Roman" w:cs="Times New Roman"/>
          <w:b/>
          <w:bCs/>
          <w:sz w:val="28"/>
          <w:szCs w:val="28"/>
        </w:rPr>
      </w:pPr>
      <w:bookmarkStart w:id="7" w:name="_Toc22051"/>
      <w:r>
        <w:rPr>
          <w:rFonts w:ascii="Times New Roman" w:hAnsi="Times New Roman" w:cs="Times New Roman"/>
          <w:b/>
          <w:bCs/>
          <w:sz w:val="28"/>
          <w:szCs w:val="28"/>
        </w:rPr>
        <w:t>1.2.4 Research gaps and objective of your study</w:t>
      </w:r>
      <w:bookmarkEnd w:id="7"/>
    </w:p>
    <w:p w14:paraId="6BFB371A">
      <w:pPr>
        <w:jc w:val="both"/>
        <w:rPr>
          <w:rFonts w:ascii="Times New Roman" w:hAnsi="Times New Roman" w:cs="Times New Roman"/>
          <w:szCs w:val="22"/>
        </w:rPr>
      </w:pPr>
      <w:r>
        <w:rPr>
          <w:rFonts w:ascii="Times New Roman" w:hAnsi="Times New Roman" w:cs="Times New Roman"/>
          <w:szCs w:val="22"/>
        </w:rPr>
        <w:t>Research on AI adoption and employee resistance has expanded rapidly, but it remains uneven in two main respects. Conceptually, employee resistance is defined in different ways across studies, ranging from a single attitude to a multi-dimensional construct (Golgeci et al., 2025). Theoretically, studies draw on a wide range of frameworks—TAM, UTAUT, JD-R, social exchange and conservation of resources—without integrating them into a coherent account of how adoption and resistance relate (Kim and Lee, 2024; Bankins et al., 2024).</w:t>
      </w:r>
    </w:p>
    <w:p w14:paraId="67038C09">
      <w:pPr>
        <w:jc w:val="both"/>
        <w:rPr>
          <w:rFonts w:hint="eastAsia" w:ascii="Times New Roman" w:hAnsi="Times New Roman" w:cs="Times New Roman" w:eastAsiaTheme="minorEastAsia"/>
          <w:szCs w:val="22"/>
          <w:lang w:eastAsia="zh-CN"/>
        </w:rPr>
      </w:pPr>
      <w:r>
        <w:rPr>
          <w:rFonts w:ascii="Times New Roman" w:hAnsi="Times New Roman" w:cs="Times New Roman"/>
          <w:szCs w:val="22"/>
        </w:rPr>
        <w:t>The proposed review therefore seeks to map the literature on AI adoption and employee resistance and to synthesise disparate findings into a more integrated framework. Based on these gaps, three research objectives are proposed</w:t>
      </w:r>
      <w:r>
        <w:rPr>
          <w:rFonts w:hint="eastAsia" w:ascii="Times New Roman" w:hAnsi="Times New Roman" w:cs="Times New Roman"/>
          <w:szCs w:val="22"/>
          <w:lang w:eastAsia="zh-CN"/>
        </w:rPr>
        <w:t>：</w:t>
      </w:r>
    </w:p>
    <w:p w14:paraId="222094E8">
      <w:pPr>
        <w:jc w:val="both"/>
        <w:rPr>
          <w:rFonts w:ascii="Times New Roman" w:hAnsi="Times New Roman" w:cs="Times New Roman"/>
          <w:szCs w:val="22"/>
        </w:rPr>
      </w:pPr>
      <w:r>
        <w:rPr>
          <w:rFonts w:hint="eastAsia" w:ascii="Times New Roman" w:hAnsi="Times New Roman" w:cs="Times New Roman"/>
          <w:b/>
          <w:bCs/>
          <w:szCs w:val="22"/>
        </w:rPr>
        <w:t>RO</w:t>
      </w:r>
      <w:r>
        <w:rPr>
          <w:rFonts w:ascii="Times New Roman" w:hAnsi="Times New Roman" w:cs="Times New Roman"/>
          <w:b/>
          <w:bCs/>
          <w:szCs w:val="22"/>
        </w:rPr>
        <w:t>1.</w:t>
      </w:r>
      <w:r>
        <w:rPr>
          <w:rFonts w:ascii="Times New Roman" w:hAnsi="Times New Roman" w:cs="Times New Roman"/>
          <w:szCs w:val="22"/>
        </w:rPr>
        <w:t>To identify the key dimensions of AI adoption discussed in organisational management literature.</w:t>
      </w:r>
    </w:p>
    <w:p w14:paraId="56FD4CD7">
      <w:pPr>
        <w:jc w:val="both"/>
        <w:rPr>
          <w:rFonts w:ascii="Times New Roman" w:hAnsi="Times New Roman" w:cs="Times New Roman"/>
          <w:szCs w:val="22"/>
        </w:rPr>
      </w:pPr>
      <w:r>
        <w:rPr>
          <w:rFonts w:hint="eastAsia" w:ascii="Times New Roman" w:hAnsi="Times New Roman" w:cs="Times New Roman"/>
          <w:b/>
          <w:bCs/>
          <w:szCs w:val="22"/>
        </w:rPr>
        <w:t>RO</w:t>
      </w:r>
      <w:r>
        <w:rPr>
          <w:rFonts w:ascii="Times New Roman" w:hAnsi="Times New Roman" w:cs="Times New Roman"/>
          <w:b/>
          <w:bCs/>
          <w:szCs w:val="22"/>
        </w:rPr>
        <w:t>2.</w:t>
      </w:r>
      <w:r>
        <w:rPr>
          <w:rFonts w:ascii="Times New Roman" w:hAnsi="Times New Roman" w:cs="Times New Roman"/>
          <w:szCs w:val="22"/>
        </w:rPr>
        <w:t>To identify major drivers and barriers influencing employee responses to AI adoption.</w:t>
      </w:r>
    </w:p>
    <w:p w14:paraId="4E79B5A9">
      <w:pPr>
        <w:jc w:val="both"/>
        <w:rPr>
          <w:rFonts w:ascii="Times New Roman" w:hAnsi="Times New Roman" w:cs="Times New Roman"/>
          <w:szCs w:val="22"/>
        </w:rPr>
      </w:pPr>
      <w:r>
        <w:rPr>
          <w:rFonts w:hint="eastAsia" w:ascii="Times New Roman" w:hAnsi="Times New Roman" w:cs="Times New Roman"/>
          <w:b/>
          <w:bCs/>
          <w:szCs w:val="22"/>
        </w:rPr>
        <w:t>RO</w:t>
      </w:r>
      <w:r>
        <w:rPr>
          <w:rFonts w:ascii="Times New Roman" w:hAnsi="Times New Roman" w:cs="Times New Roman"/>
          <w:b/>
          <w:bCs/>
          <w:szCs w:val="22"/>
        </w:rPr>
        <w:t>3.</w:t>
      </w:r>
      <w:r>
        <w:rPr>
          <w:rFonts w:ascii="Times New Roman" w:hAnsi="Times New Roman" w:cs="Times New Roman"/>
          <w:szCs w:val="22"/>
        </w:rPr>
        <w:t>To evaluate the role of organisational support in facilitating employees’ adaptation to AI-driven organisational change.</w:t>
      </w:r>
    </w:p>
    <w:p w14:paraId="0081251E">
      <w:pPr>
        <w:jc w:val="both"/>
        <w:rPr>
          <w:rFonts w:ascii="Times New Roman" w:hAnsi="Times New Roman" w:cs="Times New Roman"/>
          <w:szCs w:val="22"/>
        </w:rPr>
      </w:pPr>
      <w:r>
        <w:rPr>
          <w:rFonts w:ascii="Times New Roman" w:hAnsi="Times New Roman" w:cs="Times New Roman"/>
          <w:szCs w:val="22"/>
        </w:rPr>
        <w:t>These objectives, together with the conceptual and theoretical gaps mentioned, provide a more integrated understanding of the connection between AI adoption and employee resistance in organisations.</w:t>
      </w:r>
    </w:p>
    <w:p w14:paraId="57BF5D10">
      <w:pPr>
        <w:jc w:val="both"/>
        <w:rPr>
          <w:rFonts w:ascii="Times New Roman" w:hAnsi="Times New Roman" w:cs="Times New Roman"/>
          <w:szCs w:val="22"/>
        </w:rPr>
      </w:pPr>
    </w:p>
    <w:p w14:paraId="2BA4C953">
      <w:pPr>
        <w:keepNext w:val="0"/>
        <w:keepLines w:val="0"/>
        <w:pageBreakBefore w:val="0"/>
        <w:widowControl w:val="0"/>
        <w:kinsoku/>
        <w:wordWrap/>
        <w:overflowPunct/>
        <w:topLinePunct w:val="0"/>
        <w:autoSpaceDE/>
        <w:autoSpaceDN/>
        <w:bidi w:val="0"/>
        <w:adjustRightInd/>
        <w:snapToGrid/>
        <w:spacing w:line="279" w:lineRule="auto"/>
        <w:jc w:val="both"/>
        <w:textAlignment w:val="auto"/>
        <w:outlineLvl w:val="1"/>
        <w:rPr>
          <w:rFonts w:ascii="Times New Roman" w:hAnsi="Times New Roman" w:cs="Times New Roman"/>
          <w:b/>
          <w:bCs/>
          <w:sz w:val="32"/>
          <w:szCs w:val="32"/>
        </w:rPr>
      </w:pPr>
      <w:bookmarkStart w:id="8" w:name="_Toc22175"/>
      <w:r>
        <w:rPr>
          <w:rFonts w:ascii="Times New Roman" w:hAnsi="Times New Roman" w:cs="Times New Roman"/>
          <w:b/>
          <w:bCs/>
          <w:sz w:val="32"/>
          <w:szCs w:val="32"/>
        </w:rPr>
        <w:t xml:space="preserve">1.3 </w:t>
      </w:r>
      <w:r>
        <w:rPr>
          <w:rFonts w:hint="eastAsia" w:ascii="Times New Roman" w:hAnsi="Times New Roman" w:cs="Times New Roman"/>
          <w:b/>
          <w:bCs/>
          <w:sz w:val="32"/>
          <w:szCs w:val="32"/>
        </w:rPr>
        <w:t>Methods of Literature Review</w:t>
      </w:r>
      <w:bookmarkEnd w:id="8"/>
    </w:p>
    <w:p w14:paraId="65C516BF">
      <w:pPr>
        <w:jc w:val="both"/>
        <w:rPr>
          <w:rFonts w:ascii="Times New Roman" w:hAnsi="Times New Roman" w:cs="Times New Roman"/>
          <w:szCs w:val="22"/>
        </w:rPr>
      </w:pPr>
      <w:r>
        <w:rPr>
          <w:rFonts w:ascii="Times New Roman" w:hAnsi="Times New Roman" w:cs="Times New Roman"/>
          <w:szCs w:val="22"/>
        </w:rPr>
        <w:t>Literature can be reviewed through different methodological approaches to identify, examine and synthesise existing research on a topic.</w:t>
      </w:r>
      <w:r>
        <w:rPr>
          <w:rFonts w:hint="eastAsia" w:ascii="Times New Roman" w:hAnsi="Times New Roman" w:cs="Times New Roman"/>
          <w:szCs w:val="22"/>
        </w:rPr>
        <w:t xml:space="preserve"> </w:t>
      </w:r>
      <w:r>
        <w:rPr>
          <w:rFonts w:ascii="Times New Roman" w:hAnsi="Times New Roman" w:cs="Times New Roman"/>
          <w:szCs w:val="22"/>
        </w:rPr>
        <w:t>Management and social science research commonly use several approaches, such as narrative review, systematic review, meta-analysis, scoping review and mapping review. These approaches are intended to answer different questions and organise evidence differently, so the method should be appropriate for the research purpose and the nature of the available evidence (Higgins et al., 2024). Three approaches will be critically discussed below: the narrative review, the systematic review and the mapping review. The following sections introduce these three approaches, explain why each is relevant, and justify their use in relation to the present study.</w:t>
      </w:r>
    </w:p>
    <w:p w14:paraId="73554595">
      <w:pPr>
        <w:keepNext w:val="0"/>
        <w:keepLines w:val="0"/>
        <w:pageBreakBefore w:val="0"/>
        <w:widowControl w:val="0"/>
        <w:kinsoku/>
        <w:wordWrap/>
        <w:overflowPunct/>
        <w:topLinePunct w:val="0"/>
        <w:autoSpaceDE/>
        <w:autoSpaceDN/>
        <w:bidi w:val="0"/>
        <w:adjustRightInd/>
        <w:snapToGrid/>
        <w:spacing w:line="279" w:lineRule="auto"/>
        <w:jc w:val="both"/>
        <w:textAlignment w:val="auto"/>
        <w:outlineLvl w:val="2"/>
        <w:rPr>
          <w:rFonts w:ascii="Times New Roman" w:hAnsi="Times New Roman" w:cs="Times New Roman"/>
          <w:b/>
          <w:bCs/>
          <w:sz w:val="28"/>
          <w:szCs w:val="28"/>
        </w:rPr>
      </w:pPr>
      <w:bookmarkStart w:id="9" w:name="_Toc8866"/>
      <w:r>
        <w:rPr>
          <w:rFonts w:ascii="Times New Roman" w:hAnsi="Times New Roman" w:cs="Times New Roman"/>
          <w:b/>
          <w:bCs/>
          <w:sz w:val="28"/>
          <w:szCs w:val="28"/>
        </w:rPr>
        <w:t>1.3.1 Narrative Literature Review</w:t>
      </w:r>
      <w:bookmarkEnd w:id="9"/>
    </w:p>
    <w:p w14:paraId="011A5584">
      <w:pPr>
        <w:jc w:val="both"/>
        <w:rPr>
          <w:rFonts w:ascii="Times New Roman" w:hAnsi="Times New Roman" w:cs="Times New Roman"/>
          <w:szCs w:val="22"/>
        </w:rPr>
      </w:pPr>
      <w:r>
        <w:rPr>
          <w:rFonts w:ascii="Times New Roman" w:hAnsi="Times New Roman" w:cs="Times New Roman"/>
          <w:szCs w:val="22"/>
        </w:rPr>
        <w:t>A narrative review, which offers a thematic, interpretive synthesis of a body of work (Greenhalgh et al., 2018), is a flexible approach that critically reviews literature through thematic or conceptual lenses, allowing researchers to identify connections, patterns and broader conceptual understandings rather than following a rigid, protocol-driven process (Grant and Booth, 2009; Snyder, 2019).</w:t>
      </w:r>
      <w:r>
        <w:t xml:space="preserve"> </w:t>
      </w:r>
      <w:r>
        <w:rPr>
          <w:rFonts w:ascii="Times New Roman" w:hAnsi="Times New Roman" w:cs="Times New Roman"/>
          <w:szCs w:val="22"/>
        </w:rPr>
        <w:t>Flexibility is a strength because it allows the review to follow emerging themes rather than being constrained by pre-set categories, making it particularly useful in novel or interdisciplinary areas where knowledge boundaries are still being negotiated (Paré et al., 2015). However, the same flexibility is a limitation when transparency and replicability are required. The iterative nature of the search strategy and the researcher-led nature of the synthesis allow the selection and interpretation of studies to be influenced by the reviewer’s own judgment and so makes the process less easy to verify or replicate (Grant and Booth, 2009). This means that narrative reviews are more appropriate for exploratory or conceptual questions than for questions that require a systematic and auditable evidence base.</w:t>
      </w:r>
    </w:p>
    <w:p w14:paraId="28FE1A6B">
      <w:pPr>
        <w:keepNext w:val="0"/>
        <w:keepLines w:val="0"/>
        <w:pageBreakBefore w:val="0"/>
        <w:widowControl w:val="0"/>
        <w:kinsoku/>
        <w:wordWrap/>
        <w:overflowPunct/>
        <w:topLinePunct w:val="0"/>
        <w:autoSpaceDE/>
        <w:autoSpaceDN/>
        <w:bidi w:val="0"/>
        <w:adjustRightInd/>
        <w:snapToGrid/>
        <w:spacing w:line="279" w:lineRule="auto"/>
        <w:jc w:val="both"/>
        <w:textAlignment w:val="auto"/>
        <w:outlineLvl w:val="2"/>
        <w:rPr>
          <w:rFonts w:ascii="Times New Roman" w:hAnsi="Times New Roman" w:cs="Times New Roman"/>
          <w:b/>
          <w:bCs/>
          <w:sz w:val="28"/>
          <w:szCs w:val="28"/>
        </w:rPr>
      </w:pPr>
      <w:bookmarkStart w:id="10" w:name="_Toc13860"/>
      <w:r>
        <w:rPr>
          <w:rFonts w:ascii="Times New Roman" w:hAnsi="Times New Roman" w:cs="Times New Roman"/>
          <w:b/>
          <w:bCs/>
          <w:sz w:val="28"/>
          <w:szCs w:val="28"/>
        </w:rPr>
        <w:t>1.3.2 Systematic Literature Review</w:t>
      </w:r>
      <w:bookmarkEnd w:id="10"/>
    </w:p>
    <w:p w14:paraId="38AC205C">
      <w:pPr>
        <w:jc w:val="both"/>
        <w:rPr>
          <w:rFonts w:ascii="Times New Roman" w:hAnsi="Times New Roman" w:cs="Times New Roman"/>
          <w:szCs w:val="22"/>
        </w:rPr>
      </w:pPr>
      <w:r>
        <w:rPr>
          <w:rFonts w:ascii="Times New Roman" w:hAnsi="Times New Roman" w:cs="Times New Roman"/>
          <w:szCs w:val="22"/>
        </w:rPr>
        <w:t>The systematic review follows a pre-specified protocol to locate, appraise and synthesize evidence with aiming to minimise potential bia</w:t>
      </w:r>
      <w:r>
        <w:rPr>
          <w:rFonts w:hint="eastAsia" w:ascii="Times New Roman" w:hAnsi="Times New Roman" w:cs="Times New Roman"/>
          <w:szCs w:val="22"/>
        </w:rPr>
        <w:t xml:space="preserve">s </w:t>
      </w:r>
      <w:r>
        <w:rPr>
          <w:rFonts w:ascii="Times New Roman" w:hAnsi="Times New Roman" w:cs="Times New Roman"/>
          <w:szCs w:val="22"/>
        </w:rPr>
        <w:t>(Higgins et al., 2024). It uses explicit and reproducible methods to answer a focused question, typically involving comprehensive database searching, pre-defined inclusion and exclusion criteria, and formal quality appraisal (Page et al., 2021). PRISMA 2020 can support transparent reporting of identification and selection processes (Page et al., 2021). Its main strength is that evidence identification can be checked and repeated, reducing bias (Higgins et al., 2024); its main weakness is inflexibility, as pre-defined parameters may overlook unexpected findings (Snyder, 2019). Systematic reviews differ from mapping reviews: the former are designed to answer a specific, well-defined research question, while the latter aim to map the breadth of a field and identify its gaps and contours (Munn et al., 2018).</w:t>
      </w:r>
    </w:p>
    <w:p w14:paraId="362F25F0">
      <w:pPr>
        <w:keepNext w:val="0"/>
        <w:keepLines w:val="0"/>
        <w:pageBreakBefore w:val="0"/>
        <w:widowControl w:val="0"/>
        <w:kinsoku/>
        <w:wordWrap/>
        <w:overflowPunct/>
        <w:topLinePunct w:val="0"/>
        <w:autoSpaceDE/>
        <w:autoSpaceDN/>
        <w:bidi w:val="0"/>
        <w:adjustRightInd/>
        <w:snapToGrid/>
        <w:spacing w:line="279" w:lineRule="auto"/>
        <w:jc w:val="both"/>
        <w:textAlignment w:val="auto"/>
        <w:outlineLvl w:val="2"/>
        <w:rPr>
          <w:rFonts w:ascii="Times New Roman" w:hAnsi="Times New Roman" w:cs="Times New Roman"/>
          <w:b/>
          <w:bCs/>
          <w:sz w:val="28"/>
          <w:szCs w:val="28"/>
        </w:rPr>
      </w:pPr>
      <w:bookmarkStart w:id="11" w:name="_Toc13616"/>
      <w:r>
        <w:rPr>
          <w:rFonts w:ascii="Times New Roman" w:hAnsi="Times New Roman" w:cs="Times New Roman"/>
          <w:b/>
          <w:bCs/>
          <w:sz w:val="28"/>
          <w:szCs w:val="28"/>
        </w:rPr>
        <w:t>1.3.3 Mapping Review</w:t>
      </w:r>
      <w:bookmarkEnd w:id="11"/>
    </w:p>
    <w:p w14:paraId="3AA4BE0B">
      <w:pPr>
        <w:jc w:val="both"/>
        <w:rPr>
          <w:rFonts w:ascii="Times New Roman" w:hAnsi="Times New Roman" w:cs="Times New Roman"/>
          <w:szCs w:val="22"/>
        </w:rPr>
      </w:pPr>
      <w:r>
        <w:rPr>
          <w:rFonts w:ascii="Times New Roman" w:hAnsi="Times New Roman" w:cs="Times New Roman"/>
          <w:szCs w:val="22"/>
        </w:rPr>
        <w:t>Mapping review is a systematic approach</w:t>
      </w:r>
      <w:r>
        <w:rPr>
          <w:rFonts w:hint="eastAsia" w:ascii="Times New Roman" w:hAnsi="Times New Roman" w:cs="Times New Roman"/>
          <w:szCs w:val="22"/>
        </w:rPr>
        <w:t xml:space="preserve"> </w:t>
      </w:r>
      <w:r>
        <w:rPr>
          <w:rFonts w:ascii="Times New Roman" w:hAnsi="Times New Roman" w:cs="Times New Roman"/>
          <w:szCs w:val="22"/>
        </w:rPr>
        <w:t>to categorise</w:t>
      </w:r>
      <w:r>
        <w:rPr>
          <w:rFonts w:hint="eastAsia" w:ascii="Times New Roman" w:hAnsi="Times New Roman" w:cs="Times New Roman"/>
          <w:szCs w:val="22"/>
        </w:rPr>
        <w:t xml:space="preserve"> </w:t>
      </w:r>
      <w:r>
        <w:rPr>
          <w:rFonts w:ascii="Times New Roman" w:hAnsi="Times New Roman" w:cs="Times New Roman"/>
          <w:szCs w:val="22"/>
        </w:rPr>
        <w:t>existing literature to identify clusters of evidence, research gaps and patterns across a broad field, generally utilizing predetermined codes and a less intensive data mining strategy than a full systematic review (Grant and Booth, 2009; Petersen et al., 2008). Mapping Review in this study refers to categorizing evidence into meaningful dimensions related to research objectives: AI adoption (RO1); drivers and barriers influencing drivers and barriers influencing employee responses in the workplace in the workplace (RO2); and organisations support to AI-driven change (RO3). Its chief advantage is that it is suitable for heterogeneous literature where studies differ in design, discipline and focus, which means that a uniform synthesis is not practical (Petersen et al., 2008). The</w:t>
      </w:r>
      <w:r>
        <w:rPr>
          <w:rFonts w:hint="eastAsia" w:ascii="Times New Roman" w:hAnsi="Times New Roman" w:cs="Times New Roman"/>
          <w:szCs w:val="22"/>
        </w:rPr>
        <w:t xml:space="preserve"> </w:t>
      </w:r>
      <w:r>
        <w:rPr>
          <w:rFonts w:ascii="Times New Roman" w:hAnsi="Times New Roman" w:cs="Times New Roman"/>
          <w:szCs w:val="22"/>
        </w:rPr>
        <w:t>limitations that the quality of conclusions are contingent upon the coding categories and the evidence behind them: poorly defined or too broad categories may obscure rather than illuminate the landscape (Khalil et al., 2022). Mapping is used in this study specifically because the aim is to organize evidence around dimensions, factors and outcomes related to the aims of the research and not to provide an in-depth analysis of concepts or findings.</w:t>
      </w:r>
    </w:p>
    <w:p w14:paraId="04A22C24">
      <w:pPr>
        <w:keepNext w:val="0"/>
        <w:keepLines w:val="0"/>
        <w:pageBreakBefore w:val="0"/>
        <w:widowControl w:val="0"/>
        <w:kinsoku/>
        <w:wordWrap/>
        <w:overflowPunct/>
        <w:topLinePunct w:val="0"/>
        <w:autoSpaceDE/>
        <w:autoSpaceDN/>
        <w:bidi w:val="0"/>
        <w:adjustRightInd/>
        <w:snapToGrid/>
        <w:spacing w:line="279" w:lineRule="auto"/>
        <w:jc w:val="both"/>
        <w:textAlignment w:val="auto"/>
        <w:outlineLvl w:val="2"/>
        <w:rPr>
          <w:rFonts w:ascii="Times New Roman" w:hAnsi="Times New Roman" w:cs="Times New Roman"/>
          <w:b/>
          <w:bCs/>
          <w:sz w:val="28"/>
          <w:szCs w:val="28"/>
        </w:rPr>
      </w:pPr>
      <w:bookmarkStart w:id="12" w:name="_Toc27336"/>
      <w:r>
        <w:rPr>
          <w:rFonts w:ascii="Times New Roman" w:hAnsi="Times New Roman" w:cs="Times New Roman"/>
          <w:b/>
          <w:bCs/>
          <w:sz w:val="28"/>
          <w:szCs w:val="28"/>
        </w:rPr>
        <w:t>1.3.4 Critical Comparison of the Three Approaches</w:t>
      </w:r>
      <w:bookmarkEnd w:id="12"/>
    </w:p>
    <w:p w14:paraId="52BC15C2">
      <w:pPr>
        <w:jc w:val="both"/>
        <w:rPr>
          <w:rFonts w:ascii="Times New Roman" w:hAnsi="Times New Roman" w:cs="Times New Roman"/>
          <w:szCs w:val="22"/>
        </w:rPr>
      </w:pPr>
      <w:r>
        <w:rPr>
          <w:rFonts w:ascii="Times New Roman" w:hAnsi="Times New Roman" w:cs="Times New Roman"/>
          <w:szCs w:val="22"/>
        </w:rPr>
        <w:t>The three approaches differ in their rigor, flexibility and purpose. Narrative reviews can explore ideas and provide conceptual depth, but they are not reproducible and transparent, making them inappropriate as the main mapping method for this study (Grant and Booth, 2009). Systematic reviews are transparent, reproducible and rigorous, but they are time-intensive and inflexible and therefore not the best fit for mapping a broad and heterogeneous evidence base (Higgins et al., 2024). Mapping reviews, while they do not by themselves establish causality, are well suited to heterogeneous literature and can organise evidence around predefined dimensions (Petersen et al., 2008). For this reason, the mapping review is the most appropriate fit for the research objectives</w:t>
      </w:r>
      <w:r>
        <w:rPr>
          <w:rFonts w:hint="eastAsia" w:ascii="Times New Roman" w:hAnsi="Times New Roman" w:cs="Times New Roman"/>
          <w:szCs w:val="22"/>
        </w:rPr>
        <w:t>:</w:t>
      </w:r>
      <w:r>
        <w:rPr>
          <w:rFonts w:ascii="Times New Roman" w:hAnsi="Times New Roman" w:cs="Times New Roman"/>
          <w:szCs w:val="22"/>
        </w:rPr>
        <w:t xml:space="preserve"> it supports the identification of AI adoption dimensions (RO1), drivers and barriers influencing employee responses (RO2), and organisational support for AI-driven change (RO3).</w:t>
      </w:r>
    </w:p>
    <w:p w14:paraId="2D24BE23">
      <w:pPr>
        <w:jc w:val="both"/>
        <w:rPr>
          <w:rFonts w:ascii="Times New Roman" w:hAnsi="Times New Roman" w:cs="Times New Roman"/>
          <w:szCs w:val="22"/>
        </w:rPr>
      </w:pPr>
      <w:r>
        <w:rPr>
          <w:rFonts w:ascii="Times New Roman" w:hAnsi="Times New Roman" w:cs="Times New Roman"/>
          <w:szCs w:val="22"/>
        </w:rPr>
        <w:t>This comparison is not intended to rank these approaches, but rather to show that each is suitable for a different research purpose</w:t>
      </w:r>
      <w:r>
        <w:rPr>
          <w:rFonts w:hint="eastAsia" w:ascii="Times New Roman" w:hAnsi="Times New Roman" w:cs="Times New Roman"/>
          <w:szCs w:val="22"/>
        </w:rPr>
        <w:t xml:space="preserve"> (Table 1)</w:t>
      </w:r>
      <w:r>
        <w:rPr>
          <w:rFonts w:ascii="Times New Roman" w:hAnsi="Times New Roman" w:cs="Times New Roman"/>
          <w:szCs w:val="22"/>
        </w:rPr>
        <w:t>. The mapping review is the most suitable for this study, as the research intends to classify the heterogeneous AI literature in the dimensions pertinent to the research objectives (Grant and Booth, 2009; Khalil et al., 2025). Mapping reviews generally require an outcome element that is clear and preferably an intervention or influencing factor element (Campbell et al., 2023; Khalil et al., 2025). The organisations level factor or intervention in this design is organisations support; the outcome is employee responses and adaptation. This format is well suited to mapping reviews because they use pre-determined coding frameworks to systematically categorize evidence and identify gaps across broad research questions (Petersen et al., 2008; Campbell et al., 2023).</w:t>
      </w:r>
      <w:r>
        <w:rPr>
          <w:rFonts w:hint="eastAsia" w:ascii="Times New Roman" w:hAnsi="Times New Roman" w:cs="Times New Roman"/>
          <w:szCs w:val="22"/>
        </w:rPr>
        <w:t xml:space="preserve"> </w:t>
      </w:r>
    </w:p>
    <w:p w14:paraId="3CACA889">
      <w:pPr>
        <w:jc w:val="center"/>
        <w:rPr>
          <w:rFonts w:ascii="Times New Roman" w:hAnsi="Times New Roman" w:cs="Times New Roman"/>
          <w:szCs w:val="22"/>
        </w:rPr>
      </w:pPr>
      <w:r>
        <w:rPr>
          <w:rFonts w:ascii="Times New Roman" w:hAnsi="Times New Roman" w:cs="Times New Roman"/>
          <w:b/>
          <w:bCs/>
          <w:szCs w:val="22"/>
        </w:rPr>
        <w:t>Table 1. Comparison of narrative, systematic and mapping reviews</w:t>
      </w:r>
    </w:p>
    <w:tbl>
      <w:tblPr>
        <w:tblStyle w:val="3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187"/>
        <w:gridCol w:w="1310"/>
        <w:gridCol w:w="1038"/>
        <w:gridCol w:w="1096"/>
        <w:gridCol w:w="998"/>
        <w:gridCol w:w="1177"/>
        <w:gridCol w:w="1716"/>
      </w:tblGrid>
      <w:tr w14:paraId="5CEE25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7" w:type="dxa"/>
          </w:tcPr>
          <w:p w14:paraId="73EBA8B7">
            <w:pPr>
              <w:widowControl/>
              <w:spacing w:after="0" w:line="240" w:lineRule="auto"/>
              <w:jc w:val="center"/>
              <w:rPr>
                <w:rFonts w:ascii="Times New Roman" w:hAnsi="Times New Roman" w:eastAsia="MS Mincho" w:cs="Times New Roman"/>
                <w:b/>
                <w:bCs/>
                <w:kern w:val="0"/>
                <w:sz w:val="21"/>
                <w:szCs w:val="21"/>
                <w:lang w:eastAsia="en-US"/>
                <w14:ligatures w14:val="none"/>
              </w:rPr>
            </w:pPr>
            <w:r>
              <w:rPr>
                <w:rFonts w:ascii="Times New Roman" w:hAnsi="Times New Roman" w:eastAsia="MS Mincho" w:cs="Times New Roman"/>
                <w:b/>
                <w:bCs/>
                <w:kern w:val="0"/>
                <w:sz w:val="21"/>
                <w:szCs w:val="21"/>
                <w:lang w:eastAsia="en-US"/>
                <w14:ligatures w14:val="none"/>
              </w:rPr>
              <w:t>Approach</w:t>
            </w:r>
          </w:p>
        </w:tc>
        <w:tc>
          <w:tcPr>
            <w:tcW w:w="1310" w:type="dxa"/>
          </w:tcPr>
          <w:p w14:paraId="32B4585C">
            <w:pPr>
              <w:widowControl/>
              <w:spacing w:after="0" w:line="240" w:lineRule="auto"/>
              <w:jc w:val="center"/>
              <w:rPr>
                <w:rFonts w:ascii="Times New Roman" w:hAnsi="Times New Roman" w:eastAsia="MS Mincho" w:cs="Times New Roman"/>
                <w:b/>
                <w:bCs/>
                <w:kern w:val="0"/>
                <w:sz w:val="21"/>
                <w:szCs w:val="21"/>
                <w:lang w:eastAsia="en-US"/>
                <w14:ligatures w14:val="none"/>
              </w:rPr>
            </w:pPr>
            <w:r>
              <w:rPr>
                <w:rFonts w:ascii="Times New Roman" w:hAnsi="Times New Roman" w:eastAsia="MS Mincho" w:cs="Times New Roman"/>
                <w:b/>
                <w:bCs/>
                <w:kern w:val="0"/>
                <w:sz w:val="21"/>
                <w:szCs w:val="21"/>
                <w:lang w:eastAsia="en-US"/>
                <w14:ligatures w14:val="none"/>
              </w:rPr>
              <w:t>Purpose</w:t>
            </w:r>
          </w:p>
        </w:tc>
        <w:tc>
          <w:tcPr>
            <w:tcW w:w="1038" w:type="dxa"/>
          </w:tcPr>
          <w:p w14:paraId="4BAEA035">
            <w:pPr>
              <w:widowControl/>
              <w:spacing w:after="0" w:line="240" w:lineRule="auto"/>
              <w:jc w:val="center"/>
              <w:rPr>
                <w:rFonts w:ascii="Times New Roman" w:hAnsi="Times New Roman" w:eastAsia="MS Mincho" w:cs="Times New Roman"/>
                <w:b/>
                <w:bCs/>
                <w:kern w:val="0"/>
                <w:sz w:val="21"/>
                <w:szCs w:val="21"/>
                <w:lang w:eastAsia="en-US"/>
                <w14:ligatures w14:val="none"/>
              </w:rPr>
            </w:pPr>
            <w:r>
              <w:rPr>
                <w:rFonts w:ascii="Times New Roman" w:hAnsi="Times New Roman" w:eastAsia="MS Mincho" w:cs="Times New Roman"/>
                <w:b/>
                <w:bCs/>
                <w:kern w:val="0"/>
                <w:sz w:val="21"/>
                <w:szCs w:val="21"/>
                <w:lang w:eastAsia="en-US"/>
                <w14:ligatures w14:val="none"/>
              </w:rPr>
              <w:t>Search / Process</w:t>
            </w:r>
          </w:p>
        </w:tc>
        <w:tc>
          <w:tcPr>
            <w:tcW w:w="1096" w:type="dxa"/>
          </w:tcPr>
          <w:p w14:paraId="0544E27B">
            <w:pPr>
              <w:widowControl/>
              <w:spacing w:after="0" w:line="240" w:lineRule="auto"/>
              <w:jc w:val="center"/>
              <w:rPr>
                <w:rFonts w:ascii="Times New Roman" w:hAnsi="Times New Roman" w:eastAsia="MS Mincho" w:cs="Times New Roman"/>
                <w:b/>
                <w:bCs/>
                <w:kern w:val="0"/>
                <w:sz w:val="21"/>
                <w:szCs w:val="21"/>
                <w:lang w:eastAsia="en-US"/>
                <w14:ligatures w14:val="none"/>
              </w:rPr>
            </w:pPr>
            <w:r>
              <w:rPr>
                <w:rFonts w:ascii="Times New Roman" w:hAnsi="Times New Roman" w:eastAsia="MS Mincho" w:cs="Times New Roman"/>
                <w:b/>
                <w:bCs/>
                <w:kern w:val="0"/>
                <w:sz w:val="21"/>
                <w:szCs w:val="21"/>
                <w:lang w:eastAsia="en-US"/>
                <w14:ligatures w14:val="none"/>
              </w:rPr>
              <w:t>Synthesis</w:t>
            </w:r>
          </w:p>
        </w:tc>
        <w:tc>
          <w:tcPr>
            <w:tcW w:w="998" w:type="dxa"/>
          </w:tcPr>
          <w:p w14:paraId="3EB13843">
            <w:pPr>
              <w:widowControl/>
              <w:spacing w:after="0" w:line="240" w:lineRule="auto"/>
              <w:jc w:val="center"/>
              <w:rPr>
                <w:rFonts w:ascii="Times New Roman" w:hAnsi="Times New Roman" w:eastAsia="MS Mincho" w:cs="Times New Roman"/>
                <w:b/>
                <w:bCs/>
                <w:kern w:val="0"/>
                <w:sz w:val="21"/>
                <w:szCs w:val="21"/>
                <w:lang w:eastAsia="en-US"/>
                <w14:ligatures w14:val="none"/>
              </w:rPr>
            </w:pPr>
            <w:r>
              <w:rPr>
                <w:rFonts w:ascii="Times New Roman" w:hAnsi="Times New Roman" w:eastAsia="MS Mincho" w:cs="Times New Roman"/>
                <w:b/>
                <w:bCs/>
                <w:kern w:val="0"/>
                <w:sz w:val="21"/>
                <w:szCs w:val="21"/>
                <w:lang w:eastAsia="en-US"/>
                <w14:ligatures w14:val="none"/>
              </w:rPr>
              <w:t>Strength</w:t>
            </w:r>
          </w:p>
        </w:tc>
        <w:tc>
          <w:tcPr>
            <w:tcW w:w="1177" w:type="dxa"/>
          </w:tcPr>
          <w:p w14:paraId="2FC8494B">
            <w:pPr>
              <w:widowControl/>
              <w:spacing w:after="0" w:line="240" w:lineRule="auto"/>
              <w:jc w:val="center"/>
              <w:rPr>
                <w:rFonts w:ascii="Times New Roman" w:hAnsi="Times New Roman" w:eastAsia="MS Mincho" w:cs="Times New Roman"/>
                <w:b/>
                <w:bCs/>
                <w:kern w:val="0"/>
                <w:sz w:val="21"/>
                <w:szCs w:val="21"/>
                <w:lang w:eastAsia="en-US"/>
                <w14:ligatures w14:val="none"/>
              </w:rPr>
            </w:pPr>
            <w:r>
              <w:rPr>
                <w:rFonts w:ascii="Times New Roman" w:hAnsi="Times New Roman" w:eastAsia="MS Mincho" w:cs="Times New Roman"/>
                <w:b/>
                <w:bCs/>
                <w:kern w:val="0"/>
                <w:sz w:val="21"/>
                <w:szCs w:val="21"/>
                <w:lang w:eastAsia="en-US"/>
                <w14:ligatures w14:val="none"/>
              </w:rPr>
              <w:t>Limitation</w:t>
            </w:r>
          </w:p>
        </w:tc>
        <w:tc>
          <w:tcPr>
            <w:tcW w:w="1716" w:type="dxa"/>
          </w:tcPr>
          <w:p w14:paraId="31B08BC0">
            <w:pPr>
              <w:widowControl/>
              <w:spacing w:after="0" w:line="240" w:lineRule="auto"/>
              <w:jc w:val="center"/>
              <w:rPr>
                <w:rFonts w:ascii="Times New Roman" w:hAnsi="Times New Roman" w:eastAsia="MS Mincho" w:cs="Times New Roman"/>
                <w:b/>
                <w:bCs/>
                <w:kern w:val="0"/>
                <w:sz w:val="21"/>
                <w:szCs w:val="21"/>
                <w:lang w:eastAsia="en-US"/>
                <w14:ligatures w14:val="none"/>
              </w:rPr>
            </w:pPr>
            <w:r>
              <w:rPr>
                <w:rFonts w:ascii="Times New Roman" w:hAnsi="Times New Roman" w:eastAsia="MS Mincho" w:cs="Times New Roman"/>
                <w:b/>
                <w:bCs/>
                <w:kern w:val="0"/>
                <w:sz w:val="21"/>
                <w:szCs w:val="21"/>
                <w:lang w:eastAsia="en-US"/>
                <w14:ligatures w14:val="none"/>
              </w:rPr>
              <w:t>Fit here</w:t>
            </w:r>
          </w:p>
        </w:tc>
      </w:tr>
      <w:tr w14:paraId="704D7B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8" w:hRule="atLeast"/>
        </w:trPr>
        <w:tc>
          <w:tcPr>
            <w:tcW w:w="1187" w:type="dxa"/>
          </w:tcPr>
          <w:p w14:paraId="372F2BFC">
            <w:pPr>
              <w:widowControl/>
              <w:spacing w:after="0" w:line="240" w:lineRule="auto"/>
              <w:jc w:val="both"/>
              <w:rPr>
                <w:rFonts w:ascii="Times New Roman" w:hAnsi="Times New Roman" w:eastAsia="MS Mincho" w:cs="Times New Roman"/>
                <w:kern w:val="0"/>
                <w:sz w:val="21"/>
                <w:szCs w:val="21"/>
                <w:lang w:eastAsia="en-US"/>
                <w14:ligatures w14:val="none"/>
              </w:rPr>
            </w:pPr>
            <w:r>
              <w:rPr>
                <w:rFonts w:ascii="Times New Roman" w:hAnsi="Times New Roman" w:eastAsia="MS Mincho" w:cs="Times New Roman"/>
                <w:kern w:val="0"/>
                <w:sz w:val="21"/>
                <w:szCs w:val="21"/>
                <w:lang w:eastAsia="en-US"/>
                <w14:ligatures w14:val="none"/>
              </w:rPr>
              <w:t>Narrative</w:t>
            </w:r>
          </w:p>
        </w:tc>
        <w:tc>
          <w:tcPr>
            <w:tcW w:w="1310" w:type="dxa"/>
          </w:tcPr>
          <w:p w14:paraId="27B72BD4">
            <w:pPr>
              <w:widowControl/>
              <w:spacing w:after="0" w:line="240" w:lineRule="auto"/>
              <w:jc w:val="both"/>
              <w:rPr>
                <w:rFonts w:ascii="Times New Roman" w:hAnsi="Times New Roman" w:eastAsia="MS Mincho" w:cs="Times New Roman"/>
                <w:kern w:val="0"/>
                <w:sz w:val="21"/>
                <w:szCs w:val="21"/>
                <w:lang w:eastAsia="en-US"/>
                <w14:ligatures w14:val="none"/>
              </w:rPr>
            </w:pPr>
            <w:r>
              <w:rPr>
                <w:rFonts w:ascii="Times New Roman" w:hAnsi="Times New Roman" w:eastAsia="MS Mincho" w:cs="Times New Roman"/>
                <w:kern w:val="0"/>
                <w:sz w:val="21"/>
                <w:szCs w:val="21"/>
                <w:lang w:eastAsia="en-US"/>
                <w14:ligatures w14:val="none"/>
              </w:rPr>
              <w:t>Broad understanding / themes / debates</w:t>
            </w:r>
          </w:p>
        </w:tc>
        <w:tc>
          <w:tcPr>
            <w:tcW w:w="1038" w:type="dxa"/>
          </w:tcPr>
          <w:p w14:paraId="39193038">
            <w:pPr>
              <w:widowControl/>
              <w:spacing w:after="0" w:line="240" w:lineRule="auto"/>
              <w:jc w:val="both"/>
              <w:rPr>
                <w:rFonts w:ascii="Times New Roman" w:hAnsi="Times New Roman" w:eastAsia="MS Mincho" w:cs="Times New Roman"/>
                <w:kern w:val="0"/>
                <w:sz w:val="21"/>
                <w:szCs w:val="21"/>
                <w:lang w:eastAsia="en-US"/>
                <w14:ligatures w14:val="none"/>
              </w:rPr>
            </w:pPr>
            <w:r>
              <w:rPr>
                <w:rFonts w:ascii="Times New Roman" w:hAnsi="Times New Roman" w:eastAsia="MS Mincho" w:cs="Times New Roman"/>
                <w:kern w:val="0"/>
                <w:sz w:val="21"/>
                <w:szCs w:val="21"/>
                <w:lang w:eastAsia="en-US"/>
                <w14:ligatures w14:val="none"/>
              </w:rPr>
              <w:t>Flexible; non-standardized</w:t>
            </w:r>
          </w:p>
        </w:tc>
        <w:tc>
          <w:tcPr>
            <w:tcW w:w="1096" w:type="dxa"/>
          </w:tcPr>
          <w:p w14:paraId="165BA3C5">
            <w:pPr>
              <w:widowControl/>
              <w:spacing w:after="0" w:line="240" w:lineRule="auto"/>
              <w:jc w:val="both"/>
              <w:rPr>
                <w:rFonts w:ascii="Times New Roman" w:hAnsi="Times New Roman" w:eastAsia="MS Mincho" w:cs="Times New Roman"/>
                <w:kern w:val="0"/>
                <w:sz w:val="21"/>
                <w:szCs w:val="21"/>
                <w:lang w:eastAsia="en-US"/>
                <w14:ligatures w14:val="none"/>
              </w:rPr>
            </w:pPr>
            <w:r>
              <w:rPr>
                <w:rFonts w:ascii="Times New Roman" w:hAnsi="Times New Roman" w:eastAsia="MS Mincho" w:cs="Times New Roman"/>
                <w:kern w:val="0"/>
                <w:sz w:val="21"/>
                <w:szCs w:val="21"/>
                <w:lang w:eastAsia="en-US"/>
                <w14:ligatures w14:val="none"/>
              </w:rPr>
              <w:t>Narrative / thematic</w:t>
            </w:r>
          </w:p>
        </w:tc>
        <w:tc>
          <w:tcPr>
            <w:tcW w:w="998" w:type="dxa"/>
          </w:tcPr>
          <w:p w14:paraId="54A684B9">
            <w:pPr>
              <w:widowControl/>
              <w:spacing w:after="0" w:line="240" w:lineRule="auto"/>
              <w:jc w:val="both"/>
              <w:rPr>
                <w:rFonts w:ascii="Times New Roman" w:hAnsi="Times New Roman" w:eastAsia="MS Mincho" w:cs="Times New Roman"/>
                <w:kern w:val="0"/>
                <w:sz w:val="21"/>
                <w:szCs w:val="21"/>
                <w:lang w:eastAsia="en-US"/>
                <w14:ligatures w14:val="none"/>
              </w:rPr>
            </w:pPr>
            <w:r>
              <w:rPr>
                <w:rFonts w:ascii="Times New Roman" w:hAnsi="Times New Roman" w:eastAsia="MS Mincho" w:cs="Times New Roman"/>
                <w:kern w:val="0"/>
                <w:sz w:val="21"/>
                <w:szCs w:val="21"/>
                <w:lang w:eastAsia="en-US"/>
                <w14:ligatures w14:val="none"/>
              </w:rPr>
              <w:t>Flexible; conceptual depth</w:t>
            </w:r>
          </w:p>
        </w:tc>
        <w:tc>
          <w:tcPr>
            <w:tcW w:w="1177" w:type="dxa"/>
          </w:tcPr>
          <w:p w14:paraId="133E83FA">
            <w:pPr>
              <w:widowControl/>
              <w:spacing w:after="0" w:line="240" w:lineRule="auto"/>
              <w:jc w:val="both"/>
              <w:rPr>
                <w:rFonts w:ascii="Times New Roman" w:hAnsi="Times New Roman" w:eastAsia="MS Mincho" w:cs="Times New Roman"/>
                <w:kern w:val="0"/>
                <w:sz w:val="21"/>
                <w:szCs w:val="21"/>
                <w:lang w:eastAsia="en-US"/>
                <w14:ligatures w14:val="none"/>
              </w:rPr>
            </w:pPr>
            <w:r>
              <w:rPr>
                <w:rFonts w:ascii="Times New Roman" w:hAnsi="Times New Roman" w:eastAsia="MS Mincho" w:cs="Times New Roman"/>
                <w:kern w:val="0"/>
                <w:sz w:val="21"/>
                <w:szCs w:val="21"/>
                <w:lang w:eastAsia="en-US"/>
                <w14:ligatures w14:val="none"/>
              </w:rPr>
              <w:t>Less reproducible / transparent</w:t>
            </w:r>
          </w:p>
        </w:tc>
        <w:tc>
          <w:tcPr>
            <w:tcW w:w="1716" w:type="dxa"/>
          </w:tcPr>
          <w:p w14:paraId="6059CE55">
            <w:pPr>
              <w:widowControl/>
              <w:spacing w:after="0" w:line="240" w:lineRule="auto"/>
              <w:jc w:val="both"/>
              <w:rPr>
                <w:rFonts w:ascii="Times New Roman" w:hAnsi="Times New Roman" w:eastAsia="MS Mincho" w:cs="Times New Roman"/>
                <w:kern w:val="0"/>
                <w:sz w:val="21"/>
                <w:szCs w:val="21"/>
                <w:lang w:eastAsia="en-US"/>
                <w14:ligatures w14:val="none"/>
              </w:rPr>
            </w:pPr>
            <w:r>
              <w:rPr>
                <w:rFonts w:ascii="Times New Roman" w:hAnsi="Times New Roman" w:eastAsia="MS Mincho" w:cs="Times New Roman"/>
                <w:kern w:val="0"/>
                <w:sz w:val="21"/>
                <w:szCs w:val="21"/>
                <w:lang w:eastAsia="en-US"/>
                <w14:ligatures w14:val="none"/>
              </w:rPr>
              <w:t>Useful for concepts, but not the main mapping method</w:t>
            </w:r>
          </w:p>
        </w:tc>
      </w:tr>
      <w:tr w14:paraId="1FB640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7" w:type="dxa"/>
          </w:tcPr>
          <w:p w14:paraId="67926685">
            <w:pPr>
              <w:widowControl/>
              <w:spacing w:after="0" w:line="240" w:lineRule="auto"/>
              <w:jc w:val="both"/>
              <w:rPr>
                <w:rFonts w:ascii="Times New Roman" w:hAnsi="Times New Roman" w:eastAsia="MS Mincho" w:cs="Times New Roman"/>
                <w:kern w:val="0"/>
                <w:sz w:val="21"/>
                <w:szCs w:val="21"/>
                <w:lang w:eastAsia="en-US"/>
                <w14:ligatures w14:val="none"/>
              </w:rPr>
            </w:pPr>
            <w:r>
              <w:rPr>
                <w:rFonts w:ascii="Times New Roman" w:hAnsi="Times New Roman" w:eastAsia="MS Mincho" w:cs="Times New Roman"/>
                <w:kern w:val="0"/>
                <w:sz w:val="21"/>
                <w:szCs w:val="21"/>
                <w:lang w:eastAsia="en-US"/>
                <w14:ligatures w14:val="none"/>
              </w:rPr>
              <w:t>Systematic</w:t>
            </w:r>
          </w:p>
        </w:tc>
        <w:tc>
          <w:tcPr>
            <w:tcW w:w="1310" w:type="dxa"/>
          </w:tcPr>
          <w:p w14:paraId="7673E570">
            <w:pPr>
              <w:widowControl/>
              <w:spacing w:after="0" w:line="240" w:lineRule="auto"/>
              <w:jc w:val="both"/>
              <w:rPr>
                <w:rFonts w:ascii="Times New Roman" w:hAnsi="Times New Roman" w:eastAsia="MS Mincho" w:cs="Times New Roman"/>
                <w:kern w:val="0"/>
                <w:sz w:val="21"/>
                <w:szCs w:val="21"/>
                <w:lang w:eastAsia="en-US"/>
                <w14:ligatures w14:val="none"/>
              </w:rPr>
            </w:pPr>
            <w:r>
              <w:rPr>
                <w:rFonts w:ascii="Times New Roman" w:hAnsi="Times New Roman" w:eastAsia="MS Mincho" w:cs="Times New Roman"/>
                <w:kern w:val="0"/>
                <w:sz w:val="21"/>
                <w:szCs w:val="21"/>
                <w:lang w:eastAsia="en-US"/>
                <w14:ligatures w14:val="none"/>
              </w:rPr>
              <w:t>Rigorous answers to defined question</w:t>
            </w:r>
          </w:p>
        </w:tc>
        <w:tc>
          <w:tcPr>
            <w:tcW w:w="1038" w:type="dxa"/>
          </w:tcPr>
          <w:p w14:paraId="5735F3D2">
            <w:pPr>
              <w:widowControl/>
              <w:spacing w:after="0" w:line="240" w:lineRule="auto"/>
              <w:jc w:val="both"/>
              <w:rPr>
                <w:rFonts w:ascii="Times New Roman" w:hAnsi="Times New Roman" w:eastAsia="MS Mincho" w:cs="Times New Roman"/>
                <w:kern w:val="0"/>
                <w:sz w:val="21"/>
                <w:szCs w:val="21"/>
                <w:lang w:eastAsia="en-US"/>
                <w14:ligatures w14:val="none"/>
              </w:rPr>
            </w:pPr>
            <w:r>
              <w:rPr>
                <w:rFonts w:ascii="Times New Roman" w:hAnsi="Times New Roman" w:eastAsia="MS Mincho" w:cs="Times New Roman"/>
                <w:kern w:val="0"/>
                <w:sz w:val="21"/>
                <w:szCs w:val="21"/>
                <w:lang w:eastAsia="en-US"/>
                <w14:ligatures w14:val="none"/>
              </w:rPr>
              <w:t>Protocol; inclusion/exclusion; search; screening; appraisal</w:t>
            </w:r>
          </w:p>
        </w:tc>
        <w:tc>
          <w:tcPr>
            <w:tcW w:w="1096" w:type="dxa"/>
          </w:tcPr>
          <w:p w14:paraId="4BD79C20">
            <w:pPr>
              <w:widowControl/>
              <w:spacing w:after="0" w:line="240" w:lineRule="auto"/>
              <w:jc w:val="both"/>
              <w:rPr>
                <w:rFonts w:ascii="Times New Roman" w:hAnsi="Times New Roman" w:eastAsia="MS Mincho" w:cs="Times New Roman"/>
                <w:kern w:val="0"/>
                <w:sz w:val="21"/>
                <w:szCs w:val="21"/>
                <w:lang w:eastAsia="en-US"/>
                <w14:ligatures w14:val="none"/>
              </w:rPr>
            </w:pPr>
            <w:r>
              <w:rPr>
                <w:rFonts w:ascii="Times New Roman" w:hAnsi="Times New Roman" w:eastAsia="MS Mincho" w:cs="Times New Roman"/>
                <w:kern w:val="0"/>
                <w:sz w:val="21"/>
                <w:szCs w:val="21"/>
                <w:lang w:eastAsia="en-US"/>
                <w14:ligatures w14:val="none"/>
              </w:rPr>
              <w:t>Categorization; extraction; quality assessment; narrative; meta-analysis if feasible</w:t>
            </w:r>
          </w:p>
        </w:tc>
        <w:tc>
          <w:tcPr>
            <w:tcW w:w="998" w:type="dxa"/>
          </w:tcPr>
          <w:p w14:paraId="298D537D">
            <w:pPr>
              <w:widowControl/>
              <w:spacing w:after="0" w:line="240" w:lineRule="auto"/>
              <w:jc w:val="both"/>
              <w:rPr>
                <w:rFonts w:ascii="Times New Roman" w:hAnsi="Times New Roman" w:eastAsia="MS Mincho" w:cs="Times New Roman"/>
                <w:kern w:val="0"/>
                <w:sz w:val="21"/>
                <w:szCs w:val="21"/>
                <w:lang w:eastAsia="en-US"/>
                <w14:ligatures w14:val="none"/>
              </w:rPr>
            </w:pPr>
            <w:r>
              <w:rPr>
                <w:rFonts w:ascii="Times New Roman" w:hAnsi="Times New Roman" w:eastAsia="MS Mincho" w:cs="Times New Roman"/>
                <w:kern w:val="0"/>
                <w:sz w:val="21"/>
                <w:szCs w:val="21"/>
                <w:lang w:eastAsia="en-US"/>
                <w14:ligatures w14:val="none"/>
              </w:rPr>
              <w:t>Transparent; reproducible; rigorous</w:t>
            </w:r>
          </w:p>
        </w:tc>
        <w:tc>
          <w:tcPr>
            <w:tcW w:w="1177" w:type="dxa"/>
          </w:tcPr>
          <w:p w14:paraId="2DC8B069">
            <w:pPr>
              <w:widowControl/>
              <w:spacing w:after="0" w:line="240" w:lineRule="auto"/>
              <w:jc w:val="both"/>
              <w:rPr>
                <w:rFonts w:ascii="Times New Roman" w:hAnsi="Times New Roman" w:eastAsia="MS Mincho" w:cs="Times New Roman"/>
                <w:kern w:val="0"/>
                <w:sz w:val="21"/>
                <w:szCs w:val="21"/>
                <w:lang w:eastAsia="en-US"/>
                <w14:ligatures w14:val="none"/>
              </w:rPr>
            </w:pPr>
            <w:r>
              <w:rPr>
                <w:rFonts w:ascii="Times New Roman" w:hAnsi="Times New Roman" w:eastAsia="MS Mincho" w:cs="Times New Roman"/>
                <w:kern w:val="0"/>
                <w:sz w:val="21"/>
                <w:szCs w:val="21"/>
                <w:lang w:eastAsia="en-US"/>
                <w14:ligatures w14:val="none"/>
              </w:rPr>
              <w:t>Time-intensive; less flexible</w:t>
            </w:r>
          </w:p>
        </w:tc>
        <w:tc>
          <w:tcPr>
            <w:tcW w:w="1716" w:type="dxa"/>
          </w:tcPr>
          <w:p w14:paraId="0724895C">
            <w:pPr>
              <w:widowControl/>
              <w:spacing w:after="0" w:line="240" w:lineRule="auto"/>
              <w:jc w:val="both"/>
              <w:rPr>
                <w:rFonts w:ascii="Times New Roman" w:hAnsi="Times New Roman" w:eastAsia="MS Mincho" w:cs="Times New Roman"/>
                <w:kern w:val="0"/>
                <w:sz w:val="21"/>
                <w:szCs w:val="21"/>
                <w:lang w:eastAsia="en-US"/>
                <w14:ligatures w14:val="none"/>
              </w:rPr>
            </w:pPr>
            <w:r>
              <w:rPr>
                <w:rFonts w:ascii="Times New Roman" w:hAnsi="Times New Roman" w:eastAsia="MS Mincho" w:cs="Times New Roman"/>
                <w:kern w:val="0"/>
                <w:sz w:val="21"/>
                <w:szCs w:val="21"/>
                <w:lang w:eastAsia="en-US"/>
                <w14:ligatures w14:val="none"/>
              </w:rPr>
              <w:t>Possible, but not the best fit for broad evidence mapping</w:t>
            </w:r>
          </w:p>
        </w:tc>
      </w:tr>
      <w:tr w14:paraId="02F8521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7" w:type="dxa"/>
          </w:tcPr>
          <w:p w14:paraId="2DD168D1">
            <w:pPr>
              <w:widowControl/>
              <w:spacing w:after="0" w:line="240" w:lineRule="auto"/>
              <w:jc w:val="both"/>
              <w:rPr>
                <w:rFonts w:ascii="Times New Roman" w:hAnsi="Times New Roman" w:eastAsia="MS Mincho" w:cs="Times New Roman"/>
                <w:kern w:val="0"/>
                <w:sz w:val="21"/>
                <w:szCs w:val="21"/>
                <w:lang w:eastAsia="en-US"/>
                <w14:ligatures w14:val="none"/>
              </w:rPr>
            </w:pPr>
            <w:r>
              <w:rPr>
                <w:rFonts w:ascii="Times New Roman" w:hAnsi="Times New Roman" w:eastAsia="MS Mincho" w:cs="Times New Roman"/>
                <w:kern w:val="0"/>
                <w:sz w:val="21"/>
                <w:szCs w:val="21"/>
                <w:lang w:eastAsia="en-US"/>
                <w14:ligatures w14:val="none"/>
              </w:rPr>
              <w:t>Mapping</w:t>
            </w:r>
          </w:p>
        </w:tc>
        <w:tc>
          <w:tcPr>
            <w:tcW w:w="1310" w:type="dxa"/>
          </w:tcPr>
          <w:p w14:paraId="55AED2A5">
            <w:pPr>
              <w:widowControl/>
              <w:spacing w:after="0" w:line="240" w:lineRule="auto"/>
              <w:jc w:val="both"/>
              <w:rPr>
                <w:rFonts w:ascii="Times New Roman" w:hAnsi="Times New Roman" w:eastAsia="MS Mincho" w:cs="Times New Roman"/>
                <w:kern w:val="0"/>
                <w:sz w:val="21"/>
                <w:szCs w:val="21"/>
                <w:lang w:eastAsia="en-US"/>
                <w14:ligatures w14:val="none"/>
              </w:rPr>
            </w:pPr>
            <w:r>
              <w:rPr>
                <w:rFonts w:ascii="Times New Roman" w:hAnsi="Times New Roman" w:eastAsia="MS Mincho" w:cs="Times New Roman"/>
                <w:kern w:val="0"/>
                <w:sz w:val="21"/>
                <w:szCs w:val="21"/>
                <w:lang w:eastAsia="en-US"/>
                <w14:ligatures w14:val="none"/>
              </w:rPr>
              <w:t>Map distribution and relationships in evidence</w:t>
            </w:r>
          </w:p>
        </w:tc>
        <w:tc>
          <w:tcPr>
            <w:tcW w:w="1038" w:type="dxa"/>
          </w:tcPr>
          <w:p w14:paraId="2ED3F10A">
            <w:pPr>
              <w:widowControl/>
              <w:spacing w:after="0" w:line="240" w:lineRule="auto"/>
              <w:jc w:val="both"/>
              <w:rPr>
                <w:rFonts w:ascii="Times New Roman" w:hAnsi="Times New Roman" w:eastAsia="MS Mincho" w:cs="Times New Roman"/>
                <w:kern w:val="0"/>
                <w:sz w:val="21"/>
                <w:szCs w:val="21"/>
                <w:lang w:eastAsia="en-US"/>
                <w14:ligatures w14:val="none"/>
              </w:rPr>
            </w:pPr>
            <w:r>
              <w:rPr>
                <w:rFonts w:ascii="Times New Roman" w:hAnsi="Times New Roman" w:eastAsia="MS Mincho" w:cs="Times New Roman"/>
                <w:kern w:val="0"/>
                <w:sz w:val="21"/>
                <w:szCs w:val="21"/>
                <w:lang w:eastAsia="en-US"/>
                <w14:ligatures w14:val="none"/>
              </w:rPr>
              <w:t>Keywording + evidence mapping</w:t>
            </w:r>
          </w:p>
        </w:tc>
        <w:tc>
          <w:tcPr>
            <w:tcW w:w="1096" w:type="dxa"/>
          </w:tcPr>
          <w:p w14:paraId="13D2D218">
            <w:pPr>
              <w:widowControl/>
              <w:spacing w:after="0" w:line="240" w:lineRule="auto"/>
              <w:jc w:val="both"/>
              <w:rPr>
                <w:rFonts w:ascii="Times New Roman" w:hAnsi="Times New Roman" w:eastAsia="MS Mincho" w:cs="Times New Roman"/>
                <w:kern w:val="0"/>
                <w:sz w:val="21"/>
                <w:szCs w:val="21"/>
                <w:lang w:eastAsia="en-US"/>
                <w14:ligatures w14:val="none"/>
              </w:rPr>
            </w:pPr>
            <w:r>
              <w:rPr>
                <w:rFonts w:ascii="Times New Roman" w:hAnsi="Times New Roman" w:eastAsia="MS Mincho" w:cs="Times New Roman"/>
                <w:kern w:val="0"/>
                <w:sz w:val="21"/>
                <w:szCs w:val="21"/>
                <w:lang w:eastAsia="en-US"/>
                <w14:ligatures w14:val="none"/>
              </w:rPr>
              <w:t>Evidence mapping / categories / visual or tabular patterns</w:t>
            </w:r>
          </w:p>
        </w:tc>
        <w:tc>
          <w:tcPr>
            <w:tcW w:w="998" w:type="dxa"/>
          </w:tcPr>
          <w:p w14:paraId="19D2A4CF">
            <w:pPr>
              <w:widowControl/>
              <w:spacing w:after="0" w:line="240" w:lineRule="auto"/>
              <w:jc w:val="both"/>
              <w:rPr>
                <w:rFonts w:ascii="Times New Roman" w:hAnsi="Times New Roman" w:eastAsia="MS Mincho" w:cs="Times New Roman"/>
                <w:kern w:val="0"/>
                <w:sz w:val="21"/>
                <w:szCs w:val="21"/>
                <w:lang w:eastAsia="en-US"/>
                <w14:ligatures w14:val="none"/>
              </w:rPr>
            </w:pPr>
            <w:r>
              <w:rPr>
                <w:rFonts w:ascii="Times New Roman" w:hAnsi="Times New Roman" w:eastAsia="MS Mincho" w:cs="Times New Roman"/>
                <w:kern w:val="0"/>
                <w:sz w:val="21"/>
                <w:szCs w:val="21"/>
                <w:lang w:eastAsia="en-US"/>
                <w14:ligatures w14:val="none"/>
              </w:rPr>
              <w:t>Good for heterogeneous evidence</w:t>
            </w:r>
          </w:p>
        </w:tc>
        <w:tc>
          <w:tcPr>
            <w:tcW w:w="1177" w:type="dxa"/>
          </w:tcPr>
          <w:p w14:paraId="4109549E">
            <w:pPr>
              <w:widowControl/>
              <w:spacing w:after="0" w:line="240" w:lineRule="auto"/>
              <w:jc w:val="both"/>
              <w:rPr>
                <w:rFonts w:ascii="Times New Roman" w:hAnsi="Times New Roman" w:eastAsia="MS Mincho" w:cs="Times New Roman"/>
                <w:kern w:val="0"/>
                <w:sz w:val="21"/>
                <w:szCs w:val="21"/>
                <w:lang w:eastAsia="en-US"/>
                <w14:ligatures w14:val="none"/>
              </w:rPr>
            </w:pPr>
            <w:r>
              <w:rPr>
                <w:rFonts w:ascii="Times New Roman" w:hAnsi="Times New Roman" w:eastAsia="MS Mincho" w:cs="Times New Roman"/>
                <w:kern w:val="0"/>
                <w:sz w:val="21"/>
                <w:szCs w:val="21"/>
                <w:lang w:eastAsia="en-US"/>
                <w14:ligatures w14:val="none"/>
              </w:rPr>
              <w:t>Does not by itself establish causality</w:t>
            </w:r>
          </w:p>
        </w:tc>
        <w:tc>
          <w:tcPr>
            <w:tcW w:w="1716" w:type="dxa"/>
          </w:tcPr>
          <w:p w14:paraId="1E000CD0">
            <w:pPr>
              <w:widowControl/>
              <w:spacing w:after="0" w:line="240" w:lineRule="auto"/>
              <w:jc w:val="both"/>
              <w:rPr>
                <w:rFonts w:ascii="Times New Roman" w:hAnsi="Times New Roman" w:eastAsia="MS Mincho" w:cs="Times New Roman"/>
                <w:kern w:val="0"/>
                <w:sz w:val="21"/>
                <w:szCs w:val="21"/>
                <w:lang w:eastAsia="en-US"/>
                <w14:ligatures w14:val="none"/>
              </w:rPr>
            </w:pPr>
            <w:r>
              <w:rPr>
                <w:rFonts w:ascii="Times New Roman" w:hAnsi="Times New Roman" w:eastAsia="MS Mincho" w:cs="Times New Roman"/>
                <w:kern w:val="0"/>
                <w:sz w:val="21"/>
                <w:szCs w:val="21"/>
                <w:lang w:eastAsia="en-US"/>
                <w14:ligatures w14:val="none"/>
              </w:rPr>
              <w:t>Strong fit with RO1–RO3</w:t>
            </w:r>
          </w:p>
        </w:tc>
      </w:tr>
    </w:tbl>
    <w:p w14:paraId="50FB943F">
      <w:pPr>
        <w:jc w:val="both"/>
        <w:rPr>
          <w:rFonts w:ascii="Times New Roman" w:hAnsi="Times New Roman" w:cs="Times New Roman"/>
          <w:b/>
          <w:bCs/>
          <w:szCs w:val="22"/>
        </w:rPr>
      </w:pPr>
      <w:r>
        <w:rPr>
          <w:rFonts w:ascii="Times New Roman" w:hAnsi="Times New Roman" w:cs="Times New Roman"/>
          <w:b/>
          <w:bCs/>
          <w:szCs w:val="22"/>
        </w:rPr>
        <w:t>Source: table by author, adapted from Grant and Booth (2009), Petersen et al. (2008) and Khalil et al. (2025).</w:t>
      </w:r>
    </w:p>
    <w:p w14:paraId="4C070332">
      <w:pPr>
        <w:jc w:val="both"/>
        <w:rPr>
          <w:rFonts w:ascii="Times New Roman" w:hAnsi="Times New Roman" w:cs="Times New Roman"/>
          <w:b/>
          <w:bCs/>
          <w:szCs w:val="22"/>
        </w:rPr>
      </w:pPr>
    </w:p>
    <w:p w14:paraId="4CD0F6AC">
      <w:pPr>
        <w:keepNext w:val="0"/>
        <w:keepLines w:val="0"/>
        <w:pageBreakBefore w:val="0"/>
        <w:widowControl w:val="0"/>
        <w:kinsoku/>
        <w:wordWrap/>
        <w:overflowPunct/>
        <w:topLinePunct w:val="0"/>
        <w:autoSpaceDE/>
        <w:autoSpaceDN/>
        <w:bidi w:val="0"/>
        <w:adjustRightInd/>
        <w:snapToGrid/>
        <w:spacing w:line="279" w:lineRule="auto"/>
        <w:jc w:val="both"/>
        <w:textAlignment w:val="auto"/>
        <w:outlineLvl w:val="1"/>
        <w:rPr>
          <w:rFonts w:ascii="Times New Roman" w:hAnsi="Times New Roman" w:cs="Times New Roman"/>
          <w:b/>
          <w:bCs/>
          <w:sz w:val="32"/>
          <w:szCs w:val="32"/>
        </w:rPr>
      </w:pPr>
      <w:bookmarkStart w:id="13" w:name="_Toc21370"/>
      <w:r>
        <w:rPr>
          <w:rFonts w:ascii="Times New Roman" w:hAnsi="Times New Roman" w:cs="Times New Roman"/>
          <w:b/>
          <w:bCs/>
          <w:sz w:val="32"/>
          <w:szCs w:val="32"/>
        </w:rPr>
        <w:t>1.4 Conclusion</w:t>
      </w:r>
      <w:bookmarkEnd w:id="13"/>
    </w:p>
    <w:p w14:paraId="5290465F">
      <w:pPr>
        <w:jc w:val="both"/>
        <w:rPr>
          <w:rFonts w:ascii="Times New Roman" w:hAnsi="Times New Roman" w:cs="Times New Roman"/>
          <w:szCs w:val="22"/>
        </w:rPr>
      </w:pPr>
      <w:r>
        <w:rPr>
          <w:rFonts w:ascii="Times New Roman" w:hAnsi="Times New Roman" w:cs="Times New Roman"/>
          <w:szCs w:val="22"/>
        </w:rPr>
        <w:t>This section has compared narrative, systematic and mapping reviews in terms of purpose, search process, synthesis and overall fit. Narrative reviews provide rich conceptual content but are less reproducible, whereas systematic reviews are rigorous and transparent, but are time-consuming and less suitable for broad evidence mapping. The mapping review was therefore chosen as the most appropriate method for this study, enables the synthesis of heterogeneous literature that is related to the research objectives. This methodological decision has implications for the conduct and reporting of the review in the following sections. Part 2 will present the literature mapping table and Part 3 will synthesize the mapped evidence and identify research gaps.</w:t>
      </w:r>
    </w:p>
    <w:p w14:paraId="296B0C92">
      <w:pPr>
        <w:jc w:val="both"/>
        <w:rPr>
          <w:rFonts w:ascii="Times New Roman" w:hAnsi="Times New Roman" w:cs="Times New Roman"/>
          <w:szCs w:val="22"/>
        </w:rPr>
      </w:pPr>
    </w:p>
    <w:p w14:paraId="09B0A91F">
      <w:pPr>
        <w:jc w:val="both"/>
        <w:rPr>
          <w:rFonts w:ascii="Times New Roman" w:hAnsi="Times New Roman" w:cs="Times New Roman"/>
          <w:szCs w:val="22"/>
        </w:rPr>
      </w:pPr>
    </w:p>
    <w:p w14:paraId="1B9FC627">
      <w:pPr>
        <w:jc w:val="both"/>
        <w:rPr>
          <w:rFonts w:ascii="Times New Roman" w:hAnsi="Times New Roman" w:cs="Times New Roman"/>
          <w:szCs w:val="22"/>
        </w:rPr>
      </w:pPr>
    </w:p>
    <w:p w14:paraId="667B18F2">
      <w:pPr>
        <w:jc w:val="both"/>
        <w:rPr>
          <w:rFonts w:ascii="Times New Roman" w:hAnsi="Times New Roman" w:cs="Times New Roman"/>
          <w:szCs w:val="22"/>
        </w:rPr>
      </w:pPr>
    </w:p>
    <w:p w14:paraId="5AC5C0F8">
      <w:pPr>
        <w:jc w:val="both"/>
        <w:rPr>
          <w:rFonts w:ascii="Times New Roman" w:hAnsi="Times New Roman" w:cs="Times New Roman"/>
          <w:szCs w:val="22"/>
        </w:rPr>
      </w:pPr>
    </w:p>
    <w:p w14:paraId="65C251A0">
      <w:pPr>
        <w:jc w:val="both"/>
        <w:rPr>
          <w:rFonts w:ascii="Times New Roman" w:hAnsi="Times New Roman" w:cs="Times New Roman"/>
          <w:szCs w:val="22"/>
        </w:rPr>
      </w:pPr>
    </w:p>
    <w:p w14:paraId="0960702E">
      <w:pPr>
        <w:jc w:val="both"/>
        <w:rPr>
          <w:rFonts w:ascii="Times New Roman" w:hAnsi="Times New Roman" w:cs="Times New Roman"/>
          <w:szCs w:val="22"/>
        </w:rPr>
      </w:pPr>
    </w:p>
    <w:p w14:paraId="3B5CA1CE">
      <w:pPr>
        <w:jc w:val="both"/>
        <w:rPr>
          <w:rFonts w:ascii="Times New Roman" w:hAnsi="Times New Roman" w:cs="Times New Roman"/>
          <w:szCs w:val="22"/>
        </w:rPr>
      </w:pPr>
    </w:p>
    <w:p w14:paraId="03FA5B27">
      <w:pPr>
        <w:jc w:val="both"/>
        <w:rPr>
          <w:rFonts w:ascii="Times New Roman" w:hAnsi="Times New Roman" w:cs="Times New Roman"/>
          <w:szCs w:val="22"/>
        </w:rPr>
      </w:pPr>
    </w:p>
    <w:p w14:paraId="16C35151">
      <w:pPr>
        <w:jc w:val="both"/>
        <w:rPr>
          <w:rFonts w:ascii="Times New Roman" w:hAnsi="Times New Roman" w:cs="Times New Roman"/>
          <w:szCs w:val="22"/>
        </w:rPr>
      </w:pPr>
    </w:p>
    <w:p w14:paraId="11BA50F3">
      <w:pPr>
        <w:jc w:val="both"/>
        <w:rPr>
          <w:rFonts w:ascii="Times New Roman" w:hAnsi="Times New Roman" w:cs="Times New Roman"/>
          <w:szCs w:val="22"/>
        </w:rPr>
      </w:pPr>
    </w:p>
    <w:p w14:paraId="06CA9103">
      <w:pPr>
        <w:jc w:val="both"/>
        <w:rPr>
          <w:rFonts w:ascii="Times New Roman" w:hAnsi="Times New Roman" w:cs="Times New Roman"/>
          <w:szCs w:val="22"/>
        </w:rPr>
      </w:pPr>
    </w:p>
    <w:p w14:paraId="09FA625D">
      <w:pPr>
        <w:jc w:val="both"/>
        <w:rPr>
          <w:rFonts w:ascii="Times New Roman" w:hAnsi="Times New Roman" w:cs="Times New Roman"/>
          <w:szCs w:val="22"/>
        </w:rPr>
      </w:pPr>
    </w:p>
    <w:p w14:paraId="6DF4407C">
      <w:pPr>
        <w:jc w:val="both"/>
        <w:rPr>
          <w:rFonts w:ascii="Times New Roman" w:hAnsi="Times New Roman" w:cs="Times New Roman"/>
          <w:szCs w:val="22"/>
        </w:rPr>
      </w:pPr>
    </w:p>
    <w:p w14:paraId="6923DC4C">
      <w:pPr>
        <w:jc w:val="both"/>
        <w:rPr>
          <w:rFonts w:ascii="Times New Roman" w:hAnsi="Times New Roman" w:cs="Times New Roman"/>
          <w:szCs w:val="22"/>
        </w:rPr>
      </w:pPr>
    </w:p>
    <w:p w14:paraId="33FA6368">
      <w:pPr>
        <w:jc w:val="both"/>
        <w:rPr>
          <w:rFonts w:ascii="Times New Roman" w:hAnsi="Times New Roman" w:cs="Times New Roman"/>
          <w:szCs w:val="22"/>
        </w:rPr>
      </w:pPr>
    </w:p>
    <w:p w14:paraId="460E9201">
      <w:pPr>
        <w:jc w:val="both"/>
        <w:rPr>
          <w:rFonts w:ascii="Times New Roman" w:hAnsi="Times New Roman" w:cs="Times New Roman"/>
          <w:szCs w:val="22"/>
        </w:rPr>
      </w:pPr>
    </w:p>
    <w:p w14:paraId="3BE1152D">
      <w:pPr>
        <w:jc w:val="both"/>
        <w:rPr>
          <w:rFonts w:ascii="Times New Roman" w:hAnsi="Times New Roman" w:cs="Times New Roman"/>
          <w:szCs w:val="22"/>
        </w:rPr>
      </w:pPr>
    </w:p>
    <w:p w14:paraId="10913822">
      <w:pPr>
        <w:keepNext w:val="0"/>
        <w:keepLines w:val="0"/>
        <w:pageBreakBefore w:val="0"/>
        <w:widowControl w:val="0"/>
        <w:kinsoku/>
        <w:wordWrap/>
        <w:overflowPunct/>
        <w:topLinePunct w:val="0"/>
        <w:autoSpaceDE/>
        <w:autoSpaceDN/>
        <w:bidi w:val="0"/>
        <w:adjustRightInd/>
        <w:snapToGrid/>
        <w:spacing w:line="279" w:lineRule="auto"/>
        <w:jc w:val="both"/>
        <w:textAlignment w:val="auto"/>
        <w:outlineLvl w:val="1"/>
        <w:rPr>
          <w:rFonts w:ascii="Times New Roman" w:hAnsi="Times New Roman" w:cs="Times New Roman"/>
          <w:b/>
          <w:bCs/>
          <w:sz w:val="32"/>
          <w:szCs w:val="32"/>
        </w:rPr>
      </w:pPr>
      <w:bookmarkStart w:id="14" w:name="_Toc22500"/>
      <w:r>
        <w:rPr>
          <w:rFonts w:hint="eastAsia" w:ascii="Times New Roman" w:hAnsi="Times New Roman" w:cs="Times New Roman"/>
          <w:b/>
          <w:bCs/>
          <w:sz w:val="32"/>
          <w:szCs w:val="32"/>
        </w:rPr>
        <w:t>Reference List</w:t>
      </w:r>
      <w:r>
        <w:rPr>
          <w:sz w:val="32"/>
          <w:szCs w:val="32"/>
        </w:rPr>
        <w:t xml:space="preserve"> </w:t>
      </w:r>
      <w:r>
        <w:rPr>
          <w:rFonts w:ascii="Times New Roman" w:hAnsi="Times New Roman" w:cs="Times New Roman"/>
          <w:b/>
          <w:bCs/>
          <w:sz w:val="32"/>
          <w:szCs w:val="32"/>
        </w:rPr>
        <w:t>for Part 1</w:t>
      </w:r>
      <w:bookmarkEnd w:id="14"/>
    </w:p>
    <w:p w14:paraId="6426F7CB">
      <w:pPr>
        <w:jc w:val="both"/>
        <w:rPr>
          <w:rFonts w:ascii="Times New Roman" w:hAnsi="Times New Roman" w:cs="Times New Roman"/>
          <w:szCs w:val="22"/>
        </w:rPr>
      </w:pPr>
      <w:r>
        <w:rPr>
          <w:rFonts w:ascii="Times New Roman" w:hAnsi="Times New Roman" w:cs="Times New Roman"/>
          <w:szCs w:val="22"/>
        </w:rPr>
        <w:t>Petticrew, M. and Roberts, H., 2006. Systematic reviews in the social sciences: A practical guide.</w:t>
      </w:r>
    </w:p>
    <w:p w14:paraId="1AE3346D">
      <w:pPr>
        <w:jc w:val="both"/>
        <w:rPr>
          <w:rFonts w:ascii="Times New Roman" w:hAnsi="Times New Roman" w:cs="Times New Roman"/>
          <w:szCs w:val="22"/>
        </w:rPr>
      </w:pPr>
      <w:r>
        <w:rPr>
          <w:rFonts w:ascii="Times New Roman" w:hAnsi="Times New Roman" w:cs="Times New Roman"/>
          <w:szCs w:val="22"/>
        </w:rPr>
        <w:t xml:space="preserve">Snyder, H., 2019. Literature review as a research methodology: An overview and guidelines. </w:t>
      </w:r>
      <w:r>
        <w:rPr>
          <w:rFonts w:ascii="Times New Roman" w:hAnsi="Times New Roman" w:cs="Times New Roman"/>
          <w:i/>
          <w:iCs/>
          <w:szCs w:val="22"/>
        </w:rPr>
        <w:t>Journal of business research</w:t>
      </w:r>
      <w:r>
        <w:rPr>
          <w:rFonts w:ascii="Times New Roman" w:hAnsi="Times New Roman" w:cs="Times New Roman"/>
          <w:szCs w:val="22"/>
        </w:rPr>
        <w:t xml:space="preserve">, </w:t>
      </w:r>
      <w:r>
        <w:rPr>
          <w:rFonts w:ascii="Times New Roman" w:hAnsi="Times New Roman" w:cs="Times New Roman"/>
          <w:i/>
          <w:iCs/>
          <w:szCs w:val="22"/>
        </w:rPr>
        <w:t>104</w:t>
      </w:r>
      <w:r>
        <w:rPr>
          <w:rFonts w:ascii="Times New Roman" w:hAnsi="Times New Roman" w:cs="Times New Roman"/>
          <w:szCs w:val="22"/>
        </w:rPr>
        <w:t>, pp.333-339.</w:t>
      </w:r>
    </w:p>
    <w:p w14:paraId="1D0E1BF6">
      <w:pPr>
        <w:jc w:val="both"/>
        <w:rPr>
          <w:rFonts w:ascii="Times New Roman" w:hAnsi="Times New Roman" w:cs="Times New Roman"/>
          <w:szCs w:val="22"/>
        </w:rPr>
      </w:pPr>
      <w:r>
        <w:rPr>
          <w:rFonts w:ascii="Times New Roman" w:hAnsi="Times New Roman" w:cs="Times New Roman"/>
          <w:szCs w:val="22"/>
        </w:rPr>
        <w:t xml:space="preserve">Tranfield, D., Denyer, D. and Smart, P., 2003. Towards a methodology for developing evidence‐informed management knowledge by means of systematic review. </w:t>
      </w:r>
      <w:r>
        <w:rPr>
          <w:rFonts w:ascii="Times New Roman" w:hAnsi="Times New Roman" w:cs="Times New Roman"/>
          <w:i/>
          <w:iCs/>
          <w:szCs w:val="22"/>
        </w:rPr>
        <w:t>British journal of management</w:t>
      </w:r>
      <w:r>
        <w:rPr>
          <w:rFonts w:ascii="Times New Roman" w:hAnsi="Times New Roman" w:cs="Times New Roman"/>
          <w:szCs w:val="22"/>
        </w:rPr>
        <w:t xml:space="preserve">, </w:t>
      </w:r>
      <w:r>
        <w:rPr>
          <w:rFonts w:ascii="Times New Roman" w:hAnsi="Times New Roman" w:cs="Times New Roman"/>
          <w:i/>
          <w:iCs/>
          <w:szCs w:val="22"/>
        </w:rPr>
        <w:t>14</w:t>
      </w:r>
      <w:r>
        <w:rPr>
          <w:rFonts w:ascii="Times New Roman" w:hAnsi="Times New Roman" w:cs="Times New Roman"/>
          <w:szCs w:val="22"/>
        </w:rPr>
        <w:t>(3), pp.207-222.</w:t>
      </w:r>
    </w:p>
    <w:p w14:paraId="65D0450C">
      <w:pPr>
        <w:jc w:val="both"/>
        <w:rPr>
          <w:rFonts w:ascii="Times New Roman" w:hAnsi="Times New Roman" w:cs="Times New Roman"/>
          <w:szCs w:val="22"/>
        </w:rPr>
      </w:pPr>
      <w:r>
        <w:rPr>
          <w:rFonts w:ascii="Times New Roman" w:hAnsi="Times New Roman" w:cs="Times New Roman"/>
          <w:szCs w:val="22"/>
        </w:rPr>
        <w:t xml:space="preserve">Webster, J. and Watson, R.T., 2002. Analyzing the past to prepare for the future: Writing a literature review. </w:t>
      </w:r>
      <w:r>
        <w:rPr>
          <w:rFonts w:ascii="Times New Roman" w:hAnsi="Times New Roman" w:cs="Times New Roman"/>
          <w:i/>
          <w:iCs/>
          <w:szCs w:val="22"/>
        </w:rPr>
        <w:t>MIS quarterly</w:t>
      </w:r>
      <w:r>
        <w:rPr>
          <w:rFonts w:ascii="Times New Roman" w:hAnsi="Times New Roman" w:cs="Times New Roman"/>
          <w:szCs w:val="22"/>
        </w:rPr>
        <w:t xml:space="preserve">, </w:t>
      </w:r>
      <w:r>
        <w:rPr>
          <w:rFonts w:ascii="Times New Roman" w:hAnsi="Times New Roman" w:cs="Times New Roman"/>
          <w:i/>
          <w:iCs/>
          <w:szCs w:val="22"/>
        </w:rPr>
        <w:t>26</w:t>
      </w:r>
      <w:r>
        <w:rPr>
          <w:rFonts w:ascii="Times New Roman" w:hAnsi="Times New Roman" w:cs="Times New Roman"/>
          <w:szCs w:val="22"/>
        </w:rPr>
        <w:t>(2), pp.xiii-xxiii.</w:t>
      </w:r>
    </w:p>
    <w:p w14:paraId="50362F80">
      <w:pPr>
        <w:jc w:val="both"/>
        <w:rPr>
          <w:rFonts w:ascii="Times New Roman" w:hAnsi="Times New Roman" w:cs="Times New Roman"/>
          <w:szCs w:val="22"/>
        </w:rPr>
      </w:pPr>
      <w:r>
        <w:rPr>
          <w:rFonts w:ascii="Times New Roman" w:hAnsi="Times New Roman" w:cs="Times New Roman"/>
          <w:szCs w:val="22"/>
        </w:rPr>
        <w:t>Aveyard, H., 2023. Ebook: Doing a Literature Review in Health and Social Care: A Practical Guide 5e.</w:t>
      </w:r>
    </w:p>
    <w:p w14:paraId="4591E59B">
      <w:pPr>
        <w:jc w:val="both"/>
        <w:rPr>
          <w:rFonts w:ascii="Times New Roman" w:hAnsi="Times New Roman" w:cs="Times New Roman"/>
          <w:szCs w:val="22"/>
        </w:rPr>
      </w:pPr>
      <w:r>
        <w:rPr>
          <w:rFonts w:ascii="Times New Roman" w:hAnsi="Times New Roman" w:cs="Times New Roman"/>
          <w:szCs w:val="22"/>
        </w:rPr>
        <w:t xml:space="preserve">Papaioannou, D., Sutton, A., Carroll, C., Booth, A. and Wong, R., 2010. Literature searching for social science systematic reviews: consideration of a range of search techniques. </w:t>
      </w:r>
      <w:r>
        <w:rPr>
          <w:rFonts w:ascii="Times New Roman" w:hAnsi="Times New Roman" w:cs="Times New Roman"/>
          <w:i/>
          <w:iCs/>
          <w:szCs w:val="22"/>
        </w:rPr>
        <w:t>Health information &amp; libraries Journal</w:t>
      </w:r>
      <w:r>
        <w:rPr>
          <w:rFonts w:ascii="Times New Roman" w:hAnsi="Times New Roman" w:cs="Times New Roman"/>
          <w:szCs w:val="22"/>
        </w:rPr>
        <w:t xml:space="preserve">, </w:t>
      </w:r>
      <w:r>
        <w:rPr>
          <w:rFonts w:ascii="Times New Roman" w:hAnsi="Times New Roman" w:cs="Times New Roman"/>
          <w:i/>
          <w:iCs/>
          <w:szCs w:val="22"/>
        </w:rPr>
        <w:t>27</w:t>
      </w:r>
      <w:r>
        <w:rPr>
          <w:rFonts w:ascii="Times New Roman" w:hAnsi="Times New Roman" w:cs="Times New Roman"/>
          <w:szCs w:val="22"/>
        </w:rPr>
        <w:t>(2), pp.114-122.</w:t>
      </w:r>
    </w:p>
    <w:p w14:paraId="0167C421">
      <w:pPr>
        <w:jc w:val="both"/>
        <w:rPr>
          <w:rFonts w:ascii="Times New Roman" w:hAnsi="Times New Roman" w:cs="Times New Roman"/>
          <w:szCs w:val="22"/>
        </w:rPr>
      </w:pPr>
      <w:r>
        <w:rPr>
          <w:rFonts w:ascii="Times New Roman" w:hAnsi="Times New Roman" w:cs="Times New Roman"/>
          <w:szCs w:val="22"/>
        </w:rPr>
        <w:t xml:space="preserve">Paul, J. and Criado, A.R., 2020. The art of writing literature review: what do we know and what do we need to know? </w:t>
      </w:r>
      <w:r>
        <w:rPr>
          <w:rFonts w:ascii="Times New Roman" w:hAnsi="Times New Roman" w:cs="Times New Roman"/>
          <w:i/>
          <w:iCs/>
          <w:szCs w:val="22"/>
        </w:rPr>
        <w:t>International business review</w:t>
      </w:r>
      <w:r>
        <w:rPr>
          <w:rFonts w:ascii="Times New Roman" w:hAnsi="Times New Roman" w:cs="Times New Roman"/>
          <w:szCs w:val="22"/>
        </w:rPr>
        <w:t xml:space="preserve">, </w:t>
      </w:r>
      <w:r>
        <w:rPr>
          <w:rFonts w:ascii="Times New Roman" w:hAnsi="Times New Roman" w:cs="Times New Roman"/>
          <w:i/>
          <w:iCs/>
          <w:szCs w:val="22"/>
        </w:rPr>
        <w:t>29</w:t>
      </w:r>
      <w:r>
        <w:rPr>
          <w:rFonts w:ascii="Times New Roman" w:hAnsi="Times New Roman" w:cs="Times New Roman"/>
          <w:szCs w:val="22"/>
        </w:rPr>
        <w:t>(4), p.101717.</w:t>
      </w:r>
    </w:p>
    <w:p w14:paraId="011E5CD0">
      <w:pPr>
        <w:jc w:val="both"/>
        <w:rPr>
          <w:rFonts w:ascii="Times New Roman" w:hAnsi="Times New Roman" w:cs="Times New Roman"/>
          <w:szCs w:val="22"/>
        </w:rPr>
      </w:pPr>
      <w:r>
        <w:rPr>
          <w:rFonts w:ascii="Times New Roman" w:hAnsi="Times New Roman" w:cs="Times New Roman"/>
          <w:szCs w:val="22"/>
        </w:rPr>
        <w:t xml:space="preserve">Rowley, J. and Slack, F., 2004. Conducting a literature review. </w:t>
      </w:r>
      <w:r>
        <w:rPr>
          <w:rFonts w:ascii="Times New Roman" w:hAnsi="Times New Roman" w:cs="Times New Roman"/>
          <w:i/>
          <w:iCs/>
          <w:szCs w:val="22"/>
        </w:rPr>
        <w:t>Management research news</w:t>
      </w:r>
      <w:r>
        <w:rPr>
          <w:rFonts w:ascii="Times New Roman" w:hAnsi="Times New Roman" w:cs="Times New Roman"/>
          <w:szCs w:val="22"/>
        </w:rPr>
        <w:t xml:space="preserve">, </w:t>
      </w:r>
      <w:r>
        <w:rPr>
          <w:rFonts w:ascii="Times New Roman" w:hAnsi="Times New Roman" w:cs="Times New Roman"/>
          <w:i/>
          <w:iCs/>
          <w:szCs w:val="22"/>
        </w:rPr>
        <w:t>27</w:t>
      </w:r>
      <w:r>
        <w:rPr>
          <w:rFonts w:ascii="Times New Roman" w:hAnsi="Times New Roman" w:cs="Times New Roman"/>
          <w:szCs w:val="22"/>
        </w:rPr>
        <w:t>(6), pp.31-39.</w:t>
      </w:r>
    </w:p>
    <w:p w14:paraId="5719928D">
      <w:pPr>
        <w:jc w:val="both"/>
        <w:rPr>
          <w:rFonts w:ascii="Times New Roman" w:hAnsi="Times New Roman" w:cs="Times New Roman"/>
          <w:szCs w:val="22"/>
        </w:rPr>
      </w:pPr>
      <w:r>
        <w:rPr>
          <w:rFonts w:ascii="Times New Roman" w:hAnsi="Times New Roman" w:cs="Times New Roman"/>
          <w:szCs w:val="22"/>
        </w:rPr>
        <w:t xml:space="preserve">Xiao, Y. and Watson, M., 2019. Guidance on conducting a systematic literature review. </w:t>
      </w:r>
      <w:r>
        <w:rPr>
          <w:rFonts w:ascii="Times New Roman" w:hAnsi="Times New Roman" w:cs="Times New Roman"/>
          <w:i/>
          <w:iCs/>
          <w:szCs w:val="22"/>
        </w:rPr>
        <w:t>Journal of planning education and research</w:t>
      </w:r>
      <w:r>
        <w:rPr>
          <w:rFonts w:ascii="Times New Roman" w:hAnsi="Times New Roman" w:cs="Times New Roman"/>
          <w:szCs w:val="22"/>
        </w:rPr>
        <w:t xml:space="preserve">, </w:t>
      </w:r>
      <w:r>
        <w:rPr>
          <w:rFonts w:ascii="Times New Roman" w:hAnsi="Times New Roman" w:cs="Times New Roman"/>
          <w:i/>
          <w:iCs/>
          <w:szCs w:val="22"/>
        </w:rPr>
        <w:t>39</w:t>
      </w:r>
      <w:r>
        <w:rPr>
          <w:rFonts w:ascii="Times New Roman" w:hAnsi="Times New Roman" w:cs="Times New Roman"/>
          <w:szCs w:val="22"/>
        </w:rPr>
        <w:t>(1), pp.93-112.</w:t>
      </w:r>
    </w:p>
    <w:p w14:paraId="359230F3">
      <w:pPr>
        <w:jc w:val="both"/>
        <w:rPr>
          <w:rFonts w:ascii="Times New Roman" w:hAnsi="Times New Roman" w:cs="Times New Roman"/>
          <w:szCs w:val="22"/>
        </w:rPr>
      </w:pPr>
      <w:r>
        <w:rPr>
          <w:rFonts w:ascii="Times New Roman" w:hAnsi="Times New Roman" w:cs="Times New Roman"/>
          <w:szCs w:val="22"/>
        </w:rPr>
        <w:t xml:space="preserve">Golgeci, I., Ritala, P., Arslan, A., McKenna, B. and Ali, I., 2025. Confronting and alleviating AI resistance in the workplace: An integrative review and a process framework. </w:t>
      </w:r>
      <w:r>
        <w:rPr>
          <w:rFonts w:ascii="Times New Roman" w:hAnsi="Times New Roman" w:cs="Times New Roman"/>
          <w:i/>
          <w:iCs/>
          <w:szCs w:val="22"/>
        </w:rPr>
        <w:t>Human Resource Management Review</w:t>
      </w:r>
      <w:r>
        <w:rPr>
          <w:rFonts w:ascii="Times New Roman" w:hAnsi="Times New Roman" w:cs="Times New Roman"/>
          <w:szCs w:val="22"/>
        </w:rPr>
        <w:t xml:space="preserve">, </w:t>
      </w:r>
      <w:r>
        <w:rPr>
          <w:rFonts w:ascii="Times New Roman" w:hAnsi="Times New Roman" w:cs="Times New Roman"/>
          <w:i/>
          <w:iCs/>
          <w:szCs w:val="22"/>
        </w:rPr>
        <w:t>35</w:t>
      </w:r>
      <w:r>
        <w:rPr>
          <w:rFonts w:ascii="Times New Roman" w:hAnsi="Times New Roman" w:cs="Times New Roman"/>
          <w:szCs w:val="22"/>
        </w:rPr>
        <w:t>(2), p.101075.</w:t>
      </w:r>
    </w:p>
    <w:p w14:paraId="3FE3F5CA">
      <w:pPr>
        <w:jc w:val="both"/>
        <w:rPr>
          <w:rFonts w:ascii="Times New Roman" w:hAnsi="Times New Roman" w:cs="Times New Roman"/>
          <w:szCs w:val="22"/>
        </w:rPr>
      </w:pPr>
      <w:r>
        <w:rPr>
          <w:rFonts w:ascii="Times New Roman" w:hAnsi="Times New Roman" w:cs="Times New Roman"/>
          <w:szCs w:val="22"/>
        </w:rPr>
        <w:t xml:space="preserve">Kim, B.J. and Lee, J., 2024. The mental health implications of artificial intelligence adoption: the crucial role of self-efficacy. </w:t>
      </w:r>
      <w:r>
        <w:rPr>
          <w:rFonts w:ascii="Times New Roman" w:hAnsi="Times New Roman" w:cs="Times New Roman"/>
          <w:i/>
          <w:iCs/>
          <w:szCs w:val="22"/>
        </w:rPr>
        <w:t>Humanities and Social Sciences Communications</w:t>
      </w:r>
      <w:r>
        <w:rPr>
          <w:rFonts w:ascii="Times New Roman" w:hAnsi="Times New Roman" w:cs="Times New Roman"/>
          <w:szCs w:val="22"/>
        </w:rPr>
        <w:t xml:space="preserve">, </w:t>
      </w:r>
      <w:r>
        <w:rPr>
          <w:rFonts w:ascii="Times New Roman" w:hAnsi="Times New Roman" w:cs="Times New Roman"/>
          <w:i/>
          <w:iCs/>
          <w:szCs w:val="22"/>
        </w:rPr>
        <w:t>11</w:t>
      </w:r>
      <w:r>
        <w:rPr>
          <w:rFonts w:ascii="Times New Roman" w:hAnsi="Times New Roman" w:cs="Times New Roman"/>
          <w:szCs w:val="22"/>
        </w:rPr>
        <w:t>(1), p.1561.</w:t>
      </w:r>
    </w:p>
    <w:p w14:paraId="219D77BA">
      <w:pPr>
        <w:jc w:val="both"/>
        <w:rPr>
          <w:rFonts w:ascii="Times New Roman" w:hAnsi="Times New Roman" w:cs="Times New Roman"/>
          <w:szCs w:val="22"/>
        </w:rPr>
      </w:pPr>
      <w:r>
        <w:rPr>
          <w:rFonts w:ascii="Times New Roman" w:hAnsi="Times New Roman" w:cs="Times New Roman"/>
          <w:szCs w:val="22"/>
        </w:rPr>
        <w:t xml:space="preserve">Bankins, S., Ocampo, A.C., Marrone, M., Restubog, S.L.D. and Woo, S.E., 2024. A multilevel review of artificial intelligence in organisations: Implications for organisations behavior research and practice. </w:t>
      </w:r>
      <w:r>
        <w:rPr>
          <w:rFonts w:ascii="Times New Roman" w:hAnsi="Times New Roman" w:cs="Times New Roman"/>
          <w:i/>
          <w:iCs/>
          <w:szCs w:val="22"/>
        </w:rPr>
        <w:t>Journal of organisations behavior</w:t>
      </w:r>
      <w:r>
        <w:rPr>
          <w:rFonts w:ascii="Times New Roman" w:hAnsi="Times New Roman" w:cs="Times New Roman"/>
          <w:szCs w:val="22"/>
        </w:rPr>
        <w:t xml:space="preserve">, </w:t>
      </w:r>
      <w:r>
        <w:rPr>
          <w:rFonts w:ascii="Times New Roman" w:hAnsi="Times New Roman" w:cs="Times New Roman"/>
          <w:i/>
          <w:iCs/>
          <w:szCs w:val="22"/>
        </w:rPr>
        <w:t>45</w:t>
      </w:r>
      <w:r>
        <w:rPr>
          <w:rFonts w:ascii="Times New Roman" w:hAnsi="Times New Roman" w:cs="Times New Roman"/>
          <w:szCs w:val="22"/>
        </w:rPr>
        <w:t>(2), pp.159-182.</w:t>
      </w:r>
    </w:p>
    <w:p w14:paraId="39D74173">
      <w:pPr>
        <w:jc w:val="both"/>
        <w:rPr>
          <w:rFonts w:ascii="Times New Roman" w:hAnsi="Times New Roman" w:cs="Times New Roman"/>
          <w:szCs w:val="22"/>
        </w:rPr>
      </w:pPr>
      <w:r>
        <w:rPr>
          <w:rFonts w:ascii="Times New Roman" w:hAnsi="Times New Roman" w:cs="Times New Roman"/>
          <w:szCs w:val="22"/>
        </w:rPr>
        <w:t xml:space="preserve">Booth, A., Sutton, A., Clowes, M. and Martyn-St James, M., 2022. </w:t>
      </w:r>
      <w:r>
        <w:rPr>
          <w:rFonts w:ascii="Times New Roman" w:hAnsi="Times New Roman" w:cs="Times New Roman"/>
          <w:i/>
          <w:iCs/>
          <w:szCs w:val="22"/>
        </w:rPr>
        <w:t>Systematic approaches to a successful literature review</w:t>
      </w:r>
      <w:r>
        <w:rPr>
          <w:rFonts w:ascii="Times New Roman" w:hAnsi="Times New Roman" w:cs="Times New Roman"/>
          <w:szCs w:val="22"/>
        </w:rPr>
        <w:t>. SAGE Publications Ltd.</w:t>
      </w:r>
    </w:p>
    <w:p w14:paraId="3D3E0AF4">
      <w:pPr>
        <w:jc w:val="both"/>
        <w:rPr>
          <w:rFonts w:ascii="Times New Roman" w:hAnsi="Times New Roman" w:cs="Times New Roman"/>
          <w:szCs w:val="22"/>
        </w:rPr>
      </w:pPr>
      <w:r>
        <w:rPr>
          <w:rFonts w:ascii="Times New Roman" w:hAnsi="Times New Roman" w:cs="Times New Roman"/>
          <w:szCs w:val="22"/>
        </w:rPr>
        <w:t xml:space="preserve">Grant, M.J. and Booth, A., 2009. A typology of reviews: an analysis of 14 review types and associated methodologies. </w:t>
      </w:r>
      <w:r>
        <w:rPr>
          <w:rFonts w:ascii="Times New Roman" w:hAnsi="Times New Roman" w:cs="Times New Roman"/>
          <w:i/>
          <w:iCs/>
          <w:szCs w:val="22"/>
        </w:rPr>
        <w:t>Health information &amp; libraries journal</w:t>
      </w:r>
      <w:r>
        <w:rPr>
          <w:rFonts w:ascii="Times New Roman" w:hAnsi="Times New Roman" w:cs="Times New Roman"/>
          <w:szCs w:val="22"/>
        </w:rPr>
        <w:t xml:space="preserve">, </w:t>
      </w:r>
      <w:r>
        <w:rPr>
          <w:rFonts w:ascii="Times New Roman" w:hAnsi="Times New Roman" w:cs="Times New Roman"/>
          <w:i/>
          <w:iCs/>
          <w:szCs w:val="22"/>
        </w:rPr>
        <w:t>26</w:t>
      </w:r>
      <w:r>
        <w:rPr>
          <w:rFonts w:ascii="Times New Roman" w:hAnsi="Times New Roman" w:cs="Times New Roman"/>
          <w:szCs w:val="22"/>
        </w:rPr>
        <w:t>(2), pp.91-108.</w:t>
      </w:r>
    </w:p>
    <w:p w14:paraId="2BAA1390">
      <w:pPr>
        <w:jc w:val="both"/>
        <w:rPr>
          <w:rFonts w:ascii="Times New Roman" w:hAnsi="Times New Roman" w:cs="Times New Roman"/>
          <w:szCs w:val="22"/>
        </w:rPr>
      </w:pPr>
      <w:r>
        <w:rPr>
          <w:rFonts w:ascii="Times New Roman" w:hAnsi="Times New Roman" w:cs="Times New Roman"/>
          <w:szCs w:val="22"/>
        </w:rPr>
        <w:t xml:space="preserve">Greenhalgh, T., Thorne, S. and Malterud, K., 2018. Time to challenge the spurious hierarchy of systematic over narrative reviews? </w:t>
      </w:r>
      <w:r>
        <w:rPr>
          <w:rFonts w:ascii="Times New Roman" w:hAnsi="Times New Roman" w:cs="Times New Roman"/>
          <w:i/>
          <w:iCs/>
          <w:szCs w:val="22"/>
        </w:rPr>
        <w:t>European journal of clinical investigation</w:t>
      </w:r>
      <w:r>
        <w:rPr>
          <w:rFonts w:ascii="Times New Roman" w:hAnsi="Times New Roman" w:cs="Times New Roman"/>
          <w:szCs w:val="22"/>
        </w:rPr>
        <w:t xml:space="preserve">, </w:t>
      </w:r>
      <w:r>
        <w:rPr>
          <w:rFonts w:ascii="Times New Roman" w:hAnsi="Times New Roman" w:cs="Times New Roman"/>
          <w:i/>
          <w:iCs/>
          <w:szCs w:val="22"/>
        </w:rPr>
        <w:t>48</w:t>
      </w:r>
      <w:r>
        <w:rPr>
          <w:rFonts w:ascii="Times New Roman" w:hAnsi="Times New Roman" w:cs="Times New Roman"/>
          <w:szCs w:val="22"/>
        </w:rPr>
        <w:t>(6), p.e12931.</w:t>
      </w:r>
    </w:p>
    <w:p w14:paraId="16A6DFCB">
      <w:pPr>
        <w:jc w:val="both"/>
        <w:rPr>
          <w:rFonts w:ascii="Times New Roman" w:hAnsi="Times New Roman" w:cs="Times New Roman"/>
          <w:szCs w:val="22"/>
        </w:rPr>
      </w:pPr>
      <w:r>
        <w:rPr>
          <w:rFonts w:ascii="Times New Roman" w:hAnsi="Times New Roman" w:cs="Times New Roman"/>
          <w:szCs w:val="22"/>
        </w:rPr>
        <w:t xml:space="preserve">Paré, G., Trudel, M.C., Jaana, M. and Kitsiou, S., 2015. Synthesising information systems knowledge: A typology of literature reviews. </w:t>
      </w:r>
      <w:r>
        <w:rPr>
          <w:rFonts w:ascii="Times New Roman" w:hAnsi="Times New Roman" w:cs="Times New Roman"/>
          <w:i/>
          <w:iCs/>
          <w:szCs w:val="22"/>
        </w:rPr>
        <w:t>Information &amp; management</w:t>
      </w:r>
      <w:r>
        <w:rPr>
          <w:rFonts w:ascii="Times New Roman" w:hAnsi="Times New Roman" w:cs="Times New Roman"/>
          <w:szCs w:val="22"/>
        </w:rPr>
        <w:t xml:space="preserve">, </w:t>
      </w:r>
      <w:r>
        <w:rPr>
          <w:rFonts w:ascii="Times New Roman" w:hAnsi="Times New Roman" w:cs="Times New Roman"/>
          <w:i/>
          <w:iCs/>
          <w:szCs w:val="22"/>
        </w:rPr>
        <w:t>52</w:t>
      </w:r>
      <w:r>
        <w:rPr>
          <w:rFonts w:ascii="Times New Roman" w:hAnsi="Times New Roman" w:cs="Times New Roman"/>
          <w:szCs w:val="22"/>
        </w:rPr>
        <w:t>(2), pp.183-199.</w:t>
      </w:r>
    </w:p>
    <w:p w14:paraId="3F409C84">
      <w:pPr>
        <w:jc w:val="both"/>
        <w:rPr>
          <w:rFonts w:ascii="Times New Roman" w:hAnsi="Times New Roman" w:cs="Times New Roman"/>
          <w:szCs w:val="22"/>
        </w:rPr>
      </w:pPr>
      <w:r>
        <w:rPr>
          <w:rFonts w:ascii="Times New Roman" w:hAnsi="Times New Roman" w:cs="Times New Roman"/>
          <w:szCs w:val="22"/>
        </w:rPr>
        <w:t xml:space="preserve">Tarsilla, M., 2010. Cochrane handbook for systematic reviews of interventions. </w:t>
      </w:r>
      <w:r>
        <w:rPr>
          <w:rFonts w:ascii="Times New Roman" w:hAnsi="Times New Roman" w:cs="Times New Roman"/>
          <w:i/>
          <w:iCs/>
          <w:szCs w:val="22"/>
        </w:rPr>
        <w:t>Journal of Multidisciplinary Evaluation</w:t>
      </w:r>
      <w:r>
        <w:rPr>
          <w:rFonts w:ascii="Times New Roman" w:hAnsi="Times New Roman" w:cs="Times New Roman"/>
          <w:szCs w:val="22"/>
        </w:rPr>
        <w:t xml:space="preserve">, </w:t>
      </w:r>
      <w:r>
        <w:rPr>
          <w:rFonts w:ascii="Times New Roman" w:hAnsi="Times New Roman" w:cs="Times New Roman"/>
          <w:i/>
          <w:iCs/>
          <w:szCs w:val="22"/>
        </w:rPr>
        <w:t>6</w:t>
      </w:r>
      <w:r>
        <w:rPr>
          <w:rFonts w:ascii="Times New Roman" w:hAnsi="Times New Roman" w:cs="Times New Roman"/>
          <w:szCs w:val="22"/>
        </w:rPr>
        <w:t>(14), pp.142-148.</w:t>
      </w:r>
    </w:p>
    <w:p w14:paraId="0BF81745">
      <w:pPr>
        <w:jc w:val="both"/>
        <w:rPr>
          <w:rFonts w:ascii="Times New Roman" w:hAnsi="Times New Roman" w:cs="Times New Roman"/>
          <w:szCs w:val="22"/>
        </w:rPr>
      </w:pPr>
      <w:r>
        <w:rPr>
          <w:rFonts w:ascii="Times New Roman" w:hAnsi="Times New Roman" w:cs="Times New Roman"/>
          <w:szCs w:val="22"/>
        </w:rPr>
        <w:t xml:space="preserve">Munn, Z., Peters, M.D., Stern, C., Tufanaru, C., McArthur, A. and Aromataris, E., 2018. Systematic review or scoping review? Guidance for authors when choosing between a systematic or scoping review approach. </w:t>
      </w:r>
      <w:r>
        <w:rPr>
          <w:rFonts w:ascii="Times New Roman" w:hAnsi="Times New Roman" w:cs="Times New Roman"/>
          <w:i/>
          <w:iCs/>
          <w:szCs w:val="22"/>
        </w:rPr>
        <w:t>BMC medical research methodology</w:t>
      </w:r>
      <w:r>
        <w:rPr>
          <w:rFonts w:ascii="Times New Roman" w:hAnsi="Times New Roman" w:cs="Times New Roman"/>
          <w:szCs w:val="22"/>
        </w:rPr>
        <w:t xml:space="preserve">, </w:t>
      </w:r>
      <w:r>
        <w:rPr>
          <w:rFonts w:ascii="Times New Roman" w:hAnsi="Times New Roman" w:cs="Times New Roman"/>
          <w:i/>
          <w:iCs/>
          <w:szCs w:val="22"/>
        </w:rPr>
        <w:t>18</w:t>
      </w:r>
      <w:r>
        <w:rPr>
          <w:rFonts w:ascii="Times New Roman" w:hAnsi="Times New Roman" w:cs="Times New Roman"/>
          <w:szCs w:val="22"/>
        </w:rPr>
        <w:t>(1), p.143.</w:t>
      </w:r>
    </w:p>
    <w:p w14:paraId="1753C511">
      <w:pPr>
        <w:jc w:val="both"/>
        <w:rPr>
          <w:rFonts w:ascii="Times New Roman" w:hAnsi="Times New Roman" w:cs="Times New Roman"/>
          <w:szCs w:val="22"/>
        </w:rPr>
      </w:pPr>
      <w:r>
        <w:rPr>
          <w:rFonts w:ascii="Times New Roman" w:hAnsi="Times New Roman" w:cs="Times New Roman"/>
          <w:szCs w:val="22"/>
        </w:rPr>
        <w:t xml:space="preserve">Page, M.J., McKenzie, J.E., Bossuyt, P.M., Boutron, I., Hoffmann, T.C., Mulrow, C.D., Shamseer, L., Tetzlaff, J.M., Akl, E.A., Brennan, S.E. and Chou, R., 2021. The PRISMA 2020 statement: an updated guideline for reporting systematic reviews. </w:t>
      </w:r>
      <w:r>
        <w:rPr>
          <w:rFonts w:ascii="Times New Roman" w:hAnsi="Times New Roman" w:cs="Times New Roman"/>
          <w:i/>
          <w:iCs/>
          <w:szCs w:val="22"/>
        </w:rPr>
        <w:t>bmj</w:t>
      </w:r>
      <w:r>
        <w:rPr>
          <w:rFonts w:ascii="Times New Roman" w:hAnsi="Times New Roman" w:cs="Times New Roman"/>
          <w:szCs w:val="22"/>
        </w:rPr>
        <w:t xml:space="preserve">, </w:t>
      </w:r>
      <w:r>
        <w:rPr>
          <w:rFonts w:ascii="Times New Roman" w:hAnsi="Times New Roman" w:cs="Times New Roman"/>
          <w:i/>
          <w:iCs/>
          <w:szCs w:val="22"/>
        </w:rPr>
        <w:t>372</w:t>
      </w:r>
      <w:r>
        <w:rPr>
          <w:rFonts w:ascii="Times New Roman" w:hAnsi="Times New Roman" w:cs="Times New Roman"/>
          <w:szCs w:val="22"/>
        </w:rPr>
        <w:t>.</w:t>
      </w:r>
    </w:p>
    <w:p w14:paraId="56F5ABB4">
      <w:pPr>
        <w:jc w:val="both"/>
        <w:rPr>
          <w:rFonts w:ascii="Times New Roman" w:hAnsi="Times New Roman" w:cs="Times New Roman"/>
          <w:szCs w:val="22"/>
        </w:rPr>
      </w:pPr>
      <w:r>
        <w:rPr>
          <w:rFonts w:ascii="Times New Roman" w:hAnsi="Times New Roman" w:cs="Times New Roman"/>
          <w:szCs w:val="22"/>
        </w:rPr>
        <w:t xml:space="preserve">Petersen, K., Feldt, R., Mujtaba, S. and Mattsson, M., 2008, June. Systematic mapping studies in software engineering. In </w:t>
      </w:r>
      <w:r>
        <w:rPr>
          <w:rFonts w:ascii="Times New Roman" w:hAnsi="Times New Roman" w:cs="Times New Roman"/>
          <w:i/>
          <w:iCs/>
          <w:szCs w:val="22"/>
        </w:rPr>
        <w:t>12th international conference on evaluation and assessment in software engineering (EASE)</w:t>
      </w:r>
      <w:r>
        <w:rPr>
          <w:rFonts w:ascii="Times New Roman" w:hAnsi="Times New Roman" w:cs="Times New Roman"/>
          <w:szCs w:val="22"/>
        </w:rPr>
        <w:t>. BCS Learning &amp; Development.</w:t>
      </w:r>
    </w:p>
    <w:p w14:paraId="1BBFA198">
      <w:pPr>
        <w:jc w:val="both"/>
        <w:rPr>
          <w:rFonts w:ascii="Times New Roman" w:hAnsi="Times New Roman" w:cs="Times New Roman"/>
          <w:szCs w:val="22"/>
        </w:rPr>
      </w:pPr>
      <w:r>
        <w:rPr>
          <w:rFonts w:ascii="Times New Roman" w:hAnsi="Times New Roman" w:cs="Times New Roman"/>
          <w:szCs w:val="22"/>
        </w:rPr>
        <w:t xml:space="preserve">Khalil, H., Peters, M.D., Tricco, A.C., Pollock, D., Alexander, L., McInerney, P., Godfrey, C.M. and Munn, Z., 2021. Conducting high quality scoping reviews-challenges and solutions. </w:t>
      </w:r>
      <w:r>
        <w:rPr>
          <w:rFonts w:ascii="Times New Roman" w:hAnsi="Times New Roman" w:cs="Times New Roman"/>
          <w:i/>
          <w:iCs/>
          <w:szCs w:val="22"/>
        </w:rPr>
        <w:t>Journal of clinical epidemiology</w:t>
      </w:r>
      <w:r>
        <w:rPr>
          <w:rFonts w:ascii="Times New Roman" w:hAnsi="Times New Roman" w:cs="Times New Roman"/>
          <w:szCs w:val="22"/>
        </w:rPr>
        <w:t xml:space="preserve">, </w:t>
      </w:r>
      <w:r>
        <w:rPr>
          <w:rFonts w:ascii="Times New Roman" w:hAnsi="Times New Roman" w:cs="Times New Roman"/>
          <w:i/>
          <w:iCs/>
          <w:szCs w:val="22"/>
        </w:rPr>
        <w:t>130</w:t>
      </w:r>
      <w:r>
        <w:rPr>
          <w:rFonts w:ascii="Times New Roman" w:hAnsi="Times New Roman" w:cs="Times New Roman"/>
          <w:szCs w:val="22"/>
        </w:rPr>
        <w:t>, pp.156-160.</w:t>
      </w:r>
    </w:p>
    <w:p w14:paraId="1D95F80C">
      <w:pPr>
        <w:jc w:val="both"/>
        <w:rPr>
          <w:rFonts w:ascii="Times New Roman" w:hAnsi="Times New Roman" w:cs="Times New Roman"/>
          <w:szCs w:val="22"/>
        </w:rPr>
      </w:pPr>
      <w:r>
        <w:rPr>
          <w:rFonts w:ascii="Times New Roman" w:hAnsi="Times New Roman" w:cs="Times New Roman"/>
          <w:szCs w:val="22"/>
        </w:rPr>
        <w:t xml:space="preserve">Khalil, H., Welch, V., Grainger, M. and Campbell, F., 2025. Methodology for mapping reviews, evidence maps, and gap maps. </w:t>
      </w:r>
      <w:r>
        <w:rPr>
          <w:rFonts w:ascii="Times New Roman" w:hAnsi="Times New Roman" w:cs="Times New Roman"/>
          <w:i/>
          <w:iCs/>
          <w:szCs w:val="22"/>
        </w:rPr>
        <w:t>Research Synthesis Methods</w:t>
      </w:r>
      <w:r>
        <w:rPr>
          <w:rFonts w:ascii="Times New Roman" w:hAnsi="Times New Roman" w:cs="Times New Roman"/>
          <w:szCs w:val="22"/>
        </w:rPr>
        <w:t xml:space="preserve">, </w:t>
      </w:r>
      <w:r>
        <w:rPr>
          <w:rFonts w:ascii="Times New Roman" w:hAnsi="Times New Roman" w:cs="Times New Roman"/>
          <w:i/>
          <w:iCs/>
          <w:szCs w:val="22"/>
        </w:rPr>
        <w:t>16</w:t>
      </w:r>
      <w:r>
        <w:rPr>
          <w:rFonts w:ascii="Times New Roman" w:hAnsi="Times New Roman" w:cs="Times New Roman"/>
          <w:szCs w:val="22"/>
        </w:rPr>
        <w:t>(5), pp.786-796.</w:t>
      </w:r>
    </w:p>
    <w:p w14:paraId="10A4441C">
      <w:pPr>
        <w:jc w:val="both"/>
        <w:rPr>
          <w:rFonts w:ascii="Times New Roman" w:hAnsi="Times New Roman" w:cs="Times New Roman"/>
          <w:szCs w:val="22"/>
        </w:rPr>
      </w:pPr>
      <w:r>
        <w:rPr>
          <w:rFonts w:ascii="Times New Roman" w:hAnsi="Times New Roman" w:cs="Times New Roman"/>
          <w:szCs w:val="22"/>
        </w:rPr>
        <w:t xml:space="preserve">Campbell, F., Tricco, A.C., Munn, Z., Pollock, D., Saran, A., Sutton, A., White, H. and Khalil, H., 2023. Mapping reviews, scoping reviews, and evidence and gap maps (EGMs): the same but different—the “Big Picture” review family. </w:t>
      </w:r>
      <w:r>
        <w:rPr>
          <w:rFonts w:ascii="Times New Roman" w:hAnsi="Times New Roman" w:cs="Times New Roman"/>
          <w:i/>
          <w:iCs/>
          <w:szCs w:val="22"/>
        </w:rPr>
        <w:t>Systematic reviews</w:t>
      </w:r>
      <w:r>
        <w:rPr>
          <w:rFonts w:ascii="Times New Roman" w:hAnsi="Times New Roman" w:cs="Times New Roman"/>
          <w:szCs w:val="22"/>
        </w:rPr>
        <w:t xml:space="preserve">, </w:t>
      </w:r>
      <w:r>
        <w:rPr>
          <w:rFonts w:ascii="Times New Roman" w:hAnsi="Times New Roman" w:cs="Times New Roman"/>
          <w:i/>
          <w:iCs/>
          <w:szCs w:val="22"/>
        </w:rPr>
        <w:t>12</w:t>
      </w:r>
      <w:r>
        <w:rPr>
          <w:rFonts w:ascii="Times New Roman" w:hAnsi="Times New Roman" w:cs="Times New Roman"/>
          <w:szCs w:val="22"/>
        </w:rPr>
        <w:t>(1), p.45.</w:t>
      </w:r>
    </w:p>
    <w:p w14:paraId="7725A11A"/>
    <w:p w14:paraId="05A9E629"/>
    <w:p w14:paraId="370669E5"/>
    <w:p w14:paraId="3E883DF6"/>
    <w:p w14:paraId="1065CAE0"/>
    <w:p w14:paraId="152D4A5A"/>
    <w:p w14:paraId="201E0EAC"/>
    <w:p w14:paraId="13BE07E4"/>
    <w:p w14:paraId="780C5D7E"/>
    <w:p w14:paraId="13B3218F"/>
    <w:p w14:paraId="5CD593FE"/>
    <w:p w14:paraId="4CD0B12F"/>
    <w:p w14:paraId="591F94C7"/>
    <w:p w14:paraId="08E3EF17"/>
    <w:p w14:paraId="6ACEFF95"/>
    <w:p w14:paraId="0F9D718C">
      <w:pPr>
        <w:keepNext w:val="0"/>
        <w:keepLines w:val="0"/>
        <w:pageBreakBefore w:val="0"/>
        <w:widowControl w:val="0"/>
        <w:kinsoku/>
        <w:wordWrap/>
        <w:overflowPunct/>
        <w:topLinePunct w:val="0"/>
        <w:autoSpaceDE/>
        <w:autoSpaceDN/>
        <w:bidi w:val="0"/>
        <w:adjustRightInd/>
        <w:snapToGrid/>
        <w:spacing w:line="279" w:lineRule="auto"/>
        <w:jc w:val="center"/>
        <w:textAlignment w:val="auto"/>
        <w:outlineLvl w:val="0"/>
        <w:rPr>
          <w:b/>
          <w:bCs/>
          <w:sz w:val="96"/>
          <w:szCs w:val="96"/>
        </w:rPr>
      </w:pPr>
      <w:bookmarkStart w:id="15" w:name="_Toc15953"/>
      <w:r>
        <w:rPr>
          <w:b/>
          <w:bCs/>
          <w:sz w:val="96"/>
          <w:szCs w:val="96"/>
        </w:rPr>
        <w:t>Part 2</w:t>
      </w:r>
      <w:bookmarkEnd w:id="15"/>
    </w:p>
    <w:p w14:paraId="2056817F">
      <w:pPr>
        <w:keepNext w:val="0"/>
        <w:keepLines w:val="0"/>
        <w:pageBreakBefore w:val="0"/>
        <w:widowControl w:val="0"/>
        <w:kinsoku/>
        <w:wordWrap/>
        <w:overflowPunct/>
        <w:topLinePunct w:val="0"/>
        <w:autoSpaceDE/>
        <w:autoSpaceDN/>
        <w:bidi w:val="0"/>
        <w:adjustRightInd/>
        <w:snapToGrid/>
        <w:spacing w:line="279" w:lineRule="auto"/>
        <w:jc w:val="center"/>
        <w:textAlignment w:val="auto"/>
        <w:outlineLvl w:val="0"/>
        <w:rPr>
          <w:b/>
          <w:bCs/>
          <w:sz w:val="56"/>
          <w:szCs w:val="56"/>
        </w:rPr>
      </w:pPr>
      <w:bookmarkStart w:id="16" w:name="_Toc25214"/>
      <w:r>
        <w:rPr>
          <w:b/>
          <w:bCs/>
          <w:sz w:val="56"/>
          <w:szCs w:val="56"/>
        </w:rPr>
        <w:t>Annotated Bibliography</w:t>
      </w:r>
      <w:bookmarkEnd w:id="16"/>
    </w:p>
    <w:p w14:paraId="09979074"/>
    <w:p w14:paraId="4637398E"/>
    <w:p w14:paraId="75D11A25"/>
    <w:p w14:paraId="7773853D"/>
    <w:p w14:paraId="08EF47B5"/>
    <w:p w14:paraId="08D81033"/>
    <w:p w14:paraId="5DC44B36"/>
    <w:p w14:paraId="10FA3C45"/>
    <w:p w14:paraId="2FEB993F">
      <w:pPr>
        <w:sectPr>
          <w:footerReference r:id="rId5" w:type="default"/>
          <w:pgSz w:w="11906" w:h="16838"/>
          <w:pgMar w:top="1440" w:right="1800" w:bottom="1440" w:left="1800" w:header="851" w:footer="992" w:gutter="0"/>
          <w:cols w:space="425" w:num="1"/>
          <w:docGrid w:type="lines" w:linePitch="312" w:charSpace="0"/>
        </w:sectPr>
      </w:pPr>
    </w:p>
    <w:p w14:paraId="2FE4FD82"/>
    <w:p w14:paraId="7C62C041">
      <w:pPr>
        <w:pStyle w:val="3"/>
        <w:rPr>
          <w:rFonts w:hint="default" w:ascii="Times New Roman" w:hAnsi="Times New Roman" w:cs="Times New Roman"/>
          <w:color w:val="auto"/>
        </w:rPr>
      </w:pPr>
      <w:bookmarkStart w:id="17" w:name="_Toc241606077"/>
      <w:bookmarkStart w:id="18" w:name="_Toc6224"/>
      <w:r>
        <w:rPr>
          <w:rFonts w:hint="default" w:ascii="Times New Roman" w:hAnsi="Times New Roman" w:cs="Times New Roman"/>
          <w:color w:val="auto"/>
        </w:rPr>
        <w:t>Part 2 Literature Mapping Table</w:t>
      </w:r>
      <w:bookmarkEnd w:id="17"/>
      <w:bookmarkEnd w:id="18"/>
    </w:p>
    <w:tbl>
      <w:tblPr>
        <w:tblStyle w:val="3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72"/>
        <w:gridCol w:w="865"/>
        <w:gridCol w:w="907"/>
        <w:gridCol w:w="1078"/>
        <w:gridCol w:w="1275"/>
        <w:gridCol w:w="2229"/>
        <w:gridCol w:w="1071"/>
        <w:gridCol w:w="1583"/>
        <w:gridCol w:w="1314"/>
        <w:gridCol w:w="1057"/>
        <w:gridCol w:w="1814"/>
        <w:gridCol w:w="707"/>
      </w:tblGrid>
      <w:tr w14:paraId="6900DE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72" w:type="dxa"/>
          </w:tcPr>
          <w:p w14:paraId="73766A8E">
            <w:pPr>
              <w:spacing w:after="0" w:line="240" w:lineRule="auto"/>
              <w:jc w:val="center"/>
              <w:rPr>
                <w:rFonts w:ascii="Times New Roman" w:hAnsi="Times New Roman" w:eastAsia="宋体" w:cs="Times New Roman"/>
                <w:b/>
                <w:bCs/>
                <w:sz w:val="20"/>
                <w:szCs w:val="20"/>
              </w:rPr>
            </w:pPr>
            <w:r>
              <w:rPr>
                <w:rFonts w:ascii="Times New Roman" w:hAnsi="Times New Roman" w:eastAsia="宋体" w:cs="Times New Roman"/>
                <w:b/>
                <w:bCs/>
                <w:sz w:val="20"/>
                <w:szCs w:val="20"/>
              </w:rPr>
              <w:t>No.</w:t>
            </w:r>
          </w:p>
        </w:tc>
        <w:tc>
          <w:tcPr>
            <w:tcW w:w="865" w:type="dxa"/>
          </w:tcPr>
          <w:p w14:paraId="20E2CDFD">
            <w:pPr>
              <w:spacing w:after="0" w:line="240" w:lineRule="auto"/>
              <w:jc w:val="center"/>
              <w:rPr>
                <w:rFonts w:ascii="Times New Roman" w:hAnsi="Times New Roman" w:eastAsia="宋体" w:cs="Times New Roman"/>
                <w:b/>
                <w:bCs/>
                <w:sz w:val="20"/>
                <w:szCs w:val="20"/>
              </w:rPr>
            </w:pPr>
            <w:r>
              <w:rPr>
                <w:rFonts w:ascii="Times New Roman" w:hAnsi="Times New Roman" w:eastAsia="宋体" w:cs="Times New Roman"/>
                <w:b/>
                <w:bCs/>
                <w:sz w:val="20"/>
                <w:szCs w:val="20"/>
              </w:rPr>
              <w:t>Author/Year</w:t>
            </w:r>
          </w:p>
        </w:tc>
        <w:tc>
          <w:tcPr>
            <w:tcW w:w="907" w:type="dxa"/>
          </w:tcPr>
          <w:p w14:paraId="380514E3">
            <w:pPr>
              <w:spacing w:after="0" w:line="240" w:lineRule="auto"/>
              <w:jc w:val="center"/>
              <w:rPr>
                <w:rFonts w:ascii="Times New Roman" w:hAnsi="Times New Roman" w:eastAsia="宋体" w:cs="Times New Roman"/>
                <w:b/>
                <w:bCs/>
                <w:sz w:val="20"/>
                <w:szCs w:val="20"/>
              </w:rPr>
            </w:pPr>
            <w:r>
              <w:rPr>
                <w:rFonts w:ascii="Times New Roman" w:hAnsi="Times New Roman" w:eastAsia="宋体" w:cs="Times New Roman"/>
                <w:b/>
                <w:bCs/>
                <w:sz w:val="20"/>
                <w:szCs w:val="20"/>
              </w:rPr>
              <w:t>Context</w:t>
            </w:r>
          </w:p>
        </w:tc>
        <w:tc>
          <w:tcPr>
            <w:tcW w:w="1078" w:type="dxa"/>
          </w:tcPr>
          <w:p w14:paraId="35FF2839">
            <w:pPr>
              <w:spacing w:after="0" w:line="240" w:lineRule="auto"/>
              <w:jc w:val="center"/>
              <w:rPr>
                <w:rFonts w:ascii="Times New Roman" w:hAnsi="Times New Roman" w:eastAsia="宋体" w:cs="Times New Roman"/>
                <w:b/>
                <w:bCs/>
                <w:sz w:val="20"/>
                <w:szCs w:val="20"/>
              </w:rPr>
            </w:pPr>
            <w:r>
              <w:rPr>
                <w:rFonts w:ascii="Times New Roman" w:hAnsi="Times New Roman" w:eastAsia="宋体" w:cs="Times New Roman"/>
                <w:b/>
                <w:bCs/>
                <w:sz w:val="20"/>
                <w:szCs w:val="20"/>
              </w:rPr>
              <w:t>AI Adoption</w:t>
            </w:r>
          </w:p>
        </w:tc>
        <w:tc>
          <w:tcPr>
            <w:tcW w:w="1275" w:type="dxa"/>
          </w:tcPr>
          <w:p w14:paraId="18B6F1CB">
            <w:pPr>
              <w:spacing w:after="0" w:line="240" w:lineRule="auto"/>
              <w:jc w:val="center"/>
              <w:rPr>
                <w:rFonts w:ascii="Times New Roman" w:hAnsi="Times New Roman" w:eastAsia="宋体" w:cs="Times New Roman"/>
                <w:b/>
                <w:bCs/>
                <w:sz w:val="20"/>
                <w:szCs w:val="20"/>
              </w:rPr>
            </w:pPr>
            <w:r>
              <w:rPr>
                <w:rFonts w:ascii="Times New Roman" w:hAnsi="Times New Roman" w:eastAsia="宋体" w:cs="Times New Roman"/>
                <w:b/>
                <w:bCs/>
                <w:sz w:val="20"/>
                <w:szCs w:val="20"/>
              </w:rPr>
              <w:t>Employee Response</w:t>
            </w:r>
          </w:p>
        </w:tc>
        <w:tc>
          <w:tcPr>
            <w:tcW w:w="2229" w:type="dxa"/>
          </w:tcPr>
          <w:p w14:paraId="3D66BF7B">
            <w:pPr>
              <w:spacing w:after="0" w:line="240" w:lineRule="auto"/>
              <w:jc w:val="center"/>
              <w:rPr>
                <w:rFonts w:ascii="Times New Roman" w:hAnsi="Times New Roman" w:eastAsia="宋体" w:cs="Times New Roman"/>
                <w:b/>
                <w:bCs/>
                <w:sz w:val="20"/>
                <w:szCs w:val="20"/>
              </w:rPr>
            </w:pPr>
            <w:r>
              <w:rPr>
                <w:rFonts w:ascii="Times New Roman" w:hAnsi="Times New Roman" w:eastAsia="宋体" w:cs="Times New Roman"/>
                <w:b/>
                <w:bCs/>
                <w:sz w:val="20"/>
                <w:szCs w:val="20"/>
              </w:rPr>
              <w:t>Drivers</w:t>
            </w:r>
          </w:p>
        </w:tc>
        <w:tc>
          <w:tcPr>
            <w:tcW w:w="1071" w:type="dxa"/>
          </w:tcPr>
          <w:p w14:paraId="29CC9725">
            <w:pPr>
              <w:spacing w:after="0" w:line="240" w:lineRule="auto"/>
              <w:jc w:val="center"/>
              <w:rPr>
                <w:rFonts w:ascii="Times New Roman" w:hAnsi="Times New Roman" w:eastAsia="宋体" w:cs="Times New Roman"/>
                <w:b/>
                <w:bCs/>
                <w:sz w:val="20"/>
                <w:szCs w:val="20"/>
              </w:rPr>
            </w:pPr>
            <w:r>
              <w:rPr>
                <w:rFonts w:ascii="Times New Roman" w:hAnsi="Times New Roman" w:eastAsia="宋体" w:cs="Times New Roman"/>
                <w:b/>
                <w:bCs/>
                <w:sz w:val="20"/>
                <w:szCs w:val="20"/>
              </w:rPr>
              <w:t>Barriers</w:t>
            </w:r>
          </w:p>
        </w:tc>
        <w:tc>
          <w:tcPr>
            <w:tcW w:w="1583" w:type="dxa"/>
          </w:tcPr>
          <w:p w14:paraId="28CF2888">
            <w:pPr>
              <w:spacing w:after="0" w:line="240" w:lineRule="auto"/>
              <w:jc w:val="center"/>
              <w:rPr>
                <w:rFonts w:ascii="Times New Roman" w:hAnsi="Times New Roman" w:eastAsia="宋体" w:cs="Times New Roman"/>
                <w:b/>
                <w:bCs/>
                <w:sz w:val="20"/>
                <w:szCs w:val="20"/>
              </w:rPr>
            </w:pPr>
            <w:r>
              <w:rPr>
                <w:rFonts w:ascii="Times New Roman" w:hAnsi="Times New Roman" w:eastAsia="宋体" w:cs="Times New Roman"/>
                <w:b/>
                <w:bCs/>
                <w:sz w:val="20"/>
                <w:szCs w:val="20"/>
              </w:rPr>
              <w:t>Organisational Support</w:t>
            </w:r>
          </w:p>
        </w:tc>
        <w:tc>
          <w:tcPr>
            <w:tcW w:w="1314" w:type="dxa"/>
          </w:tcPr>
          <w:p w14:paraId="2E52A4D3">
            <w:pPr>
              <w:spacing w:after="0" w:line="240" w:lineRule="auto"/>
              <w:jc w:val="center"/>
              <w:rPr>
                <w:rFonts w:ascii="Times New Roman" w:hAnsi="Times New Roman" w:eastAsia="宋体" w:cs="Times New Roman"/>
                <w:b/>
                <w:bCs/>
                <w:sz w:val="20"/>
                <w:szCs w:val="20"/>
              </w:rPr>
            </w:pPr>
            <w:r>
              <w:rPr>
                <w:rFonts w:ascii="Times New Roman" w:hAnsi="Times New Roman" w:eastAsia="宋体" w:cs="Times New Roman"/>
                <w:b/>
                <w:bCs/>
                <w:sz w:val="20"/>
                <w:szCs w:val="20"/>
              </w:rPr>
              <w:t>Theory/</w:t>
            </w:r>
          </w:p>
          <w:p w14:paraId="338A0E11">
            <w:pPr>
              <w:spacing w:after="0" w:line="240" w:lineRule="auto"/>
              <w:jc w:val="center"/>
              <w:rPr>
                <w:rFonts w:ascii="Times New Roman" w:hAnsi="Times New Roman" w:eastAsia="宋体" w:cs="Times New Roman"/>
                <w:b/>
                <w:bCs/>
                <w:sz w:val="20"/>
                <w:szCs w:val="20"/>
              </w:rPr>
            </w:pPr>
            <w:r>
              <w:rPr>
                <w:rFonts w:ascii="Times New Roman" w:hAnsi="Times New Roman" w:eastAsia="宋体" w:cs="Times New Roman"/>
                <w:b/>
                <w:bCs/>
                <w:sz w:val="20"/>
                <w:szCs w:val="20"/>
              </w:rPr>
              <w:t>Framework</w:t>
            </w:r>
          </w:p>
        </w:tc>
        <w:tc>
          <w:tcPr>
            <w:tcW w:w="1057" w:type="dxa"/>
          </w:tcPr>
          <w:p w14:paraId="524A6CBB">
            <w:pPr>
              <w:spacing w:after="0" w:line="240" w:lineRule="auto"/>
              <w:jc w:val="center"/>
              <w:rPr>
                <w:rFonts w:ascii="Times New Roman" w:hAnsi="Times New Roman" w:eastAsia="宋体" w:cs="Times New Roman"/>
                <w:b/>
                <w:bCs/>
                <w:sz w:val="20"/>
                <w:szCs w:val="20"/>
              </w:rPr>
            </w:pPr>
            <w:r>
              <w:rPr>
                <w:rFonts w:ascii="Times New Roman" w:hAnsi="Times New Roman" w:eastAsia="宋体" w:cs="Times New Roman"/>
                <w:b/>
                <w:bCs/>
                <w:sz w:val="20"/>
                <w:szCs w:val="20"/>
              </w:rPr>
              <w:t>Method</w:t>
            </w:r>
          </w:p>
        </w:tc>
        <w:tc>
          <w:tcPr>
            <w:tcW w:w="1814" w:type="dxa"/>
          </w:tcPr>
          <w:p w14:paraId="0C3A1183">
            <w:pPr>
              <w:spacing w:after="0" w:line="240" w:lineRule="auto"/>
              <w:jc w:val="center"/>
              <w:rPr>
                <w:rFonts w:ascii="Times New Roman" w:hAnsi="Times New Roman" w:eastAsia="宋体" w:cs="Times New Roman"/>
                <w:b/>
                <w:bCs/>
                <w:sz w:val="20"/>
                <w:szCs w:val="20"/>
              </w:rPr>
            </w:pPr>
            <w:r>
              <w:rPr>
                <w:rFonts w:ascii="Times New Roman" w:hAnsi="Times New Roman" w:eastAsia="宋体" w:cs="Times New Roman"/>
                <w:b/>
                <w:bCs/>
                <w:sz w:val="20"/>
                <w:szCs w:val="20"/>
              </w:rPr>
              <w:t>Key Findings</w:t>
            </w:r>
          </w:p>
        </w:tc>
        <w:tc>
          <w:tcPr>
            <w:tcW w:w="707" w:type="dxa"/>
          </w:tcPr>
          <w:p w14:paraId="2ABE7E52">
            <w:pPr>
              <w:spacing w:after="0" w:line="240" w:lineRule="auto"/>
              <w:jc w:val="center"/>
              <w:rPr>
                <w:rFonts w:ascii="Times New Roman" w:hAnsi="Times New Roman" w:eastAsia="宋体" w:cs="Times New Roman"/>
                <w:b/>
                <w:bCs/>
                <w:sz w:val="20"/>
                <w:szCs w:val="20"/>
              </w:rPr>
            </w:pPr>
            <w:r>
              <w:rPr>
                <w:rFonts w:ascii="Times New Roman" w:hAnsi="Times New Roman" w:eastAsia="宋体" w:cs="Times New Roman"/>
                <w:b/>
                <w:bCs/>
                <w:sz w:val="20"/>
                <w:szCs w:val="20"/>
              </w:rPr>
              <w:t>RO</w:t>
            </w:r>
          </w:p>
        </w:tc>
      </w:tr>
      <w:tr w14:paraId="61C156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72" w:type="dxa"/>
            <w:vAlign w:val="center"/>
          </w:tcPr>
          <w:p w14:paraId="615D8AB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1</w:t>
            </w:r>
          </w:p>
        </w:tc>
        <w:tc>
          <w:tcPr>
            <w:tcW w:w="865" w:type="dxa"/>
            <w:vAlign w:val="center"/>
          </w:tcPr>
          <w:p w14:paraId="5C9E63C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Venkatesh et al. (2003)</w:t>
            </w:r>
          </w:p>
        </w:tc>
        <w:tc>
          <w:tcPr>
            <w:tcW w:w="907" w:type="dxa"/>
            <w:vAlign w:val="center"/>
          </w:tcPr>
          <w:p w14:paraId="4367452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Multiple org. settings s</w:t>
            </w:r>
          </w:p>
        </w:tc>
        <w:tc>
          <w:tcPr>
            <w:tcW w:w="1078" w:type="dxa"/>
            <w:vAlign w:val="center"/>
          </w:tcPr>
          <w:p w14:paraId="6BD3C96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General IT adoption</w:t>
            </w:r>
          </w:p>
        </w:tc>
        <w:tc>
          <w:tcPr>
            <w:tcW w:w="1275" w:type="dxa"/>
            <w:vAlign w:val="center"/>
          </w:tcPr>
          <w:p w14:paraId="36E3042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Intention/use</w:t>
            </w:r>
          </w:p>
        </w:tc>
        <w:tc>
          <w:tcPr>
            <w:tcW w:w="2229" w:type="dxa"/>
            <w:vAlign w:val="center"/>
          </w:tcPr>
          <w:p w14:paraId="3E2451B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Performance expectancy; effort expectancy;</w:t>
            </w:r>
          </w:p>
        </w:tc>
        <w:tc>
          <w:tcPr>
            <w:tcW w:w="1071" w:type="dxa"/>
            <w:vAlign w:val="center"/>
          </w:tcPr>
          <w:p w14:paraId="125FE719">
            <w:pPr>
              <w:spacing w:after="0" w:line="240" w:lineRule="auto"/>
              <w:ind w:firstLine="200" w:firstLineChars="100"/>
              <w:jc w:val="both"/>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583" w:type="dxa"/>
            <w:vAlign w:val="center"/>
          </w:tcPr>
          <w:p w14:paraId="0431691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Facilitating conditions</w:t>
            </w:r>
          </w:p>
        </w:tc>
        <w:tc>
          <w:tcPr>
            <w:tcW w:w="1314" w:type="dxa"/>
            <w:vAlign w:val="center"/>
          </w:tcPr>
          <w:p w14:paraId="7699B4B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UTAUT</w:t>
            </w:r>
          </w:p>
        </w:tc>
        <w:tc>
          <w:tcPr>
            <w:tcW w:w="1057" w:type="dxa"/>
            <w:vAlign w:val="center"/>
          </w:tcPr>
          <w:p w14:paraId="01B6485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Longitudinal</w:t>
            </w:r>
          </w:p>
        </w:tc>
        <w:tc>
          <w:tcPr>
            <w:tcW w:w="1814" w:type="dxa"/>
            <w:vAlign w:val="center"/>
          </w:tcPr>
          <w:p w14:paraId="490106B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UTAUT predicts technology intention and use.</w:t>
            </w:r>
          </w:p>
        </w:tc>
        <w:tc>
          <w:tcPr>
            <w:tcW w:w="707" w:type="dxa"/>
            <w:vAlign w:val="center"/>
          </w:tcPr>
          <w:p w14:paraId="476AA82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38212D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72" w:type="dxa"/>
            <w:vAlign w:val="center"/>
          </w:tcPr>
          <w:p w14:paraId="512EBB7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2</w:t>
            </w:r>
          </w:p>
        </w:tc>
        <w:tc>
          <w:tcPr>
            <w:tcW w:w="865" w:type="dxa"/>
            <w:vAlign w:val="center"/>
          </w:tcPr>
          <w:p w14:paraId="08DBD51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Park &amp; Jung (2021)</w:t>
            </w:r>
          </w:p>
        </w:tc>
        <w:tc>
          <w:tcPr>
            <w:tcW w:w="907" w:type="dxa"/>
            <w:vAlign w:val="center"/>
          </w:tcPr>
          <w:p w14:paraId="748AF16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Korean employees</w:t>
            </w:r>
          </w:p>
        </w:tc>
        <w:tc>
          <w:tcPr>
            <w:tcW w:w="1078" w:type="dxa"/>
            <w:vAlign w:val="center"/>
          </w:tcPr>
          <w:p w14:paraId="115AF32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Organisational AI use</w:t>
            </w:r>
          </w:p>
        </w:tc>
        <w:tc>
          <w:tcPr>
            <w:tcW w:w="1275" w:type="dxa"/>
            <w:vAlign w:val="center"/>
          </w:tcPr>
          <w:p w14:paraId="692EDBA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Intention; cognitive/affective trust</w:t>
            </w:r>
          </w:p>
        </w:tc>
        <w:tc>
          <w:tcPr>
            <w:tcW w:w="2229" w:type="dxa"/>
            <w:vAlign w:val="center"/>
          </w:tcPr>
          <w:p w14:paraId="45ACC61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Perceived usefulness; trust</w:t>
            </w:r>
          </w:p>
        </w:tc>
        <w:tc>
          <w:tcPr>
            <w:tcW w:w="1071" w:type="dxa"/>
            <w:vAlign w:val="center"/>
          </w:tcPr>
          <w:p w14:paraId="1038644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Lower usefulness/trust</w:t>
            </w:r>
          </w:p>
        </w:tc>
        <w:tc>
          <w:tcPr>
            <w:tcW w:w="1583" w:type="dxa"/>
            <w:vAlign w:val="center"/>
          </w:tcPr>
          <w:p w14:paraId="5E6CD92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Perceived organisational support</w:t>
            </w:r>
          </w:p>
        </w:tc>
        <w:tc>
          <w:tcPr>
            <w:tcW w:w="1314" w:type="dxa"/>
            <w:vAlign w:val="center"/>
          </w:tcPr>
          <w:p w14:paraId="10D39EB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TAM + organisational trust</w:t>
            </w:r>
          </w:p>
        </w:tc>
        <w:tc>
          <w:tcPr>
            <w:tcW w:w="1057" w:type="dxa"/>
            <w:vAlign w:val="center"/>
          </w:tcPr>
          <w:p w14:paraId="217B808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Experimental study</w:t>
            </w:r>
          </w:p>
        </w:tc>
        <w:tc>
          <w:tcPr>
            <w:tcW w:w="1814" w:type="dxa"/>
            <w:vAlign w:val="center"/>
          </w:tcPr>
          <w:p w14:paraId="19FEBCE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Perceived usefulness raised trust, which mediated intention to use.</w:t>
            </w:r>
          </w:p>
        </w:tc>
        <w:tc>
          <w:tcPr>
            <w:tcW w:w="707" w:type="dxa"/>
            <w:vAlign w:val="center"/>
          </w:tcPr>
          <w:p w14:paraId="5CA16EB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RO2/RO3</w:t>
            </w:r>
          </w:p>
        </w:tc>
      </w:tr>
      <w:tr w14:paraId="2F153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72" w:type="dxa"/>
            <w:vAlign w:val="center"/>
          </w:tcPr>
          <w:p w14:paraId="6BEC004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3</w:t>
            </w:r>
          </w:p>
        </w:tc>
        <w:tc>
          <w:tcPr>
            <w:tcW w:w="865" w:type="dxa"/>
            <w:vAlign w:val="center"/>
          </w:tcPr>
          <w:p w14:paraId="57D4084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Islam et al. (2023)</w:t>
            </w:r>
          </w:p>
        </w:tc>
        <w:tc>
          <w:tcPr>
            <w:tcW w:w="907" w:type="dxa"/>
            <w:vAlign w:val="center"/>
          </w:tcPr>
          <w:p w14:paraId="7C4D525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Malaysia; tourism HR employees</w:t>
            </w:r>
          </w:p>
        </w:tc>
        <w:tc>
          <w:tcPr>
            <w:tcW w:w="1078" w:type="dxa"/>
            <w:vAlign w:val="center"/>
          </w:tcPr>
          <w:p w14:paraId="3D5CE4A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adoption in HR</w:t>
            </w:r>
          </w:p>
        </w:tc>
        <w:tc>
          <w:tcPr>
            <w:tcW w:w="1275" w:type="dxa"/>
            <w:vAlign w:val="center"/>
          </w:tcPr>
          <w:p w14:paraId="2FBD40C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adoption/intention</w:t>
            </w:r>
          </w:p>
        </w:tc>
        <w:tc>
          <w:tcPr>
            <w:tcW w:w="2229" w:type="dxa"/>
            <w:vAlign w:val="center"/>
          </w:tcPr>
          <w:p w14:paraId="0A6ABEC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Usefulness; top management support</w:t>
            </w:r>
          </w:p>
        </w:tc>
        <w:tc>
          <w:tcPr>
            <w:tcW w:w="1071" w:type="dxa"/>
            <w:vAlign w:val="center"/>
          </w:tcPr>
          <w:p w14:paraId="3C26944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Technology competency limits</w:t>
            </w:r>
          </w:p>
        </w:tc>
        <w:tc>
          <w:tcPr>
            <w:tcW w:w="1583" w:type="dxa"/>
            <w:vAlign w:val="center"/>
          </w:tcPr>
          <w:p w14:paraId="2F12CDB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Top management support</w:t>
            </w:r>
          </w:p>
        </w:tc>
        <w:tc>
          <w:tcPr>
            <w:tcW w:w="1314" w:type="dxa"/>
            <w:vAlign w:val="center"/>
          </w:tcPr>
          <w:p w14:paraId="7F6ADD9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TAM + TOE</w:t>
            </w:r>
          </w:p>
        </w:tc>
        <w:tc>
          <w:tcPr>
            <w:tcW w:w="1057" w:type="dxa"/>
            <w:vAlign w:val="center"/>
          </w:tcPr>
          <w:p w14:paraId="41C3CA3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Survey; PLS-SEM; n=389</w:t>
            </w:r>
          </w:p>
        </w:tc>
        <w:tc>
          <w:tcPr>
            <w:tcW w:w="1814" w:type="dxa"/>
            <w:vAlign w:val="center"/>
          </w:tcPr>
          <w:p w14:paraId="0F316A3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Usefulness and top management support raised AI adoption.</w:t>
            </w:r>
          </w:p>
        </w:tc>
        <w:tc>
          <w:tcPr>
            <w:tcW w:w="707" w:type="dxa"/>
            <w:vAlign w:val="center"/>
          </w:tcPr>
          <w:p w14:paraId="75C559D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RO1/RO2/RO3</w:t>
            </w:r>
          </w:p>
        </w:tc>
      </w:tr>
      <w:tr w14:paraId="4DE0BC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72" w:type="dxa"/>
            <w:vAlign w:val="center"/>
          </w:tcPr>
          <w:p w14:paraId="5B65829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4</w:t>
            </w:r>
          </w:p>
        </w:tc>
        <w:tc>
          <w:tcPr>
            <w:tcW w:w="865" w:type="dxa"/>
            <w:vAlign w:val="center"/>
          </w:tcPr>
          <w:p w14:paraId="6050244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Xu et al. (2024)</w:t>
            </w:r>
          </w:p>
        </w:tc>
        <w:tc>
          <w:tcPr>
            <w:tcW w:w="907" w:type="dxa"/>
            <w:vAlign w:val="center"/>
          </w:tcPr>
          <w:p w14:paraId="7D8C01C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China; HRM employees</w:t>
            </w:r>
          </w:p>
        </w:tc>
        <w:tc>
          <w:tcPr>
            <w:tcW w:w="1078" w:type="dxa"/>
            <w:vAlign w:val="center"/>
          </w:tcPr>
          <w:p w14:paraId="7F2CBDD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system in HRM</w:t>
            </w:r>
          </w:p>
        </w:tc>
        <w:tc>
          <w:tcPr>
            <w:tcW w:w="1275" w:type="dxa"/>
            <w:vAlign w:val="center"/>
          </w:tcPr>
          <w:p w14:paraId="727B512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Trust; intention to adopt</w:t>
            </w:r>
          </w:p>
        </w:tc>
        <w:tc>
          <w:tcPr>
            <w:tcW w:w="2229" w:type="dxa"/>
            <w:vAlign w:val="center"/>
          </w:tcPr>
          <w:p w14:paraId="7FE4DE4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explanation; leader trust</w:t>
            </w:r>
          </w:p>
        </w:tc>
        <w:tc>
          <w:tcPr>
            <w:tcW w:w="1071" w:type="dxa"/>
            <w:vAlign w:val="center"/>
          </w:tcPr>
          <w:p w14:paraId="0A2FD13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Lack of explanation</w:t>
            </w:r>
          </w:p>
        </w:tc>
        <w:tc>
          <w:tcPr>
            <w:tcW w:w="1583" w:type="dxa"/>
            <w:vAlign w:val="center"/>
          </w:tcPr>
          <w:p w14:paraId="6779DDD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Trustworthy leadership; AI explanation</w:t>
            </w:r>
          </w:p>
        </w:tc>
        <w:tc>
          <w:tcPr>
            <w:tcW w:w="1314" w:type="dxa"/>
            <w:vAlign w:val="center"/>
          </w:tcPr>
          <w:p w14:paraId="4941013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Social Exchange Theory + LMX</w:t>
            </w:r>
          </w:p>
        </w:tc>
        <w:tc>
          <w:tcPr>
            <w:tcW w:w="1057" w:type="dxa"/>
            <w:vAlign w:val="center"/>
          </w:tcPr>
          <w:p w14:paraId="5DD8489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Survey; n=426</w:t>
            </w:r>
          </w:p>
        </w:tc>
        <w:tc>
          <w:tcPr>
            <w:tcW w:w="1814" w:type="dxa"/>
            <w:vAlign w:val="center"/>
          </w:tcPr>
          <w:p w14:paraId="4D667A4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Trustworthy leaders raised initial AI trust.</w:t>
            </w:r>
          </w:p>
        </w:tc>
        <w:tc>
          <w:tcPr>
            <w:tcW w:w="707" w:type="dxa"/>
            <w:vAlign w:val="center"/>
          </w:tcPr>
          <w:p w14:paraId="6F6D444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RO2/RO3</w:t>
            </w:r>
          </w:p>
        </w:tc>
      </w:tr>
      <w:tr w14:paraId="174469B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72" w:type="dxa"/>
            <w:vAlign w:val="center"/>
          </w:tcPr>
          <w:p w14:paraId="419BD09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5</w:t>
            </w:r>
          </w:p>
        </w:tc>
        <w:tc>
          <w:tcPr>
            <w:tcW w:w="865" w:type="dxa"/>
            <w:vAlign w:val="center"/>
          </w:tcPr>
          <w:p w14:paraId="119DE05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Kim &amp; Lee (2024)</w:t>
            </w:r>
          </w:p>
        </w:tc>
        <w:tc>
          <w:tcPr>
            <w:tcW w:w="907" w:type="dxa"/>
            <w:vAlign w:val="center"/>
          </w:tcPr>
          <w:p w14:paraId="70B5096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South Korea; professionals</w:t>
            </w:r>
          </w:p>
        </w:tc>
        <w:tc>
          <w:tcPr>
            <w:tcW w:w="1078" w:type="dxa"/>
            <w:vAlign w:val="center"/>
          </w:tcPr>
          <w:p w14:paraId="6C36A86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Organisational AI adoption</w:t>
            </w:r>
          </w:p>
        </w:tc>
        <w:tc>
          <w:tcPr>
            <w:tcW w:w="1275" w:type="dxa"/>
            <w:vAlign w:val="center"/>
          </w:tcPr>
          <w:p w14:paraId="07E77E8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stress; burnout; self-efficacy</w:t>
            </w:r>
          </w:p>
        </w:tc>
        <w:tc>
          <w:tcPr>
            <w:tcW w:w="2229" w:type="dxa"/>
            <w:vAlign w:val="center"/>
          </w:tcPr>
          <w:p w14:paraId="56ED549C">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071" w:type="dxa"/>
            <w:vAlign w:val="center"/>
          </w:tcPr>
          <w:p w14:paraId="69D3C98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stress; burnout</w:t>
            </w:r>
          </w:p>
        </w:tc>
        <w:tc>
          <w:tcPr>
            <w:tcW w:w="1583" w:type="dxa"/>
            <w:vAlign w:val="center"/>
          </w:tcPr>
          <w:p w14:paraId="7CE7063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Organisational support</w:t>
            </w:r>
          </w:p>
        </w:tc>
        <w:tc>
          <w:tcPr>
            <w:tcW w:w="1314" w:type="dxa"/>
            <w:vAlign w:val="center"/>
          </w:tcPr>
          <w:p w14:paraId="45E7A6A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Self-efficacy perspective</w:t>
            </w:r>
          </w:p>
        </w:tc>
        <w:tc>
          <w:tcPr>
            <w:tcW w:w="1057" w:type="dxa"/>
            <w:vAlign w:val="center"/>
          </w:tcPr>
          <w:p w14:paraId="62F159F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Three-wave; n=416</w:t>
            </w:r>
          </w:p>
        </w:tc>
        <w:tc>
          <w:tcPr>
            <w:tcW w:w="1814" w:type="dxa"/>
            <w:vAlign w:val="center"/>
          </w:tcPr>
          <w:p w14:paraId="601537E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adoption raised burnout through job stress</w:t>
            </w:r>
          </w:p>
        </w:tc>
        <w:tc>
          <w:tcPr>
            <w:tcW w:w="707" w:type="dxa"/>
            <w:vAlign w:val="center"/>
          </w:tcPr>
          <w:p w14:paraId="290DF38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RO2/RO3</w:t>
            </w:r>
          </w:p>
        </w:tc>
      </w:tr>
      <w:tr w14:paraId="445E29E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72" w:type="dxa"/>
            <w:vAlign w:val="center"/>
          </w:tcPr>
          <w:p w14:paraId="369986D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6</w:t>
            </w:r>
          </w:p>
        </w:tc>
        <w:tc>
          <w:tcPr>
            <w:tcW w:w="865" w:type="dxa"/>
            <w:vAlign w:val="center"/>
          </w:tcPr>
          <w:p w14:paraId="3AD7111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Golgeci et al. (2025)</w:t>
            </w:r>
          </w:p>
        </w:tc>
        <w:tc>
          <w:tcPr>
            <w:tcW w:w="907" w:type="dxa"/>
            <w:vAlign w:val="center"/>
          </w:tcPr>
          <w:p w14:paraId="67B78C8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Workplace</w:t>
            </w:r>
          </w:p>
        </w:tc>
        <w:tc>
          <w:tcPr>
            <w:tcW w:w="1078" w:type="dxa"/>
            <w:vAlign w:val="center"/>
          </w:tcPr>
          <w:p w14:paraId="0796E37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Workplace AI</w:t>
            </w:r>
          </w:p>
        </w:tc>
        <w:tc>
          <w:tcPr>
            <w:tcW w:w="1275" w:type="dxa"/>
            <w:vAlign w:val="center"/>
          </w:tcPr>
          <w:p w14:paraId="42A156E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Resistance: fear, inefficacy, antipathy</w:t>
            </w:r>
          </w:p>
        </w:tc>
        <w:tc>
          <w:tcPr>
            <w:tcW w:w="2229" w:type="dxa"/>
            <w:vAlign w:val="center"/>
          </w:tcPr>
          <w:p w14:paraId="42907DE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accessibility; augmentation; legitimation</w:t>
            </w:r>
          </w:p>
        </w:tc>
        <w:tc>
          <w:tcPr>
            <w:tcW w:w="1071" w:type="dxa"/>
            <w:vAlign w:val="center"/>
          </w:tcPr>
          <w:p w14:paraId="3C3A6BB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Mistrust; existential concerns</w:t>
            </w:r>
          </w:p>
        </w:tc>
        <w:tc>
          <w:tcPr>
            <w:tcW w:w="1583" w:type="dxa"/>
            <w:vAlign w:val="center"/>
          </w:tcPr>
          <w:p w14:paraId="28434E2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Accessibility; augmentation; legitimation</w:t>
            </w:r>
          </w:p>
        </w:tc>
        <w:tc>
          <w:tcPr>
            <w:tcW w:w="1314" w:type="dxa"/>
            <w:vAlign w:val="center"/>
          </w:tcPr>
          <w:p w14:paraId="391A25F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Integrative process framework</w:t>
            </w:r>
          </w:p>
        </w:tc>
        <w:tc>
          <w:tcPr>
            <w:tcW w:w="1057" w:type="dxa"/>
            <w:vAlign w:val="center"/>
          </w:tcPr>
          <w:p w14:paraId="3B2FD2A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Integrative literature review</w:t>
            </w:r>
          </w:p>
        </w:tc>
        <w:tc>
          <w:tcPr>
            <w:tcW w:w="1814" w:type="dxa"/>
            <w:vAlign w:val="center"/>
          </w:tcPr>
          <w:p w14:paraId="34B1C4B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resistance has three dimensions.</w:t>
            </w:r>
          </w:p>
        </w:tc>
        <w:tc>
          <w:tcPr>
            <w:tcW w:w="707" w:type="dxa"/>
            <w:vAlign w:val="center"/>
          </w:tcPr>
          <w:p w14:paraId="22D444B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RO2/RO3</w:t>
            </w:r>
          </w:p>
        </w:tc>
      </w:tr>
      <w:tr w14:paraId="0FF059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72" w:type="dxa"/>
            <w:vAlign w:val="center"/>
          </w:tcPr>
          <w:p w14:paraId="6B7B616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7</w:t>
            </w:r>
          </w:p>
        </w:tc>
        <w:tc>
          <w:tcPr>
            <w:tcW w:w="865" w:type="dxa"/>
            <w:vAlign w:val="center"/>
          </w:tcPr>
          <w:p w14:paraId="7755AE3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Daly et al. (2025)</w:t>
            </w:r>
          </w:p>
        </w:tc>
        <w:tc>
          <w:tcPr>
            <w:tcW w:w="907" w:type="dxa"/>
            <w:vAlign w:val="center"/>
          </w:tcPr>
          <w:p w14:paraId="2D09A4E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Multiple countries</w:t>
            </w:r>
          </w:p>
        </w:tc>
        <w:tc>
          <w:tcPr>
            <w:tcW w:w="1078" w:type="dxa"/>
            <w:vAlign w:val="center"/>
          </w:tcPr>
          <w:p w14:paraId="66076CC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Organisational AI adoption</w:t>
            </w:r>
          </w:p>
        </w:tc>
        <w:tc>
          <w:tcPr>
            <w:tcW w:w="1275" w:type="dxa"/>
            <w:vAlign w:val="center"/>
          </w:tcPr>
          <w:p w14:paraId="45E4359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Attitudes; trust</w:t>
            </w:r>
          </w:p>
        </w:tc>
        <w:tc>
          <w:tcPr>
            <w:tcW w:w="2229" w:type="dxa"/>
            <w:vAlign w:val="center"/>
          </w:tcPr>
          <w:p w14:paraId="5EE8463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Visible</w:t>
            </w:r>
            <w:r>
              <w:rPr>
                <w:rFonts w:hint="eastAsia" w:ascii="Times New Roman" w:hAnsi="Times New Roman" w:eastAsia="宋体" w:cs="Times New Roman"/>
                <w:sz w:val="20"/>
                <w:szCs w:val="20"/>
              </w:rPr>
              <w:t xml:space="preserve"> </w:t>
            </w:r>
            <w:r>
              <w:rPr>
                <w:rFonts w:ascii="Times New Roman" w:hAnsi="Times New Roman" w:eastAsia="宋体" w:cs="Times New Roman"/>
                <w:sz w:val="20"/>
                <w:szCs w:val="20"/>
              </w:rPr>
              <w:t>benefits; organisational support</w:t>
            </w:r>
          </w:p>
        </w:tc>
        <w:tc>
          <w:tcPr>
            <w:tcW w:w="1071" w:type="dxa"/>
            <w:vAlign w:val="center"/>
          </w:tcPr>
          <w:p w14:paraId="0FDA381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displacement; privacy concerns</w:t>
            </w:r>
          </w:p>
        </w:tc>
        <w:tc>
          <w:tcPr>
            <w:tcW w:w="1583" w:type="dxa"/>
            <w:vAlign w:val="center"/>
          </w:tcPr>
          <w:p w14:paraId="41A7C11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Organisational support</w:t>
            </w:r>
          </w:p>
        </w:tc>
        <w:tc>
          <w:tcPr>
            <w:tcW w:w="1314" w:type="dxa"/>
            <w:vAlign w:val="center"/>
          </w:tcPr>
          <w:p w14:paraId="5BA6B82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Organisational trust</w:t>
            </w:r>
          </w:p>
        </w:tc>
        <w:tc>
          <w:tcPr>
            <w:tcW w:w="1057" w:type="dxa"/>
            <w:vAlign w:val="center"/>
          </w:tcPr>
          <w:p w14:paraId="25F3066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Interviews; n=29</w:t>
            </w:r>
          </w:p>
        </w:tc>
        <w:tc>
          <w:tcPr>
            <w:tcW w:w="1814" w:type="dxa"/>
            <w:vAlign w:val="center"/>
          </w:tcPr>
          <w:p w14:paraId="774AA37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Experience shifts AI attitudes.</w:t>
            </w:r>
          </w:p>
        </w:tc>
        <w:tc>
          <w:tcPr>
            <w:tcW w:w="707" w:type="dxa"/>
            <w:vAlign w:val="center"/>
          </w:tcPr>
          <w:p w14:paraId="056F0A7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RO2/RO3</w:t>
            </w:r>
          </w:p>
        </w:tc>
      </w:tr>
      <w:tr w14:paraId="76E775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72" w:type="dxa"/>
            <w:vAlign w:val="center"/>
          </w:tcPr>
          <w:p w14:paraId="12AC5C3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8</w:t>
            </w:r>
          </w:p>
        </w:tc>
        <w:tc>
          <w:tcPr>
            <w:tcW w:w="865" w:type="dxa"/>
            <w:vAlign w:val="center"/>
          </w:tcPr>
          <w:p w14:paraId="795BAB0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Cho et al. (2025)</w:t>
            </w:r>
          </w:p>
        </w:tc>
        <w:tc>
          <w:tcPr>
            <w:tcW w:w="907" w:type="dxa"/>
            <w:vAlign w:val="center"/>
          </w:tcPr>
          <w:p w14:paraId="4CBD636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 xml:space="preserve">Korean government </w:t>
            </w:r>
          </w:p>
        </w:tc>
        <w:tc>
          <w:tcPr>
            <w:tcW w:w="1078" w:type="dxa"/>
            <w:vAlign w:val="center"/>
          </w:tcPr>
          <w:p w14:paraId="189BD01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 xml:space="preserve">AI chatbot </w:t>
            </w:r>
          </w:p>
        </w:tc>
        <w:tc>
          <w:tcPr>
            <w:tcW w:w="1275" w:type="dxa"/>
            <w:vAlign w:val="center"/>
          </w:tcPr>
          <w:p w14:paraId="2C8BFD5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Trust; adoption</w:t>
            </w:r>
          </w:p>
        </w:tc>
        <w:tc>
          <w:tcPr>
            <w:tcW w:w="2229" w:type="dxa"/>
            <w:vAlign w:val="center"/>
          </w:tcPr>
          <w:p w14:paraId="1182E8C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Trust; organisational support</w:t>
            </w:r>
          </w:p>
        </w:tc>
        <w:tc>
          <w:tcPr>
            <w:tcW w:w="1071" w:type="dxa"/>
            <w:vAlign w:val="center"/>
          </w:tcPr>
          <w:p w14:paraId="6628923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Limited understanding of support</w:t>
            </w:r>
          </w:p>
        </w:tc>
        <w:tc>
          <w:tcPr>
            <w:tcW w:w="1583" w:type="dxa"/>
            <w:vAlign w:val="center"/>
          </w:tcPr>
          <w:p w14:paraId="3D7D970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Organisational support</w:t>
            </w:r>
          </w:p>
        </w:tc>
        <w:tc>
          <w:tcPr>
            <w:tcW w:w="1314" w:type="dxa"/>
            <w:vAlign w:val="center"/>
          </w:tcPr>
          <w:p w14:paraId="1618B67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Trust + organisational support</w:t>
            </w:r>
          </w:p>
        </w:tc>
        <w:tc>
          <w:tcPr>
            <w:tcW w:w="1057" w:type="dxa"/>
            <w:vAlign w:val="center"/>
          </w:tcPr>
          <w:p w14:paraId="4D1D173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Mixed methods: survey + interviews</w:t>
            </w:r>
          </w:p>
        </w:tc>
        <w:tc>
          <w:tcPr>
            <w:tcW w:w="1814" w:type="dxa"/>
            <w:vAlign w:val="center"/>
          </w:tcPr>
          <w:p w14:paraId="7011BD2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Trust drives chatbot adoption.</w:t>
            </w:r>
          </w:p>
        </w:tc>
        <w:tc>
          <w:tcPr>
            <w:tcW w:w="707" w:type="dxa"/>
            <w:vAlign w:val="center"/>
          </w:tcPr>
          <w:p w14:paraId="739359C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RO2/RO3</w:t>
            </w:r>
          </w:p>
        </w:tc>
      </w:tr>
      <w:tr w14:paraId="7CBD7E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72" w:type="dxa"/>
            <w:vAlign w:val="center"/>
          </w:tcPr>
          <w:p w14:paraId="289DB7A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9</w:t>
            </w:r>
          </w:p>
        </w:tc>
        <w:tc>
          <w:tcPr>
            <w:tcW w:w="865" w:type="dxa"/>
            <w:vAlign w:val="center"/>
          </w:tcPr>
          <w:p w14:paraId="459B0DE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Soomro et al. (2026)</w:t>
            </w:r>
          </w:p>
        </w:tc>
        <w:tc>
          <w:tcPr>
            <w:tcW w:w="907" w:type="dxa"/>
            <w:vAlign w:val="center"/>
          </w:tcPr>
          <w:p w14:paraId="687061E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Pakistan; SMEs</w:t>
            </w:r>
          </w:p>
        </w:tc>
        <w:tc>
          <w:tcPr>
            <w:tcW w:w="1078" w:type="dxa"/>
            <w:vAlign w:val="center"/>
          </w:tcPr>
          <w:p w14:paraId="3A67D93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Organisational AI adoption</w:t>
            </w:r>
          </w:p>
        </w:tc>
        <w:tc>
          <w:tcPr>
            <w:tcW w:w="1275" w:type="dxa"/>
            <w:vAlign w:val="center"/>
          </w:tcPr>
          <w:p w14:paraId="3D05031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anxiety; employee well-being</w:t>
            </w:r>
          </w:p>
        </w:tc>
        <w:tc>
          <w:tcPr>
            <w:tcW w:w="2229" w:type="dxa"/>
            <w:vAlign w:val="center"/>
          </w:tcPr>
          <w:p w14:paraId="0453BF8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Managerial capability; organisational support</w:t>
            </w:r>
          </w:p>
        </w:tc>
        <w:tc>
          <w:tcPr>
            <w:tcW w:w="1071" w:type="dxa"/>
            <w:vAlign w:val="center"/>
          </w:tcPr>
          <w:p w14:paraId="1BE8614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anxiety</w:t>
            </w:r>
          </w:p>
        </w:tc>
        <w:tc>
          <w:tcPr>
            <w:tcW w:w="1583" w:type="dxa"/>
            <w:vAlign w:val="center"/>
          </w:tcPr>
          <w:p w14:paraId="3CE8F7E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Organisational support</w:t>
            </w:r>
          </w:p>
        </w:tc>
        <w:tc>
          <w:tcPr>
            <w:tcW w:w="1314" w:type="dxa"/>
            <w:vAlign w:val="center"/>
          </w:tcPr>
          <w:p w14:paraId="507C00B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Organisational support/managerial capability</w:t>
            </w:r>
          </w:p>
        </w:tc>
        <w:tc>
          <w:tcPr>
            <w:tcW w:w="1057" w:type="dxa"/>
            <w:vAlign w:val="center"/>
          </w:tcPr>
          <w:p w14:paraId="40350AA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PLS-SEM; n=324</w:t>
            </w:r>
          </w:p>
        </w:tc>
        <w:tc>
          <w:tcPr>
            <w:tcW w:w="1814" w:type="dxa"/>
            <w:vAlign w:val="center"/>
          </w:tcPr>
          <w:p w14:paraId="4DE5B6A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Organisational support raised employee well-being.</w:t>
            </w:r>
          </w:p>
        </w:tc>
        <w:tc>
          <w:tcPr>
            <w:tcW w:w="707" w:type="dxa"/>
            <w:vAlign w:val="center"/>
          </w:tcPr>
          <w:p w14:paraId="009C06C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RO2/RO3</w:t>
            </w:r>
          </w:p>
        </w:tc>
      </w:tr>
      <w:tr w14:paraId="0306DC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72" w:type="dxa"/>
            <w:vAlign w:val="center"/>
          </w:tcPr>
          <w:p w14:paraId="0CA8E06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10</w:t>
            </w:r>
          </w:p>
        </w:tc>
        <w:tc>
          <w:tcPr>
            <w:tcW w:w="865" w:type="dxa"/>
            <w:vAlign w:val="center"/>
          </w:tcPr>
          <w:p w14:paraId="45B6116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Yuan et al. (2026)</w:t>
            </w:r>
          </w:p>
        </w:tc>
        <w:tc>
          <w:tcPr>
            <w:tcW w:w="907" w:type="dxa"/>
            <w:vAlign w:val="center"/>
          </w:tcPr>
          <w:p w14:paraId="74C6A6E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US &amp; UK; hospitality</w:t>
            </w:r>
          </w:p>
        </w:tc>
        <w:tc>
          <w:tcPr>
            <w:tcW w:w="1078" w:type="dxa"/>
            <w:vAlign w:val="center"/>
          </w:tcPr>
          <w:p w14:paraId="03FD1FB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Replacement vs augmentation</w:t>
            </w:r>
          </w:p>
        </w:tc>
        <w:tc>
          <w:tcPr>
            <w:tcW w:w="1275" w:type="dxa"/>
            <w:vAlign w:val="center"/>
          </w:tcPr>
          <w:p w14:paraId="20B693D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insecurity; identity threat</w:t>
            </w:r>
          </w:p>
        </w:tc>
        <w:tc>
          <w:tcPr>
            <w:tcW w:w="2229" w:type="dxa"/>
            <w:vAlign w:val="center"/>
          </w:tcPr>
          <w:p w14:paraId="17514E5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Technology readiness; implementation type</w:t>
            </w:r>
          </w:p>
        </w:tc>
        <w:tc>
          <w:tcPr>
            <w:tcW w:w="1071" w:type="dxa"/>
            <w:vAlign w:val="center"/>
          </w:tcPr>
          <w:p w14:paraId="2537D0F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insecurity</w:t>
            </w:r>
          </w:p>
        </w:tc>
        <w:tc>
          <w:tcPr>
            <w:tcW w:w="1583" w:type="dxa"/>
            <w:vAlign w:val="center"/>
          </w:tcPr>
          <w:p w14:paraId="6957D69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Organisational support as moderator</w:t>
            </w:r>
          </w:p>
        </w:tc>
        <w:tc>
          <w:tcPr>
            <w:tcW w:w="1314" w:type="dxa"/>
            <w:vAlign w:val="center"/>
          </w:tcPr>
          <w:p w14:paraId="69D0304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Threat/identity perspective</w:t>
            </w:r>
          </w:p>
        </w:tc>
        <w:tc>
          <w:tcPr>
            <w:tcW w:w="1057" w:type="dxa"/>
            <w:vAlign w:val="center"/>
          </w:tcPr>
          <w:p w14:paraId="72D9E4D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Experiments; ANOVA + PROCESS</w:t>
            </w:r>
          </w:p>
        </w:tc>
        <w:tc>
          <w:tcPr>
            <w:tcW w:w="1814" w:type="dxa"/>
            <w:vAlign w:val="center"/>
          </w:tcPr>
          <w:p w14:paraId="2C2C26E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Replacement raised more job insecurity than augmentation.</w:t>
            </w:r>
          </w:p>
        </w:tc>
        <w:tc>
          <w:tcPr>
            <w:tcW w:w="707" w:type="dxa"/>
            <w:vAlign w:val="center"/>
          </w:tcPr>
          <w:p w14:paraId="34DC507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RO1/RO2/RO3</w:t>
            </w:r>
          </w:p>
        </w:tc>
      </w:tr>
      <w:tr w14:paraId="0A0F47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81" w:hRule="atLeast"/>
        </w:trPr>
        <w:tc>
          <w:tcPr>
            <w:tcW w:w="572" w:type="dxa"/>
            <w:shd w:val="clear" w:color="auto" w:fill="FFFFFF" w:themeFill="background1"/>
            <w:vAlign w:val="center"/>
          </w:tcPr>
          <w:p w14:paraId="39484E2A">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11</w:t>
            </w:r>
          </w:p>
        </w:tc>
        <w:tc>
          <w:tcPr>
            <w:tcW w:w="865" w:type="dxa"/>
            <w:shd w:val="clear" w:color="auto" w:fill="FFFFFF" w:themeFill="background1"/>
            <w:vAlign w:val="center"/>
          </w:tcPr>
          <w:p w14:paraId="25EB708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Golgeci et al. (2025)</w:t>
            </w:r>
          </w:p>
        </w:tc>
        <w:tc>
          <w:tcPr>
            <w:tcW w:w="907" w:type="dxa"/>
            <w:shd w:val="clear" w:color="auto" w:fill="FFFFFF" w:themeFill="background1"/>
            <w:vAlign w:val="center"/>
          </w:tcPr>
          <w:p w14:paraId="544908F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Cross-disciplinary review</w:t>
            </w:r>
          </w:p>
        </w:tc>
        <w:tc>
          <w:tcPr>
            <w:tcW w:w="1078" w:type="dxa"/>
            <w:shd w:val="clear" w:color="auto" w:fill="FFFFFF" w:themeFill="background1"/>
            <w:vAlign w:val="center"/>
          </w:tcPr>
          <w:p w14:paraId="10EACE3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Workplace AI adoption</w:t>
            </w:r>
          </w:p>
        </w:tc>
        <w:tc>
          <w:tcPr>
            <w:tcW w:w="1275" w:type="dxa"/>
            <w:shd w:val="clear" w:color="auto" w:fill="FFFFFF" w:themeFill="background1"/>
            <w:vAlign w:val="center"/>
          </w:tcPr>
          <w:p w14:paraId="1AF5FAE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 xml:space="preserve"> AI resistance: fears; inefficacies; antipathies s</w:t>
            </w:r>
          </w:p>
        </w:tc>
        <w:tc>
          <w:tcPr>
            <w:tcW w:w="2229" w:type="dxa"/>
            <w:shd w:val="clear" w:color="auto" w:fill="FFFFFF" w:themeFill="background1"/>
            <w:vAlign w:val="center"/>
          </w:tcPr>
          <w:p w14:paraId="69A86C5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accessibility; augmentation; legitimation</w:t>
            </w:r>
          </w:p>
        </w:tc>
        <w:tc>
          <w:tcPr>
            <w:tcW w:w="1071" w:type="dxa"/>
            <w:shd w:val="clear" w:color="auto" w:fill="FFFFFF" w:themeFill="background1"/>
            <w:vAlign w:val="center"/>
          </w:tcPr>
          <w:p w14:paraId="7D50B39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Mistrust; existential questioning</w:t>
            </w:r>
          </w:p>
        </w:tc>
        <w:tc>
          <w:tcPr>
            <w:tcW w:w="1583" w:type="dxa"/>
            <w:shd w:val="clear" w:color="auto" w:fill="FFFFFF" w:themeFill="background1"/>
            <w:vAlign w:val="center"/>
          </w:tcPr>
          <w:p w14:paraId="1C07C43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Organisational alleviating mechanisms</w:t>
            </w:r>
          </w:p>
        </w:tc>
        <w:tc>
          <w:tcPr>
            <w:tcW w:w="1314" w:type="dxa"/>
            <w:shd w:val="clear" w:color="auto" w:fill="FFFFFF" w:themeFill="background1"/>
            <w:vAlign w:val="center"/>
          </w:tcPr>
          <w:p w14:paraId="70FE2ECA">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Integrative review; process framework</w:t>
            </w:r>
          </w:p>
        </w:tc>
        <w:tc>
          <w:tcPr>
            <w:tcW w:w="1057" w:type="dxa"/>
            <w:shd w:val="clear" w:color="auto" w:fill="FFFFFF" w:themeFill="background1"/>
            <w:vAlign w:val="center"/>
          </w:tcPr>
          <w:p w14:paraId="6255F4E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b/>
            </w:r>
            <w:r>
              <w:rPr>
                <w:rFonts w:ascii="Times New Roman" w:hAnsi="Times New Roman" w:eastAsia="宋体" w:cs="Times New Roman"/>
                <w:sz w:val="20"/>
                <w:szCs w:val="20"/>
              </w:rPr>
              <w:t>Integrative literature review</w:t>
            </w:r>
          </w:p>
        </w:tc>
        <w:tc>
          <w:tcPr>
            <w:tcW w:w="1814" w:type="dxa"/>
            <w:shd w:val="clear" w:color="auto" w:fill="FFFFFF" w:themeFill="background1"/>
            <w:vAlign w:val="center"/>
          </w:tcPr>
          <w:p w14:paraId="16A1A6D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resistance has three dimensions.</w:t>
            </w:r>
          </w:p>
        </w:tc>
        <w:tc>
          <w:tcPr>
            <w:tcW w:w="707" w:type="dxa"/>
            <w:shd w:val="clear" w:color="auto" w:fill="FFFFFF" w:themeFill="background1"/>
            <w:vAlign w:val="center"/>
          </w:tcPr>
          <w:p w14:paraId="5289C31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5241D3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072DCEBA">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12</w:t>
            </w:r>
          </w:p>
        </w:tc>
        <w:tc>
          <w:tcPr>
            <w:tcW w:w="865" w:type="dxa"/>
            <w:shd w:val="clear" w:color="auto" w:fill="FFFFFF" w:themeFill="background1"/>
            <w:vAlign w:val="center"/>
          </w:tcPr>
          <w:p w14:paraId="036072F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Repousis &amp; Lois (2026)</w:t>
            </w:r>
          </w:p>
        </w:tc>
        <w:tc>
          <w:tcPr>
            <w:tcW w:w="907" w:type="dxa"/>
            <w:shd w:val="clear" w:color="auto" w:fill="FFFFFF" w:themeFill="background1"/>
            <w:vAlign w:val="center"/>
          </w:tcPr>
          <w:p w14:paraId="262631F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Systematic review; 2019–2025</w:t>
            </w:r>
          </w:p>
        </w:tc>
        <w:tc>
          <w:tcPr>
            <w:tcW w:w="1078" w:type="dxa"/>
            <w:shd w:val="clear" w:color="auto" w:fill="FFFFFF" w:themeFill="background1"/>
            <w:vAlign w:val="center"/>
          </w:tcPr>
          <w:p w14:paraId="22577CD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Organisational AI adoption</w:t>
            </w:r>
          </w:p>
        </w:tc>
        <w:tc>
          <w:tcPr>
            <w:tcW w:w="1275" w:type="dxa"/>
            <w:shd w:val="clear" w:color="auto" w:fill="FFFFFF" w:themeFill="background1"/>
            <w:vAlign w:val="center"/>
          </w:tcPr>
          <w:p w14:paraId="115E039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Employee resistance</w:t>
            </w:r>
          </w:p>
        </w:tc>
        <w:tc>
          <w:tcPr>
            <w:tcW w:w="2229" w:type="dxa"/>
            <w:shd w:val="clear" w:color="auto" w:fill="FFFFFF" w:themeFill="background1"/>
            <w:vAlign w:val="center"/>
          </w:tcPr>
          <w:p w14:paraId="5EBCF23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Critical reflection; dialogue; continuous upskilling</w:t>
            </w:r>
          </w:p>
        </w:tc>
        <w:tc>
          <w:tcPr>
            <w:tcW w:w="1071" w:type="dxa"/>
            <w:shd w:val="clear" w:color="auto" w:fill="FFFFFF" w:themeFill="background1"/>
            <w:vAlign w:val="center"/>
          </w:tcPr>
          <w:p w14:paraId="11A484C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Anxiety; fear of displacement</w:t>
            </w:r>
          </w:p>
        </w:tc>
        <w:tc>
          <w:tcPr>
            <w:tcW w:w="1583" w:type="dxa"/>
            <w:shd w:val="clear" w:color="auto" w:fill="FFFFFF" w:themeFill="background1"/>
            <w:vAlign w:val="center"/>
          </w:tcPr>
          <w:p w14:paraId="6F861EC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Human-centred support mechanisms</w:t>
            </w:r>
          </w:p>
        </w:tc>
        <w:tc>
          <w:tcPr>
            <w:tcW w:w="1314" w:type="dxa"/>
            <w:shd w:val="clear" w:color="auto" w:fill="FFFFFF" w:themeFill="background1"/>
            <w:vAlign w:val="center"/>
          </w:tcPr>
          <w:p w14:paraId="0758A93E">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Transformative Learning Theory</w:t>
            </w:r>
          </w:p>
        </w:tc>
        <w:tc>
          <w:tcPr>
            <w:tcW w:w="1057" w:type="dxa"/>
            <w:shd w:val="clear" w:color="auto" w:fill="FFFFFF" w:themeFill="background1"/>
            <w:vAlign w:val="center"/>
          </w:tcPr>
          <w:p w14:paraId="6F61724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b/>
            </w:r>
            <w:r>
              <w:rPr>
                <w:rFonts w:ascii="Times New Roman" w:hAnsi="Times New Roman" w:eastAsia="宋体" w:cs="Times New Roman"/>
                <w:sz w:val="20"/>
                <w:szCs w:val="20"/>
              </w:rPr>
              <w:t>Systematic literature review</w:t>
            </w:r>
          </w:p>
        </w:tc>
        <w:tc>
          <w:tcPr>
            <w:tcW w:w="1814" w:type="dxa"/>
            <w:shd w:val="clear" w:color="auto" w:fill="FFFFFF" w:themeFill="background1"/>
            <w:vAlign w:val="center"/>
          </w:tcPr>
          <w:p w14:paraId="086A2E4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Transformative learning can overcome AI resistance.</w:t>
            </w:r>
          </w:p>
        </w:tc>
        <w:tc>
          <w:tcPr>
            <w:tcW w:w="707" w:type="dxa"/>
            <w:shd w:val="clear" w:color="auto" w:fill="FFFFFF" w:themeFill="background1"/>
            <w:vAlign w:val="center"/>
          </w:tcPr>
          <w:p w14:paraId="6C7EA9B7">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RO3</w:t>
            </w:r>
          </w:p>
        </w:tc>
      </w:tr>
      <w:tr w14:paraId="71FC50E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426394E7">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13</w:t>
            </w:r>
          </w:p>
        </w:tc>
        <w:tc>
          <w:tcPr>
            <w:tcW w:w="865" w:type="dxa"/>
            <w:shd w:val="clear" w:color="auto" w:fill="FFFFFF" w:themeFill="background1"/>
            <w:vAlign w:val="center"/>
          </w:tcPr>
          <w:p w14:paraId="01544D1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Song et al. (2026)</w:t>
            </w:r>
          </w:p>
        </w:tc>
        <w:tc>
          <w:tcPr>
            <w:tcW w:w="907" w:type="dxa"/>
            <w:shd w:val="clear" w:color="auto" w:fill="FFFFFF" w:themeFill="background1"/>
            <w:vAlign w:val="center"/>
          </w:tcPr>
          <w:p w14:paraId="1A1D554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Meta-analysis; 79 studies; n = 54,726</w:t>
            </w:r>
          </w:p>
        </w:tc>
        <w:tc>
          <w:tcPr>
            <w:tcW w:w="1078" w:type="dxa"/>
            <w:shd w:val="clear" w:color="auto" w:fill="FFFFFF" w:themeFill="background1"/>
            <w:vAlign w:val="center"/>
          </w:tcPr>
          <w:p w14:paraId="725D3EF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Human-AI collaboration systems</w:t>
            </w:r>
          </w:p>
        </w:tc>
        <w:tc>
          <w:tcPr>
            <w:tcW w:w="1275" w:type="dxa"/>
            <w:shd w:val="clear" w:color="auto" w:fill="FFFFFF" w:themeFill="background1"/>
            <w:vAlign w:val="center"/>
          </w:tcPr>
          <w:p w14:paraId="7E4460B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Work effectiveness; job performance</w:t>
            </w:r>
          </w:p>
        </w:tc>
        <w:tc>
          <w:tcPr>
            <w:tcW w:w="2229" w:type="dxa"/>
            <w:shd w:val="clear" w:color="auto" w:fill="FFFFFF" w:themeFill="background1"/>
            <w:vAlign w:val="center"/>
          </w:tcPr>
          <w:p w14:paraId="203FB89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collaboration; AI autonomy</w:t>
            </w:r>
          </w:p>
        </w:tc>
        <w:tc>
          <w:tcPr>
            <w:tcW w:w="1071" w:type="dxa"/>
            <w:shd w:val="clear" w:color="auto" w:fill="FFFFFF" w:themeFill="background1"/>
            <w:vAlign w:val="center"/>
          </w:tcPr>
          <w:p w14:paraId="4798ED1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crisis awareness</w:t>
            </w:r>
          </w:p>
        </w:tc>
        <w:tc>
          <w:tcPr>
            <w:tcW w:w="1583" w:type="dxa"/>
            <w:shd w:val="clear" w:color="auto" w:fill="FFFFFF" w:themeFill="background1"/>
            <w:vAlign w:val="center"/>
          </w:tcPr>
          <w:tbl>
            <w:tblPr>
              <w:tblStyle w:val="36"/>
              <w:tblW w:w="0" w:type="auto"/>
              <w:tblCellSpacing w:w="15" w:type="dxa"/>
              <w:tblInd w:w="0" w:type="dxa"/>
              <w:tblLayout w:type="fixed"/>
              <w:tblCellMar>
                <w:top w:w="15" w:type="dxa"/>
                <w:left w:w="15" w:type="dxa"/>
                <w:bottom w:w="15" w:type="dxa"/>
                <w:right w:w="15" w:type="dxa"/>
              </w:tblCellMar>
            </w:tblPr>
            <w:tblGrid>
              <w:gridCol w:w="95"/>
              <w:gridCol w:w="315"/>
            </w:tblGrid>
            <w:tr w14:paraId="0D441621">
              <w:tblPrEx>
                <w:tblCellMar>
                  <w:top w:w="15" w:type="dxa"/>
                  <w:left w:w="15" w:type="dxa"/>
                  <w:bottom w:w="15" w:type="dxa"/>
                  <w:right w:w="15" w:type="dxa"/>
                </w:tblCellMar>
              </w:tblPrEx>
              <w:trPr>
                <w:tblCellSpacing w:w="15" w:type="dxa"/>
              </w:trPr>
              <w:tc>
                <w:tcPr>
                  <w:tcW w:w="36" w:type="dxa"/>
                  <w:vAlign w:val="center"/>
                </w:tcPr>
                <w:p w14:paraId="50CC77B3">
                  <w:pPr>
                    <w:spacing w:after="0" w:line="240" w:lineRule="auto"/>
                    <w:rPr>
                      <w:rFonts w:ascii="Times New Roman" w:hAnsi="Times New Roman" w:eastAsia="Times New Roman" w:cs="Times New Roman"/>
                      <w:sz w:val="20"/>
                      <w:szCs w:val="20"/>
                    </w:rPr>
                  </w:pPr>
                </w:p>
              </w:tc>
              <w:tc>
                <w:tcPr>
                  <w:tcW w:w="270" w:type="dxa"/>
                  <w:vAlign w:val="center"/>
                </w:tcPr>
                <w:p w14:paraId="4F1900E4">
                  <w:pPr>
                    <w:spacing w:after="0" w:line="240" w:lineRule="auto"/>
                    <w:rPr>
                      <w:rFonts w:hint="eastAsia" w:ascii="宋体" w:hAnsi="宋体" w:eastAsia="宋体" w:cs="宋体"/>
                      <w:sz w:val="24"/>
                    </w:rPr>
                  </w:pPr>
                  <w:r>
                    <w:rPr>
                      <w:rFonts w:ascii="宋体" w:hAnsi="宋体" w:eastAsia="宋体" w:cs="宋体"/>
                      <w:sz w:val="24"/>
                    </w:rPr>
                    <w:t>—</w:t>
                  </w:r>
                </w:p>
              </w:tc>
            </w:tr>
          </w:tbl>
          <w:p w14:paraId="0811A7AA">
            <w:pPr>
              <w:spacing w:after="0" w:line="240" w:lineRule="auto"/>
              <w:jc w:val="both"/>
              <w:rPr>
                <w:rFonts w:ascii="Times New Roman" w:hAnsi="Times New Roman" w:eastAsia="宋体" w:cs="Times New Roman"/>
                <w:sz w:val="20"/>
                <w:szCs w:val="20"/>
              </w:rPr>
            </w:pPr>
          </w:p>
        </w:tc>
        <w:tc>
          <w:tcPr>
            <w:tcW w:w="1314" w:type="dxa"/>
            <w:shd w:val="clear" w:color="auto" w:fill="FFFFFF" w:themeFill="background1"/>
            <w:vAlign w:val="center"/>
          </w:tcPr>
          <w:p w14:paraId="2859D6A9">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Conservation of Resources</w:t>
            </w:r>
          </w:p>
        </w:tc>
        <w:tc>
          <w:tcPr>
            <w:tcW w:w="1057" w:type="dxa"/>
            <w:shd w:val="clear" w:color="auto" w:fill="FFFFFF" w:themeFill="background1"/>
            <w:vAlign w:val="center"/>
          </w:tcPr>
          <w:p w14:paraId="198CEA3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Meta-analysis</w:t>
            </w:r>
          </w:p>
        </w:tc>
        <w:tc>
          <w:tcPr>
            <w:tcW w:w="1814" w:type="dxa"/>
            <w:shd w:val="clear" w:color="auto" w:fill="FFFFFF" w:themeFill="background1"/>
            <w:vAlign w:val="center"/>
          </w:tcPr>
          <w:p w14:paraId="4E00F04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Human-AI collaboration has a double-edged effect on work effectiveness.</w:t>
            </w:r>
          </w:p>
        </w:tc>
        <w:tc>
          <w:tcPr>
            <w:tcW w:w="707" w:type="dxa"/>
            <w:shd w:val="clear" w:color="auto" w:fill="FFFFFF" w:themeFill="background1"/>
            <w:vAlign w:val="center"/>
          </w:tcPr>
          <w:p w14:paraId="150EC084">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RO1</w:t>
            </w:r>
          </w:p>
        </w:tc>
      </w:tr>
      <w:tr w14:paraId="0C40EFA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77B9B783">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14</w:t>
            </w:r>
          </w:p>
        </w:tc>
        <w:tc>
          <w:tcPr>
            <w:tcW w:w="865" w:type="dxa"/>
            <w:shd w:val="clear" w:color="auto" w:fill="FFFFFF" w:themeFill="background1"/>
            <w:vAlign w:val="center"/>
          </w:tcPr>
          <w:p w14:paraId="2AC222F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Bankins et al. (2024)</w:t>
            </w:r>
          </w:p>
        </w:tc>
        <w:tc>
          <w:tcPr>
            <w:tcW w:w="907" w:type="dxa"/>
            <w:shd w:val="clear" w:color="auto" w:fill="FFFFFF" w:themeFill="background1"/>
            <w:vAlign w:val="center"/>
          </w:tcPr>
          <w:p w14:paraId="74C31EE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b/>
            </w:r>
            <w:r>
              <w:rPr>
                <w:rFonts w:ascii="Times New Roman" w:hAnsi="Times New Roman" w:eastAsia="宋体" w:cs="Times New Roman"/>
                <w:sz w:val="20"/>
                <w:szCs w:val="20"/>
              </w:rPr>
              <w:t>Systematic review of 68 empirical articles (Scopus)</w:t>
            </w:r>
          </w:p>
        </w:tc>
        <w:tc>
          <w:tcPr>
            <w:tcW w:w="1078" w:type="dxa"/>
            <w:shd w:val="clear" w:color="auto" w:fill="FFFFFF" w:themeFill="background1"/>
            <w:vAlign w:val="center"/>
          </w:tcPr>
          <w:p w14:paraId="7C84D22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Organisational AI technologies s</w:t>
            </w:r>
          </w:p>
        </w:tc>
        <w:tc>
          <w:tcPr>
            <w:tcW w:w="1275" w:type="dxa"/>
            <w:shd w:val="clear" w:color="auto" w:fill="FFFFFF" w:themeFill="background1"/>
            <w:vAlign w:val="center"/>
          </w:tcPr>
          <w:p w14:paraId="0E7F7E1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Worker attitudes; resistance; algorithmic management</w:t>
            </w:r>
          </w:p>
        </w:tc>
        <w:tc>
          <w:tcPr>
            <w:tcW w:w="2229" w:type="dxa"/>
            <w:shd w:val="clear" w:color="auto" w:fill="FFFFFF" w:themeFill="background1"/>
            <w:vAlign w:val="center"/>
          </w:tcPr>
          <w:p w14:paraId="4C14C9F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Human-AI collaboration; upskilling</w:t>
            </w:r>
          </w:p>
        </w:tc>
        <w:tc>
          <w:tcPr>
            <w:tcW w:w="1071" w:type="dxa"/>
            <w:shd w:val="clear" w:color="auto" w:fill="FFFFFF" w:themeFill="background1"/>
            <w:vAlign w:val="center"/>
          </w:tcPr>
          <w:p w14:paraId="5494D68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Algorithmic control; surveillance</w:t>
            </w:r>
          </w:p>
        </w:tc>
        <w:tc>
          <w:tcPr>
            <w:tcW w:w="1583" w:type="dxa"/>
            <w:shd w:val="clear" w:color="auto" w:fill="FFFFFF" w:themeFill="background1"/>
            <w:vAlign w:val="center"/>
          </w:tcPr>
          <w:p w14:paraId="6CF6018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Practical recommendations for leaders</w:t>
            </w:r>
          </w:p>
        </w:tc>
        <w:tc>
          <w:tcPr>
            <w:tcW w:w="1314" w:type="dxa"/>
            <w:shd w:val="clear" w:color="auto" w:fill="FFFFFF" w:themeFill="background1"/>
            <w:vAlign w:val="center"/>
          </w:tcPr>
          <w:p w14:paraId="34A5A31C">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Multilevel framework</w:t>
            </w:r>
          </w:p>
        </w:tc>
        <w:tc>
          <w:tcPr>
            <w:tcW w:w="1057" w:type="dxa"/>
            <w:shd w:val="clear" w:color="auto" w:fill="FFFFFF" w:themeFill="background1"/>
            <w:vAlign w:val="center"/>
          </w:tcPr>
          <w:p w14:paraId="516F47C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Systematic literature review; PRISMA included</w:t>
            </w:r>
          </w:p>
        </w:tc>
        <w:tc>
          <w:tcPr>
            <w:tcW w:w="1814" w:type="dxa"/>
            <w:shd w:val="clear" w:color="auto" w:fill="FFFFFF" w:themeFill="background1"/>
            <w:vAlign w:val="center"/>
          </w:tcPr>
          <w:p w14:paraId="3522937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Employees can hold positive and negative AI attitudes simultaneously.</w:t>
            </w:r>
          </w:p>
        </w:tc>
        <w:tc>
          <w:tcPr>
            <w:tcW w:w="707" w:type="dxa"/>
            <w:shd w:val="clear" w:color="auto" w:fill="FFFFFF" w:themeFill="background1"/>
            <w:vAlign w:val="center"/>
          </w:tcPr>
          <w:p w14:paraId="0A80DA3C">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RO2</w:t>
            </w:r>
          </w:p>
        </w:tc>
      </w:tr>
      <w:tr w14:paraId="349842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323610C4">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15</w:t>
            </w:r>
          </w:p>
        </w:tc>
        <w:tc>
          <w:tcPr>
            <w:tcW w:w="865" w:type="dxa"/>
            <w:shd w:val="clear" w:color="auto" w:fill="FFFFFF" w:themeFill="background1"/>
            <w:vAlign w:val="center"/>
          </w:tcPr>
          <w:p w14:paraId="5F2DECC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Pereira et al. (2023)</w:t>
            </w:r>
          </w:p>
        </w:tc>
        <w:tc>
          <w:tcPr>
            <w:tcW w:w="907" w:type="dxa"/>
            <w:shd w:val="clear" w:color="auto" w:fill="FFFFFF" w:themeFill="background1"/>
            <w:vAlign w:val="center"/>
          </w:tcPr>
          <w:p w14:paraId="7FE20D6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Systematic review of 60 papers from 30 leading journals</w:t>
            </w:r>
          </w:p>
        </w:tc>
        <w:tc>
          <w:tcPr>
            <w:tcW w:w="1078" w:type="dxa"/>
            <w:shd w:val="clear" w:color="auto" w:fill="FFFFFF" w:themeFill="background1"/>
            <w:vAlign w:val="center"/>
          </w:tcPr>
          <w:p w14:paraId="1E29D4B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in HRM</w:t>
            </w:r>
          </w:p>
        </w:tc>
        <w:tc>
          <w:tcPr>
            <w:tcW w:w="1275" w:type="dxa"/>
            <w:shd w:val="clear" w:color="auto" w:fill="FFFFFF" w:themeFill="background1"/>
            <w:vAlign w:val="center"/>
          </w:tcPr>
          <w:p w14:paraId="45D2E45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performance; engagement</w:t>
            </w:r>
          </w:p>
        </w:tc>
        <w:tc>
          <w:tcPr>
            <w:tcW w:w="2229" w:type="dxa"/>
            <w:shd w:val="clear" w:color="auto" w:fill="FFFFFF" w:themeFill="background1"/>
            <w:vAlign w:val="center"/>
          </w:tcPr>
          <w:p w14:paraId="468FF39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Better decisions; recruitment; learning</w:t>
            </w:r>
          </w:p>
        </w:tc>
        <w:tc>
          <w:tcPr>
            <w:tcW w:w="1071" w:type="dxa"/>
            <w:shd w:val="clear" w:color="auto" w:fill="FFFFFF" w:themeFill="background1"/>
            <w:vAlign w:val="center"/>
          </w:tcPr>
          <w:p w14:paraId="1B7FE07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Technological; ethical challenges</w:t>
            </w:r>
          </w:p>
        </w:tc>
        <w:tc>
          <w:tcPr>
            <w:tcW w:w="1583" w:type="dxa"/>
            <w:shd w:val="clear" w:color="auto" w:fill="FFFFFF" w:themeFill="background1"/>
            <w:vAlign w:val="center"/>
          </w:tcPr>
          <w:p w14:paraId="13D2E01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HRM function</w:t>
            </w:r>
          </w:p>
        </w:tc>
        <w:tc>
          <w:tcPr>
            <w:tcW w:w="1314" w:type="dxa"/>
            <w:shd w:val="clear" w:color="auto" w:fill="FFFFFF" w:themeFill="background1"/>
            <w:vAlign w:val="center"/>
          </w:tcPr>
          <w:p w14:paraId="1BEBA84D">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Antecedents–Phenomenon–Outcomes framework)</w:t>
            </w:r>
          </w:p>
        </w:tc>
        <w:tc>
          <w:tcPr>
            <w:tcW w:w="1057" w:type="dxa"/>
            <w:shd w:val="clear" w:color="auto" w:fill="FFFFFF" w:themeFill="background1"/>
            <w:vAlign w:val="center"/>
          </w:tcPr>
          <w:p w14:paraId="3AA4529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Systematic literature review</w:t>
            </w:r>
          </w:p>
        </w:tc>
        <w:tc>
          <w:tcPr>
            <w:tcW w:w="1814" w:type="dxa"/>
            <w:shd w:val="clear" w:color="auto" w:fill="FFFFFF" w:themeFill="background1"/>
            <w:vAlign w:val="center"/>
          </w:tcPr>
          <w:p w14:paraId="4D0027D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has a dual impact on HRM outcomes.</w:t>
            </w:r>
          </w:p>
        </w:tc>
        <w:tc>
          <w:tcPr>
            <w:tcW w:w="707" w:type="dxa"/>
            <w:shd w:val="clear" w:color="auto" w:fill="FFFFFF" w:themeFill="background1"/>
            <w:vAlign w:val="center"/>
          </w:tcPr>
          <w:p w14:paraId="1A045E0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RO1</w:t>
            </w:r>
          </w:p>
        </w:tc>
      </w:tr>
      <w:tr w14:paraId="6CA468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50358028">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16</w:t>
            </w:r>
          </w:p>
        </w:tc>
        <w:tc>
          <w:tcPr>
            <w:tcW w:w="865" w:type="dxa"/>
            <w:shd w:val="clear" w:color="auto" w:fill="FFFFFF" w:themeFill="background1"/>
            <w:vAlign w:val="center"/>
          </w:tcPr>
          <w:p w14:paraId="2F82711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Vrontis et al. (2022)</w:t>
            </w:r>
          </w:p>
        </w:tc>
        <w:tc>
          <w:tcPr>
            <w:tcW w:w="907" w:type="dxa"/>
            <w:shd w:val="clear" w:color="auto" w:fill="FFFFFF" w:themeFill="background1"/>
            <w:vAlign w:val="center"/>
          </w:tcPr>
          <w:p w14:paraId="3A399B8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b/>
            </w:r>
            <w:r>
              <w:rPr>
                <w:rFonts w:ascii="Times New Roman" w:hAnsi="Times New Roman" w:eastAsia="宋体" w:cs="Times New Roman"/>
                <w:sz w:val="20"/>
                <w:szCs w:val="20"/>
              </w:rPr>
              <w:t>Systematic review of 45 articles from top-tier journals</w:t>
            </w:r>
          </w:p>
        </w:tc>
        <w:tc>
          <w:tcPr>
            <w:tcW w:w="1078" w:type="dxa"/>
            <w:shd w:val="clear" w:color="auto" w:fill="FFFFFF" w:themeFill="background1"/>
            <w:vAlign w:val="center"/>
          </w:tcPr>
          <w:p w14:paraId="4F0F926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robotics; advanced technologies in HRM</w:t>
            </w:r>
          </w:p>
        </w:tc>
        <w:tc>
          <w:tcPr>
            <w:tcW w:w="1275" w:type="dxa"/>
            <w:shd w:val="clear" w:color="auto" w:fill="FFFFFF" w:themeFill="background1"/>
            <w:vAlign w:val="center"/>
          </w:tcPr>
          <w:p w14:paraId="236F905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replacement; collaboration</w:t>
            </w:r>
          </w:p>
        </w:tc>
        <w:tc>
          <w:tcPr>
            <w:tcW w:w="2229" w:type="dxa"/>
            <w:shd w:val="clear" w:color="auto" w:fill="FFFFFF" w:themeFill="background1"/>
            <w:vAlign w:val="center"/>
          </w:tcPr>
          <w:p w14:paraId="0A024D0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New management approach; firm performance</w:t>
            </w:r>
          </w:p>
        </w:tc>
        <w:tc>
          <w:tcPr>
            <w:tcW w:w="1071" w:type="dxa"/>
            <w:shd w:val="clear" w:color="auto" w:fill="FFFFFF" w:themeFill="background1"/>
            <w:vAlign w:val="center"/>
          </w:tcPr>
          <w:p w14:paraId="1551C81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Technological challenges; ethical challenges</w:t>
            </w:r>
          </w:p>
        </w:tc>
        <w:tc>
          <w:tcPr>
            <w:tcW w:w="1583" w:type="dxa"/>
            <w:shd w:val="clear" w:color="auto" w:fill="FFFFFF" w:themeFill="background1"/>
            <w:vAlign w:val="center"/>
          </w:tcPr>
          <w:p w14:paraId="7D758C7E">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219BA6D3">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Systematic review framework)</w:t>
            </w:r>
          </w:p>
        </w:tc>
        <w:tc>
          <w:tcPr>
            <w:tcW w:w="1057" w:type="dxa"/>
            <w:shd w:val="clear" w:color="auto" w:fill="FFFFFF" w:themeFill="background1"/>
            <w:vAlign w:val="center"/>
          </w:tcPr>
          <w:p w14:paraId="6B5BB99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Systematic literature review</w:t>
            </w:r>
          </w:p>
        </w:tc>
        <w:tc>
          <w:tcPr>
            <w:tcW w:w="1814" w:type="dxa"/>
            <w:shd w:val="clear" w:color="auto" w:fill="FFFFFF" w:themeFill="background1"/>
            <w:vAlign w:val="center"/>
          </w:tcPr>
          <w:p w14:paraId="38EC37B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Intelligent automation offers HRM opportunities and challenges.</w:t>
            </w:r>
          </w:p>
        </w:tc>
        <w:tc>
          <w:tcPr>
            <w:tcW w:w="707" w:type="dxa"/>
            <w:shd w:val="clear" w:color="auto" w:fill="FFFFFF" w:themeFill="background1"/>
            <w:vAlign w:val="center"/>
          </w:tcPr>
          <w:p w14:paraId="592146C2">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RO1</w:t>
            </w:r>
          </w:p>
        </w:tc>
      </w:tr>
      <w:tr w14:paraId="7262AFA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7A5A2DE0">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17</w:t>
            </w:r>
          </w:p>
        </w:tc>
        <w:tc>
          <w:tcPr>
            <w:tcW w:w="865" w:type="dxa"/>
            <w:shd w:val="clear" w:color="auto" w:fill="FFFFFF" w:themeFill="background1"/>
            <w:vAlign w:val="center"/>
          </w:tcPr>
          <w:p w14:paraId="709EEC3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Gelinas et al. (2022)</w:t>
            </w:r>
          </w:p>
        </w:tc>
        <w:tc>
          <w:tcPr>
            <w:tcW w:w="907" w:type="dxa"/>
            <w:shd w:val="clear" w:color="auto" w:fill="FFFFFF" w:themeFill="background1"/>
            <w:vAlign w:val="center"/>
          </w:tcPr>
          <w:p w14:paraId="1BD93EA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Review and research agenda</w:t>
            </w:r>
          </w:p>
        </w:tc>
        <w:tc>
          <w:tcPr>
            <w:tcW w:w="1078" w:type="dxa"/>
            <w:shd w:val="clear" w:color="auto" w:fill="FFFFFF" w:themeFill="background1"/>
            <w:vAlign w:val="center"/>
          </w:tcPr>
          <w:p w14:paraId="7845F89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in HRM</w:t>
            </w:r>
          </w:p>
        </w:tc>
        <w:tc>
          <w:tcPr>
            <w:tcW w:w="1275" w:type="dxa"/>
            <w:shd w:val="clear" w:color="auto" w:fill="FFFFFF" w:themeFill="background1"/>
            <w:vAlign w:val="center"/>
          </w:tcPr>
          <w:p w14:paraId="2F5F9EB7">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2229" w:type="dxa"/>
            <w:shd w:val="clear" w:color="auto" w:fill="FFFFFF" w:themeFill="background1"/>
            <w:vAlign w:val="center"/>
          </w:tcPr>
          <w:p w14:paraId="025899BE">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071" w:type="dxa"/>
            <w:shd w:val="clear" w:color="auto" w:fill="FFFFFF" w:themeFill="background1"/>
            <w:vAlign w:val="center"/>
          </w:tcPr>
          <w:p w14:paraId="1C0EB789">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583" w:type="dxa"/>
            <w:shd w:val="clear" w:color="auto" w:fill="FFFFFF" w:themeFill="background1"/>
            <w:vAlign w:val="center"/>
          </w:tcPr>
          <w:p w14:paraId="7BA3CE5F">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56310DEB">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Review and research agenda</w:t>
            </w:r>
          </w:p>
        </w:tc>
        <w:tc>
          <w:tcPr>
            <w:tcW w:w="1057" w:type="dxa"/>
            <w:shd w:val="clear" w:color="auto" w:fill="FFFFFF" w:themeFill="background1"/>
            <w:vAlign w:val="center"/>
          </w:tcPr>
          <w:p w14:paraId="32EFD08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Literature review a</w:t>
            </w:r>
          </w:p>
        </w:tc>
        <w:tc>
          <w:tcPr>
            <w:tcW w:w="1814" w:type="dxa"/>
            <w:shd w:val="clear" w:color="auto" w:fill="FFFFFF" w:themeFill="background1"/>
            <w:vAlign w:val="center"/>
          </w:tcPr>
          <w:p w14:paraId="351EC06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Reviews AI in HRM and proposes a research agenda.</w:t>
            </w:r>
          </w:p>
        </w:tc>
        <w:tc>
          <w:tcPr>
            <w:tcW w:w="707" w:type="dxa"/>
            <w:shd w:val="clear" w:color="auto" w:fill="FFFFFF" w:themeFill="background1"/>
            <w:vAlign w:val="center"/>
          </w:tcPr>
          <w:p w14:paraId="77C8EE16">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RO1</w:t>
            </w:r>
          </w:p>
        </w:tc>
      </w:tr>
      <w:tr w14:paraId="51BA1E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4EFAC9C7">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18</w:t>
            </w:r>
          </w:p>
        </w:tc>
        <w:tc>
          <w:tcPr>
            <w:tcW w:w="865" w:type="dxa"/>
            <w:shd w:val="clear" w:color="auto" w:fill="FFFFFF" w:themeFill="background1"/>
            <w:vAlign w:val="center"/>
          </w:tcPr>
          <w:p w14:paraId="061BC53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Dwivedi, M. (2025)</w:t>
            </w:r>
          </w:p>
        </w:tc>
        <w:tc>
          <w:tcPr>
            <w:tcW w:w="907" w:type="dxa"/>
            <w:shd w:val="clear" w:color="auto" w:fill="FFFFFF" w:themeFill="background1"/>
            <w:vAlign w:val="center"/>
          </w:tcPr>
          <w:p w14:paraId="7269945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b/>
            </w:r>
            <w:r>
              <w:rPr>
                <w:rFonts w:ascii="Times New Roman" w:hAnsi="Times New Roman" w:eastAsia="宋体" w:cs="Times New Roman"/>
                <w:sz w:val="20"/>
                <w:szCs w:val="20"/>
              </w:rPr>
              <w:t>Systematic review; 54 articles</w:t>
            </w:r>
          </w:p>
        </w:tc>
        <w:tc>
          <w:tcPr>
            <w:tcW w:w="1078" w:type="dxa"/>
            <w:shd w:val="clear" w:color="auto" w:fill="FFFFFF" w:themeFill="background1"/>
            <w:vAlign w:val="center"/>
          </w:tcPr>
          <w:p w14:paraId="576D954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in HRM</w:t>
            </w:r>
          </w:p>
        </w:tc>
        <w:tc>
          <w:tcPr>
            <w:tcW w:w="1275" w:type="dxa"/>
            <w:shd w:val="clear" w:color="auto" w:fill="FFFFFF" w:themeFill="background1"/>
            <w:vAlign w:val="center"/>
          </w:tcPr>
          <w:p w14:paraId="220437AF">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2229" w:type="dxa"/>
            <w:shd w:val="clear" w:color="auto" w:fill="FFFFFF" w:themeFill="background1"/>
            <w:vAlign w:val="center"/>
          </w:tcPr>
          <w:p w14:paraId="16D8F03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New management methods; firm performance</w:t>
            </w:r>
          </w:p>
        </w:tc>
        <w:tc>
          <w:tcPr>
            <w:tcW w:w="1071" w:type="dxa"/>
            <w:shd w:val="clear" w:color="auto" w:fill="FFFFFF" w:themeFill="background1"/>
            <w:vAlign w:val="center"/>
          </w:tcPr>
          <w:p w14:paraId="1B845E4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Adoption challenges; ethical challenges</w:t>
            </w:r>
          </w:p>
        </w:tc>
        <w:tc>
          <w:tcPr>
            <w:tcW w:w="1583" w:type="dxa"/>
            <w:shd w:val="clear" w:color="auto" w:fill="FFFFFF" w:themeFill="background1"/>
            <w:vAlign w:val="center"/>
          </w:tcPr>
          <w:tbl>
            <w:tblPr>
              <w:tblStyle w:val="36"/>
              <w:tblW w:w="0" w:type="auto"/>
              <w:jc w:val="center"/>
              <w:tblCellSpacing w:w="15" w:type="dxa"/>
              <w:tblLayout w:type="fixed"/>
              <w:tblCellMar>
                <w:top w:w="15" w:type="dxa"/>
                <w:left w:w="15" w:type="dxa"/>
                <w:bottom w:w="15" w:type="dxa"/>
                <w:right w:w="15" w:type="dxa"/>
              </w:tblCellMar>
            </w:tblPr>
            <w:tblGrid>
              <w:gridCol w:w="95"/>
              <w:gridCol w:w="315"/>
            </w:tblGrid>
            <w:tr w14:paraId="1F62AF89">
              <w:tblPrEx>
                <w:tblCellMar>
                  <w:top w:w="15" w:type="dxa"/>
                  <w:left w:w="15" w:type="dxa"/>
                  <w:bottom w:w="15" w:type="dxa"/>
                  <w:right w:w="15" w:type="dxa"/>
                </w:tblCellMar>
              </w:tblPrEx>
              <w:trPr>
                <w:tblCellSpacing w:w="15" w:type="dxa"/>
                <w:jc w:val="center"/>
              </w:trPr>
              <w:tc>
                <w:tcPr>
                  <w:tcW w:w="36" w:type="dxa"/>
                  <w:vAlign w:val="center"/>
                </w:tcPr>
                <w:p w14:paraId="40226E2A">
                  <w:pPr>
                    <w:spacing w:after="0" w:line="240" w:lineRule="auto"/>
                    <w:rPr>
                      <w:rFonts w:ascii="Times New Roman" w:hAnsi="Times New Roman" w:eastAsia="Times New Roman" w:cs="Times New Roman"/>
                      <w:sz w:val="20"/>
                      <w:szCs w:val="20"/>
                    </w:rPr>
                  </w:pPr>
                </w:p>
              </w:tc>
              <w:tc>
                <w:tcPr>
                  <w:tcW w:w="270" w:type="dxa"/>
                  <w:vAlign w:val="center"/>
                </w:tcPr>
                <w:p w14:paraId="03E911F6">
                  <w:pPr>
                    <w:spacing w:after="0" w:line="240" w:lineRule="auto"/>
                    <w:jc w:val="center"/>
                    <w:rPr>
                      <w:rFonts w:hint="eastAsia" w:ascii="宋体" w:hAnsi="宋体" w:eastAsia="宋体" w:cs="宋体"/>
                      <w:sz w:val="24"/>
                    </w:rPr>
                  </w:pPr>
                  <w:r>
                    <w:rPr>
                      <w:rFonts w:ascii="宋体" w:hAnsi="宋体" w:eastAsia="宋体" w:cs="宋体"/>
                      <w:sz w:val="24"/>
                    </w:rPr>
                    <w:t>—</w:t>
                  </w:r>
                </w:p>
              </w:tc>
            </w:tr>
          </w:tbl>
          <w:p w14:paraId="27F4D1D8">
            <w:pPr>
              <w:spacing w:after="0" w:line="240" w:lineRule="auto"/>
              <w:jc w:val="both"/>
              <w:rPr>
                <w:rFonts w:ascii="Times New Roman" w:hAnsi="Times New Roman" w:eastAsia="宋体" w:cs="Times New Roman"/>
                <w:sz w:val="20"/>
                <w:szCs w:val="20"/>
              </w:rPr>
            </w:pPr>
          </w:p>
        </w:tc>
        <w:tc>
          <w:tcPr>
            <w:tcW w:w="1314" w:type="dxa"/>
            <w:shd w:val="clear" w:color="auto" w:fill="FFFFFF" w:themeFill="background1"/>
            <w:vAlign w:val="center"/>
          </w:tcPr>
          <w:p w14:paraId="76231259">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Systematic review framework</w:t>
            </w:r>
          </w:p>
        </w:tc>
        <w:tc>
          <w:tcPr>
            <w:tcW w:w="1057" w:type="dxa"/>
            <w:shd w:val="clear" w:color="auto" w:fill="FFFFFF" w:themeFill="background1"/>
            <w:vAlign w:val="center"/>
          </w:tcPr>
          <w:p w14:paraId="3A83DA1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Systematic literature review</w:t>
            </w:r>
          </w:p>
        </w:tc>
        <w:tc>
          <w:tcPr>
            <w:tcW w:w="1814" w:type="dxa"/>
            <w:shd w:val="clear" w:color="auto" w:fill="FFFFFF" w:themeFill="background1"/>
            <w:vAlign w:val="center"/>
          </w:tcPr>
          <w:p w14:paraId="6F5284A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in HRM has dual outcomes.</w:t>
            </w:r>
          </w:p>
        </w:tc>
        <w:tc>
          <w:tcPr>
            <w:tcW w:w="707" w:type="dxa"/>
            <w:shd w:val="clear" w:color="auto" w:fill="FFFFFF" w:themeFill="background1"/>
            <w:vAlign w:val="center"/>
          </w:tcPr>
          <w:p w14:paraId="4BB74AB7">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RO1</w:t>
            </w:r>
          </w:p>
        </w:tc>
      </w:tr>
      <w:tr w14:paraId="3AC0E2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6C39B403">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19</w:t>
            </w:r>
          </w:p>
        </w:tc>
        <w:tc>
          <w:tcPr>
            <w:tcW w:w="865" w:type="dxa"/>
            <w:shd w:val="clear" w:color="auto" w:fill="FFFFFF" w:themeFill="background1"/>
            <w:vAlign w:val="center"/>
          </w:tcPr>
          <w:p w14:paraId="7CBBCD4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b/>
            </w:r>
            <w:r>
              <w:rPr>
                <w:rFonts w:ascii="Times New Roman" w:hAnsi="Times New Roman" w:eastAsia="宋体" w:cs="Times New Roman"/>
                <w:sz w:val="20"/>
                <w:szCs w:val="20"/>
              </w:rPr>
              <w:t>Kim &amp; Lee (2024)</w:t>
            </w:r>
          </w:p>
        </w:tc>
        <w:tc>
          <w:tcPr>
            <w:tcW w:w="907" w:type="dxa"/>
            <w:shd w:val="clear" w:color="auto" w:fill="FFFFFF" w:themeFill="background1"/>
            <w:vAlign w:val="center"/>
          </w:tcPr>
          <w:p w14:paraId="4BBDFB5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South Korea; 416 professionals</w:t>
            </w:r>
          </w:p>
        </w:tc>
        <w:tc>
          <w:tcPr>
            <w:tcW w:w="1078" w:type="dxa"/>
            <w:shd w:val="clear" w:color="auto" w:fill="FFFFFF" w:themeFill="background1"/>
            <w:vAlign w:val="center"/>
          </w:tcPr>
          <w:p w14:paraId="525F685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Organisational AI adoption</w:t>
            </w:r>
          </w:p>
        </w:tc>
        <w:tc>
          <w:tcPr>
            <w:tcW w:w="1275" w:type="dxa"/>
            <w:shd w:val="clear" w:color="auto" w:fill="FFFFFF" w:themeFill="background1"/>
            <w:vAlign w:val="center"/>
          </w:tcPr>
          <w:p w14:paraId="313356A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stress; burnout</w:t>
            </w:r>
          </w:p>
        </w:tc>
        <w:tc>
          <w:tcPr>
            <w:tcW w:w="2229" w:type="dxa"/>
            <w:shd w:val="clear" w:color="auto" w:fill="FFFFFF" w:themeFill="background1"/>
            <w:vAlign w:val="center"/>
          </w:tcPr>
          <w:p w14:paraId="19903E9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Self-efficacy in AI learning</w:t>
            </w:r>
          </w:p>
        </w:tc>
        <w:tc>
          <w:tcPr>
            <w:tcW w:w="1071" w:type="dxa"/>
            <w:shd w:val="clear" w:color="auto" w:fill="FFFFFF" w:themeFill="background1"/>
            <w:vAlign w:val="center"/>
          </w:tcPr>
          <w:p w14:paraId="4DBD7B8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stress; burnout negative pathway</w:t>
            </w:r>
          </w:p>
        </w:tc>
        <w:tc>
          <w:tcPr>
            <w:tcW w:w="1583" w:type="dxa"/>
            <w:shd w:val="clear" w:color="auto" w:fill="FFFFFF" w:themeFill="background1"/>
            <w:vAlign w:val="center"/>
          </w:tcPr>
          <w:tbl>
            <w:tblPr>
              <w:tblStyle w:val="36"/>
              <w:tblW w:w="0" w:type="auto"/>
              <w:jc w:val="center"/>
              <w:tblCellSpacing w:w="15" w:type="dxa"/>
              <w:tblLayout w:type="fixed"/>
              <w:tblCellMar>
                <w:top w:w="15" w:type="dxa"/>
                <w:left w:w="15" w:type="dxa"/>
                <w:bottom w:w="15" w:type="dxa"/>
                <w:right w:w="15" w:type="dxa"/>
              </w:tblCellMar>
            </w:tblPr>
            <w:tblGrid>
              <w:gridCol w:w="95"/>
              <w:gridCol w:w="315"/>
            </w:tblGrid>
            <w:tr w14:paraId="516B96C3">
              <w:tblPrEx>
                <w:tblCellMar>
                  <w:top w:w="15" w:type="dxa"/>
                  <w:left w:w="15" w:type="dxa"/>
                  <w:bottom w:w="15" w:type="dxa"/>
                  <w:right w:w="15" w:type="dxa"/>
                </w:tblCellMar>
              </w:tblPrEx>
              <w:trPr>
                <w:tblCellSpacing w:w="15" w:type="dxa"/>
                <w:jc w:val="center"/>
              </w:trPr>
              <w:tc>
                <w:tcPr>
                  <w:tcW w:w="36" w:type="dxa"/>
                  <w:vAlign w:val="center"/>
                </w:tcPr>
                <w:p w14:paraId="79398425">
                  <w:pPr>
                    <w:spacing w:after="0" w:line="240" w:lineRule="auto"/>
                    <w:rPr>
                      <w:rFonts w:ascii="Times New Roman" w:hAnsi="Times New Roman" w:eastAsia="Times New Roman" w:cs="Times New Roman"/>
                      <w:sz w:val="20"/>
                      <w:szCs w:val="20"/>
                    </w:rPr>
                  </w:pPr>
                </w:p>
              </w:tc>
              <w:tc>
                <w:tcPr>
                  <w:tcW w:w="270" w:type="dxa"/>
                  <w:vAlign w:val="center"/>
                </w:tcPr>
                <w:p w14:paraId="2E8F7AED">
                  <w:pPr>
                    <w:spacing w:after="0" w:line="240" w:lineRule="auto"/>
                    <w:rPr>
                      <w:rFonts w:hint="eastAsia" w:ascii="宋体" w:hAnsi="宋体" w:eastAsia="宋体" w:cs="宋体"/>
                      <w:sz w:val="24"/>
                    </w:rPr>
                  </w:pPr>
                  <w:r>
                    <w:rPr>
                      <w:rFonts w:ascii="宋体" w:hAnsi="宋体" w:eastAsia="宋体" w:cs="宋体"/>
                      <w:sz w:val="24"/>
                    </w:rPr>
                    <w:t>—</w:t>
                  </w:r>
                </w:p>
              </w:tc>
            </w:tr>
          </w:tbl>
          <w:p w14:paraId="27838751">
            <w:pPr>
              <w:spacing w:after="0" w:line="240" w:lineRule="auto"/>
              <w:jc w:val="center"/>
              <w:rPr>
                <w:rFonts w:ascii="Times New Roman" w:hAnsi="Times New Roman" w:eastAsia="宋体" w:cs="Times New Roman"/>
                <w:sz w:val="20"/>
                <w:szCs w:val="20"/>
              </w:rPr>
            </w:pPr>
          </w:p>
        </w:tc>
        <w:tc>
          <w:tcPr>
            <w:tcW w:w="1314" w:type="dxa"/>
            <w:shd w:val="clear" w:color="auto" w:fill="FFFFFF" w:themeFill="background1"/>
            <w:vAlign w:val="center"/>
          </w:tcPr>
          <w:p w14:paraId="7BEAE50C">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JD-R + Social Cognitive Theory</w:t>
            </w:r>
          </w:p>
        </w:tc>
        <w:tc>
          <w:tcPr>
            <w:tcW w:w="1057" w:type="dxa"/>
            <w:shd w:val="clear" w:color="auto" w:fill="FFFFFF" w:themeFill="background1"/>
            <w:vAlign w:val="center"/>
          </w:tcPr>
          <w:p w14:paraId="7D61E72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Three-wave survey; SEM</w:t>
            </w:r>
          </w:p>
        </w:tc>
        <w:tc>
          <w:tcPr>
            <w:tcW w:w="1814" w:type="dxa"/>
            <w:shd w:val="clear" w:color="auto" w:fill="FFFFFF" w:themeFill="background1"/>
            <w:vAlign w:val="center"/>
          </w:tcPr>
          <w:p w14:paraId="2FEDD5A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adoption raised burnout through job stress.</w:t>
            </w:r>
          </w:p>
        </w:tc>
        <w:tc>
          <w:tcPr>
            <w:tcW w:w="707" w:type="dxa"/>
            <w:shd w:val="clear" w:color="auto" w:fill="FFFFFF" w:themeFill="background1"/>
            <w:vAlign w:val="center"/>
          </w:tcPr>
          <w:p w14:paraId="522A45B4">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RO2</w:t>
            </w:r>
          </w:p>
        </w:tc>
      </w:tr>
      <w:tr w14:paraId="6F2AB8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14C41FD3">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20</w:t>
            </w:r>
          </w:p>
        </w:tc>
        <w:tc>
          <w:tcPr>
            <w:tcW w:w="865" w:type="dxa"/>
            <w:shd w:val="clear" w:color="auto" w:fill="FFFFFF" w:themeFill="background1"/>
            <w:vAlign w:val="center"/>
          </w:tcPr>
          <w:p w14:paraId="43059E7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Wang et al. (2025)</w:t>
            </w:r>
          </w:p>
        </w:tc>
        <w:tc>
          <w:tcPr>
            <w:tcW w:w="907" w:type="dxa"/>
            <w:shd w:val="clear" w:color="auto" w:fill="FFFFFF" w:themeFill="background1"/>
            <w:vAlign w:val="center"/>
          </w:tcPr>
          <w:p w14:paraId="499E347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China; 525 employees</w:t>
            </w:r>
          </w:p>
        </w:tc>
        <w:tc>
          <w:tcPr>
            <w:tcW w:w="1078" w:type="dxa"/>
            <w:shd w:val="clear" w:color="auto" w:fill="FFFFFF" w:themeFill="background1"/>
            <w:vAlign w:val="center"/>
          </w:tcPr>
          <w:p w14:paraId="5550B51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Employee AI usage (AI-U)</w:t>
            </w:r>
          </w:p>
        </w:tc>
        <w:tc>
          <w:tcPr>
            <w:tcW w:w="1275" w:type="dxa"/>
            <w:shd w:val="clear" w:color="auto" w:fill="FFFFFF" w:themeFill="background1"/>
            <w:vAlign w:val="center"/>
          </w:tcPr>
          <w:p w14:paraId="1441169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usage behavior</w:t>
            </w:r>
          </w:p>
        </w:tc>
        <w:tc>
          <w:tcPr>
            <w:tcW w:w="2229" w:type="dxa"/>
            <w:shd w:val="clear" w:color="auto" w:fill="FFFFFF" w:themeFill="background1"/>
            <w:vAlign w:val="center"/>
          </w:tcPr>
          <w:p w14:paraId="200C7EC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Transformational leadership; perceived organizational support</w:t>
            </w:r>
          </w:p>
        </w:tc>
        <w:tc>
          <w:tcPr>
            <w:tcW w:w="1071" w:type="dxa"/>
            <w:shd w:val="clear" w:color="auto" w:fill="FFFFFF" w:themeFill="background1"/>
            <w:vAlign w:val="center"/>
          </w:tcPr>
          <w:p w14:paraId="1A67EBDD">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583" w:type="dxa"/>
            <w:shd w:val="clear" w:color="auto" w:fill="FFFFFF" w:themeFill="background1"/>
            <w:vAlign w:val="center"/>
          </w:tcPr>
          <w:p w14:paraId="1FD03BC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Perceived organizational support (mediator)</w:t>
            </w:r>
          </w:p>
        </w:tc>
        <w:tc>
          <w:tcPr>
            <w:tcW w:w="1314" w:type="dxa"/>
            <w:shd w:val="clear" w:color="auto" w:fill="FFFFFF" w:themeFill="background1"/>
            <w:vAlign w:val="center"/>
          </w:tcPr>
          <w:p w14:paraId="12920781">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Social Cognitive Theory</w:t>
            </w:r>
          </w:p>
        </w:tc>
        <w:tc>
          <w:tcPr>
            <w:tcW w:w="1057" w:type="dxa"/>
            <w:shd w:val="clear" w:color="auto" w:fill="FFFFFF" w:themeFill="background1"/>
            <w:vAlign w:val="center"/>
          </w:tcPr>
          <w:p w14:paraId="07369AE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Online survey; hierarchical regression; bootstrap</w:t>
            </w:r>
          </w:p>
        </w:tc>
        <w:tc>
          <w:tcPr>
            <w:tcW w:w="1814" w:type="dxa"/>
            <w:shd w:val="clear" w:color="auto" w:fill="FFFFFF" w:themeFill="background1"/>
            <w:vAlign w:val="center"/>
          </w:tcPr>
          <w:p w14:paraId="54E1953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Transformational leadership raised AI usage, mediated by support.</w:t>
            </w:r>
          </w:p>
        </w:tc>
        <w:tc>
          <w:tcPr>
            <w:tcW w:w="707" w:type="dxa"/>
            <w:shd w:val="clear" w:color="auto" w:fill="FFFFFF" w:themeFill="background1"/>
            <w:vAlign w:val="center"/>
          </w:tcPr>
          <w:p w14:paraId="6D263E23">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RO1</w:t>
            </w:r>
          </w:p>
        </w:tc>
      </w:tr>
      <w:tr w14:paraId="788DE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54FF9211">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21</w:t>
            </w:r>
          </w:p>
        </w:tc>
        <w:tc>
          <w:tcPr>
            <w:tcW w:w="865" w:type="dxa"/>
            <w:shd w:val="clear" w:color="auto" w:fill="FFFFFF" w:themeFill="background1"/>
            <w:vAlign w:val="center"/>
          </w:tcPr>
          <w:p w14:paraId="6B93860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Xu et al. (2024)</w:t>
            </w:r>
          </w:p>
        </w:tc>
        <w:tc>
          <w:tcPr>
            <w:tcW w:w="907" w:type="dxa"/>
            <w:shd w:val="clear" w:color="auto" w:fill="FFFFFF" w:themeFill="background1"/>
            <w:vAlign w:val="center"/>
          </w:tcPr>
          <w:p w14:paraId="158A351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China; 426 employees</w:t>
            </w:r>
          </w:p>
        </w:tc>
        <w:tc>
          <w:tcPr>
            <w:tcW w:w="1078" w:type="dxa"/>
            <w:shd w:val="clear" w:color="auto" w:fill="FFFFFF" w:themeFill="background1"/>
            <w:vAlign w:val="center"/>
          </w:tcPr>
          <w:p w14:paraId="72240FD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system in HRM</w:t>
            </w:r>
          </w:p>
        </w:tc>
        <w:tc>
          <w:tcPr>
            <w:tcW w:w="1275" w:type="dxa"/>
            <w:shd w:val="clear" w:color="auto" w:fill="FFFFFF" w:themeFill="background1"/>
            <w:vAlign w:val="center"/>
          </w:tcPr>
          <w:p w14:paraId="6C81A74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Initial trust; intention to adopt</w:t>
            </w:r>
          </w:p>
        </w:tc>
        <w:tc>
          <w:tcPr>
            <w:tcW w:w="2229" w:type="dxa"/>
            <w:shd w:val="clear" w:color="auto" w:fill="FFFFFF" w:themeFill="background1"/>
            <w:vAlign w:val="center"/>
          </w:tcPr>
          <w:p w14:paraId="44FBB49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Leader trust; AI explanation</w:t>
            </w:r>
          </w:p>
        </w:tc>
        <w:tc>
          <w:tcPr>
            <w:tcW w:w="1071" w:type="dxa"/>
            <w:shd w:val="clear" w:color="auto" w:fill="FFFFFF" w:themeFill="background1"/>
            <w:vAlign w:val="center"/>
          </w:tcPr>
          <w:p w14:paraId="074C2F0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Lack of explanation</w:t>
            </w:r>
          </w:p>
        </w:tc>
        <w:tc>
          <w:tcPr>
            <w:tcW w:w="1583" w:type="dxa"/>
            <w:shd w:val="clear" w:color="auto" w:fill="FFFFFF" w:themeFill="background1"/>
            <w:vAlign w:val="center"/>
          </w:tcPr>
          <w:p w14:paraId="10B499B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Trusted leadership; supportive training resources</w:t>
            </w:r>
          </w:p>
        </w:tc>
        <w:tc>
          <w:tcPr>
            <w:tcW w:w="1314" w:type="dxa"/>
            <w:shd w:val="clear" w:color="auto" w:fill="FFFFFF" w:themeFill="background1"/>
            <w:vAlign w:val="center"/>
          </w:tcPr>
          <w:p w14:paraId="7B793B6B">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Social Exchange Theory + Leader-Member Exchange Theory</w:t>
            </w:r>
          </w:p>
        </w:tc>
        <w:tc>
          <w:tcPr>
            <w:tcW w:w="1057" w:type="dxa"/>
            <w:shd w:val="clear" w:color="auto" w:fill="FFFFFF" w:themeFill="background1"/>
            <w:vAlign w:val="center"/>
          </w:tcPr>
          <w:p w14:paraId="74E97E7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Online experiment/survey; 2×2 design; n=426</w:t>
            </w:r>
          </w:p>
        </w:tc>
        <w:tc>
          <w:tcPr>
            <w:tcW w:w="1814" w:type="dxa"/>
            <w:shd w:val="clear" w:color="auto" w:fill="FFFFFF" w:themeFill="background1"/>
            <w:vAlign w:val="center"/>
          </w:tcPr>
          <w:p w14:paraId="3CA4979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Trustworthy leaders raised AI trust and adoption intention.</w:t>
            </w:r>
          </w:p>
        </w:tc>
        <w:tc>
          <w:tcPr>
            <w:tcW w:w="707" w:type="dxa"/>
            <w:shd w:val="clear" w:color="auto" w:fill="FFFFFF" w:themeFill="background1"/>
            <w:vAlign w:val="center"/>
          </w:tcPr>
          <w:p w14:paraId="11580394">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RO2</w:t>
            </w:r>
          </w:p>
        </w:tc>
      </w:tr>
      <w:tr w14:paraId="413296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77CCE776">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22</w:t>
            </w:r>
          </w:p>
        </w:tc>
        <w:tc>
          <w:tcPr>
            <w:tcW w:w="865" w:type="dxa"/>
            <w:shd w:val="clear" w:color="auto" w:fill="FFFFFF" w:themeFill="background1"/>
            <w:vAlign w:val="center"/>
          </w:tcPr>
          <w:p w14:paraId="0AD899E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Cho, Hur &amp; Kim (2025)</w:t>
            </w:r>
          </w:p>
        </w:tc>
        <w:tc>
          <w:tcPr>
            <w:tcW w:w="907" w:type="dxa"/>
            <w:shd w:val="clear" w:color="auto" w:fill="FFFFFF" w:themeFill="background1"/>
            <w:vAlign w:val="center"/>
          </w:tcPr>
          <w:p w14:paraId="3295B68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Korea; government</w:t>
            </w:r>
          </w:p>
        </w:tc>
        <w:tc>
          <w:tcPr>
            <w:tcW w:w="1078" w:type="dxa"/>
            <w:shd w:val="clear" w:color="auto" w:fill="FFFFFF" w:themeFill="background1"/>
            <w:vAlign w:val="center"/>
          </w:tcPr>
          <w:p w14:paraId="3488DB1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chatbot</w:t>
            </w:r>
          </w:p>
        </w:tc>
        <w:tc>
          <w:tcPr>
            <w:tcW w:w="1275" w:type="dxa"/>
            <w:shd w:val="clear" w:color="auto" w:fill="FFFFFF" w:themeFill="background1"/>
            <w:vAlign w:val="center"/>
          </w:tcPr>
          <w:p w14:paraId="014A177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Chatbot adoption/utilization</w:t>
            </w:r>
          </w:p>
        </w:tc>
        <w:tc>
          <w:tcPr>
            <w:tcW w:w="2229" w:type="dxa"/>
            <w:shd w:val="clear" w:color="auto" w:fill="FFFFFF" w:themeFill="background1"/>
            <w:vAlign w:val="center"/>
          </w:tcPr>
          <w:p w14:paraId="1271F6D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Trust; support</w:t>
            </w:r>
          </w:p>
        </w:tc>
        <w:tc>
          <w:tcPr>
            <w:tcW w:w="1071" w:type="dxa"/>
            <w:shd w:val="clear" w:color="auto" w:fill="FFFFFF" w:themeFill="background1"/>
            <w:vAlign w:val="center"/>
          </w:tcPr>
          <w:p w14:paraId="3918213A">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583" w:type="dxa"/>
            <w:shd w:val="clear" w:color="auto" w:fill="FFFFFF" w:themeFill="background1"/>
            <w:vAlign w:val="center"/>
          </w:tcPr>
          <w:p w14:paraId="6DBF821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Support as moderator</w:t>
            </w:r>
          </w:p>
        </w:tc>
        <w:tc>
          <w:tcPr>
            <w:tcW w:w="1314" w:type="dxa"/>
            <w:shd w:val="clear" w:color="auto" w:fill="FFFFFF" w:themeFill="background1"/>
            <w:vAlign w:val="center"/>
          </w:tcPr>
          <w:p w14:paraId="66EF014D">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Technology adoption framework</w:t>
            </w:r>
          </w:p>
        </w:tc>
        <w:tc>
          <w:tcPr>
            <w:tcW w:w="1057" w:type="dxa"/>
            <w:shd w:val="clear" w:color="auto" w:fill="FFFFFF" w:themeFill="background1"/>
            <w:vAlign w:val="center"/>
          </w:tcPr>
          <w:p w14:paraId="7A11C98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Mixed methods</w:t>
            </w:r>
          </w:p>
        </w:tc>
        <w:tc>
          <w:tcPr>
            <w:tcW w:w="1814" w:type="dxa"/>
            <w:shd w:val="clear" w:color="auto" w:fill="FFFFFF" w:themeFill="background1"/>
            <w:vAlign w:val="center"/>
          </w:tcPr>
          <w:p w14:paraId="176C2E3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Trust drives chatbot adoption, moderated by support.</w:t>
            </w:r>
          </w:p>
        </w:tc>
        <w:tc>
          <w:tcPr>
            <w:tcW w:w="707" w:type="dxa"/>
            <w:shd w:val="clear" w:color="auto" w:fill="FFFFFF" w:themeFill="background1"/>
            <w:vAlign w:val="center"/>
          </w:tcPr>
          <w:p w14:paraId="2C367BA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01BFF0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4CD4D318">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23</w:t>
            </w:r>
          </w:p>
        </w:tc>
        <w:tc>
          <w:tcPr>
            <w:tcW w:w="865" w:type="dxa"/>
            <w:shd w:val="clear" w:color="auto" w:fill="FFFFFF" w:themeFill="background1"/>
            <w:vAlign w:val="center"/>
          </w:tcPr>
          <w:p w14:paraId="1BB3271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Daly, Wiewiora &amp; Hearn (2025)</w:t>
            </w:r>
          </w:p>
        </w:tc>
        <w:tc>
          <w:tcPr>
            <w:tcW w:w="907" w:type="dxa"/>
            <w:shd w:val="clear" w:color="auto" w:fill="FFFFFF" w:themeFill="background1"/>
            <w:vAlign w:val="center"/>
          </w:tcPr>
          <w:p w14:paraId="42F09D3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Multiple countries; 29 interviews</w:t>
            </w:r>
          </w:p>
        </w:tc>
        <w:tc>
          <w:tcPr>
            <w:tcW w:w="1078" w:type="dxa"/>
            <w:shd w:val="clear" w:color="auto" w:fill="FFFFFF" w:themeFill="background1"/>
            <w:vAlign w:val="center"/>
          </w:tcPr>
          <w:p w14:paraId="23CC0F5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Organizational AI adoption</w:t>
            </w:r>
          </w:p>
        </w:tc>
        <w:tc>
          <w:tcPr>
            <w:tcW w:w="1275" w:type="dxa"/>
            <w:shd w:val="clear" w:color="auto" w:fill="FFFFFF" w:themeFill="background1"/>
            <w:vAlign w:val="center"/>
          </w:tcPr>
          <w:p w14:paraId="6676281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Attitudes; trust</w:t>
            </w:r>
          </w:p>
        </w:tc>
        <w:tc>
          <w:tcPr>
            <w:tcW w:w="2229" w:type="dxa"/>
            <w:shd w:val="clear" w:color="auto" w:fill="FFFFFF" w:themeFill="background1"/>
            <w:vAlign w:val="center"/>
          </w:tcPr>
          <w:p w14:paraId="5DECFB3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Experience; visible benefits; support</w:t>
            </w:r>
          </w:p>
        </w:tc>
        <w:tc>
          <w:tcPr>
            <w:tcW w:w="1071" w:type="dxa"/>
            <w:shd w:val="clear" w:color="auto" w:fill="FFFFFF" w:themeFill="background1"/>
            <w:vAlign w:val="center"/>
          </w:tcPr>
          <w:p w14:paraId="676EF07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displacement; privacy concerns</w:t>
            </w:r>
          </w:p>
        </w:tc>
        <w:tc>
          <w:tcPr>
            <w:tcW w:w="1583" w:type="dxa"/>
            <w:shd w:val="clear" w:color="auto" w:fill="FFFFFF" w:themeFill="background1"/>
            <w:vAlign w:val="center"/>
          </w:tcPr>
          <w:p w14:paraId="260B932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Management support; training</w:t>
            </w:r>
          </w:p>
        </w:tc>
        <w:tc>
          <w:tcPr>
            <w:tcW w:w="1314" w:type="dxa"/>
            <w:shd w:val="clear" w:color="auto" w:fill="FFFFFF" w:themeFill="background1"/>
            <w:vAlign w:val="center"/>
          </w:tcPr>
          <w:p w14:paraId="2519AA38">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Organizational trust theory; TAM; UTAUT</w:t>
            </w:r>
          </w:p>
        </w:tc>
        <w:tc>
          <w:tcPr>
            <w:tcW w:w="1057" w:type="dxa"/>
            <w:shd w:val="clear" w:color="auto" w:fill="FFFFFF" w:themeFill="background1"/>
            <w:vAlign w:val="center"/>
          </w:tcPr>
          <w:p w14:paraId="64A3F8C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Qualitative interview study (n=29)</w:t>
            </w:r>
          </w:p>
        </w:tc>
        <w:tc>
          <w:tcPr>
            <w:tcW w:w="1814" w:type="dxa"/>
            <w:shd w:val="clear" w:color="auto" w:fill="FFFFFF" w:themeFill="background1"/>
            <w:vAlign w:val="center"/>
          </w:tcPr>
          <w:p w14:paraId="018B498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Experience shifts AI trust from negative to positive.</w:t>
            </w:r>
          </w:p>
        </w:tc>
        <w:tc>
          <w:tcPr>
            <w:tcW w:w="707" w:type="dxa"/>
            <w:shd w:val="clear" w:color="auto" w:fill="FFFFFF" w:themeFill="background1"/>
            <w:vAlign w:val="center"/>
          </w:tcPr>
          <w:p w14:paraId="5791719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3CF282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3B782001">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24</w:t>
            </w:r>
          </w:p>
        </w:tc>
        <w:tc>
          <w:tcPr>
            <w:tcW w:w="865" w:type="dxa"/>
            <w:shd w:val="clear" w:color="auto" w:fill="FFFFFF" w:themeFill="background1"/>
            <w:vAlign w:val="center"/>
          </w:tcPr>
          <w:p w14:paraId="0A7090F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Shukla, Pandey &amp; Pereira (2026)</w:t>
            </w:r>
          </w:p>
        </w:tc>
        <w:tc>
          <w:tcPr>
            <w:tcW w:w="907" w:type="dxa"/>
            <w:shd w:val="clear" w:color="auto" w:fill="FFFFFF" w:themeFill="background1"/>
            <w:vAlign w:val="center"/>
          </w:tcPr>
          <w:p w14:paraId="1B774DD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b/>
            </w:r>
            <w:r>
              <w:rPr>
                <w:rFonts w:ascii="Times New Roman" w:hAnsi="Times New Roman" w:eastAsia="宋体" w:cs="Times New Roman"/>
                <w:sz w:val="20"/>
                <w:szCs w:val="20"/>
              </w:rPr>
              <w:t>Systematic review; AI-enabled HRM</w:t>
            </w:r>
          </w:p>
        </w:tc>
        <w:tc>
          <w:tcPr>
            <w:tcW w:w="1078" w:type="dxa"/>
            <w:shd w:val="clear" w:color="auto" w:fill="FFFFFF" w:themeFill="background1"/>
            <w:vAlign w:val="center"/>
          </w:tcPr>
          <w:p w14:paraId="4AF13A3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AI-enabled HRM systems</w:t>
            </w:r>
          </w:p>
        </w:tc>
        <w:tc>
          <w:tcPr>
            <w:tcW w:w="1275" w:type="dxa"/>
            <w:shd w:val="clear" w:color="auto" w:fill="FFFFFF" w:themeFill="background1"/>
            <w:vAlign w:val="center"/>
          </w:tcPr>
          <w:p w14:paraId="23525FE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AI-enabled HRM systems</w:t>
            </w:r>
          </w:p>
        </w:tc>
        <w:tc>
          <w:tcPr>
            <w:tcW w:w="2229" w:type="dxa"/>
            <w:shd w:val="clear" w:color="auto" w:fill="FFFFFF" w:themeFill="background1"/>
            <w:vAlign w:val="center"/>
          </w:tcPr>
          <w:p w14:paraId="2A356B7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Organisational justice</w:t>
            </w:r>
          </w:p>
        </w:tc>
        <w:tc>
          <w:tcPr>
            <w:tcW w:w="1071" w:type="dxa"/>
            <w:shd w:val="clear" w:color="auto" w:fill="FFFFFF" w:themeFill="background1"/>
            <w:vAlign w:val="center"/>
          </w:tcPr>
          <w:p w14:paraId="5E69AD6B">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583" w:type="dxa"/>
            <w:shd w:val="clear" w:color="auto" w:fill="FFFFFF" w:themeFill="background1"/>
            <w:vAlign w:val="center"/>
          </w:tcPr>
          <w:p w14:paraId="172ECA4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Moderators of justice-trust relationship</w:t>
            </w:r>
          </w:p>
        </w:tc>
        <w:tc>
          <w:tcPr>
            <w:tcW w:w="1314" w:type="dxa"/>
            <w:shd w:val="clear" w:color="auto" w:fill="FFFFFF" w:themeFill="background1"/>
            <w:vAlign w:val="center"/>
          </w:tcPr>
          <w:p w14:paraId="7911ADB2">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Organizational Justice Framework</w:t>
            </w:r>
          </w:p>
        </w:tc>
        <w:tc>
          <w:tcPr>
            <w:tcW w:w="1057" w:type="dxa"/>
            <w:shd w:val="clear" w:color="auto" w:fill="FFFFFF" w:themeFill="background1"/>
            <w:vAlign w:val="center"/>
          </w:tcPr>
          <w:p w14:paraId="36418B9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Systematic literature review</w:t>
            </w:r>
          </w:p>
        </w:tc>
        <w:tc>
          <w:tcPr>
            <w:tcW w:w="1814" w:type="dxa"/>
            <w:shd w:val="clear" w:color="auto" w:fill="FFFFFF" w:themeFill="background1"/>
            <w:vAlign w:val="center"/>
          </w:tcPr>
          <w:p w14:paraId="0B93DD92">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Organisational justice raised trust in AI-HRM.</w:t>
            </w:r>
          </w:p>
        </w:tc>
        <w:tc>
          <w:tcPr>
            <w:tcW w:w="707" w:type="dxa"/>
            <w:shd w:val="clear" w:color="auto" w:fill="FFFFFF" w:themeFill="background1"/>
            <w:vAlign w:val="center"/>
          </w:tcPr>
          <w:p w14:paraId="42A7DDBD">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RO2</w:t>
            </w:r>
          </w:p>
        </w:tc>
      </w:tr>
      <w:tr w14:paraId="51A5B2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3E7B2B30">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25</w:t>
            </w:r>
          </w:p>
        </w:tc>
        <w:tc>
          <w:tcPr>
            <w:tcW w:w="865" w:type="dxa"/>
            <w:shd w:val="clear" w:color="auto" w:fill="FFFFFF" w:themeFill="background1"/>
            <w:vAlign w:val="center"/>
          </w:tcPr>
          <w:p w14:paraId="16349FC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Hoque (2025)</w:t>
            </w:r>
          </w:p>
        </w:tc>
        <w:tc>
          <w:tcPr>
            <w:tcW w:w="907" w:type="dxa"/>
            <w:shd w:val="clear" w:color="auto" w:fill="FFFFFF" w:themeFill="background1"/>
            <w:vAlign w:val="center"/>
          </w:tcPr>
          <w:p w14:paraId="7BE2C99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Bangladesh; 231 corporate employees</w:t>
            </w:r>
          </w:p>
        </w:tc>
        <w:tc>
          <w:tcPr>
            <w:tcW w:w="1078" w:type="dxa"/>
            <w:shd w:val="clear" w:color="auto" w:fill="FFFFFF" w:themeFill="background1"/>
            <w:vAlign w:val="center"/>
          </w:tcPr>
          <w:p w14:paraId="465BC0E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AI-Driven HRM</w:t>
            </w:r>
          </w:p>
        </w:tc>
        <w:tc>
          <w:tcPr>
            <w:tcW w:w="1275" w:type="dxa"/>
            <w:shd w:val="clear" w:color="auto" w:fill="FFFFFF" w:themeFill="background1"/>
            <w:vAlign w:val="center"/>
          </w:tcPr>
          <w:p w14:paraId="49052AA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Employee performance</w:t>
            </w:r>
          </w:p>
        </w:tc>
        <w:tc>
          <w:tcPr>
            <w:tcW w:w="2229" w:type="dxa"/>
            <w:shd w:val="clear" w:color="auto" w:fill="FFFFFF" w:themeFill="background1"/>
            <w:vAlign w:val="center"/>
          </w:tcPr>
          <w:p w14:paraId="6642FBD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AI-Driven HRM; AI trust</w:t>
            </w:r>
          </w:p>
        </w:tc>
        <w:tc>
          <w:tcPr>
            <w:tcW w:w="1071" w:type="dxa"/>
            <w:shd w:val="clear" w:color="auto" w:fill="FFFFFF" w:themeFill="background1"/>
            <w:vAlign w:val="center"/>
          </w:tcPr>
          <w:p w14:paraId="32C58FBA">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583" w:type="dxa"/>
            <w:shd w:val="clear" w:color="auto" w:fill="FFFFFF" w:themeFill="background1"/>
            <w:vAlign w:val="center"/>
          </w:tcPr>
          <w:p w14:paraId="602793C2">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695C545D">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TAM; SET; Mediation model</w:t>
            </w:r>
          </w:p>
        </w:tc>
        <w:tc>
          <w:tcPr>
            <w:tcW w:w="1057" w:type="dxa"/>
            <w:shd w:val="clear" w:color="auto" w:fill="FFFFFF" w:themeFill="background1"/>
            <w:vAlign w:val="center"/>
          </w:tcPr>
          <w:p w14:paraId="161D5A4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Quantitative survey; SEM; Bootstrap mediation analysis</w:t>
            </w:r>
          </w:p>
        </w:tc>
        <w:tc>
          <w:tcPr>
            <w:tcW w:w="1814" w:type="dxa"/>
            <w:shd w:val="clear" w:color="auto" w:fill="FFFFFF" w:themeFill="background1"/>
            <w:vAlign w:val="center"/>
          </w:tcPr>
          <w:p w14:paraId="7F1D8EF0">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AI-driven HRM raised performance, mediated by trust.</w:t>
            </w:r>
          </w:p>
        </w:tc>
        <w:tc>
          <w:tcPr>
            <w:tcW w:w="707" w:type="dxa"/>
            <w:shd w:val="clear" w:color="auto" w:fill="FFFFFF" w:themeFill="background1"/>
            <w:vAlign w:val="center"/>
          </w:tcPr>
          <w:p w14:paraId="2C018706">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RO2</w:t>
            </w:r>
          </w:p>
        </w:tc>
      </w:tr>
      <w:tr w14:paraId="6895CAA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5CAFFB6C">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26</w:t>
            </w:r>
          </w:p>
        </w:tc>
        <w:tc>
          <w:tcPr>
            <w:tcW w:w="865" w:type="dxa"/>
            <w:shd w:val="clear" w:color="auto" w:fill="FFFFFF" w:themeFill="background1"/>
            <w:vAlign w:val="center"/>
          </w:tcPr>
          <w:p w14:paraId="664D511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b/>
            </w:r>
            <w:r>
              <w:rPr>
                <w:rFonts w:ascii="Times New Roman" w:hAnsi="Times New Roman" w:eastAsia="宋体" w:cs="Times New Roman"/>
                <w:sz w:val="20"/>
                <w:szCs w:val="20"/>
              </w:rPr>
              <w:t>Kong et al. (2024)</w:t>
            </w:r>
          </w:p>
        </w:tc>
        <w:tc>
          <w:tcPr>
            <w:tcW w:w="907" w:type="dxa"/>
            <w:shd w:val="clear" w:color="auto" w:fill="FFFFFF" w:themeFill="background1"/>
            <w:vAlign w:val="center"/>
          </w:tcPr>
          <w:p w14:paraId="3F2D176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China; hospitality industry; 407 employees</w:t>
            </w:r>
          </w:p>
        </w:tc>
        <w:tc>
          <w:tcPr>
            <w:tcW w:w="1078" w:type="dxa"/>
            <w:shd w:val="clear" w:color="auto" w:fill="FFFFFF" w:themeFill="background1"/>
            <w:vAlign w:val="center"/>
          </w:tcPr>
          <w:p w14:paraId="3FE6C24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Perceived AI-supported autonomy</w:t>
            </w:r>
          </w:p>
        </w:tc>
        <w:tc>
          <w:tcPr>
            <w:tcW w:w="1275" w:type="dxa"/>
            <w:shd w:val="clear" w:color="auto" w:fill="FFFFFF" w:themeFill="background1"/>
            <w:vAlign w:val="center"/>
          </w:tcPr>
          <w:p w14:paraId="12B7CFB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Innovative performance</w:t>
            </w:r>
          </w:p>
        </w:tc>
        <w:tc>
          <w:tcPr>
            <w:tcW w:w="2229" w:type="dxa"/>
            <w:shd w:val="clear" w:color="auto" w:fill="FFFFFF" w:themeFill="background1"/>
            <w:vAlign w:val="center"/>
          </w:tcPr>
          <w:p w14:paraId="30A7B87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trust; proactive personality; work exploration (mediator)</w:t>
            </w:r>
          </w:p>
        </w:tc>
        <w:tc>
          <w:tcPr>
            <w:tcW w:w="1071" w:type="dxa"/>
            <w:shd w:val="clear" w:color="auto" w:fill="FFFFFF" w:themeFill="background1"/>
            <w:vAlign w:val="center"/>
          </w:tcPr>
          <w:p w14:paraId="2D5C1D59">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583" w:type="dxa"/>
            <w:shd w:val="clear" w:color="auto" w:fill="FFFFFF" w:themeFill="background1"/>
            <w:vAlign w:val="center"/>
          </w:tcPr>
          <w:p w14:paraId="41DEA5B1">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15874049">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Self-Determination Theory</w:t>
            </w:r>
          </w:p>
        </w:tc>
        <w:tc>
          <w:tcPr>
            <w:tcW w:w="1057" w:type="dxa"/>
            <w:shd w:val="clear" w:color="auto" w:fill="FFFFFF" w:themeFill="background1"/>
            <w:vAlign w:val="center"/>
          </w:tcPr>
          <w:p w14:paraId="00B9E0D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Two-wave survey; moderated mediation model</w:t>
            </w:r>
          </w:p>
        </w:tc>
        <w:tc>
          <w:tcPr>
            <w:tcW w:w="1814" w:type="dxa"/>
            <w:shd w:val="clear" w:color="auto" w:fill="FFFFFF" w:themeFill="background1"/>
            <w:vAlign w:val="center"/>
          </w:tcPr>
          <w:p w14:paraId="75F3C4BD">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AI-supported autonomy raised innovation via exploration.</w:t>
            </w:r>
          </w:p>
        </w:tc>
        <w:tc>
          <w:tcPr>
            <w:tcW w:w="707" w:type="dxa"/>
            <w:shd w:val="clear" w:color="auto" w:fill="FFFFFF" w:themeFill="background1"/>
            <w:vAlign w:val="center"/>
          </w:tcPr>
          <w:p w14:paraId="23CF73AF">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RO2</w:t>
            </w:r>
          </w:p>
        </w:tc>
      </w:tr>
      <w:tr w14:paraId="68D7083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558D4156">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27</w:t>
            </w:r>
          </w:p>
        </w:tc>
        <w:tc>
          <w:tcPr>
            <w:tcW w:w="865" w:type="dxa"/>
            <w:shd w:val="clear" w:color="auto" w:fill="FFFFFF" w:themeFill="background1"/>
            <w:vAlign w:val="center"/>
          </w:tcPr>
          <w:p w14:paraId="27106F1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Li, Bonn &amp; Ye (2019)</w:t>
            </w:r>
          </w:p>
        </w:tc>
        <w:tc>
          <w:tcPr>
            <w:tcW w:w="907" w:type="dxa"/>
            <w:shd w:val="clear" w:color="auto" w:fill="FFFFFF" w:themeFill="background1"/>
            <w:vAlign w:val="center"/>
          </w:tcPr>
          <w:p w14:paraId="3C81851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China; hotel employees</w:t>
            </w:r>
          </w:p>
        </w:tc>
        <w:tc>
          <w:tcPr>
            <w:tcW w:w="1078" w:type="dxa"/>
            <w:shd w:val="clear" w:color="auto" w:fill="FFFFFF" w:themeFill="background1"/>
            <w:vAlign w:val="center"/>
          </w:tcPr>
          <w:p w14:paraId="4FDB99B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and robotics awareness</w:t>
            </w:r>
          </w:p>
        </w:tc>
        <w:tc>
          <w:tcPr>
            <w:tcW w:w="1275" w:type="dxa"/>
            <w:shd w:val="clear" w:color="auto" w:fill="FFFFFF" w:themeFill="background1"/>
            <w:vAlign w:val="center"/>
          </w:tcPr>
          <w:p w14:paraId="36A61EC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Turnover intention</w:t>
            </w:r>
          </w:p>
        </w:tc>
        <w:tc>
          <w:tcPr>
            <w:tcW w:w="2229" w:type="dxa"/>
            <w:shd w:val="clear" w:color="auto" w:fill="FFFFFF" w:themeFill="background1"/>
            <w:vAlign w:val="center"/>
          </w:tcPr>
          <w:p w14:paraId="1DF7DC2A">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071" w:type="dxa"/>
            <w:shd w:val="clear" w:color="auto" w:fill="FFFFFF" w:themeFill="background1"/>
            <w:vAlign w:val="center"/>
          </w:tcPr>
          <w:p w14:paraId="48C5F44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awareness (positive impact on turnover intention)</w:t>
            </w:r>
          </w:p>
        </w:tc>
        <w:tc>
          <w:tcPr>
            <w:tcW w:w="1583" w:type="dxa"/>
            <w:shd w:val="clear" w:color="auto" w:fill="FFFFFF" w:themeFill="background1"/>
            <w:vAlign w:val="center"/>
          </w:tcPr>
          <w:p w14:paraId="6D380F8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Perceived organizational support (moderator); competitive psychological climate (moderator)</w:t>
            </w:r>
          </w:p>
        </w:tc>
        <w:tc>
          <w:tcPr>
            <w:tcW w:w="1314" w:type="dxa"/>
            <w:shd w:val="clear" w:color="auto" w:fill="FFFFFF" w:themeFill="background1"/>
            <w:vAlign w:val="center"/>
          </w:tcPr>
          <w:p w14:paraId="1AB92E9A">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Conservation of Resources (COR) Theory</w:t>
            </w:r>
          </w:p>
        </w:tc>
        <w:tc>
          <w:tcPr>
            <w:tcW w:w="1057" w:type="dxa"/>
            <w:shd w:val="clear" w:color="auto" w:fill="FFFFFF" w:themeFill="background1"/>
            <w:vAlign w:val="center"/>
          </w:tcPr>
          <w:p w14:paraId="4D3D7B0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Survey; 468 hotel employees; hierarchical regression</w:t>
            </w:r>
          </w:p>
        </w:tc>
        <w:tc>
          <w:tcPr>
            <w:tcW w:w="1814" w:type="dxa"/>
            <w:shd w:val="clear" w:color="auto" w:fill="FFFFFF" w:themeFill="background1"/>
            <w:vAlign w:val="center"/>
          </w:tcPr>
          <w:p w14:paraId="4AA56E0B">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AI awareness raised turnover intention, weakened by support.</w:t>
            </w:r>
          </w:p>
        </w:tc>
        <w:tc>
          <w:tcPr>
            <w:tcW w:w="707" w:type="dxa"/>
            <w:shd w:val="clear" w:color="auto" w:fill="FFFFFF" w:themeFill="background1"/>
            <w:vAlign w:val="center"/>
          </w:tcPr>
          <w:p w14:paraId="477B862B">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RO2</w:t>
            </w:r>
          </w:p>
        </w:tc>
      </w:tr>
      <w:tr w14:paraId="69165D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1C633C10">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28</w:t>
            </w:r>
          </w:p>
        </w:tc>
        <w:tc>
          <w:tcPr>
            <w:tcW w:w="865" w:type="dxa"/>
            <w:shd w:val="clear" w:color="auto" w:fill="FFFFFF" w:themeFill="background1"/>
            <w:vAlign w:val="center"/>
          </w:tcPr>
          <w:p w14:paraId="260404F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Huang, Saleh &amp; Liu (2021)</w:t>
            </w:r>
          </w:p>
        </w:tc>
        <w:tc>
          <w:tcPr>
            <w:tcW w:w="907" w:type="dxa"/>
            <w:shd w:val="clear" w:color="auto" w:fill="FFFFFF" w:themeFill="background1"/>
            <w:vAlign w:val="center"/>
          </w:tcPr>
          <w:p w14:paraId="034002D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Systematic review; AI in education</w:t>
            </w:r>
          </w:p>
        </w:tc>
        <w:tc>
          <w:tcPr>
            <w:tcW w:w="1078" w:type="dxa"/>
            <w:shd w:val="clear" w:color="auto" w:fill="FFFFFF" w:themeFill="background1"/>
            <w:vAlign w:val="center"/>
          </w:tcPr>
          <w:p w14:paraId="49BA2DB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in education</w:t>
            </w:r>
          </w:p>
        </w:tc>
        <w:tc>
          <w:tcPr>
            <w:tcW w:w="1275" w:type="dxa"/>
            <w:shd w:val="clear" w:color="auto" w:fill="FFFFFF" w:themeFill="background1"/>
            <w:vAlign w:val="center"/>
          </w:tcPr>
          <w:p w14:paraId="06790BD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Teaching quality; student learning</w:t>
            </w:r>
          </w:p>
        </w:tc>
        <w:tc>
          <w:tcPr>
            <w:tcW w:w="2229" w:type="dxa"/>
            <w:shd w:val="clear" w:color="auto" w:fill="FFFFFF" w:themeFill="background1"/>
            <w:vAlign w:val="center"/>
          </w:tcPr>
          <w:p w14:paraId="6CC73A3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Adaptive learning; virtual classroom</w:t>
            </w:r>
          </w:p>
        </w:tc>
        <w:tc>
          <w:tcPr>
            <w:tcW w:w="1071" w:type="dxa"/>
            <w:shd w:val="clear" w:color="auto" w:fill="FFFFFF" w:themeFill="background1"/>
            <w:vAlign w:val="center"/>
          </w:tcPr>
          <w:p w14:paraId="3210983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Future challenges</w:t>
            </w:r>
          </w:p>
        </w:tc>
        <w:tc>
          <w:tcPr>
            <w:tcW w:w="1583" w:type="dxa"/>
            <w:shd w:val="clear" w:color="auto" w:fill="FFFFFF" w:themeFill="background1"/>
            <w:vAlign w:val="center"/>
          </w:tcPr>
          <w:p w14:paraId="41AD0A3E">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266EBB33">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Review framework</w:t>
            </w:r>
          </w:p>
        </w:tc>
        <w:tc>
          <w:tcPr>
            <w:tcW w:w="1057" w:type="dxa"/>
            <w:shd w:val="clear" w:color="auto" w:fill="FFFFFF" w:themeFill="background1"/>
            <w:vAlign w:val="center"/>
          </w:tcPr>
          <w:p w14:paraId="011062B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Literature review</w:t>
            </w:r>
          </w:p>
        </w:tc>
        <w:tc>
          <w:tcPr>
            <w:tcW w:w="1814" w:type="dxa"/>
            <w:shd w:val="clear" w:color="auto" w:fill="FFFFFF" w:themeFill="background1"/>
            <w:vAlign w:val="center"/>
          </w:tcPr>
          <w:p w14:paraId="6CA8532F">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AI improved teaching quality and student learning.</w:t>
            </w:r>
          </w:p>
        </w:tc>
        <w:tc>
          <w:tcPr>
            <w:tcW w:w="707" w:type="dxa"/>
            <w:shd w:val="clear" w:color="auto" w:fill="FFFFFF" w:themeFill="background1"/>
            <w:vAlign w:val="center"/>
          </w:tcPr>
          <w:p w14:paraId="108C1535">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RO1</w:t>
            </w:r>
          </w:p>
        </w:tc>
      </w:tr>
      <w:tr w14:paraId="2C7A9F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1A048000">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29</w:t>
            </w:r>
          </w:p>
        </w:tc>
        <w:tc>
          <w:tcPr>
            <w:tcW w:w="865" w:type="dxa"/>
            <w:shd w:val="clear" w:color="auto" w:fill="FFFFFF" w:themeFill="background1"/>
            <w:vAlign w:val="center"/>
          </w:tcPr>
          <w:p w14:paraId="39AF3D5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Langer &amp; Landers (2021)</w:t>
            </w:r>
          </w:p>
        </w:tc>
        <w:tc>
          <w:tcPr>
            <w:tcW w:w="907" w:type="dxa"/>
            <w:shd w:val="clear" w:color="auto" w:fill="FFFFFF" w:themeFill="background1"/>
            <w:vAlign w:val="center"/>
          </w:tcPr>
          <w:p w14:paraId="12D20FE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Review; work contexts</w:t>
            </w:r>
          </w:p>
        </w:tc>
        <w:tc>
          <w:tcPr>
            <w:tcW w:w="1078" w:type="dxa"/>
            <w:shd w:val="clear" w:color="auto" w:fill="FFFFFF" w:themeFill="background1"/>
            <w:vAlign w:val="center"/>
          </w:tcPr>
          <w:p w14:paraId="1FB9A33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Decision automation; decision augmentation</w:t>
            </w:r>
          </w:p>
        </w:tc>
        <w:tc>
          <w:tcPr>
            <w:tcW w:w="1275" w:type="dxa"/>
            <w:shd w:val="clear" w:color="auto" w:fill="FFFFFF" w:themeFill="background1"/>
            <w:vAlign w:val="center"/>
          </w:tcPr>
          <w:p w14:paraId="2FB7E7C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Attitudes; perceptions; behavior</w:t>
            </w:r>
          </w:p>
        </w:tc>
        <w:tc>
          <w:tcPr>
            <w:tcW w:w="2229" w:type="dxa"/>
            <w:shd w:val="clear" w:color="auto" w:fill="FFFFFF" w:themeFill="background1"/>
            <w:vAlign w:val="center"/>
          </w:tcPr>
          <w:p w14:paraId="3D42780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Augmentation with human control</w:t>
            </w:r>
          </w:p>
        </w:tc>
        <w:tc>
          <w:tcPr>
            <w:tcW w:w="1071" w:type="dxa"/>
            <w:shd w:val="clear" w:color="auto" w:fill="FFFFFF" w:themeFill="background1"/>
            <w:vAlign w:val="center"/>
          </w:tcPr>
          <w:p w14:paraId="3A02B49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Automation without human control</w:t>
            </w:r>
          </w:p>
        </w:tc>
        <w:tc>
          <w:tcPr>
            <w:tcW w:w="1583" w:type="dxa"/>
            <w:shd w:val="clear" w:color="auto" w:fill="FFFFFF" w:themeFill="background1"/>
            <w:vAlign w:val="center"/>
          </w:tcPr>
          <w:p w14:paraId="14D7438D">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21473644">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Review framework</w:t>
            </w:r>
          </w:p>
        </w:tc>
        <w:tc>
          <w:tcPr>
            <w:tcW w:w="1057" w:type="dxa"/>
            <w:shd w:val="clear" w:color="auto" w:fill="FFFFFF" w:themeFill="background1"/>
            <w:vAlign w:val="center"/>
          </w:tcPr>
          <w:p w14:paraId="43F9917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Systematic literature review</w:t>
            </w:r>
          </w:p>
        </w:tc>
        <w:tc>
          <w:tcPr>
            <w:tcW w:w="1814" w:type="dxa"/>
            <w:shd w:val="clear" w:color="auto" w:fill="FFFFFF" w:themeFill="background1"/>
            <w:vAlign w:val="center"/>
          </w:tcPr>
          <w:p w14:paraId="584E5600">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Human decision control shapes reactions to AI.</w:t>
            </w:r>
          </w:p>
        </w:tc>
        <w:tc>
          <w:tcPr>
            <w:tcW w:w="707" w:type="dxa"/>
            <w:shd w:val="clear" w:color="auto" w:fill="FFFFFF" w:themeFill="background1"/>
            <w:vAlign w:val="center"/>
          </w:tcPr>
          <w:p w14:paraId="50461AB0">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RO2</w:t>
            </w:r>
          </w:p>
        </w:tc>
      </w:tr>
      <w:tr w14:paraId="5418D5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7753B786">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30</w:t>
            </w:r>
          </w:p>
        </w:tc>
        <w:tc>
          <w:tcPr>
            <w:tcW w:w="865" w:type="dxa"/>
            <w:shd w:val="clear" w:color="auto" w:fill="FFFFFF" w:themeFill="background1"/>
            <w:vAlign w:val="center"/>
          </w:tcPr>
          <w:p w14:paraId="61B4928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Fiestas Lopez Guido et al. (2025)</w:t>
            </w:r>
          </w:p>
        </w:tc>
        <w:tc>
          <w:tcPr>
            <w:tcW w:w="907" w:type="dxa"/>
            <w:shd w:val="clear" w:color="auto" w:fill="FFFFFF" w:themeFill="background1"/>
            <w:vAlign w:val="center"/>
          </w:tcPr>
          <w:p w14:paraId="67653E6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US participants; frontline retail encounters</w:t>
            </w:r>
          </w:p>
        </w:tc>
        <w:tc>
          <w:tcPr>
            <w:tcW w:w="1078" w:type="dxa"/>
            <w:shd w:val="clear" w:color="auto" w:fill="FFFFFF" w:themeFill="background1"/>
            <w:vAlign w:val="center"/>
          </w:tcPr>
          <w:p w14:paraId="3217993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Humanoid robots in HRC</w:t>
            </w:r>
          </w:p>
        </w:tc>
        <w:tc>
          <w:tcPr>
            <w:tcW w:w="1275" w:type="dxa"/>
            <w:shd w:val="clear" w:color="auto" w:fill="FFFFFF" w:themeFill="background1"/>
            <w:vAlign w:val="center"/>
          </w:tcPr>
          <w:p w14:paraId="4E5E65E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Customer perceptions; threat; trust</w:t>
            </w:r>
          </w:p>
        </w:tc>
        <w:tc>
          <w:tcPr>
            <w:tcW w:w="2229" w:type="dxa"/>
            <w:shd w:val="clear" w:color="auto" w:fill="FFFFFF" w:themeFill="background1"/>
            <w:vAlign w:val="center"/>
          </w:tcPr>
          <w:p w14:paraId="1677C68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Servant role; low speciesism</w:t>
            </w:r>
          </w:p>
        </w:tc>
        <w:tc>
          <w:tcPr>
            <w:tcW w:w="1071" w:type="dxa"/>
            <w:shd w:val="clear" w:color="auto" w:fill="FFFFFF" w:themeFill="background1"/>
            <w:vAlign w:val="center"/>
          </w:tcPr>
          <w:p w14:paraId="0C07F5B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Master role; realistic threat</w:t>
            </w:r>
          </w:p>
        </w:tc>
        <w:tc>
          <w:tcPr>
            <w:tcW w:w="1583" w:type="dxa"/>
            <w:shd w:val="clear" w:color="auto" w:fill="FFFFFF" w:themeFill="background1"/>
            <w:vAlign w:val="center"/>
          </w:tcPr>
          <w:p w14:paraId="28698089">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7274DD8F">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Leader-Member Exchange (LMX) + Intergroup Threat Theory</w:t>
            </w:r>
          </w:p>
        </w:tc>
        <w:tc>
          <w:tcPr>
            <w:tcW w:w="1057" w:type="dxa"/>
            <w:shd w:val="clear" w:color="auto" w:fill="FFFFFF" w:themeFill="background1"/>
            <w:vAlign w:val="center"/>
          </w:tcPr>
          <w:p w14:paraId="0864B65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Four online experiments; moderate mediation (SPSS PROCESS)</w:t>
            </w:r>
          </w:p>
        </w:tc>
        <w:tc>
          <w:tcPr>
            <w:tcW w:w="1814" w:type="dxa"/>
            <w:shd w:val="clear" w:color="auto" w:fill="FFFFFF" w:themeFill="background1"/>
            <w:vAlign w:val="center"/>
          </w:tcPr>
          <w:p w14:paraId="1AB38644">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Master role raised threat and lowered trust. negative effects.</w:t>
            </w:r>
          </w:p>
        </w:tc>
        <w:tc>
          <w:tcPr>
            <w:tcW w:w="707" w:type="dxa"/>
            <w:shd w:val="clear" w:color="auto" w:fill="FFFFFF" w:themeFill="background1"/>
            <w:vAlign w:val="center"/>
          </w:tcPr>
          <w:p w14:paraId="743298B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27F77D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57B5458D">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31</w:t>
            </w:r>
          </w:p>
        </w:tc>
        <w:tc>
          <w:tcPr>
            <w:tcW w:w="865" w:type="dxa"/>
            <w:shd w:val="clear" w:color="auto" w:fill="FFFFFF" w:themeFill="background1"/>
            <w:vAlign w:val="center"/>
          </w:tcPr>
          <w:p w14:paraId="603A280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Shanks et al. (2025)</w:t>
            </w:r>
          </w:p>
        </w:tc>
        <w:tc>
          <w:tcPr>
            <w:tcW w:w="907" w:type="dxa"/>
            <w:shd w:val="clear" w:color="auto" w:fill="FFFFFF" w:themeFill="background1"/>
            <w:vAlign w:val="center"/>
          </w:tcPr>
          <w:p w14:paraId="321DC33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Healthcare services; six studies</w:t>
            </w:r>
          </w:p>
        </w:tc>
        <w:tc>
          <w:tcPr>
            <w:tcW w:w="1078" w:type="dxa"/>
            <w:shd w:val="clear" w:color="auto" w:fill="FFFFFF" w:themeFill="background1"/>
            <w:vAlign w:val="center"/>
          </w:tcPr>
          <w:p w14:paraId="3AD81EA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Cobotic service teams</w:t>
            </w:r>
          </w:p>
        </w:tc>
        <w:tc>
          <w:tcPr>
            <w:tcW w:w="1275" w:type="dxa"/>
            <w:shd w:val="clear" w:color="auto" w:fill="FFFFFF" w:themeFill="background1"/>
            <w:vAlign w:val="center"/>
          </w:tcPr>
          <w:p w14:paraId="101CD38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Consumer responses; anxiety</w:t>
            </w:r>
          </w:p>
        </w:tc>
        <w:tc>
          <w:tcPr>
            <w:tcW w:w="2229" w:type="dxa"/>
            <w:shd w:val="clear" w:color="auto" w:fill="FFFFFF" w:themeFill="background1"/>
            <w:vAlign w:val="center"/>
          </w:tcPr>
          <w:p w14:paraId="3CEC646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Consumer choice; power distance</w:t>
            </w:r>
          </w:p>
        </w:tc>
        <w:tc>
          <w:tcPr>
            <w:tcW w:w="1071" w:type="dxa"/>
            <w:shd w:val="clear" w:color="auto" w:fill="FFFFFF" w:themeFill="background1"/>
            <w:vAlign w:val="center"/>
          </w:tcPr>
          <w:p w14:paraId="53D45BE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Robot-led teams</w:t>
            </w:r>
          </w:p>
        </w:tc>
        <w:tc>
          <w:tcPr>
            <w:tcW w:w="1583" w:type="dxa"/>
            <w:shd w:val="clear" w:color="auto" w:fill="FFFFFF" w:themeFill="background1"/>
            <w:vAlign w:val="center"/>
          </w:tcPr>
          <w:p w14:paraId="14D72F6C">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1E430F0A">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Power dynamics; serial mediation</w:t>
            </w:r>
          </w:p>
        </w:tc>
        <w:tc>
          <w:tcPr>
            <w:tcW w:w="1057" w:type="dxa"/>
            <w:shd w:val="clear" w:color="auto" w:fill="FFFFFF" w:themeFill="background1"/>
            <w:vAlign w:val="center"/>
          </w:tcPr>
          <w:p w14:paraId="0DA4AD1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Six studies; experimental design</w:t>
            </w:r>
          </w:p>
        </w:tc>
        <w:tc>
          <w:tcPr>
            <w:tcW w:w="1814" w:type="dxa"/>
            <w:shd w:val="clear" w:color="auto" w:fill="FFFFFF" w:themeFill="background1"/>
            <w:vAlign w:val="center"/>
          </w:tcPr>
          <w:p w14:paraId="0190A5D2">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Robot-led teams raised consumer anxiety. capabilities.</w:t>
            </w:r>
          </w:p>
        </w:tc>
        <w:tc>
          <w:tcPr>
            <w:tcW w:w="707" w:type="dxa"/>
            <w:shd w:val="clear" w:color="auto" w:fill="FFFFFF" w:themeFill="background1"/>
            <w:vAlign w:val="center"/>
          </w:tcPr>
          <w:p w14:paraId="25361CB1">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RO2</w:t>
            </w:r>
          </w:p>
        </w:tc>
      </w:tr>
      <w:tr w14:paraId="104AE1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5C837860">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32</w:t>
            </w:r>
          </w:p>
        </w:tc>
        <w:tc>
          <w:tcPr>
            <w:tcW w:w="865" w:type="dxa"/>
            <w:shd w:val="clear" w:color="auto" w:fill="FFFFFF" w:themeFill="background1"/>
            <w:vAlign w:val="center"/>
          </w:tcPr>
          <w:p w14:paraId="3AADD76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Yang et al. (2024)</w:t>
            </w:r>
          </w:p>
        </w:tc>
        <w:tc>
          <w:tcPr>
            <w:tcW w:w="907" w:type="dxa"/>
            <w:shd w:val="clear" w:color="auto" w:fill="FFFFFF" w:themeFill="background1"/>
            <w:vAlign w:val="center"/>
          </w:tcPr>
          <w:p w14:paraId="3A2C4D9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China; hospitality; 295 responses</w:t>
            </w:r>
          </w:p>
        </w:tc>
        <w:tc>
          <w:tcPr>
            <w:tcW w:w="1078" w:type="dxa"/>
            <w:shd w:val="clear" w:color="auto" w:fill="FFFFFF" w:themeFill="background1"/>
            <w:vAlign w:val="center"/>
          </w:tcPr>
          <w:p w14:paraId="50A9CA9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Anthropomorphism of service robots</w:t>
            </w:r>
          </w:p>
        </w:tc>
        <w:tc>
          <w:tcPr>
            <w:tcW w:w="1275" w:type="dxa"/>
            <w:shd w:val="clear" w:color="auto" w:fill="FFFFFF" w:themeFill="background1"/>
            <w:vAlign w:val="center"/>
          </w:tcPr>
          <w:p w14:paraId="1CCEAF5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Service behaviour</w:t>
            </w:r>
          </w:p>
        </w:tc>
        <w:tc>
          <w:tcPr>
            <w:tcW w:w="2229" w:type="dxa"/>
            <w:shd w:val="clear" w:color="auto" w:fill="FFFFFF" w:themeFill="background1"/>
            <w:vAlign w:val="center"/>
          </w:tcPr>
          <w:p w14:paraId="40289EC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Warmth; competitive climate</w:t>
            </w:r>
          </w:p>
        </w:tc>
        <w:tc>
          <w:tcPr>
            <w:tcW w:w="1071" w:type="dxa"/>
            <w:shd w:val="clear" w:color="auto" w:fill="FFFFFF" w:themeFill="background1"/>
            <w:vAlign w:val="center"/>
          </w:tcPr>
          <w:p w14:paraId="7160F94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STARA awareness climate weakens warmth effect</w:t>
            </w:r>
          </w:p>
        </w:tc>
        <w:tc>
          <w:tcPr>
            <w:tcW w:w="1583" w:type="dxa"/>
            <w:shd w:val="clear" w:color="auto" w:fill="FFFFFF" w:themeFill="background1"/>
            <w:vAlign w:val="center"/>
          </w:tcPr>
          <w:p w14:paraId="3048450E">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5F8DF457">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Transactional Model of Stress and Coping</w:t>
            </w:r>
          </w:p>
        </w:tc>
        <w:tc>
          <w:tcPr>
            <w:tcW w:w="1057" w:type="dxa"/>
            <w:shd w:val="clear" w:color="auto" w:fill="FFFFFF" w:themeFill="background1"/>
            <w:vAlign w:val="center"/>
          </w:tcPr>
          <w:p w14:paraId="63E387A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Survey; PLS-SEM; n=295</w:t>
            </w:r>
          </w:p>
        </w:tc>
        <w:tc>
          <w:tcPr>
            <w:tcW w:w="1814" w:type="dxa"/>
            <w:shd w:val="clear" w:color="auto" w:fill="FFFFFF" w:themeFill="background1"/>
            <w:vAlign w:val="center"/>
          </w:tcPr>
          <w:p w14:paraId="2AD891B3">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Service robot anthropomorphism has dual effects on service behaviour.</w:t>
            </w:r>
          </w:p>
        </w:tc>
        <w:tc>
          <w:tcPr>
            <w:tcW w:w="707" w:type="dxa"/>
            <w:shd w:val="clear" w:color="auto" w:fill="FFFFFF" w:themeFill="background1"/>
            <w:vAlign w:val="center"/>
          </w:tcPr>
          <w:p w14:paraId="515A4D0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255CC1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23B746E1">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33</w:t>
            </w:r>
          </w:p>
        </w:tc>
        <w:tc>
          <w:tcPr>
            <w:tcW w:w="865" w:type="dxa"/>
            <w:shd w:val="clear" w:color="auto" w:fill="FFFFFF" w:themeFill="background1"/>
            <w:vAlign w:val="center"/>
          </w:tcPr>
          <w:p w14:paraId="4926DA4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Kim, Kim &amp; Lee (2024)</w:t>
            </w:r>
          </w:p>
        </w:tc>
        <w:tc>
          <w:tcPr>
            <w:tcW w:w="907" w:type="dxa"/>
            <w:shd w:val="clear" w:color="auto" w:fill="FFFFFF" w:themeFill="background1"/>
            <w:vAlign w:val="center"/>
          </w:tcPr>
          <w:p w14:paraId="729022D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South Korea; 408 employees</w:t>
            </w:r>
          </w:p>
        </w:tc>
        <w:tc>
          <w:tcPr>
            <w:tcW w:w="1078" w:type="dxa"/>
            <w:shd w:val="clear" w:color="auto" w:fill="FFFFFF" w:themeFill="background1"/>
            <w:vAlign w:val="center"/>
          </w:tcPr>
          <w:p w14:paraId="1E957E8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AI-integrated work</w:t>
            </w:r>
          </w:p>
        </w:tc>
        <w:tc>
          <w:tcPr>
            <w:tcW w:w="1275" w:type="dxa"/>
            <w:shd w:val="clear" w:color="auto" w:fill="FFFFFF" w:themeFill="background1"/>
            <w:vAlign w:val="center"/>
          </w:tcPr>
          <w:p w14:paraId="6823D49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Depression; psychological safety</w:t>
            </w:r>
          </w:p>
        </w:tc>
        <w:tc>
          <w:tcPr>
            <w:tcW w:w="2229" w:type="dxa"/>
            <w:shd w:val="clear" w:color="auto" w:fill="FFFFFF" w:themeFill="background1"/>
            <w:vAlign w:val="center"/>
          </w:tcPr>
          <w:p w14:paraId="419F6CA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Self-efficacy in AI use</w:t>
            </w:r>
          </w:p>
        </w:tc>
        <w:tc>
          <w:tcPr>
            <w:tcW w:w="1071" w:type="dxa"/>
            <w:shd w:val="clear" w:color="auto" w:fill="FFFFFF" w:themeFill="background1"/>
            <w:vAlign w:val="center"/>
          </w:tcPr>
          <w:p w14:paraId="1C17838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insecurity</w:t>
            </w:r>
          </w:p>
        </w:tc>
        <w:tc>
          <w:tcPr>
            <w:tcW w:w="1583" w:type="dxa"/>
            <w:shd w:val="clear" w:color="auto" w:fill="FFFFFF" w:themeFill="background1"/>
            <w:vAlign w:val="center"/>
          </w:tcPr>
          <w:p w14:paraId="4D1CC0FB">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63244435">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Moderated mediation model</w:t>
            </w:r>
          </w:p>
        </w:tc>
        <w:tc>
          <w:tcPr>
            <w:tcW w:w="1057" w:type="dxa"/>
            <w:shd w:val="clear" w:color="auto" w:fill="FFFFFF" w:themeFill="background1"/>
            <w:vAlign w:val="center"/>
          </w:tcPr>
          <w:p w14:paraId="01599C1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3-wave time-lagged; stratified random sampling; SEM</w:t>
            </w:r>
          </w:p>
        </w:tc>
        <w:tc>
          <w:tcPr>
            <w:tcW w:w="1814" w:type="dxa"/>
            <w:shd w:val="clear" w:color="auto" w:fill="FFFFFF" w:themeFill="background1"/>
            <w:vAlign w:val="center"/>
          </w:tcPr>
          <w:p w14:paraId="65C5FB57">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Job insecurity raised depression via lower psychological safety.</w:t>
            </w:r>
          </w:p>
        </w:tc>
        <w:tc>
          <w:tcPr>
            <w:tcW w:w="707" w:type="dxa"/>
            <w:shd w:val="clear" w:color="auto" w:fill="FFFFFF" w:themeFill="background1"/>
            <w:vAlign w:val="center"/>
          </w:tcPr>
          <w:p w14:paraId="77482267">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RO2</w:t>
            </w:r>
          </w:p>
        </w:tc>
      </w:tr>
      <w:tr w14:paraId="493E64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7265194E">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34</w:t>
            </w:r>
          </w:p>
        </w:tc>
        <w:tc>
          <w:tcPr>
            <w:tcW w:w="865" w:type="dxa"/>
            <w:shd w:val="clear" w:color="auto" w:fill="FFFFFF" w:themeFill="background1"/>
            <w:vAlign w:val="center"/>
          </w:tcPr>
          <w:p w14:paraId="2B88AC4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Brougham &amp; Haar (2018)</w:t>
            </w:r>
          </w:p>
        </w:tc>
        <w:tc>
          <w:tcPr>
            <w:tcW w:w="907" w:type="dxa"/>
            <w:shd w:val="clear" w:color="auto" w:fill="FFFFFF" w:themeFill="background1"/>
            <w:vAlign w:val="center"/>
          </w:tcPr>
          <w:p w14:paraId="35465C8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New Zealand; 252 employees across industries</w:t>
            </w:r>
          </w:p>
        </w:tc>
        <w:tc>
          <w:tcPr>
            <w:tcW w:w="1078" w:type="dxa"/>
            <w:shd w:val="clear" w:color="auto" w:fill="FFFFFF" w:themeFill="background1"/>
            <w:vAlign w:val="center"/>
          </w:tcPr>
          <w:p w14:paraId="6758E2D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STARA awareness</w:t>
            </w:r>
          </w:p>
        </w:tc>
        <w:tc>
          <w:tcPr>
            <w:tcW w:w="1275" w:type="dxa"/>
            <w:shd w:val="clear" w:color="auto" w:fill="FFFFFF" w:themeFill="background1"/>
            <w:vAlign w:val="center"/>
          </w:tcPr>
          <w:p w14:paraId="580226B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Turnover intention; job satisfaction</w:t>
            </w:r>
          </w:p>
        </w:tc>
        <w:tc>
          <w:tcPr>
            <w:tcW w:w="2229" w:type="dxa"/>
            <w:shd w:val="clear" w:color="auto" w:fill="FFFFFF" w:themeFill="background1"/>
            <w:vAlign w:val="center"/>
          </w:tcPr>
          <w:p w14:paraId="6595376A">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071" w:type="dxa"/>
            <w:shd w:val="clear" w:color="auto" w:fill="FFFFFF" w:themeFill="background1"/>
            <w:vAlign w:val="center"/>
          </w:tcPr>
          <w:p w14:paraId="287BC90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STARA awareness</w:t>
            </w:r>
          </w:p>
        </w:tc>
        <w:tc>
          <w:tcPr>
            <w:tcW w:w="1583" w:type="dxa"/>
            <w:shd w:val="clear" w:color="auto" w:fill="FFFFFF" w:themeFill="background1"/>
            <w:vAlign w:val="center"/>
          </w:tcPr>
          <w:p w14:paraId="2FDC047C">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26A4D4F3">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057" w:type="dxa"/>
            <w:shd w:val="clear" w:color="auto" w:fill="FFFFFF" w:themeFill="background1"/>
            <w:vAlign w:val="center"/>
          </w:tcPr>
          <w:p w14:paraId="1C8A483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Survey; hierarchical regression; n=252</w:t>
            </w:r>
          </w:p>
        </w:tc>
        <w:tc>
          <w:tcPr>
            <w:tcW w:w="1814" w:type="dxa"/>
            <w:shd w:val="clear" w:color="auto" w:fill="FFFFFF" w:themeFill="background1"/>
            <w:vAlign w:val="center"/>
          </w:tcPr>
          <w:p w14:paraId="00005872">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STARA awareness raised turnover intention and reduced job satisfaction</w:t>
            </w:r>
          </w:p>
        </w:tc>
        <w:tc>
          <w:tcPr>
            <w:tcW w:w="707" w:type="dxa"/>
            <w:shd w:val="clear" w:color="auto" w:fill="FFFFFF" w:themeFill="background1"/>
            <w:vAlign w:val="center"/>
          </w:tcPr>
          <w:p w14:paraId="284DBC5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665207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799E2658">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35</w:t>
            </w:r>
          </w:p>
        </w:tc>
        <w:tc>
          <w:tcPr>
            <w:tcW w:w="865" w:type="dxa"/>
            <w:shd w:val="clear" w:color="auto" w:fill="FFFFFF" w:themeFill="background1"/>
            <w:vAlign w:val="center"/>
          </w:tcPr>
          <w:p w14:paraId="4331EBE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Wang, Zhan &amp; Yu (2024)</w:t>
            </w:r>
          </w:p>
        </w:tc>
        <w:tc>
          <w:tcPr>
            <w:tcW w:w="907" w:type="dxa"/>
            <w:shd w:val="clear" w:color="auto" w:fill="FFFFFF" w:themeFill="background1"/>
            <w:vAlign w:val="center"/>
          </w:tcPr>
          <w:p w14:paraId="6D334F4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Review; workplace AI awareness</w:t>
            </w:r>
          </w:p>
        </w:tc>
        <w:tc>
          <w:tcPr>
            <w:tcW w:w="1078" w:type="dxa"/>
            <w:shd w:val="clear" w:color="auto" w:fill="FFFFFF" w:themeFill="background1"/>
            <w:vAlign w:val="center"/>
          </w:tcPr>
          <w:p w14:paraId="64758BF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awareness</w:t>
            </w:r>
          </w:p>
        </w:tc>
        <w:tc>
          <w:tcPr>
            <w:tcW w:w="1275" w:type="dxa"/>
            <w:shd w:val="clear" w:color="auto" w:fill="FFFFFF" w:themeFill="background1"/>
            <w:vAlign w:val="center"/>
          </w:tcPr>
          <w:p w14:paraId="0C878B0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Psychological and behavioral outcomes</w:t>
            </w:r>
          </w:p>
        </w:tc>
        <w:tc>
          <w:tcPr>
            <w:tcW w:w="2229" w:type="dxa"/>
            <w:shd w:val="clear" w:color="auto" w:fill="FFFFFF" w:themeFill="background1"/>
            <w:vAlign w:val="center"/>
          </w:tcPr>
          <w:p w14:paraId="46ED4E87">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071" w:type="dxa"/>
            <w:shd w:val="clear" w:color="auto" w:fill="FFFFFF" w:themeFill="background1"/>
            <w:vAlign w:val="center"/>
          </w:tcPr>
          <w:p w14:paraId="18EA79B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583" w:type="dxa"/>
            <w:shd w:val="clear" w:color="auto" w:fill="FFFFFF" w:themeFill="background1"/>
            <w:vAlign w:val="center"/>
          </w:tcPr>
          <w:p w14:paraId="764C582A">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69DF38AB">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Resource; emotional; demand; environmental perspectives</w:t>
            </w:r>
          </w:p>
        </w:tc>
        <w:tc>
          <w:tcPr>
            <w:tcW w:w="1057" w:type="dxa"/>
            <w:shd w:val="clear" w:color="auto" w:fill="FFFFFF" w:themeFill="background1"/>
            <w:vAlign w:val="center"/>
          </w:tcPr>
          <w:p w14:paraId="338DEA3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Literature review</w:t>
            </w:r>
          </w:p>
        </w:tc>
        <w:tc>
          <w:tcPr>
            <w:tcW w:w="1814" w:type="dxa"/>
            <w:shd w:val="clear" w:color="auto" w:fill="FFFFFF" w:themeFill="background1"/>
            <w:vAlign w:val="center"/>
          </w:tcPr>
          <w:p w14:paraId="665FF223">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AI awareness has a double-edged effect on employees.</w:t>
            </w:r>
          </w:p>
        </w:tc>
        <w:tc>
          <w:tcPr>
            <w:tcW w:w="707" w:type="dxa"/>
            <w:shd w:val="clear" w:color="auto" w:fill="FFFFFF" w:themeFill="background1"/>
            <w:vAlign w:val="center"/>
          </w:tcPr>
          <w:p w14:paraId="09D9099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27C63C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73E74616">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36</w:t>
            </w:r>
          </w:p>
        </w:tc>
        <w:tc>
          <w:tcPr>
            <w:tcW w:w="865" w:type="dxa"/>
            <w:shd w:val="clear" w:color="auto" w:fill="FFFFFF" w:themeFill="background1"/>
            <w:vAlign w:val="center"/>
          </w:tcPr>
          <w:p w14:paraId="0A78AB7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Abdullahi et al. (2026)</w:t>
            </w:r>
          </w:p>
        </w:tc>
        <w:tc>
          <w:tcPr>
            <w:tcW w:w="907" w:type="dxa"/>
            <w:shd w:val="clear" w:color="auto" w:fill="FFFFFF" w:themeFill="background1"/>
            <w:vAlign w:val="center"/>
          </w:tcPr>
          <w:p w14:paraId="52559B7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Nigeria; 348 manufacturing SME employee</w:t>
            </w:r>
          </w:p>
        </w:tc>
        <w:tc>
          <w:tcPr>
            <w:tcW w:w="1078" w:type="dxa"/>
            <w:shd w:val="clear" w:color="auto" w:fill="FFFFFF" w:themeFill="background1"/>
            <w:vAlign w:val="center"/>
          </w:tcPr>
          <w:p w14:paraId="3939EB6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Perceived AI threat; robotic integration</w:t>
            </w:r>
          </w:p>
        </w:tc>
        <w:tc>
          <w:tcPr>
            <w:tcW w:w="1275" w:type="dxa"/>
            <w:shd w:val="clear" w:color="auto" w:fill="FFFFFF" w:themeFill="background1"/>
            <w:vAlign w:val="center"/>
          </w:tcPr>
          <w:p w14:paraId="7E090A6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Turnover intention; CWB</w:t>
            </w:r>
          </w:p>
        </w:tc>
        <w:tc>
          <w:tcPr>
            <w:tcW w:w="2229" w:type="dxa"/>
            <w:shd w:val="clear" w:color="auto" w:fill="FFFFFF" w:themeFill="background1"/>
            <w:vAlign w:val="center"/>
          </w:tcPr>
          <w:p w14:paraId="3BE1543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Organisational resilience</w:t>
            </w:r>
          </w:p>
        </w:tc>
        <w:tc>
          <w:tcPr>
            <w:tcW w:w="1071" w:type="dxa"/>
            <w:shd w:val="clear" w:color="auto" w:fill="FFFFFF" w:themeFill="background1"/>
            <w:vAlign w:val="center"/>
          </w:tcPr>
          <w:p w14:paraId="4E693F7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insecurity</w:t>
            </w:r>
          </w:p>
        </w:tc>
        <w:tc>
          <w:tcPr>
            <w:tcW w:w="1583" w:type="dxa"/>
            <w:shd w:val="clear" w:color="auto" w:fill="FFFFFF" w:themeFill="background1"/>
            <w:vAlign w:val="center"/>
          </w:tcPr>
          <w:p w14:paraId="36B47E8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Resilience as moderator</w:t>
            </w:r>
          </w:p>
        </w:tc>
        <w:tc>
          <w:tcPr>
            <w:tcW w:w="1314" w:type="dxa"/>
            <w:shd w:val="clear" w:color="auto" w:fill="FFFFFF" w:themeFill="background1"/>
            <w:vAlign w:val="center"/>
          </w:tcPr>
          <w:p w14:paraId="45664FF7">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JD-R; COR</w:t>
            </w:r>
          </w:p>
        </w:tc>
        <w:tc>
          <w:tcPr>
            <w:tcW w:w="1057" w:type="dxa"/>
            <w:shd w:val="clear" w:color="auto" w:fill="FFFFFF" w:themeFill="background1"/>
            <w:vAlign w:val="center"/>
          </w:tcPr>
          <w:p w14:paraId="0116918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PLS-SEM; survey; n=348</w:t>
            </w:r>
          </w:p>
        </w:tc>
        <w:tc>
          <w:tcPr>
            <w:tcW w:w="1814" w:type="dxa"/>
            <w:shd w:val="clear" w:color="auto" w:fill="FFFFFF" w:themeFill="background1"/>
            <w:vAlign w:val="center"/>
          </w:tcPr>
          <w:p w14:paraId="59DA6107">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AI threat and robotics raised job insecurity and turnover intention.</w:t>
            </w:r>
          </w:p>
        </w:tc>
        <w:tc>
          <w:tcPr>
            <w:tcW w:w="707" w:type="dxa"/>
            <w:shd w:val="clear" w:color="auto" w:fill="FFFFFF" w:themeFill="background1"/>
            <w:vAlign w:val="center"/>
          </w:tcPr>
          <w:p w14:paraId="29C93A1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1685EC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7B0DCFE6">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37</w:t>
            </w:r>
          </w:p>
        </w:tc>
        <w:tc>
          <w:tcPr>
            <w:tcW w:w="865" w:type="dxa"/>
            <w:shd w:val="clear" w:color="auto" w:fill="FFFFFF" w:themeFill="background1"/>
            <w:vAlign w:val="center"/>
          </w:tcPr>
          <w:p w14:paraId="5BEDB33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Ali et al. (2024)</w:t>
            </w:r>
          </w:p>
        </w:tc>
        <w:tc>
          <w:tcPr>
            <w:tcW w:w="907" w:type="dxa"/>
            <w:shd w:val="clear" w:color="auto" w:fill="FFFFFF" w:themeFill="background1"/>
            <w:vAlign w:val="center"/>
          </w:tcPr>
          <w:p w14:paraId="4901778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Pakistan; multiple industries</w:t>
            </w:r>
          </w:p>
        </w:tc>
        <w:tc>
          <w:tcPr>
            <w:tcW w:w="1078" w:type="dxa"/>
            <w:shd w:val="clear" w:color="auto" w:fill="FFFFFF" w:themeFill="background1"/>
            <w:vAlign w:val="center"/>
          </w:tcPr>
          <w:p w14:paraId="585396D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adoption</w:t>
            </w:r>
          </w:p>
        </w:tc>
        <w:tc>
          <w:tcPr>
            <w:tcW w:w="1275" w:type="dxa"/>
            <w:shd w:val="clear" w:color="auto" w:fill="FFFFFF" w:themeFill="background1"/>
            <w:vAlign w:val="center"/>
          </w:tcPr>
          <w:p w14:paraId="19CE884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insecurity; stress</w:t>
            </w:r>
          </w:p>
        </w:tc>
        <w:tc>
          <w:tcPr>
            <w:tcW w:w="2229" w:type="dxa"/>
            <w:shd w:val="clear" w:color="auto" w:fill="FFFFFF" w:themeFill="background1"/>
            <w:vAlign w:val="center"/>
          </w:tcPr>
          <w:p w14:paraId="234FD5C7">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071" w:type="dxa"/>
            <w:shd w:val="clear" w:color="auto" w:fill="FFFFFF" w:themeFill="background1"/>
            <w:vAlign w:val="center"/>
          </w:tcPr>
          <w:p w14:paraId="48C90B0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adoption</w:t>
            </w:r>
          </w:p>
        </w:tc>
        <w:tc>
          <w:tcPr>
            <w:tcW w:w="1583" w:type="dxa"/>
            <w:shd w:val="clear" w:color="auto" w:fill="FFFFFF" w:themeFill="background1"/>
            <w:vAlign w:val="center"/>
          </w:tcPr>
          <w:p w14:paraId="63B926A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Employee support systems</w:t>
            </w:r>
          </w:p>
        </w:tc>
        <w:tc>
          <w:tcPr>
            <w:tcW w:w="1314" w:type="dxa"/>
            <w:shd w:val="clear" w:color="auto" w:fill="FFFFFF" w:themeFill="background1"/>
            <w:vAlign w:val="center"/>
          </w:tcPr>
          <w:p w14:paraId="510C61A1">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057" w:type="dxa"/>
            <w:shd w:val="clear" w:color="auto" w:fill="FFFFFF" w:themeFill="background1"/>
            <w:vAlign w:val="center"/>
          </w:tcPr>
          <w:p w14:paraId="630A479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Survey; hypotheses testing</w:t>
            </w:r>
          </w:p>
        </w:tc>
        <w:tc>
          <w:tcPr>
            <w:tcW w:w="1814" w:type="dxa"/>
            <w:shd w:val="clear" w:color="auto" w:fill="FFFFFF" w:themeFill="background1"/>
            <w:vAlign w:val="center"/>
          </w:tcPr>
          <w:p w14:paraId="1C692720">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AI adoption raised job insecurity and stress.</w:t>
            </w:r>
          </w:p>
        </w:tc>
        <w:tc>
          <w:tcPr>
            <w:tcW w:w="707" w:type="dxa"/>
            <w:shd w:val="clear" w:color="auto" w:fill="FFFFFF" w:themeFill="background1"/>
            <w:vAlign w:val="center"/>
          </w:tcPr>
          <w:p w14:paraId="090EC41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6F330C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2AC4D55A">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38</w:t>
            </w:r>
          </w:p>
        </w:tc>
        <w:tc>
          <w:tcPr>
            <w:tcW w:w="865" w:type="dxa"/>
            <w:shd w:val="clear" w:color="auto" w:fill="FFFFFF" w:themeFill="background1"/>
            <w:vAlign w:val="center"/>
          </w:tcPr>
          <w:p w14:paraId="5C39947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Jussupow et al. (2022)</w:t>
            </w:r>
          </w:p>
        </w:tc>
        <w:tc>
          <w:tcPr>
            <w:tcW w:w="907" w:type="dxa"/>
            <w:shd w:val="clear" w:color="auto" w:fill="FFFFFF" w:themeFill="background1"/>
            <w:vAlign w:val="center"/>
          </w:tcPr>
          <w:p w14:paraId="280190F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Medical students and physicians es; vignette-based survey</w:t>
            </w:r>
          </w:p>
        </w:tc>
        <w:tc>
          <w:tcPr>
            <w:tcW w:w="1078" w:type="dxa"/>
            <w:shd w:val="clear" w:color="auto" w:fill="FFFFFF" w:themeFill="background1"/>
            <w:vAlign w:val="center"/>
          </w:tcPr>
          <w:p w14:paraId="5F23379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Medical AI system</w:t>
            </w:r>
          </w:p>
        </w:tc>
        <w:tc>
          <w:tcPr>
            <w:tcW w:w="1275" w:type="dxa"/>
            <w:shd w:val="clear" w:color="auto" w:fill="FFFFFF" w:themeFill="background1"/>
            <w:vAlign w:val="center"/>
          </w:tcPr>
          <w:p w14:paraId="65193A6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Resistance; identity threats</w:t>
            </w:r>
          </w:p>
        </w:tc>
        <w:tc>
          <w:tcPr>
            <w:tcW w:w="2229" w:type="dxa"/>
            <w:shd w:val="clear" w:color="auto" w:fill="FFFFFF" w:themeFill="background1"/>
            <w:vAlign w:val="center"/>
          </w:tcPr>
          <w:p w14:paraId="13E18BD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Perceived enhancement</w:t>
            </w:r>
          </w:p>
        </w:tc>
        <w:tc>
          <w:tcPr>
            <w:tcW w:w="1071" w:type="dxa"/>
            <w:shd w:val="clear" w:color="auto" w:fill="FFFFFF" w:themeFill="background1"/>
            <w:vAlign w:val="center"/>
          </w:tcPr>
          <w:p w14:paraId="4EBF2A9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Identity threats</w:t>
            </w:r>
          </w:p>
        </w:tc>
        <w:tc>
          <w:tcPr>
            <w:tcW w:w="1583" w:type="dxa"/>
            <w:shd w:val="clear" w:color="auto" w:fill="FFFFFF" w:themeFill="background1"/>
            <w:vAlign w:val="center"/>
          </w:tcPr>
          <w:p w14:paraId="16D2FC57">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372762A2">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Identity threat theory</w:t>
            </w:r>
          </w:p>
        </w:tc>
        <w:tc>
          <w:tcPr>
            <w:tcW w:w="1057" w:type="dxa"/>
            <w:shd w:val="clear" w:color="auto" w:fill="FFFFFF" w:themeFill="background1"/>
            <w:vAlign w:val="center"/>
          </w:tcPr>
          <w:p w14:paraId="7CFFB03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Two surveys; regression; content analysis</w:t>
            </w:r>
          </w:p>
        </w:tc>
        <w:tc>
          <w:tcPr>
            <w:tcW w:w="1814" w:type="dxa"/>
            <w:shd w:val="clear" w:color="auto" w:fill="FFFFFF" w:themeFill="background1"/>
            <w:vAlign w:val="center"/>
          </w:tcPr>
          <w:p w14:paraId="78177C13">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Identity threats raised resistance to AI.</w:t>
            </w:r>
          </w:p>
        </w:tc>
        <w:tc>
          <w:tcPr>
            <w:tcW w:w="707" w:type="dxa"/>
            <w:shd w:val="clear" w:color="auto" w:fill="FFFFFF" w:themeFill="background1"/>
            <w:vAlign w:val="center"/>
          </w:tcPr>
          <w:p w14:paraId="37FFE64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57F137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1472DC33">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39</w:t>
            </w:r>
          </w:p>
        </w:tc>
        <w:tc>
          <w:tcPr>
            <w:tcW w:w="865" w:type="dxa"/>
            <w:shd w:val="clear" w:color="auto" w:fill="FFFFFF" w:themeFill="background1"/>
            <w:vAlign w:val="center"/>
          </w:tcPr>
          <w:p w14:paraId="15763A6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Diebel et al. (2025)</w:t>
            </w:r>
          </w:p>
        </w:tc>
        <w:tc>
          <w:tcPr>
            <w:tcW w:w="907" w:type="dxa"/>
            <w:shd w:val="clear" w:color="auto" w:fill="FFFFFF" w:themeFill="background1"/>
            <w:vAlign w:val="center"/>
          </w:tcPr>
          <w:p w14:paraId="73ABBC9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Online experiment; 92 users</w:t>
            </w:r>
          </w:p>
        </w:tc>
        <w:tc>
          <w:tcPr>
            <w:tcW w:w="1078" w:type="dxa"/>
            <w:shd w:val="clear" w:color="auto" w:fill="FFFFFF" w:themeFill="background1"/>
            <w:vAlign w:val="center"/>
          </w:tcPr>
          <w:p w14:paraId="1E6EBCA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Proactive vs reactive AI agents</w:t>
            </w:r>
          </w:p>
        </w:tc>
        <w:tc>
          <w:tcPr>
            <w:tcW w:w="1275" w:type="dxa"/>
            <w:shd w:val="clear" w:color="auto" w:fill="FFFFFF" w:themeFill="background1"/>
            <w:vAlign w:val="center"/>
          </w:tcPr>
          <w:p w14:paraId="19483DB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System satisfaction; self-esteem</w:t>
            </w:r>
          </w:p>
        </w:tc>
        <w:tc>
          <w:tcPr>
            <w:tcW w:w="2229" w:type="dxa"/>
            <w:shd w:val="clear" w:color="auto" w:fill="FFFFFF" w:themeFill="background1"/>
            <w:vAlign w:val="center"/>
          </w:tcPr>
          <w:p w14:paraId="03756B2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Reactive help; lower AI knowledge</w:t>
            </w:r>
          </w:p>
        </w:tc>
        <w:tc>
          <w:tcPr>
            <w:tcW w:w="1071" w:type="dxa"/>
            <w:shd w:val="clear" w:color="auto" w:fill="FFFFFF" w:themeFill="background1"/>
            <w:vAlign w:val="center"/>
          </w:tcPr>
          <w:p w14:paraId="4A9C9BC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Proactive help; higher AI knowledge</w:t>
            </w:r>
          </w:p>
        </w:tc>
        <w:tc>
          <w:tcPr>
            <w:tcW w:w="1583" w:type="dxa"/>
            <w:shd w:val="clear" w:color="auto" w:fill="FFFFFF" w:themeFill="background1"/>
            <w:vAlign w:val="center"/>
          </w:tcPr>
          <w:p w14:paraId="7511B8C6">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43EA71B3">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Self-Determination Theory</w:t>
            </w:r>
          </w:p>
        </w:tc>
        <w:tc>
          <w:tcPr>
            <w:tcW w:w="1057" w:type="dxa"/>
            <w:shd w:val="clear" w:color="auto" w:fill="FFFFFF" w:themeFill="background1"/>
            <w:vAlign w:val="center"/>
          </w:tcPr>
          <w:p w14:paraId="1418BDE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Vignette experiment; mediation</w:t>
            </w:r>
          </w:p>
        </w:tc>
        <w:tc>
          <w:tcPr>
            <w:tcW w:w="1814" w:type="dxa"/>
            <w:shd w:val="clear" w:color="auto" w:fill="FFFFFF" w:themeFill="background1"/>
            <w:vAlign w:val="center"/>
          </w:tcPr>
          <w:p w14:paraId="143A8457">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Proactive AI help lowered user self-esteem and satisfaction.</w:t>
            </w:r>
          </w:p>
        </w:tc>
        <w:tc>
          <w:tcPr>
            <w:tcW w:w="707" w:type="dxa"/>
            <w:shd w:val="clear" w:color="auto" w:fill="FFFFFF" w:themeFill="background1"/>
            <w:vAlign w:val="center"/>
          </w:tcPr>
          <w:p w14:paraId="23F3B84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31FC45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5BF9CCDD">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40</w:t>
            </w:r>
          </w:p>
        </w:tc>
        <w:tc>
          <w:tcPr>
            <w:tcW w:w="865" w:type="dxa"/>
            <w:shd w:val="clear" w:color="auto" w:fill="FFFFFF" w:themeFill="background1"/>
            <w:vAlign w:val="center"/>
          </w:tcPr>
          <w:p w14:paraId="19352C7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Akinnagbe (2024)</w:t>
            </w:r>
          </w:p>
        </w:tc>
        <w:tc>
          <w:tcPr>
            <w:tcW w:w="907" w:type="dxa"/>
            <w:shd w:val="clear" w:color="auto" w:fill="FFFFFF" w:themeFill="background1"/>
            <w:vAlign w:val="center"/>
          </w:tcPr>
          <w:p w14:paraId="27F8174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Review; multiple organisational settings</w:t>
            </w:r>
          </w:p>
        </w:tc>
        <w:tc>
          <w:tcPr>
            <w:tcW w:w="1078" w:type="dxa"/>
            <w:shd w:val="clear" w:color="auto" w:fill="FFFFFF" w:themeFill="background1"/>
            <w:vAlign w:val="center"/>
          </w:tcPr>
          <w:p w14:paraId="73A1687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Human-AI collaboration</w:t>
            </w:r>
          </w:p>
        </w:tc>
        <w:tc>
          <w:tcPr>
            <w:tcW w:w="1275" w:type="dxa"/>
            <w:shd w:val="clear" w:color="auto" w:fill="FFFFFF" w:themeFill="background1"/>
            <w:vAlign w:val="center"/>
          </w:tcPr>
          <w:p w14:paraId="1231722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Productivity; decision-making quality</w:t>
            </w:r>
          </w:p>
        </w:tc>
        <w:tc>
          <w:tcPr>
            <w:tcW w:w="2229" w:type="dxa"/>
            <w:shd w:val="clear" w:color="auto" w:fill="FFFFFF" w:themeFill="background1"/>
            <w:vAlign w:val="center"/>
          </w:tcPr>
          <w:p w14:paraId="0DF407D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augmentation; human-AI teaming</w:t>
            </w:r>
          </w:p>
        </w:tc>
        <w:tc>
          <w:tcPr>
            <w:tcW w:w="1071" w:type="dxa"/>
            <w:shd w:val="clear" w:color="auto" w:fill="FFFFFF" w:themeFill="background1"/>
            <w:vAlign w:val="center"/>
          </w:tcPr>
          <w:p w14:paraId="65DCE71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Under-reliance on AI</w:t>
            </w:r>
          </w:p>
        </w:tc>
        <w:tc>
          <w:tcPr>
            <w:tcW w:w="1583" w:type="dxa"/>
            <w:shd w:val="clear" w:color="auto" w:fill="FFFFFF" w:themeFill="background1"/>
            <w:vAlign w:val="center"/>
          </w:tcPr>
          <w:p w14:paraId="669A5B7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Role partitioning; training</w:t>
            </w:r>
          </w:p>
        </w:tc>
        <w:tc>
          <w:tcPr>
            <w:tcW w:w="1314" w:type="dxa"/>
            <w:shd w:val="clear" w:color="auto" w:fill="FFFFFF" w:themeFill="background1"/>
            <w:vAlign w:val="center"/>
          </w:tcPr>
          <w:p w14:paraId="4AB38C3E">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Collective intelligence; complementarity</w:t>
            </w:r>
          </w:p>
        </w:tc>
        <w:tc>
          <w:tcPr>
            <w:tcW w:w="1057" w:type="dxa"/>
            <w:shd w:val="clear" w:color="auto" w:fill="FFFFFF" w:themeFill="background1"/>
            <w:vAlign w:val="center"/>
          </w:tcPr>
          <w:p w14:paraId="6518003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Systematic literature review</w:t>
            </w:r>
          </w:p>
        </w:tc>
        <w:tc>
          <w:tcPr>
            <w:tcW w:w="1814" w:type="dxa"/>
            <w:shd w:val="clear" w:color="auto" w:fill="FFFFFF" w:themeFill="background1"/>
            <w:vAlign w:val="center"/>
          </w:tcPr>
          <w:p w14:paraId="64CD01B7">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Human-AI collaboration raised productivity and decision quality.</w:t>
            </w:r>
          </w:p>
        </w:tc>
        <w:tc>
          <w:tcPr>
            <w:tcW w:w="707" w:type="dxa"/>
            <w:shd w:val="clear" w:color="auto" w:fill="FFFFFF" w:themeFill="background1"/>
            <w:vAlign w:val="center"/>
          </w:tcPr>
          <w:p w14:paraId="27C7AB1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RO1</w:t>
            </w:r>
          </w:p>
        </w:tc>
      </w:tr>
      <w:tr w14:paraId="1B2ED0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35F056E3">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41</w:t>
            </w:r>
          </w:p>
        </w:tc>
        <w:tc>
          <w:tcPr>
            <w:tcW w:w="865" w:type="dxa"/>
            <w:shd w:val="clear" w:color="auto" w:fill="FFFFFF" w:themeFill="background1"/>
            <w:vAlign w:val="center"/>
          </w:tcPr>
          <w:p w14:paraId="6042114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Batool et al. (2026)</w:t>
            </w:r>
          </w:p>
        </w:tc>
        <w:tc>
          <w:tcPr>
            <w:tcW w:w="907" w:type="dxa"/>
            <w:shd w:val="clear" w:color="auto" w:fill="FFFFFF" w:themeFill="background1"/>
            <w:vAlign w:val="center"/>
          </w:tcPr>
          <w:p w14:paraId="619E210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Letter to the Editor; neuroscience/neuro-AI research synthesis</w:t>
            </w:r>
          </w:p>
        </w:tc>
        <w:tc>
          <w:tcPr>
            <w:tcW w:w="1078" w:type="dxa"/>
            <w:shd w:val="clear" w:color="auto" w:fill="FFFFFF" w:themeFill="background1"/>
            <w:vAlign w:val="center"/>
          </w:tcPr>
          <w:p w14:paraId="0A658E3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AI-driven cognitive off-loading</w:t>
            </w:r>
          </w:p>
        </w:tc>
        <w:tc>
          <w:tcPr>
            <w:tcW w:w="1275" w:type="dxa"/>
            <w:shd w:val="clear" w:color="auto" w:fill="FFFFFF" w:themeFill="background1"/>
            <w:vAlign w:val="center"/>
          </w:tcPr>
          <w:p w14:paraId="750CAB5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Cognitive off-loading; neural recalibration</w:t>
            </w:r>
          </w:p>
        </w:tc>
        <w:tc>
          <w:tcPr>
            <w:tcW w:w="2229" w:type="dxa"/>
            <w:shd w:val="clear" w:color="auto" w:fill="FFFFFF" w:themeFill="background1"/>
            <w:vAlign w:val="center"/>
          </w:tcPr>
          <w:p w14:paraId="0215212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Endogenous adaptability; digital-interaction windows</w:t>
            </w:r>
          </w:p>
        </w:tc>
        <w:tc>
          <w:tcPr>
            <w:tcW w:w="1071" w:type="dxa"/>
            <w:shd w:val="clear" w:color="auto" w:fill="FFFFFF" w:themeFill="background1"/>
            <w:vAlign w:val="center"/>
          </w:tcPr>
          <w:p w14:paraId="7FA505F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Excessive cognitive delegation</w:t>
            </w:r>
          </w:p>
        </w:tc>
        <w:tc>
          <w:tcPr>
            <w:tcW w:w="1583" w:type="dxa"/>
            <w:shd w:val="clear" w:color="auto" w:fill="FFFFFF" w:themeFill="background1"/>
            <w:vAlign w:val="center"/>
          </w:tcPr>
          <w:p w14:paraId="78E2D528">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31185D30">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NeuroAI framework</w:t>
            </w:r>
          </w:p>
        </w:tc>
        <w:tc>
          <w:tcPr>
            <w:tcW w:w="1057" w:type="dxa"/>
            <w:shd w:val="clear" w:color="auto" w:fill="FFFFFF" w:themeFill="background1"/>
            <w:vAlign w:val="center"/>
          </w:tcPr>
          <w:p w14:paraId="0EBBC57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Letter to the Editor; literature synthesis</w:t>
            </w:r>
          </w:p>
        </w:tc>
        <w:tc>
          <w:tcPr>
            <w:tcW w:w="1814" w:type="dxa"/>
            <w:shd w:val="clear" w:color="auto" w:fill="FFFFFF" w:themeFill="background1"/>
            <w:vAlign w:val="center"/>
          </w:tcPr>
          <w:p w14:paraId="54925312">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AI cognitive off-loading is a regulatory perturbation, not a cognition-reducing endpoint.</w:t>
            </w:r>
          </w:p>
        </w:tc>
        <w:tc>
          <w:tcPr>
            <w:tcW w:w="707" w:type="dxa"/>
            <w:shd w:val="clear" w:color="auto" w:fill="FFFFFF" w:themeFill="background1"/>
            <w:vAlign w:val="center"/>
          </w:tcPr>
          <w:p w14:paraId="0C89BD4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4A1E3A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6E0E9A99">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42</w:t>
            </w:r>
          </w:p>
        </w:tc>
        <w:tc>
          <w:tcPr>
            <w:tcW w:w="865" w:type="dxa"/>
            <w:shd w:val="clear" w:color="auto" w:fill="FFFFFF" w:themeFill="background1"/>
            <w:vAlign w:val="center"/>
          </w:tcPr>
          <w:p w14:paraId="414DDF4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Liu et al. (2026)</w:t>
            </w:r>
          </w:p>
        </w:tc>
        <w:tc>
          <w:tcPr>
            <w:tcW w:w="907" w:type="dxa"/>
            <w:shd w:val="clear" w:color="auto" w:fill="FFFFFF" w:themeFill="background1"/>
            <w:vAlign w:val="center"/>
          </w:tcPr>
          <w:p w14:paraId="637AD49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China; 287 dyads; multi-wave</w:t>
            </w:r>
          </w:p>
        </w:tc>
        <w:tc>
          <w:tcPr>
            <w:tcW w:w="1078" w:type="dxa"/>
            <w:shd w:val="clear" w:color="auto" w:fill="FFFFFF" w:themeFill="background1"/>
            <w:vAlign w:val="center"/>
          </w:tcPr>
          <w:p w14:paraId="7A3AC17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Generative AI</w:t>
            </w:r>
          </w:p>
        </w:tc>
        <w:tc>
          <w:tcPr>
            <w:tcW w:w="1275" w:type="dxa"/>
            <w:shd w:val="clear" w:color="auto" w:fill="FFFFFF" w:themeFill="background1"/>
            <w:vAlign w:val="center"/>
          </w:tcPr>
          <w:p w14:paraId="3B1C711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crafting; career satisfaction</w:t>
            </w:r>
          </w:p>
        </w:tc>
        <w:tc>
          <w:tcPr>
            <w:tcW w:w="2229" w:type="dxa"/>
            <w:shd w:val="clear" w:color="auto" w:fill="FFFFFF" w:themeFill="background1"/>
            <w:vAlign w:val="center"/>
          </w:tcPr>
          <w:p w14:paraId="4D2BFD4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Work meaningfulness; autonomy</w:t>
            </w:r>
          </w:p>
        </w:tc>
        <w:tc>
          <w:tcPr>
            <w:tcW w:w="1071" w:type="dxa"/>
            <w:shd w:val="clear" w:color="auto" w:fill="FFFFFF" w:themeFill="background1"/>
            <w:vAlign w:val="center"/>
          </w:tcPr>
          <w:p w14:paraId="2BA0C99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Work alienation</w:t>
            </w:r>
          </w:p>
        </w:tc>
        <w:tc>
          <w:tcPr>
            <w:tcW w:w="1583" w:type="dxa"/>
            <w:shd w:val="clear" w:color="auto" w:fill="FFFFFF" w:themeFill="background1"/>
            <w:vAlign w:val="center"/>
          </w:tcPr>
          <w:p w14:paraId="52635BA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autonomy</w:t>
            </w:r>
          </w:p>
        </w:tc>
        <w:tc>
          <w:tcPr>
            <w:tcW w:w="1314" w:type="dxa"/>
            <w:shd w:val="clear" w:color="auto" w:fill="FFFFFF" w:themeFill="background1"/>
            <w:vAlign w:val="center"/>
          </w:tcPr>
          <w:p w14:paraId="48C125A3">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Approach-Avoidance Motivation</w:t>
            </w:r>
          </w:p>
        </w:tc>
        <w:tc>
          <w:tcPr>
            <w:tcW w:w="1057" w:type="dxa"/>
            <w:shd w:val="clear" w:color="auto" w:fill="FFFFFF" w:themeFill="background1"/>
            <w:vAlign w:val="center"/>
          </w:tcPr>
          <w:p w14:paraId="34CDA89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Multi-wave survey; mediation</w:t>
            </w:r>
          </w:p>
        </w:tc>
        <w:tc>
          <w:tcPr>
            <w:tcW w:w="1814" w:type="dxa"/>
            <w:shd w:val="clear" w:color="auto" w:fill="FFFFFF" w:themeFill="background1"/>
            <w:vAlign w:val="center"/>
          </w:tcPr>
          <w:p w14:paraId="50CA9D66">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AI approach crafting raised career satisfaction; avoidance crafting lowered it.</w:t>
            </w:r>
          </w:p>
        </w:tc>
        <w:tc>
          <w:tcPr>
            <w:tcW w:w="707" w:type="dxa"/>
            <w:shd w:val="clear" w:color="auto" w:fill="FFFFFF" w:themeFill="background1"/>
            <w:vAlign w:val="center"/>
          </w:tcPr>
          <w:p w14:paraId="0805306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RO3</w:t>
            </w:r>
          </w:p>
        </w:tc>
      </w:tr>
      <w:tr w14:paraId="59E888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04A7E61E">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43</w:t>
            </w:r>
          </w:p>
        </w:tc>
        <w:tc>
          <w:tcPr>
            <w:tcW w:w="865" w:type="dxa"/>
            <w:shd w:val="clear" w:color="auto" w:fill="FFFFFF" w:themeFill="background1"/>
            <w:vAlign w:val="center"/>
          </w:tcPr>
          <w:p w14:paraId="3833CB3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Elliot &amp; Thrash (2002)</w:t>
            </w:r>
          </w:p>
        </w:tc>
        <w:tc>
          <w:tcPr>
            <w:tcW w:w="907" w:type="dxa"/>
            <w:shd w:val="clear" w:color="auto" w:fill="FFFFFF" w:themeFill="background1"/>
            <w:vAlign w:val="center"/>
          </w:tcPr>
          <w:p w14:paraId="3608C1C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Multiple studies; college students</w:t>
            </w:r>
          </w:p>
        </w:tc>
        <w:tc>
          <w:tcPr>
            <w:tcW w:w="1078" w:type="dxa"/>
            <w:shd w:val="clear" w:color="auto" w:fill="FFFFFF" w:themeFill="background1"/>
            <w:vAlign w:val="center"/>
          </w:tcPr>
          <w:p w14:paraId="08FF726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Not AI-specific</w:t>
            </w:r>
          </w:p>
        </w:tc>
        <w:tc>
          <w:tcPr>
            <w:tcW w:w="1275" w:type="dxa"/>
            <w:shd w:val="clear" w:color="auto" w:fill="FFFFFF" w:themeFill="background1"/>
            <w:vAlign w:val="center"/>
          </w:tcPr>
          <w:p w14:paraId="4AD46AE0">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—e</w:t>
            </w:r>
          </w:p>
        </w:tc>
        <w:tc>
          <w:tcPr>
            <w:tcW w:w="2229" w:type="dxa"/>
            <w:shd w:val="clear" w:color="auto" w:fill="FFFFFF" w:themeFill="background1"/>
            <w:vAlign w:val="center"/>
          </w:tcPr>
          <w:p w14:paraId="5214F99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Approach temperament</w:t>
            </w:r>
          </w:p>
        </w:tc>
        <w:tc>
          <w:tcPr>
            <w:tcW w:w="1071" w:type="dxa"/>
            <w:shd w:val="clear" w:color="auto" w:fill="FFFFFF" w:themeFill="background1"/>
            <w:vAlign w:val="center"/>
          </w:tcPr>
          <w:p w14:paraId="09B7735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Avoidance temperament</w:t>
            </w:r>
          </w:p>
        </w:tc>
        <w:tc>
          <w:tcPr>
            <w:tcW w:w="1583" w:type="dxa"/>
            <w:shd w:val="clear" w:color="auto" w:fill="FFFFFF" w:themeFill="background1"/>
            <w:vAlign w:val="center"/>
          </w:tcPr>
          <w:p w14:paraId="5DCFA804">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026D8723">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Approach-Avoidance Motivation</w:t>
            </w:r>
          </w:p>
        </w:tc>
        <w:tc>
          <w:tcPr>
            <w:tcW w:w="1057" w:type="dxa"/>
            <w:shd w:val="clear" w:color="auto" w:fill="FFFFFF" w:themeFill="background1"/>
            <w:vAlign w:val="center"/>
          </w:tcPr>
          <w:p w14:paraId="3EE5E97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Factor analysis; 7 studies</w:t>
            </w:r>
          </w:p>
        </w:tc>
        <w:tc>
          <w:tcPr>
            <w:tcW w:w="1814" w:type="dxa"/>
            <w:shd w:val="clear" w:color="auto" w:fill="FFFFFF" w:themeFill="background1"/>
            <w:vAlign w:val="center"/>
          </w:tcPr>
          <w:p w14:paraId="153B147E">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Approach and avoidance temperaments underlie basic personality dimensions.</w:t>
            </w:r>
          </w:p>
        </w:tc>
        <w:tc>
          <w:tcPr>
            <w:tcW w:w="707" w:type="dxa"/>
            <w:shd w:val="clear" w:color="auto" w:fill="FFFFFF" w:themeFill="background1"/>
            <w:vAlign w:val="center"/>
          </w:tcPr>
          <w:p w14:paraId="168DD31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RO1</w:t>
            </w:r>
          </w:p>
        </w:tc>
      </w:tr>
      <w:tr w14:paraId="33302E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48CA7517">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44</w:t>
            </w:r>
          </w:p>
        </w:tc>
        <w:tc>
          <w:tcPr>
            <w:tcW w:w="865" w:type="dxa"/>
            <w:shd w:val="clear" w:color="auto" w:fill="FFFFFF" w:themeFill="background1"/>
            <w:vAlign w:val="center"/>
          </w:tcPr>
          <w:p w14:paraId="19FAC93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Xu et al. (2025)</w:t>
            </w:r>
          </w:p>
        </w:tc>
        <w:tc>
          <w:tcPr>
            <w:tcW w:w="907" w:type="dxa"/>
            <w:shd w:val="clear" w:color="auto" w:fill="FFFFFF" w:themeFill="background1"/>
            <w:vAlign w:val="center"/>
          </w:tcPr>
          <w:p w14:paraId="45066FB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China; 381 employees</w:t>
            </w:r>
          </w:p>
        </w:tc>
        <w:tc>
          <w:tcPr>
            <w:tcW w:w="1078" w:type="dxa"/>
            <w:shd w:val="clear" w:color="auto" w:fill="FFFFFF" w:themeFill="background1"/>
            <w:vAlign w:val="center"/>
          </w:tcPr>
          <w:p w14:paraId="22F7A6E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Human-AI collaboration</w:t>
            </w:r>
          </w:p>
        </w:tc>
        <w:tc>
          <w:tcPr>
            <w:tcW w:w="1275" w:type="dxa"/>
            <w:shd w:val="clear" w:color="auto" w:fill="FFFFFF" w:themeFill="background1"/>
            <w:vAlign w:val="center"/>
          </w:tcPr>
          <w:p w14:paraId="11CBB2D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Cyberloafing; AI identity</w:t>
            </w:r>
          </w:p>
        </w:tc>
        <w:tc>
          <w:tcPr>
            <w:tcW w:w="2229" w:type="dxa"/>
            <w:shd w:val="clear" w:color="auto" w:fill="FFFFFF" w:themeFill="background1"/>
            <w:vAlign w:val="center"/>
          </w:tcPr>
          <w:p w14:paraId="4E985BF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identity; openness</w:t>
            </w:r>
          </w:p>
        </w:tc>
        <w:tc>
          <w:tcPr>
            <w:tcW w:w="1071" w:type="dxa"/>
            <w:shd w:val="clear" w:color="auto" w:fill="FFFFFF" w:themeFill="background1"/>
            <w:vAlign w:val="center"/>
          </w:tcPr>
          <w:p w14:paraId="460CCA4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 xml:space="preserve">Low openness </w:t>
            </w:r>
          </w:p>
        </w:tc>
        <w:tc>
          <w:tcPr>
            <w:tcW w:w="1583" w:type="dxa"/>
            <w:shd w:val="clear" w:color="auto" w:fill="FFFFFF" w:themeFill="background1"/>
            <w:vAlign w:val="center"/>
          </w:tcPr>
          <w:p w14:paraId="73B7E9F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Training; interaction design</w:t>
            </w:r>
          </w:p>
        </w:tc>
        <w:tc>
          <w:tcPr>
            <w:tcW w:w="1314" w:type="dxa"/>
            <w:shd w:val="clear" w:color="auto" w:fill="FFFFFF" w:themeFill="background1"/>
            <w:vAlign w:val="center"/>
          </w:tcPr>
          <w:p w14:paraId="7196A395">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Social Identity Theory</w:t>
            </w:r>
          </w:p>
        </w:tc>
        <w:tc>
          <w:tcPr>
            <w:tcW w:w="1057" w:type="dxa"/>
            <w:shd w:val="clear" w:color="auto" w:fill="FFFFFF" w:themeFill="background1"/>
            <w:vAlign w:val="center"/>
          </w:tcPr>
          <w:p w14:paraId="3B0E6DA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Three-wave survey; n=381</w:t>
            </w:r>
          </w:p>
        </w:tc>
        <w:tc>
          <w:tcPr>
            <w:tcW w:w="1814" w:type="dxa"/>
            <w:shd w:val="clear" w:color="auto" w:fill="FFFFFF" w:themeFill="background1"/>
            <w:vAlign w:val="center"/>
          </w:tcPr>
          <w:p w14:paraId="3391C0D7">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Human-AI collaboration reduced cyberloafing via AI identity.</w:t>
            </w:r>
          </w:p>
        </w:tc>
        <w:tc>
          <w:tcPr>
            <w:tcW w:w="707" w:type="dxa"/>
            <w:shd w:val="clear" w:color="auto" w:fill="FFFFFF" w:themeFill="background1"/>
            <w:vAlign w:val="center"/>
          </w:tcPr>
          <w:tbl>
            <w:tblPr>
              <w:tblStyle w:val="36"/>
              <w:tblW w:w="0" w:type="auto"/>
              <w:tblCellSpacing w:w="15" w:type="dxa"/>
              <w:tblInd w:w="0" w:type="dxa"/>
              <w:tblLayout w:type="fixed"/>
              <w:tblCellMar>
                <w:top w:w="15" w:type="dxa"/>
                <w:left w:w="15" w:type="dxa"/>
                <w:bottom w:w="15" w:type="dxa"/>
                <w:right w:w="15" w:type="dxa"/>
              </w:tblCellMar>
            </w:tblPr>
            <w:tblGrid>
              <w:gridCol w:w="95"/>
              <w:gridCol w:w="435"/>
            </w:tblGrid>
            <w:tr w14:paraId="00E26C40">
              <w:tblPrEx>
                <w:tblCellMar>
                  <w:top w:w="15" w:type="dxa"/>
                  <w:left w:w="15" w:type="dxa"/>
                  <w:bottom w:w="15" w:type="dxa"/>
                  <w:right w:w="15" w:type="dxa"/>
                </w:tblCellMar>
              </w:tblPrEx>
              <w:trPr>
                <w:tblCellSpacing w:w="15" w:type="dxa"/>
              </w:trPr>
              <w:tc>
                <w:tcPr>
                  <w:tcW w:w="36" w:type="dxa"/>
                  <w:vAlign w:val="center"/>
                </w:tcPr>
                <w:p w14:paraId="799FC6C7">
                  <w:pPr>
                    <w:spacing w:after="0" w:line="240" w:lineRule="auto"/>
                    <w:rPr>
                      <w:rFonts w:ascii="Times New Roman" w:hAnsi="Times New Roman" w:eastAsia="Times New Roman" w:cs="Times New Roman"/>
                      <w:sz w:val="20"/>
                      <w:szCs w:val="20"/>
                    </w:rPr>
                  </w:pPr>
                </w:p>
              </w:tc>
              <w:tc>
                <w:tcPr>
                  <w:tcW w:w="390" w:type="dxa"/>
                  <w:vAlign w:val="center"/>
                </w:tcPr>
                <w:p w14:paraId="0199B5DC">
                  <w:pPr>
                    <w:spacing w:after="0" w:line="240" w:lineRule="auto"/>
                    <w:rPr>
                      <w:rFonts w:hint="eastAsia" w:ascii="宋体" w:hAnsi="宋体" w:eastAsia="宋体" w:cs="宋体"/>
                      <w:sz w:val="24"/>
                    </w:rPr>
                  </w:pPr>
                  <w:r>
                    <w:rPr>
                      <w:rFonts w:ascii="宋体" w:hAnsi="宋体" w:eastAsia="宋体" w:cs="宋体"/>
                      <w:sz w:val="24"/>
                    </w:rPr>
                    <w:t>RO3</w:t>
                  </w:r>
                </w:p>
              </w:tc>
            </w:tr>
          </w:tbl>
          <w:p w14:paraId="095F96FD">
            <w:pPr>
              <w:spacing w:after="0" w:line="240" w:lineRule="auto"/>
              <w:jc w:val="both"/>
              <w:rPr>
                <w:rFonts w:ascii="Times New Roman" w:hAnsi="Times New Roman" w:eastAsia="宋体" w:cs="Times New Roman"/>
                <w:sz w:val="20"/>
                <w:szCs w:val="20"/>
              </w:rPr>
            </w:pPr>
          </w:p>
        </w:tc>
      </w:tr>
      <w:tr w14:paraId="659B0D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5A7B8E57">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45</w:t>
            </w:r>
          </w:p>
        </w:tc>
        <w:tc>
          <w:tcPr>
            <w:tcW w:w="865" w:type="dxa"/>
            <w:shd w:val="clear" w:color="auto" w:fill="FFFFFF" w:themeFill="background1"/>
            <w:vAlign w:val="center"/>
          </w:tcPr>
          <w:p w14:paraId="51108B2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Gao, Liu &amp; Yang (2025)</w:t>
            </w:r>
          </w:p>
        </w:tc>
        <w:tc>
          <w:tcPr>
            <w:tcW w:w="907" w:type="dxa"/>
            <w:shd w:val="clear" w:color="auto" w:fill="FFFFFF" w:themeFill="background1"/>
            <w:vAlign w:val="center"/>
          </w:tcPr>
          <w:p w14:paraId="02B63D9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China; listed companies; 511 questionnaires</w:t>
            </w:r>
          </w:p>
        </w:tc>
        <w:tc>
          <w:tcPr>
            <w:tcW w:w="1078" w:type="dxa"/>
            <w:shd w:val="clear" w:color="auto" w:fill="FFFFFF" w:themeFill="background1"/>
            <w:vAlign w:val="center"/>
          </w:tcPr>
          <w:p w14:paraId="2464AF9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Enterprise AI use</w:t>
            </w:r>
          </w:p>
        </w:tc>
        <w:tc>
          <w:tcPr>
            <w:tcW w:w="1275" w:type="dxa"/>
            <w:shd w:val="clear" w:color="auto" w:fill="FFFFFF" w:themeFill="background1"/>
            <w:vAlign w:val="center"/>
          </w:tcPr>
          <w:p w14:paraId="45B09AA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Firm innovation capability</w:t>
            </w:r>
          </w:p>
        </w:tc>
        <w:tc>
          <w:tcPr>
            <w:tcW w:w="2229" w:type="dxa"/>
            <w:shd w:val="clear" w:color="auto" w:fill="FFFFFF" w:themeFill="background1"/>
            <w:vAlign w:val="center"/>
          </w:tcPr>
          <w:p w14:paraId="232AF4D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Digital adaptability; market perception</w:t>
            </w:r>
          </w:p>
        </w:tc>
        <w:tc>
          <w:tcPr>
            <w:tcW w:w="1071" w:type="dxa"/>
            <w:shd w:val="clear" w:color="auto" w:fill="FFFFFF" w:themeFill="background1"/>
            <w:vAlign w:val="center"/>
          </w:tcPr>
          <w:p w14:paraId="420041C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583" w:type="dxa"/>
            <w:shd w:val="clear" w:color="auto" w:fill="FFFFFF" w:themeFill="background1"/>
            <w:vAlign w:val="center"/>
          </w:tcPr>
          <w:p w14:paraId="1EE7A54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37BBE9DC">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Dynamic Capabilities Theory</w:t>
            </w:r>
          </w:p>
        </w:tc>
        <w:tc>
          <w:tcPr>
            <w:tcW w:w="1057" w:type="dxa"/>
            <w:shd w:val="clear" w:color="auto" w:fill="FFFFFF" w:themeFill="background1"/>
            <w:vAlign w:val="center"/>
          </w:tcPr>
          <w:p w14:paraId="3F0773B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Questionnaire study; chain mediation</w:t>
            </w:r>
          </w:p>
        </w:tc>
        <w:tc>
          <w:tcPr>
            <w:tcW w:w="1814" w:type="dxa"/>
            <w:shd w:val="clear" w:color="auto" w:fill="FFFFFF" w:themeFill="background1"/>
            <w:vAlign w:val="center"/>
          </w:tcPr>
          <w:p w14:paraId="1BEE0DD1">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Enterprise AI use raised innovation capability.</w:t>
            </w:r>
          </w:p>
        </w:tc>
        <w:tc>
          <w:tcPr>
            <w:tcW w:w="707" w:type="dxa"/>
            <w:shd w:val="clear" w:color="auto" w:fill="FFFFFF" w:themeFill="background1"/>
            <w:vAlign w:val="center"/>
          </w:tcPr>
          <w:p w14:paraId="1694CD77">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RO1</w:t>
            </w:r>
          </w:p>
        </w:tc>
      </w:tr>
      <w:tr w14:paraId="031081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08523AC6">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46</w:t>
            </w:r>
          </w:p>
        </w:tc>
        <w:tc>
          <w:tcPr>
            <w:tcW w:w="865" w:type="dxa"/>
            <w:shd w:val="clear" w:color="auto" w:fill="FFFFFF" w:themeFill="background1"/>
            <w:vAlign w:val="center"/>
          </w:tcPr>
          <w:p w14:paraId="55A5645E">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 xml:space="preserve">Cheng </w:t>
            </w:r>
            <w:r>
              <w:rPr>
                <w:rFonts w:ascii="Times New Roman" w:hAnsi="Times New Roman" w:eastAsia="宋体" w:cs="Times New Roman"/>
                <w:sz w:val="20"/>
                <w:szCs w:val="20"/>
              </w:rPr>
              <w:t>et al. (</w:t>
            </w:r>
            <w:r>
              <w:rPr>
                <w:rFonts w:hint="eastAsia" w:ascii="Times New Roman" w:hAnsi="Times New Roman" w:eastAsia="宋体" w:cs="Times New Roman"/>
                <w:sz w:val="20"/>
                <w:szCs w:val="20"/>
              </w:rPr>
              <w:t>2022)</w:t>
            </w:r>
          </w:p>
        </w:tc>
        <w:tc>
          <w:tcPr>
            <w:tcW w:w="907" w:type="dxa"/>
            <w:shd w:val="clear" w:color="auto" w:fill="FFFFFF" w:themeFill="background1"/>
            <w:vAlign w:val="center"/>
          </w:tcPr>
          <w:p w14:paraId="45084AF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Integrative review; multiple settings</w:t>
            </w:r>
          </w:p>
        </w:tc>
        <w:tc>
          <w:tcPr>
            <w:tcW w:w="1078" w:type="dxa"/>
            <w:shd w:val="clear" w:color="auto" w:fill="FFFFFF" w:themeFill="background1"/>
            <w:vAlign w:val="center"/>
          </w:tcPr>
          <w:p w14:paraId="6A30668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AI-driven management</w:t>
            </w:r>
          </w:p>
        </w:tc>
        <w:tc>
          <w:tcPr>
            <w:tcW w:w="1275" w:type="dxa"/>
            <w:shd w:val="clear" w:color="auto" w:fill="FFFFFF" w:themeFill="background1"/>
            <w:vAlign w:val="center"/>
          </w:tcPr>
          <w:p w14:paraId="5DDB2F5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Negative emotions; job insecurity</w:t>
            </w:r>
          </w:p>
        </w:tc>
        <w:tc>
          <w:tcPr>
            <w:tcW w:w="2229" w:type="dxa"/>
            <w:shd w:val="clear" w:color="auto" w:fill="FFFFFF" w:themeFill="background1"/>
            <w:vAlign w:val="center"/>
          </w:tcPr>
          <w:p w14:paraId="3CB45A66">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071" w:type="dxa"/>
            <w:shd w:val="clear" w:color="auto" w:fill="FFFFFF" w:themeFill="background1"/>
            <w:vAlign w:val="center"/>
          </w:tcPr>
          <w:p w14:paraId="6DFCD89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AI-M decision ownership</w:t>
            </w:r>
          </w:p>
        </w:tc>
        <w:tc>
          <w:tcPr>
            <w:tcW w:w="1583" w:type="dxa"/>
            <w:shd w:val="clear" w:color="auto" w:fill="FFFFFF" w:themeFill="background1"/>
            <w:vAlign w:val="center"/>
          </w:tcPr>
          <w:p w14:paraId="180D008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EI-enhanced strategies</w:t>
            </w:r>
          </w:p>
        </w:tc>
        <w:tc>
          <w:tcPr>
            <w:tcW w:w="1314" w:type="dxa"/>
            <w:shd w:val="clear" w:color="auto" w:fill="FFFFFF" w:themeFill="background1"/>
            <w:vAlign w:val="center"/>
          </w:tcPr>
          <w:p w14:paraId="45DA0A64">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Lazarus's appraisal theory</w:t>
            </w:r>
          </w:p>
        </w:tc>
        <w:tc>
          <w:tcPr>
            <w:tcW w:w="1057" w:type="dxa"/>
            <w:shd w:val="clear" w:color="auto" w:fill="FFFFFF" w:themeFill="background1"/>
            <w:vAlign w:val="center"/>
          </w:tcPr>
          <w:p w14:paraId="58CD85E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Integrative review</w:t>
            </w:r>
          </w:p>
        </w:tc>
        <w:tc>
          <w:tcPr>
            <w:tcW w:w="1814" w:type="dxa"/>
            <w:shd w:val="clear" w:color="auto" w:fill="FFFFFF" w:themeFill="background1"/>
            <w:vAlign w:val="center"/>
          </w:tcPr>
          <w:p w14:paraId="5F95E3A0">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AI-driven management raised performance but triggered negative emotions.</w:t>
            </w:r>
          </w:p>
        </w:tc>
        <w:tc>
          <w:tcPr>
            <w:tcW w:w="707" w:type="dxa"/>
            <w:shd w:val="clear" w:color="auto" w:fill="FFFFFF" w:themeFill="background1"/>
            <w:vAlign w:val="center"/>
          </w:tcPr>
          <w:p w14:paraId="144A57A1">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RO2</w:t>
            </w:r>
          </w:p>
        </w:tc>
      </w:tr>
      <w:tr w14:paraId="2DE972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2B46AB55">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47</w:t>
            </w:r>
          </w:p>
        </w:tc>
        <w:tc>
          <w:tcPr>
            <w:tcW w:w="865" w:type="dxa"/>
            <w:shd w:val="clear" w:color="auto" w:fill="FFFFFF" w:themeFill="background1"/>
            <w:vAlign w:val="center"/>
          </w:tcPr>
          <w:p w14:paraId="51279CB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Barnes &amp; Hutson (2024)</w:t>
            </w:r>
          </w:p>
        </w:tc>
        <w:tc>
          <w:tcPr>
            <w:tcW w:w="907" w:type="dxa"/>
            <w:shd w:val="clear" w:color="auto" w:fill="FFFFFF" w:themeFill="background1"/>
            <w:vAlign w:val="center"/>
          </w:tcPr>
          <w:p w14:paraId="77B327B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Interdisciplinary review; AI ethics</w:t>
            </w:r>
          </w:p>
        </w:tc>
        <w:tc>
          <w:tcPr>
            <w:tcW w:w="1078" w:type="dxa"/>
            <w:shd w:val="clear" w:color="auto" w:fill="FFFFFF" w:themeFill="background1"/>
            <w:vAlign w:val="center"/>
          </w:tcPr>
          <w:p w14:paraId="2F07632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 xml:space="preserve">AI in existential inquiry </w:t>
            </w:r>
          </w:p>
        </w:tc>
        <w:tc>
          <w:tcPr>
            <w:tcW w:w="1275" w:type="dxa"/>
            <w:shd w:val="clear" w:color="auto" w:fill="FFFFFF" w:themeFill="background1"/>
            <w:vAlign w:val="center"/>
          </w:tcPr>
          <w:p w14:paraId="4973E10E">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2229" w:type="dxa"/>
            <w:shd w:val="clear" w:color="auto" w:fill="FFFFFF" w:themeFill="background1"/>
            <w:vAlign w:val="center"/>
          </w:tcPr>
          <w:p w14:paraId="7D8DA2A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as reflective tool</w:t>
            </w:r>
          </w:p>
        </w:tc>
        <w:tc>
          <w:tcPr>
            <w:tcW w:w="1071" w:type="dxa"/>
            <w:shd w:val="clear" w:color="auto" w:fill="FFFFFF" w:themeFill="background1"/>
            <w:vAlign w:val="center"/>
          </w:tcPr>
          <w:p w14:paraId="3DA61FA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lacks self-awareness</w:t>
            </w:r>
          </w:p>
        </w:tc>
        <w:tc>
          <w:tcPr>
            <w:tcW w:w="1583" w:type="dxa"/>
            <w:shd w:val="clear" w:color="auto" w:fill="FFFFFF" w:themeFill="background1"/>
            <w:vAlign w:val="center"/>
          </w:tcPr>
          <w:p w14:paraId="2919706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Responsible AI; transparency</w:t>
            </w:r>
          </w:p>
        </w:tc>
        <w:tc>
          <w:tcPr>
            <w:tcW w:w="1314" w:type="dxa"/>
            <w:shd w:val="clear" w:color="auto" w:fill="FFFFFF" w:themeFill="background1"/>
            <w:vAlign w:val="center"/>
          </w:tcPr>
          <w:p w14:paraId="4FF93F36">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Existential philosophy</w:t>
            </w:r>
          </w:p>
        </w:tc>
        <w:tc>
          <w:tcPr>
            <w:tcW w:w="1057" w:type="dxa"/>
            <w:shd w:val="clear" w:color="auto" w:fill="FFFFFF" w:themeFill="background1"/>
            <w:vAlign w:val="center"/>
          </w:tcPr>
          <w:p w14:paraId="27FACBC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Conceptual analysiss</w:t>
            </w:r>
          </w:p>
        </w:tc>
        <w:tc>
          <w:tcPr>
            <w:tcW w:w="1814" w:type="dxa"/>
            <w:shd w:val="clear" w:color="auto" w:fill="FFFFFF" w:themeFill="background1"/>
            <w:vAlign w:val="center"/>
          </w:tcPr>
          <w:p w14:paraId="5B67ED2D">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AI simulates existential thought but lacks self-awareness.</w:t>
            </w:r>
          </w:p>
        </w:tc>
        <w:tc>
          <w:tcPr>
            <w:tcW w:w="707" w:type="dxa"/>
            <w:shd w:val="clear" w:color="auto" w:fill="FFFFFF" w:themeFill="background1"/>
            <w:vAlign w:val="center"/>
          </w:tcPr>
          <w:p w14:paraId="3D02C26C">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RO1</w:t>
            </w:r>
          </w:p>
        </w:tc>
      </w:tr>
      <w:tr w14:paraId="555F858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6FD53E69">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48</w:t>
            </w:r>
          </w:p>
        </w:tc>
        <w:tc>
          <w:tcPr>
            <w:tcW w:w="865" w:type="dxa"/>
            <w:shd w:val="clear" w:color="auto" w:fill="FFFFFF" w:themeFill="background1"/>
            <w:vAlign w:val="center"/>
          </w:tcPr>
          <w:p w14:paraId="62C8402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Lițan (2025)</w:t>
            </w:r>
          </w:p>
        </w:tc>
        <w:tc>
          <w:tcPr>
            <w:tcW w:w="907" w:type="dxa"/>
            <w:shd w:val="clear" w:color="auto" w:fill="FFFFFF" w:themeFill="background1"/>
            <w:vAlign w:val="center"/>
          </w:tcPr>
          <w:p w14:paraId="3752C5E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Meta-analysis; 47 papers; n=36,100</w:t>
            </w:r>
          </w:p>
        </w:tc>
        <w:tc>
          <w:tcPr>
            <w:tcW w:w="1078" w:type="dxa"/>
            <w:shd w:val="clear" w:color="auto" w:fill="FFFFFF" w:themeFill="background1"/>
            <w:vAlign w:val="center"/>
          </w:tcPr>
          <w:p w14:paraId="7D7F1AA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Digital technology environment</w:t>
            </w:r>
          </w:p>
        </w:tc>
        <w:tc>
          <w:tcPr>
            <w:tcW w:w="1275" w:type="dxa"/>
            <w:shd w:val="clear" w:color="auto" w:fill="FFFFFF" w:themeFill="background1"/>
            <w:vAlign w:val="center"/>
          </w:tcPr>
          <w:p w14:paraId="102ECD3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Burnout; well-being</w:t>
            </w:r>
          </w:p>
        </w:tc>
        <w:tc>
          <w:tcPr>
            <w:tcW w:w="2229" w:type="dxa"/>
            <w:shd w:val="clear" w:color="auto" w:fill="FFFFFF" w:themeFill="background1"/>
            <w:vAlign w:val="center"/>
          </w:tcPr>
          <w:p w14:paraId="6E84832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Well-being</w:t>
            </w:r>
          </w:p>
        </w:tc>
        <w:tc>
          <w:tcPr>
            <w:tcW w:w="1071" w:type="dxa"/>
            <w:shd w:val="clear" w:color="auto" w:fill="FFFFFF" w:themeFill="background1"/>
            <w:vAlign w:val="center"/>
          </w:tcPr>
          <w:p w14:paraId="6CA7B7B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Burnout</w:t>
            </w:r>
          </w:p>
        </w:tc>
        <w:tc>
          <w:tcPr>
            <w:tcW w:w="1583" w:type="dxa"/>
            <w:shd w:val="clear" w:color="auto" w:fill="FFFFFF" w:themeFill="background1"/>
            <w:vAlign w:val="center"/>
          </w:tcPr>
          <w:p w14:paraId="793FFE28">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27064F86">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Meta-analytic framework</w:t>
            </w:r>
          </w:p>
        </w:tc>
        <w:tc>
          <w:tcPr>
            <w:tcW w:w="1057" w:type="dxa"/>
            <w:shd w:val="clear" w:color="auto" w:fill="FFFFFF" w:themeFill="background1"/>
            <w:vAlign w:val="center"/>
          </w:tcPr>
          <w:p w14:paraId="38259F6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Meta-analysis</w:t>
            </w:r>
          </w:p>
        </w:tc>
        <w:tc>
          <w:tcPr>
            <w:tcW w:w="1814" w:type="dxa"/>
            <w:shd w:val="clear" w:color="auto" w:fill="FFFFFF" w:themeFill="background1"/>
            <w:vAlign w:val="center"/>
          </w:tcPr>
          <w:p w14:paraId="1661C09D">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Digital technologies have both positive and negative mental health effects.</w:t>
            </w:r>
          </w:p>
        </w:tc>
        <w:tc>
          <w:tcPr>
            <w:tcW w:w="707" w:type="dxa"/>
            <w:shd w:val="clear" w:color="auto" w:fill="FFFFFF" w:themeFill="background1"/>
            <w:vAlign w:val="center"/>
          </w:tcPr>
          <w:p w14:paraId="3F26FA5D">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RO2</w:t>
            </w:r>
          </w:p>
        </w:tc>
      </w:tr>
      <w:tr w14:paraId="474329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4C9220F3">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49</w:t>
            </w:r>
          </w:p>
        </w:tc>
        <w:tc>
          <w:tcPr>
            <w:tcW w:w="865" w:type="dxa"/>
            <w:shd w:val="clear" w:color="auto" w:fill="FFFFFF" w:themeFill="background1"/>
            <w:vAlign w:val="center"/>
          </w:tcPr>
          <w:p w14:paraId="1D06D7C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Gao et al. (2025)</w:t>
            </w:r>
          </w:p>
        </w:tc>
        <w:tc>
          <w:tcPr>
            <w:tcW w:w="907" w:type="dxa"/>
            <w:shd w:val="clear" w:color="auto" w:fill="FFFFFF" w:themeFill="background1"/>
            <w:vAlign w:val="center"/>
          </w:tcPr>
          <w:p w14:paraId="2A8FD9E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Review; social anxiety</w:t>
            </w:r>
          </w:p>
        </w:tc>
        <w:tc>
          <w:tcPr>
            <w:tcW w:w="1078" w:type="dxa"/>
            <w:shd w:val="clear" w:color="auto" w:fill="FFFFFF" w:themeFill="background1"/>
            <w:vAlign w:val="center"/>
          </w:tcPr>
          <w:p w14:paraId="6BA78E7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Not AI-specific</w:t>
            </w:r>
          </w:p>
        </w:tc>
        <w:tc>
          <w:tcPr>
            <w:tcW w:w="1275" w:type="dxa"/>
            <w:shd w:val="clear" w:color="auto" w:fill="FFFFFF" w:themeFill="background1"/>
            <w:vAlign w:val="center"/>
          </w:tcPr>
          <w:p w14:paraId="16116EBC">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2229" w:type="dxa"/>
            <w:shd w:val="clear" w:color="auto" w:fill="FFFFFF" w:themeFill="background1"/>
            <w:vAlign w:val="center"/>
          </w:tcPr>
          <w:p w14:paraId="35D1CD62">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071" w:type="dxa"/>
            <w:shd w:val="clear" w:color="auto" w:fill="FFFFFF" w:themeFill="background1"/>
            <w:vAlign w:val="center"/>
          </w:tcPr>
          <w:p w14:paraId="4CC0ED16">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583" w:type="dxa"/>
            <w:shd w:val="clear" w:color="auto" w:fill="FFFFFF" w:themeFill="background1"/>
            <w:vAlign w:val="center"/>
          </w:tcPr>
          <w:p w14:paraId="20543F95">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5B1801C2">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BFOE Model</w:t>
            </w:r>
          </w:p>
        </w:tc>
        <w:tc>
          <w:tcPr>
            <w:tcW w:w="1057" w:type="dxa"/>
            <w:shd w:val="clear" w:color="auto" w:fill="FFFFFF" w:themeFill="background1"/>
            <w:vAlign w:val="center"/>
          </w:tcPr>
          <w:p w14:paraId="4308460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Review article</w:t>
            </w:r>
          </w:p>
        </w:tc>
        <w:tc>
          <w:tcPr>
            <w:tcW w:w="1814" w:type="dxa"/>
            <w:shd w:val="clear" w:color="auto" w:fill="FFFFFF" w:themeFill="background1"/>
            <w:vAlign w:val="center"/>
          </w:tcPr>
          <w:p w14:paraId="2F72FFCA">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FNE and FPE differ in motivation and neural mechanisms.</w:t>
            </w:r>
          </w:p>
        </w:tc>
        <w:tc>
          <w:tcPr>
            <w:tcW w:w="707" w:type="dxa"/>
            <w:shd w:val="clear" w:color="auto" w:fill="FFFFFF" w:themeFill="background1"/>
            <w:vAlign w:val="center"/>
          </w:tcPr>
          <w:p w14:paraId="69CBB748">
            <w:pPr>
              <w:spacing w:after="0" w:line="240" w:lineRule="auto"/>
              <w:rPr>
                <w:rFonts w:ascii="Times New Roman" w:hAnsi="Times New Roman" w:eastAsia="宋体" w:cs="Times New Roman"/>
                <w:sz w:val="20"/>
                <w:szCs w:val="20"/>
              </w:rPr>
            </w:pPr>
            <w:r>
              <w:rPr>
                <w:rFonts w:hint="eastAsia" w:ascii="Times New Roman" w:hAnsi="Times New Roman" w:eastAsia="宋体" w:cs="Times New Roman"/>
                <w:sz w:val="20"/>
                <w:szCs w:val="20"/>
              </w:rPr>
              <w:t>RO2</w:t>
            </w:r>
          </w:p>
        </w:tc>
      </w:tr>
      <w:tr w14:paraId="3279EC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7692BC97">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50</w:t>
            </w:r>
          </w:p>
        </w:tc>
        <w:tc>
          <w:tcPr>
            <w:tcW w:w="865" w:type="dxa"/>
            <w:shd w:val="clear" w:color="auto" w:fill="FFFFFF" w:themeFill="background1"/>
            <w:vAlign w:val="center"/>
          </w:tcPr>
          <w:p w14:paraId="7659D11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Ivanov et al. (2017)</w:t>
            </w:r>
          </w:p>
        </w:tc>
        <w:tc>
          <w:tcPr>
            <w:tcW w:w="907" w:type="dxa"/>
            <w:shd w:val="clear" w:color="auto" w:fill="FFFFFF" w:themeFill="background1"/>
            <w:vAlign w:val="center"/>
          </w:tcPr>
          <w:p w14:paraId="6EB7FA8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Tourism and hospitality settings</w:t>
            </w:r>
          </w:p>
        </w:tc>
        <w:tc>
          <w:tcPr>
            <w:tcW w:w="1078" w:type="dxa"/>
            <w:shd w:val="clear" w:color="auto" w:fill="FFFFFF" w:themeFill="background1"/>
            <w:vAlign w:val="center"/>
          </w:tcPr>
          <w:p w14:paraId="2312374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Service robots in tourism</w:t>
            </w:r>
          </w:p>
        </w:tc>
        <w:tc>
          <w:tcPr>
            <w:tcW w:w="1275" w:type="dxa"/>
            <w:shd w:val="clear" w:color="auto" w:fill="FFFFFF" w:themeFill="background1"/>
            <w:vAlign w:val="center"/>
          </w:tcPr>
          <w:p w14:paraId="0CDE6CF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Not employee-focused</w:t>
            </w:r>
          </w:p>
        </w:tc>
        <w:tc>
          <w:tcPr>
            <w:tcW w:w="2229" w:type="dxa"/>
            <w:shd w:val="clear" w:color="auto" w:fill="FFFFFF" w:themeFill="background1"/>
            <w:vAlign w:val="center"/>
          </w:tcPr>
          <w:p w14:paraId="4C07FE7A">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071" w:type="dxa"/>
            <w:shd w:val="clear" w:color="auto" w:fill="FFFFFF" w:themeFill="background1"/>
            <w:vAlign w:val="center"/>
          </w:tcPr>
          <w:p w14:paraId="69BA5C9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Adoption challenges</w:t>
            </w:r>
          </w:p>
        </w:tc>
        <w:tc>
          <w:tcPr>
            <w:tcW w:w="1583" w:type="dxa"/>
            <w:shd w:val="clear" w:color="auto" w:fill="FFFFFF" w:themeFill="background1"/>
            <w:vAlign w:val="center"/>
          </w:tcPr>
          <w:p w14:paraId="2D80127C">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2551E6E8">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057" w:type="dxa"/>
            <w:shd w:val="clear" w:color="auto" w:fill="FFFFFF" w:themeFill="background1"/>
            <w:vAlign w:val="center"/>
          </w:tcPr>
          <w:p w14:paraId="52140D2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Conceptual review</w:t>
            </w:r>
          </w:p>
        </w:tc>
        <w:tc>
          <w:tcPr>
            <w:tcW w:w="1814" w:type="dxa"/>
            <w:shd w:val="clear" w:color="auto" w:fill="FFFFFF" w:themeFill="background1"/>
            <w:vAlign w:val="center"/>
          </w:tcPr>
          <w:p w14:paraId="664A4858">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Maps robot adoption across tourism and hospitality.</w:t>
            </w:r>
          </w:p>
        </w:tc>
        <w:tc>
          <w:tcPr>
            <w:tcW w:w="707" w:type="dxa"/>
            <w:shd w:val="clear" w:color="auto" w:fill="FFFFFF" w:themeFill="background1"/>
            <w:vAlign w:val="center"/>
          </w:tcPr>
          <w:p w14:paraId="4AC63F5F">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261A9D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0A71599D">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51</w:t>
            </w:r>
          </w:p>
        </w:tc>
        <w:tc>
          <w:tcPr>
            <w:tcW w:w="865" w:type="dxa"/>
            <w:shd w:val="clear" w:color="auto" w:fill="FFFFFF" w:themeFill="background1"/>
            <w:vAlign w:val="center"/>
          </w:tcPr>
          <w:p w14:paraId="3987A15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Kensbock &amp; Stöckmann (2021)</w:t>
            </w:r>
          </w:p>
        </w:tc>
        <w:tc>
          <w:tcPr>
            <w:tcW w:w="907" w:type="dxa"/>
            <w:shd w:val="clear" w:color="auto" w:fill="FFFFFF" w:themeFill="background1"/>
            <w:vAlign w:val="center"/>
          </w:tcPr>
          <w:p w14:paraId="2345877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Survey; 100 employeesindustries</w:t>
            </w:r>
          </w:p>
        </w:tc>
        <w:tc>
          <w:tcPr>
            <w:tcW w:w="1078" w:type="dxa"/>
            <w:shd w:val="clear" w:color="auto" w:fill="FFFFFF" w:themeFill="background1"/>
            <w:vAlign w:val="center"/>
          </w:tcPr>
          <w:p w14:paraId="3D6B63B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Digital transformation</w:t>
            </w:r>
          </w:p>
        </w:tc>
        <w:tc>
          <w:tcPr>
            <w:tcW w:w="1275" w:type="dxa"/>
            <w:shd w:val="clear" w:color="auto" w:fill="FFFFFF" w:themeFill="background1"/>
            <w:vAlign w:val="center"/>
          </w:tcPr>
          <w:p w14:paraId="5BDCF16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Learning orientation; voice behavior</w:t>
            </w:r>
          </w:p>
        </w:tc>
        <w:tc>
          <w:tcPr>
            <w:tcW w:w="2229" w:type="dxa"/>
            <w:shd w:val="clear" w:color="auto" w:fill="FFFFFF" w:themeFill="background1"/>
            <w:vAlign w:val="center"/>
          </w:tcPr>
          <w:p w14:paraId="4626677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Digital transformation</w:t>
            </w:r>
          </w:p>
        </w:tc>
        <w:tc>
          <w:tcPr>
            <w:tcW w:w="1071" w:type="dxa"/>
            <w:shd w:val="clear" w:color="auto" w:fill="FFFFFF" w:themeFill="background1"/>
            <w:vAlign w:val="center"/>
          </w:tcPr>
          <w:p w14:paraId="4A5C390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Perceived surveillance via technology</w:t>
            </w:r>
          </w:p>
        </w:tc>
        <w:tc>
          <w:tcPr>
            <w:tcW w:w="1583" w:type="dxa"/>
            <w:shd w:val="clear" w:color="auto" w:fill="FFFFFF" w:themeFill="background1"/>
            <w:vAlign w:val="center"/>
          </w:tcPr>
          <w:p w14:paraId="4F0420CC">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6C6B23D9">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Self-Determination Theory; Cognitive Evaluation Theory</w:t>
            </w:r>
          </w:p>
        </w:tc>
        <w:tc>
          <w:tcPr>
            <w:tcW w:w="1057" w:type="dxa"/>
            <w:shd w:val="clear" w:color="auto" w:fill="FFFFFF" w:themeFill="background1"/>
            <w:vAlign w:val="center"/>
          </w:tcPr>
          <w:p w14:paraId="654B31B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Survey study; PROCESS macro; bootstrapping</w:t>
            </w:r>
          </w:p>
        </w:tc>
        <w:tc>
          <w:tcPr>
            <w:tcW w:w="1814" w:type="dxa"/>
            <w:shd w:val="clear" w:color="auto" w:fill="FFFFFF" w:themeFill="background1"/>
            <w:vAlign w:val="center"/>
          </w:tcPr>
          <w:p w14:paraId="10BE48DE">
            <w:pPr>
              <w:spacing w:after="0" w:line="240" w:lineRule="auto"/>
              <w:rPr>
                <w:rFonts w:ascii="Times New Roman" w:hAnsi="Times New Roman" w:eastAsia="宋体" w:cs="Times New Roman"/>
                <w:sz w:val="20"/>
                <w:szCs w:val="20"/>
              </w:rPr>
            </w:pPr>
            <w:r>
              <w:rPr>
                <w:rFonts w:ascii="Times New Roman" w:hAnsi="Times New Roman" w:eastAsia="Times New Roman" w:cs="Times New Roman"/>
                <w:sz w:val="20"/>
                <w:szCs w:val="20"/>
              </w:rPr>
              <w:t>Digital transformation raised learning and voice, but surveillance undermined it.</w:t>
            </w:r>
          </w:p>
        </w:tc>
        <w:tc>
          <w:tcPr>
            <w:tcW w:w="707" w:type="dxa"/>
            <w:shd w:val="clear" w:color="auto" w:fill="FFFFFF" w:themeFill="background1"/>
            <w:vAlign w:val="center"/>
          </w:tcPr>
          <w:p w14:paraId="6EFE1FE6">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08919B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66202866">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52</w:t>
            </w:r>
          </w:p>
        </w:tc>
        <w:tc>
          <w:tcPr>
            <w:tcW w:w="865" w:type="dxa"/>
            <w:shd w:val="clear" w:color="auto" w:fill="FFFFFF" w:themeFill="background1"/>
            <w:vAlign w:val="center"/>
          </w:tcPr>
          <w:p w14:paraId="7ABACB7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Soomro et al. (2026)</w:t>
            </w:r>
          </w:p>
        </w:tc>
        <w:tc>
          <w:tcPr>
            <w:tcW w:w="907" w:type="dxa"/>
            <w:shd w:val="clear" w:color="auto" w:fill="FFFFFF" w:themeFill="background1"/>
            <w:vAlign w:val="center"/>
          </w:tcPr>
          <w:p w14:paraId="6B1D4C9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Pakistan; 324 SME employees</w:t>
            </w:r>
          </w:p>
        </w:tc>
        <w:tc>
          <w:tcPr>
            <w:tcW w:w="1078" w:type="dxa"/>
            <w:shd w:val="clear" w:color="auto" w:fill="FFFFFF" w:themeFill="background1"/>
            <w:vAlign w:val="center"/>
          </w:tcPr>
          <w:p w14:paraId="5E10BA3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adoption in SMEs</w:t>
            </w:r>
          </w:p>
        </w:tc>
        <w:tc>
          <w:tcPr>
            <w:tcW w:w="1275" w:type="dxa"/>
            <w:shd w:val="clear" w:color="auto" w:fill="FFFFFF" w:themeFill="background1"/>
            <w:vAlign w:val="center"/>
          </w:tcPr>
          <w:p w14:paraId="42C3A23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Employee well-being</w:t>
            </w:r>
          </w:p>
        </w:tc>
        <w:tc>
          <w:tcPr>
            <w:tcW w:w="2229" w:type="dxa"/>
            <w:shd w:val="clear" w:color="auto" w:fill="FFFFFF" w:themeFill="background1"/>
            <w:vAlign w:val="center"/>
          </w:tcPr>
          <w:p w14:paraId="663335E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Managerial capability; AI adoption</w:t>
            </w:r>
          </w:p>
        </w:tc>
        <w:tc>
          <w:tcPr>
            <w:tcW w:w="1071" w:type="dxa"/>
            <w:shd w:val="clear" w:color="auto" w:fill="FFFFFF" w:themeFill="background1"/>
            <w:vAlign w:val="center"/>
          </w:tcPr>
          <w:p w14:paraId="55A8C16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anxiety</w:t>
            </w:r>
          </w:p>
        </w:tc>
        <w:tc>
          <w:tcPr>
            <w:tcW w:w="1583" w:type="dxa"/>
            <w:shd w:val="clear" w:color="auto" w:fill="FFFFFF" w:themeFill="background1"/>
            <w:vAlign w:val="center"/>
          </w:tcPr>
          <w:p w14:paraId="4610735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Support as moderator</w:t>
            </w:r>
          </w:p>
        </w:tc>
        <w:tc>
          <w:tcPr>
            <w:tcW w:w="1314" w:type="dxa"/>
            <w:shd w:val="clear" w:color="auto" w:fill="FFFFFF" w:themeFill="background1"/>
            <w:vAlign w:val="center"/>
          </w:tcPr>
          <w:p w14:paraId="0026CD05">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Affective Events Theory; Force Field Analysis</w:t>
            </w:r>
          </w:p>
        </w:tc>
        <w:tc>
          <w:tcPr>
            <w:tcW w:w="1057" w:type="dxa"/>
            <w:shd w:val="clear" w:color="auto" w:fill="FFFFFF" w:themeFill="background1"/>
            <w:vAlign w:val="center"/>
          </w:tcPr>
          <w:p w14:paraId="6B93F38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Survey; PLS-SEM; n=324</w:t>
            </w:r>
          </w:p>
        </w:tc>
        <w:tc>
          <w:tcPr>
            <w:tcW w:w="1814" w:type="dxa"/>
            <w:shd w:val="clear" w:color="auto" w:fill="FFFFFF" w:themeFill="background1"/>
            <w:vAlign w:val="center"/>
          </w:tcPr>
          <w:p w14:paraId="25F39E60">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AI anxiety harmed well-being, weakened by support.</w:t>
            </w:r>
          </w:p>
        </w:tc>
        <w:tc>
          <w:tcPr>
            <w:tcW w:w="707" w:type="dxa"/>
            <w:shd w:val="clear" w:color="auto" w:fill="FFFFFF" w:themeFill="background1"/>
            <w:vAlign w:val="center"/>
          </w:tcPr>
          <w:p w14:paraId="0E0FA09F">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55BD31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5511D49E">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53</w:t>
            </w:r>
          </w:p>
        </w:tc>
        <w:tc>
          <w:tcPr>
            <w:tcW w:w="865" w:type="dxa"/>
            <w:shd w:val="clear" w:color="auto" w:fill="FFFFFF" w:themeFill="background1"/>
            <w:vAlign w:val="center"/>
          </w:tcPr>
          <w:p w14:paraId="28169B8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He et al. (2023)</w:t>
            </w:r>
          </w:p>
        </w:tc>
        <w:tc>
          <w:tcPr>
            <w:tcW w:w="907" w:type="dxa"/>
            <w:shd w:val="clear" w:color="auto" w:fill="FFFFFF" w:themeFill="background1"/>
            <w:vAlign w:val="center"/>
          </w:tcPr>
          <w:p w14:paraId="065838C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China; 271 dyads; multi-source</w:t>
            </w:r>
          </w:p>
        </w:tc>
        <w:tc>
          <w:tcPr>
            <w:tcW w:w="1078" w:type="dxa"/>
            <w:shd w:val="clear" w:color="auto" w:fill="FFFFFF" w:themeFill="background1"/>
            <w:vAlign w:val="center"/>
          </w:tcPr>
          <w:p w14:paraId="0186AB0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Leaders’ AI-oriented change behavior</w:t>
            </w:r>
          </w:p>
        </w:tc>
        <w:tc>
          <w:tcPr>
            <w:tcW w:w="1275" w:type="dxa"/>
            <w:shd w:val="clear" w:color="auto" w:fill="FFFFFF" w:themeFill="background1"/>
            <w:vAlign w:val="center"/>
          </w:tcPr>
          <w:p w14:paraId="265C97C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performance; unethical behavior</w:t>
            </w:r>
          </w:p>
        </w:tc>
        <w:tc>
          <w:tcPr>
            <w:tcW w:w="2229" w:type="dxa"/>
            <w:shd w:val="clear" w:color="auto" w:fill="FFFFFF" w:themeFill="background1"/>
            <w:vAlign w:val="center"/>
          </w:tcPr>
          <w:p w14:paraId="4938159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Performance orientation as mediator</w:t>
            </w:r>
          </w:p>
        </w:tc>
        <w:tc>
          <w:tcPr>
            <w:tcW w:w="1071" w:type="dxa"/>
            <w:shd w:val="clear" w:color="auto" w:fill="FFFFFF" w:themeFill="background1"/>
            <w:vAlign w:val="center"/>
          </w:tcPr>
          <w:p w14:paraId="07A06AA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Trait competitiveness</w:t>
            </w:r>
          </w:p>
        </w:tc>
        <w:tc>
          <w:tcPr>
            <w:tcW w:w="1583" w:type="dxa"/>
            <w:shd w:val="clear" w:color="auto" w:fill="FFFFFF" w:themeFill="background1"/>
            <w:vAlign w:val="center"/>
          </w:tcPr>
          <w:p w14:paraId="30294EE8">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3BC4EEE0">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Social Information Processing Theory</w:t>
            </w:r>
          </w:p>
        </w:tc>
        <w:tc>
          <w:tcPr>
            <w:tcW w:w="1057" w:type="dxa"/>
            <w:shd w:val="clear" w:color="auto" w:fill="FFFFFF" w:themeFill="background1"/>
            <w:vAlign w:val="center"/>
          </w:tcPr>
          <w:p w14:paraId="0D0CE3F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Three-wave multi-source field survey; HLM</w:t>
            </w:r>
          </w:p>
        </w:tc>
        <w:tc>
          <w:tcPr>
            <w:tcW w:w="1814" w:type="dxa"/>
            <w:shd w:val="clear" w:color="auto" w:fill="FFFFFF" w:themeFill="background1"/>
            <w:vAlign w:val="center"/>
          </w:tcPr>
          <w:p w14:paraId="429327DE">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Leaders' AI change behaviour raised performance and unethical behaviour.</w:t>
            </w:r>
          </w:p>
        </w:tc>
        <w:tc>
          <w:tcPr>
            <w:tcW w:w="707" w:type="dxa"/>
            <w:shd w:val="clear" w:color="auto" w:fill="FFFFFF" w:themeFill="background1"/>
            <w:vAlign w:val="center"/>
          </w:tcPr>
          <w:p w14:paraId="226D4A04">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RO3</w:t>
            </w:r>
          </w:p>
        </w:tc>
      </w:tr>
      <w:tr w14:paraId="335293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56146E41">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54</w:t>
            </w:r>
          </w:p>
        </w:tc>
        <w:tc>
          <w:tcPr>
            <w:tcW w:w="865" w:type="dxa"/>
            <w:shd w:val="clear" w:color="auto" w:fill="FFFFFF" w:themeFill="background1"/>
            <w:vAlign w:val="center"/>
          </w:tcPr>
          <w:p w14:paraId="68D6847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Kelm &amp; Johann (2024)</w:t>
            </w:r>
          </w:p>
        </w:tc>
        <w:tc>
          <w:tcPr>
            <w:tcW w:w="907" w:type="dxa"/>
            <w:shd w:val="clear" w:color="auto" w:fill="FFFFFF" w:themeFill="background1"/>
            <w:vAlign w:val="center"/>
          </w:tcPr>
          <w:p w14:paraId="08A47C5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Germany; 19 AI experts</w:t>
            </w:r>
          </w:p>
        </w:tc>
        <w:tc>
          <w:tcPr>
            <w:tcW w:w="1078" w:type="dxa"/>
            <w:shd w:val="clear" w:color="auto" w:fill="FFFFFF" w:themeFill="background1"/>
            <w:vAlign w:val="center"/>
          </w:tcPr>
          <w:p w14:paraId="29429E1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in corporate communications</w:t>
            </w:r>
          </w:p>
        </w:tc>
        <w:tc>
          <w:tcPr>
            <w:tcW w:w="1275" w:type="dxa"/>
            <w:shd w:val="clear" w:color="auto" w:fill="FFFFFF" w:themeFill="background1"/>
            <w:vAlign w:val="center"/>
          </w:tcPr>
          <w:p w14:paraId="7BB7068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acceptance</w:t>
            </w:r>
          </w:p>
        </w:tc>
        <w:tc>
          <w:tcPr>
            <w:tcW w:w="2229" w:type="dxa"/>
            <w:shd w:val="clear" w:color="auto" w:fill="FFFFFF" w:themeFill="background1"/>
            <w:vAlign w:val="center"/>
          </w:tcPr>
          <w:p w14:paraId="3782821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Usefulness; ease of use; awareness</w:t>
            </w:r>
          </w:p>
        </w:tc>
        <w:tc>
          <w:tcPr>
            <w:tcW w:w="1071" w:type="dxa"/>
            <w:shd w:val="clear" w:color="auto" w:fill="FFFFFF" w:themeFill="background1"/>
            <w:vAlign w:val="center"/>
          </w:tcPr>
          <w:p w14:paraId="24C6BCB3">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583" w:type="dxa"/>
            <w:shd w:val="clear" w:color="auto" w:fill="FFFFFF" w:themeFill="background1"/>
            <w:vAlign w:val="center"/>
          </w:tcPr>
          <w:p w14:paraId="7741E5E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Organizational readiness strategies</w:t>
            </w:r>
          </w:p>
        </w:tc>
        <w:tc>
          <w:tcPr>
            <w:tcW w:w="1314" w:type="dxa"/>
            <w:shd w:val="clear" w:color="auto" w:fill="FFFFFF" w:themeFill="background1"/>
            <w:vAlign w:val="center"/>
          </w:tcPr>
          <w:p w14:paraId="361DEF0A">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Extended TAM</w:t>
            </w:r>
          </w:p>
        </w:tc>
        <w:tc>
          <w:tcPr>
            <w:tcW w:w="1057" w:type="dxa"/>
            <w:shd w:val="clear" w:color="auto" w:fill="FFFFFF" w:themeFill="background1"/>
            <w:vAlign w:val="center"/>
          </w:tcPr>
          <w:p w14:paraId="356832E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Interviews; n=19</w:t>
            </w:r>
          </w:p>
        </w:tc>
        <w:tc>
          <w:tcPr>
            <w:tcW w:w="1814" w:type="dxa"/>
            <w:shd w:val="clear" w:color="auto" w:fill="FFFFFF" w:themeFill="background1"/>
            <w:vAlign w:val="center"/>
          </w:tcPr>
          <w:p w14:paraId="79762481">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Usefulness, ease of use and organisational awareness drove AI acceptance.</w:t>
            </w:r>
          </w:p>
        </w:tc>
        <w:tc>
          <w:tcPr>
            <w:tcW w:w="707" w:type="dxa"/>
            <w:shd w:val="clear" w:color="auto" w:fill="FFFFFF" w:themeFill="background1"/>
            <w:vAlign w:val="center"/>
          </w:tcPr>
          <w:p w14:paraId="44635F7A">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2AF5D7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01F08617">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55</w:t>
            </w:r>
          </w:p>
        </w:tc>
        <w:tc>
          <w:tcPr>
            <w:tcW w:w="865" w:type="dxa"/>
            <w:shd w:val="clear" w:color="auto" w:fill="FFFFFF" w:themeFill="background1"/>
            <w:vAlign w:val="center"/>
          </w:tcPr>
          <w:p w14:paraId="0354E0D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b/>
            </w:r>
            <w:r>
              <w:rPr>
                <w:rFonts w:ascii="Times New Roman" w:hAnsi="Times New Roman" w:eastAsia="宋体" w:cs="Times New Roman"/>
                <w:sz w:val="20"/>
                <w:szCs w:val="20"/>
              </w:rPr>
              <w:t>Wolfe et al. (2025)</w:t>
            </w:r>
          </w:p>
        </w:tc>
        <w:tc>
          <w:tcPr>
            <w:tcW w:w="907" w:type="dxa"/>
            <w:shd w:val="clear" w:color="auto" w:fill="FFFFFF" w:themeFill="background1"/>
            <w:vAlign w:val="center"/>
          </w:tcPr>
          <w:p w14:paraId="6A438D8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Multinational firm; 1,256 AI users</w:t>
            </w:r>
          </w:p>
        </w:tc>
        <w:tc>
          <w:tcPr>
            <w:tcW w:w="1078" w:type="dxa"/>
            <w:shd w:val="clear" w:color="auto" w:fill="FFFFFF" w:themeFill="background1"/>
            <w:vAlign w:val="center"/>
          </w:tcPr>
          <w:p w14:paraId="3C9A301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tools in daily work</w:t>
            </w:r>
          </w:p>
        </w:tc>
        <w:tc>
          <w:tcPr>
            <w:tcW w:w="1275" w:type="dxa"/>
            <w:shd w:val="clear" w:color="auto" w:fill="FFFFFF" w:themeFill="background1"/>
            <w:vAlign w:val="center"/>
          </w:tcPr>
          <w:p w14:paraId="0233945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Adoption; anxiety; intention</w:t>
            </w:r>
          </w:p>
        </w:tc>
        <w:tc>
          <w:tcPr>
            <w:tcW w:w="2229" w:type="dxa"/>
            <w:shd w:val="clear" w:color="auto" w:fill="FFFFFF" w:themeFill="background1"/>
            <w:vAlign w:val="center"/>
          </w:tcPr>
          <w:p w14:paraId="0FCE60A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Performance expectancy; social influence</w:t>
            </w:r>
          </w:p>
        </w:tc>
        <w:tc>
          <w:tcPr>
            <w:tcW w:w="1071" w:type="dxa"/>
            <w:shd w:val="clear" w:color="auto" w:fill="FFFFFF" w:themeFill="background1"/>
            <w:vAlign w:val="center"/>
          </w:tcPr>
          <w:p w14:paraId="7B5E2C4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anxiety</w:t>
            </w:r>
          </w:p>
        </w:tc>
        <w:tc>
          <w:tcPr>
            <w:tcW w:w="1583" w:type="dxa"/>
            <w:shd w:val="clear" w:color="auto" w:fill="FFFFFF" w:themeFill="background1"/>
            <w:vAlign w:val="center"/>
          </w:tcPr>
          <w:p w14:paraId="66D663B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Facilitating conditions</w:t>
            </w:r>
          </w:p>
        </w:tc>
        <w:tc>
          <w:tcPr>
            <w:tcW w:w="1314" w:type="dxa"/>
            <w:shd w:val="clear" w:color="auto" w:fill="FFFFFF" w:themeFill="background1"/>
            <w:vAlign w:val="center"/>
          </w:tcPr>
          <w:p w14:paraId="49BBF996">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Extended UTAUT</w:t>
            </w:r>
          </w:p>
        </w:tc>
        <w:tc>
          <w:tcPr>
            <w:tcW w:w="1057" w:type="dxa"/>
            <w:shd w:val="clear" w:color="auto" w:fill="FFFFFF" w:themeFill="background1"/>
            <w:vAlign w:val="center"/>
          </w:tcPr>
          <w:p w14:paraId="4B62B95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Survey; n=1,256</w:t>
            </w:r>
          </w:p>
        </w:tc>
        <w:tc>
          <w:tcPr>
            <w:tcW w:w="1814" w:type="dxa"/>
            <w:shd w:val="clear" w:color="auto" w:fill="FFFFFF" w:themeFill="background1"/>
            <w:vAlign w:val="center"/>
          </w:tcPr>
          <w:p w14:paraId="256E4F19">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Seniority raised AI usage; anxiety shaped acceptance.</w:t>
            </w:r>
          </w:p>
        </w:tc>
        <w:tc>
          <w:tcPr>
            <w:tcW w:w="707" w:type="dxa"/>
            <w:shd w:val="clear" w:color="auto" w:fill="FFFFFF" w:themeFill="background1"/>
            <w:vAlign w:val="center"/>
          </w:tcPr>
          <w:p w14:paraId="13DD46E7">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2FCBB5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3448AE7F">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56</w:t>
            </w:r>
          </w:p>
        </w:tc>
        <w:tc>
          <w:tcPr>
            <w:tcW w:w="865" w:type="dxa"/>
            <w:shd w:val="clear" w:color="auto" w:fill="FFFFFF" w:themeFill="background1"/>
            <w:vAlign w:val="center"/>
          </w:tcPr>
          <w:p w14:paraId="635B199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Seshasai &amp; Balaji (2026)</w:t>
            </w:r>
          </w:p>
        </w:tc>
        <w:tc>
          <w:tcPr>
            <w:tcW w:w="907" w:type="dxa"/>
            <w:shd w:val="clear" w:color="auto" w:fill="FFFFFF" w:themeFill="background1"/>
            <w:vAlign w:val="center"/>
          </w:tcPr>
          <w:p w14:paraId="38F2E0A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IT firms; 273 HR professionals</w:t>
            </w:r>
          </w:p>
        </w:tc>
        <w:tc>
          <w:tcPr>
            <w:tcW w:w="1078" w:type="dxa"/>
            <w:shd w:val="clear" w:color="auto" w:fill="FFFFFF" w:themeFill="background1"/>
            <w:vAlign w:val="center"/>
          </w:tcPr>
          <w:p w14:paraId="58A10BC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recruitment systems</w:t>
            </w:r>
          </w:p>
        </w:tc>
        <w:tc>
          <w:tcPr>
            <w:tcW w:w="1275" w:type="dxa"/>
            <w:shd w:val="clear" w:color="auto" w:fill="FFFFFF" w:themeFill="background1"/>
            <w:vAlign w:val="center"/>
          </w:tcPr>
          <w:p w14:paraId="354CE7F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system usage</w:t>
            </w:r>
          </w:p>
        </w:tc>
        <w:tc>
          <w:tcPr>
            <w:tcW w:w="2229" w:type="dxa"/>
            <w:shd w:val="clear" w:color="auto" w:fill="FFFFFF" w:themeFill="background1"/>
            <w:vAlign w:val="center"/>
          </w:tcPr>
          <w:p w14:paraId="626AF9E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Intention; support</w:t>
            </w:r>
          </w:p>
        </w:tc>
        <w:tc>
          <w:tcPr>
            <w:tcW w:w="1071" w:type="dxa"/>
            <w:shd w:val="clear" w:color="auto" w:fill="FFFFFF" w:themeFill="background1"/>
            <w:vAlign w:val="center"/>
          </w:tcPr>
          <w:p w14:paraId="3D027F6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Technostress</w:t>
            </w:r>
          </w:p>
        </w:tc>
        <w:tc>
          <w:tcPr>
            <w:tcW w:w="1583" w:type="dxa"/>
            <w:shd w:val="clear" w:color="auto" w:fill="FFFFFF" w:themeFill="background1"/>
            <w:vAlign w:val="center"/>
          </w:tcPr>
          <w:p w14:paraId="23DE030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Support as moderator</w:t>
            </w:r>
          </w:p>
        </w:tc>
        <w:tc>
          <w:tcPr>
            <w:tcW w:w="1314" w:type="dxa"/>
            <w:shd w:val="clear" w:color="auto" w:fill="FFFFFF" w:themeFill="background1"/>
            <w:vAlign w:val="center"/>
          </w:tcPr>
          <w:p w14:paraId="1728273A">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Technostress Theory; UTAUT</w:t>
            </w:r>
          </w:p>
        </w:tc>
        <w:tc>
          <w:tcPr>
            <w:tcW w:w="1057" w:type="dxa"/>
            <w:shd w:val="clear" w:color="auto" w:fill="FFFFFF" w:themeFill="background1"/>
            <w:vAlign w:val="center"/>
          </w:tcPr>
          <w:p w14:paraId="7A75883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Survey; n=273</w:t>
            </w:r>
          </w:p>
        </w:tc>
        <w:tc>
          <w:tcPr>
            <w:tcW w:w="1814" w:type="dxa"/>
            <w:shd w:val="clear" w:color="auto" w:fill="FFFFFF" w:themeFill="background1"/>
            <w:vAlign w:val="center"/>
          </w:tcPr>
          <w:p w14:paraId="09F70C35">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Intention mediated technostress–usage, weakened by support.</w:t>
            </w:r>
          </w:p>
        </w:tc>
        <w:tc>
          <w:tcPr>
            <w:tcW w:w="707" w:type="dxa"/>
            <w:shd w:val="clear" w:color="auto" w:fill="FFFFFF" w:themeFill="background1"/>
            <w:vAlign w:val="center"/>
          </w:tcPr>
          <w:p w14:paraId="659C1482">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2E7F4EC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34FD61D6">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57</w:t>
            </w:r>
          </w:p>
        </w:tc>
        <w:tc>
          <w:tcPr>
            <w:tcW w:w="865" w:type="dxa"/>
            <w:shd w:val="clear" w:color="auto" w:fill="FFFFFF" w:themeFill="background1"/>
            <w:vAlign w:val="center"/>
          </w:tcPr>
          <w:p w14:paraId="779F0CC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Zamir (2025)</w:t>
            </w:r>
          </w:p>
        </w:tc>
        <w:tc>
          <w:tcPr>
            <w:tcW w:w="907" w:type="dxa"/>
            <w:shd w:val="clear" w:color="auto" w:fill="FFFFFF" w:themeFill="background1"/>
            <w:vAlign w:val="center"/>
          </w:tcPr>
          <w:p w14:paraId="2BBA3DC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Review; AI leadership studies</w:t>
            </w:r>
          </w:p>
        </w:tc>
        <w:tc>
          <w:tcPr>
            <w:tcW w:w="1078" w:type="dxa"/>
            <w:shd w:val="clear" w:color="auto" w:fill="FFFFFF" w:themeFill="background1"/>
            <w:vAlign w:val="center"/>
          </w:tcPr>
          <w:p w14:paraId="22E0F58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integration</w:t>
            </w:r>
          </w:p>
        </w:tc>
        <w:tc>
          <w:tcPr>
            <w:tcW w:w="1275" w:type="dxa"/>
            <w:shd w:val="clear" w:color="auto" w:fill="FFFFFF" w:themeFill="background1"/>
            <w:vAlign w:val="center"/>
          </w:tcPr>
          <w:p w14:paraId="2B37132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Confidence; resistance</w:t>
            </w:r>
          </w:p>
        </w:tc>
        <w:tc>
          <w:tcPr>
            <w:tcW w:w="2229" w:type="dxa"/>
            <w:shd w:val="clear" w:color="auto" w:fill="FFFFFF" w:themeFill="background1"/>
            <w:vAlign w:val="center"/>
          </w:tcPr>
          <w:p w14:paraId="7AE6AF5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Visionary leadership; change management</w:t>
            </w:r>
          </w:p>
        </w:tc>
        <w:tc>
          <w:tcPr>
            <w:tcW w:w="1071" w:type="dxa"/>
            <w:shd w:val="clear" w:color="auto" w:fill="FFFFFF" w:themeFill="background1"/>
            <w:vAlign w:val="center"/>
          </w:tcPr>
          <w:p w14:paraId="7EE14CD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Resistance; digital skills gap</w:t>
            </w:r>
          </w:p>
        </w:tc>
        <w:tc>
          <w:tcPr>
            <w:tcW w:w="1583" w:type="dxa"/>
            <w:shd w:val="clear" w:color="auto" w:fill="FFFFFF" w:themeFill="background1"/>
            <w:vAlign w:val="center"/>
          </w:tcPr>
          <w:p w14:paraId="244E6CD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Communication; training</w:t>
            </w:r>
          </w:p>
        </w:tc>
        <w:tc>
          <w:tcPr>
            <w:tcW w:w="1314" w:type="dxa"/>
            <w:shd w:val="clear" w:color="auto" w:fill="FFFFFF" w:themeFill="background1"/>
            <w:vAlign w:val="center"/>
          </w:tcPr>
          <w:p w14:paraId="6FB32523">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Transformational Leadership</w:t>
            </w:r>
          </w:p>
        </w:tc>
        <w:tc>
          <w:tcPr>
            <w:tcW w:w="1057" w:type="dxa"/>
            <w:shd w:val="clear" w:color="auto" w:fill="FFFFFF" w:themeFill="background1"/>
            <w:vAlign w:val="center"/>
          </w:tcPr>
          <w:p w14:paraId="46A49B2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Literature review</w:t>
            </w:r>
          </w:p>
        </w:tc>
        <w:tc>
          <w:tcPr>
            <w:tcW w:w="1814" w:type="dxa"/>
            <w:shd w:val="clear" w:color="auto" w:fill="FFFFFF" w:themeFill="background1"/>
            <w:vAlign w:val="center"/>
          </w:tcPr>
          <w:p w14:paraId="33E16004">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Adaptive leadership is critical for AI integration. outcomes.</w:t>
            </w:r>
          </w:p>
        </w:tc>
        <w:tc>
          <w:tcPr>
            <w:tcW w:w="707" w:type="dxa"/>
            <w:shd w:val="clear" w:color="auto" w:fill="FFFFFF" w:themeFill="background1"/>
            <w:vAlign w:val="center"/>
          </w:tcPr>
          <w:p w14:paraId="682D5769">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3216DBC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64FF11BF">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58</w:t>
            </w:r>
          </w:p>
        </w:tc>
        <w:tc>
          <w:tcPr>
            <w:tcW w:w="865" w:type="dxa"/>
            <w:shd w:val="clear" w:color="auto" w:fill="FFFFFF" w:themeFill="background1"/>
            <w:vAlign w:val="center"/>
          </w:tcPr>
          <w:p w14:paraId="2858AF3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Areche &amp; Ofluoglu (2025)</w:t>
            </w:r>
          </w:p>
        </w:tc>
        <w:tc>
          <w:tcPr>
            <w:tcW w:w="907" w:type="dxa"/>
            <w:shd w:val="clear" w:color="auto" w:fill="FFFFFF" w:themeFill="background1"/>
            <w:vAlign w:val="center"/>
          </w:tcPr>
          <w:p w14:paraId="6D46C13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Qualitative studysynthesis</w:t>
            </w:r>
          </w:p>
        </w:tc>
        <w:tc>
          <w:tcPr>
            <w:tcW w:w="1078" w:type="dxa"/>
            <w:shd w:val="clear" w:color="auto" w:fill="FFFFFF" w:themeFill="background1"/>
            <w:vAlign w:val="center"/>
          </w:tcPr>
          <w:p w14:paraId="4E6F854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integration</w:t>
            </w:r>
          </w:p>
        </w:tc>
        <w:tc>
          <w:tcPr>
            <w:tcW w:w="1275" w:type="dxa"/>
            <w:shd w:val="clear" w:color="auto" w:fill="FFFFFF" w:themeFill="background1"/>
            <w:vAlign w:val="center"/>
          </w:tcPr>
          <w:p w14:paraId="2759632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Autonomy; trust; resistance</w:t>
            </w:r>
          </w:p>
        </w:tc>
        <w:tc>
          <w:tcPr>
            <w:tcW w:w="2229" w:type="dxa"/>
            <w:shd w:val="clear" w:color="auto" w:fill="FFFFFF" w:themeFill="background1"/>
            <w:vAlign w:val="center"/>
          </w:tcPr>
          <w:p w14:paraId="2B3D2E3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Lateral decision-making; transparency</w:t>
            </w:r>
          </w:p>
        </w:tc>
        <w:tc>
          <w:tcPr>
            <w:tcW w:w="1071" w:type="dxa"/>
            <w:shd w:val="clear" w:color="auto" w:fill="FFFFFF" w:themeFill="background1"/>
            <w:vAlign w:val="center"/>
          </w:tcPr>
          <w:p w14:paraId="6522375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Privacy; governance challenges</w:t>
            </w:r>
          </w:p>
        </w:tc>
        <w:tc>
          <w:tcPr>
            <w:tcW w:w="1583" w:type="dxa"/>
            <w:shd w:val="clear" w:color="auto" w:fill="FFFFFF" w:themeFill="background1"/>
            <w:vAlign w:val="center"/>
          </w:tcPr>
          <w:p w14:paraId="6CB2C6A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Responsible AI; transparency</w:t>
            </w:r>
          </w:p>
        </w:tc>
        <w:tc>
          <w:tcPr>
            <w:tcW w:w="1314" w:type="dxa"/>
            <w:shd w:val="clear" w:color="auto" w:fill="FFFFFF" w:themeFill="background1"/>
            <w:vAlign w:val="center"/>
          </w:tcPr>
          <w:p w14:paraId="217B9C4F">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Human-AI collaboration theory</w:t>
            </w:r>
          </w:p>
        </w:tc>
        <w:tc>
          <w:tcPr>
            <w:tcW w:w="1057" w:type="dxa"/>
            <w:shd w:val="clear" w:color="auto" w:fill="FFFFFF" w:themeFill="background1"/>
            <w:vAlign w:val="center"/>
          </w:tcPr>
          <w:p w14:paraId="1E2839A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Qualitative study; literature synthesis</w:t>
            </w:r>
          </w:p>
        </w:tc>
        <w:tc>
          <w:tcPr>
            <w:tcW w:w="1814" w:type="dxa"/>
            <w:shd w:val="clear" w:color="auto" w:fill="FFFFFF" w:themeFill="background1"/>
            <w:vAlign w:val="center"/>
          </w:tcPr>
          <w:p w14:paraId="08376813">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AI reshapes organisational norms and structures.</w:t>
            </w:r>
          </w:p>
        </w:tc>
        <w:tc>
          <w:tcPr>
            <w:tcW w:w="707" w:type="dxa"/>
            <w:shd w:val="clear" w:color="auto" w:fill="FFFFFF" w:themeFill="background1"/>
            <w:vAlign w:val="center"/>
          </w:tcPr>
          <w:p w14:paraId="50A0562D">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6A4AFDA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31FB5769">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59</w:t>
            </w:r>
          </w:p>
        </w:tc>
        <w:tc>
          <w:tcPr>
            <w:tcW w:w="865" w:type="dxa"/>
            <w:shd w:val="clear" w:color="auto" w:fill="FFFFFF" w:themeFill="background1"/>
            <w:vAlign w:val="center"/>
          </w:tcPr>
          <w:p w14:paraId="12552E5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Yoo (2026)</w:t>
            </w:r>
          </w:p>
        </w:tc>
        <w:tc>
          <w:tcPr>
            <w:tcW w:w="907" w:type="dxa"/>
            <w:shd w:val="clear" w:color="auto" w:fill="FFFFFF" w:themeFill="background1"/>
            <w:vAlign w:val="center"/>
          </w:tcPr>
          <w:p w14:paraId="68E069B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South Korea; 547 professionals</w:t>
            </w:r>
          </w:p>
        </w:tc>
        <w:tc>
          <w:tcPr>
            <w:tcW w:w="1078" w:type="dxa"/>
            <w:shd w:val="clear" w:color="auto" w:fill="FFFFFF" w:themeFill="background1"/>
            <w:vAlign w:val="center"/>
          </w:tcPr>
          <w:p w14:paraId="0445949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policies</w:t>
            </w:r>
          </w:p>
        </w:tc>
        <w:tc>
          <w:tcPr>
            <w:tcW w:w="1275" w:type="dxa"/>
            <w:shd w:val="clear" w:color="auto" w:fill="FFFFFF" w:themeFill="background1"/>
            <w:vAlign w:val="center"/>
          </w:tcPr>
          <w:p w14:paraId="7C61196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Intention to use; resistance</w:t>
            </w:r>
          </w:p>
        </w:tc>
        <w:tc>
          <w:tcPr>
            <w:tcW w:w="2229" w:type="dxa"/>
            <w:shd w:val="clear" w:color="auto" w:fill="FFFFFF" w:themeFill="background1"/>
            <w:vAlign w:val="center"/>
          </w:tcPr>
          <w:p w14:paraId="34193E8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Social identification; policy trust</w:t>
            </w:r>
          </w:p>
        </w:tc>
        <w:tc>
          <w:tcPr>
            <w:tcW w:w="1071" w:type="dxa"/>
            <w:shd w:val="clear" w:color="auto" w:fill="FFFFFF" w:themeFill="background1"/>
            <w:vAlign w:val="center"/>
          </w:tcPr>
          <w:p w14:paraId="4780389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Perceived injustice</w:t>
            </w:r>
          </w:p>
        </w:tc>
        <w:tc>
          <w:tcPr>
            <w:tcW w:w="1583" w:type="dxa"/>
            <w:shd w:val="clear" w:color="auto" w:fill="FFFFFF" w:themeFill="background1"/>
            <w:vAlign w:val="center"/>
          </w:tcPr>
          <w:p w14:paraId="1D074B7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Policy trust as moderator</w:t>
            </w:r>
          </w:p>
        </w:tc>
        <w:tc>
          <w:tcPr>
            <w:tcW w:w="1314" w:type="dxa"/>
            <w:shd w:val="clear" w:color="auto" w:fill="FFFFFF" w:themeFill="background1"/>
            <w:vAlign w:val="center"/>
          </w:tcPr>
          <w:p w14:paraId="3BE651C5">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Activity Theory</w:t>
            </w:r>
          </w:p>
        </w:tc>
        <w:tc>
          <w:tcPr>
            <w:tcW w:w="1057" w:type="dxa"/>
            <w:shd w:val="clear" w:color="auto" w:fill="FFFFFF" w:themeFill="background1"/>
            <w:vAlign w:val="center"/>
          </w:tcPr>
          <w:p w14:paraId="0DDBC7F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Survey; vignette; SEM; n=547</w:t>
            </w:r>
          </w:p>
        </w:tc>
        <w:tc>
          <w:tcPr>
            <w:tcW w:w="1814" w:type="dxa"/>
            <w:shd w:val="clear" w:color="auto" w:fill="FFFFFF" w:themeFill="background1"/>
            <w:vAlign w:val="center"/>
          </w:tcPr>
          <w:p w14:paraId="4393EB15">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Injustice raised both intention to use and resistance.</w:t>
            </w:r>
          </w:p>
        </w:tc>
        <w:tc>
          <w:tcPr>
            <w:tcW w:w="707" w:type="dxa"/>
            <w:shd w:val="clear" w:color="auto" w:fill="FFFFFF" w:themeFill="background1"/>
            <w:vAlign w:val="center"/>
          </w:tcPr>
          <w:p w14:paraId="1CAE6AFC">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45AD03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59F264D5">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60</w:t>
            </w:r>
          </w:p>
        </w:tc>
        <w:tc>
          <w:tcPr>
            <w:tcW w:w="865" w:type="dxa"/>
            <w:shd w:val="clear" w:color="auto" w:fill="FFFFFF" w:themeFill="background1"/>
            <w:vAlign w:val="center"/>
          </w:tcPr>
          <w:p w14:paraId="431325C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Hornstein et al. (2025)</w:t>
            </w:r>
          </w:p>
        </w:tc>
        <w:tc>
          <w:tcPr>
            <w:tcW w:w="907" w:type="dxa"/>
            <w:shd w:val="clear" w:color="auto" w:fill="FFFFFF" w:themeFill="background1"/>
            <w:vAlign w:val="center"/>
          </w:tcPr>
          <w:p w14:paraId="509E354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Multinational software firm; 1,730 employees</w:t>
            </w:r>
          </w:p>
        </w:tc>
        <w:tc>
          <w:tcPr>
            <w:tcW w:w="1078" w:type="dxa"/>
            <w:shd w:val="clear" w:color="auto" w:fill="FFFFFF" w:themeFill="background1"/>
            <w:vAlign w:val="center"/>
          </w:tcPr>
          <w:p w14:paraId="606F2F7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Generative AI</w:t>
            </w:r>
          </w:p>
        </w:tc>
        <w:tc>
          <w:tcPr>
            <w:tcW w:w="1275" w:type="dxa"/>
            <w:shd w:val="clear" w:color="auto" w:fill="FFFFFF" w:themeFill="background1"/>
            <w:vAlign w:val="center"/>
          </w:tcPr>
          <w:p w14:paraId="247D1BC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Excitement; threat; usage</w:t>
            </w:r>
          </w:p>
        </w:tc>
        <w:tc>
          <w:tcPr>
            <w:tcW w:w="2229" w:type="dxa"/>
            <w:shd w:val="clear" w:color="auto" w:fill="FFFFFF" w:themeFill="background1"/>
            <w:vAlign w:val="center"/>
          </w:tcPr>
          <w:p w14:paraId="6E9EC36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Hierarchical position; social norms</w:t>
            </w:r>
          </w:p>
        </w:tc>
        <w:tc>
          <w:tcPr>
            <w:tcW w:w="1071" w:type="dxa"/>
            <w:shd w:val="clear" w:color="auto" w:fill="FFFFFF" w:themeFill="background1"/>
            <w:vAlign w:val="center"/>
          </w:tcPr>
          <w:p w14:paraId="5BBB562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Perceived threat</w:t>
            </w:r>
          </w:p>
        </w:tc>
        <w:tc>
          <w:tcPr>
            <w:tcW w:w="1583" w:type="dxa"/>
            <w:shd w:val="clear" w:color="auto" w:fill="FFFFFF" w:themeFill="background1"/>
            <w:vAlign w:val="center"/>
          </w:tcPr>
          <w:p w14:paraId="3CE418D0">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1598C1D3">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Identity Theory</w:t>
            </w:r>
          </w:p>
        </w:tc>
        <w:tc>
          <w:tcPr>
            <w:tcW w:w="1057" w:type="dxa"/>
            <w:shd w:val="clear" w:color="auto" w:fill="FFFFFF" w:themeFill="background1"/>
            <w:vAlign w:val="center"/>
          </w:tcPr>
          <w:p w14:paraId="2050827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Survey; ANCOVA</w:t>
            </w:r>
          </w:p>
        </w:tc>
        <w:tc>
          <w:tcPr>
            <w:tcW w:w="1814" w:type="dxa"/>
            <w:shd w:val="clear" w:color="auto" w:fill="FFFFFF" w:themeFill="background1"/>
            <w:vAlign w:val="center"/>
          </w:tcPr>
          <w:p w14:paraId="4BA9B54B">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Seniority raised excitement but not AI usage.</w:t>
            </w:r>
          </w:p>
        </w:tc>
        <w:tc>
          <w:tcPr>
            <w:tcW w:w="707" w:type="dxa"/>
            <w:shd w:val="clear" w:color="auto" w:fill="FFFFFF" w:themeFill="background1"/>
            <w:vAlign w:val="center"/>
          </w:tcPr>
          <w:p w14:paraId="489CE293">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1AF698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196E5CD8">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61</w:t>
            </w:r>
          </w:p>
        </w:tc>
        <w:tc>
          <w:tcPr>
            <w:tcW w:w="865" w:type="dxa"/>
            <w:shd w:val="clear" w:color="auto" w:fill="FFFFFF" w:themeFill="background1"/>
            <w:vAlign w:val="center"/>
          </w:tcPr>
          <w:p w14:paraId="39EC806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Kumar (2024)</w:t>
            </w:r>
          </w:p>
        </w:tc>
        <w:tc>
          <w:tcPr>
            <w:tcW w:w="907" w:type="dxa"/>
            <w:shd w:val="clear" w:color="auto" w:fill="FFFFFF" w:themeFill="background1"/>
            <w:vAlign w:val="center"/>
          </w:tcPr>
          <w:p w14:paraId="41075A5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India; healthcare professionals</w:t>
            </w:r>
          </w:p>
        </w:tc>
        <w:tc>
          <w:tcPr>
            <w:tcW w:w="1078" w:type="dxa"/>
            <w:shd w:val="clear" w:color="auto" w:fill="FFFFFF" w:themeFill="background1"/>
            <w:vAlign w:val="center"/>
          </w:tcPr>
          <w:p w14:paraId="5220C04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AI-augmented knowledge management (AIKM) capability</w:t>
            </w:r>
          </w:p>
        </w:tc>
        <w:tc>
          <w:tcPr>
            <w:tcW w:w="1275" w:type="dxa"/>
            <w:shd w:val="clear" w:color="auto" w:fill="FFFFFF" w:themeFill="background1"/>
            <w:vAlign w:val="center"/>
          </w:tcPr>
          <w:p w14:paraId="4D7D180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Not employee-focused; clinical performance</w:t>
            </w:r>
          </w:p>
        </w:tc>
        <w:tc>
          <w:tcPr>
            <w:tcW w:w="2229" w:type="dxa"/>
            <w:shd w:val="clear" w:color="auto" w:fill="FFFFFF" w:themeFill="background1"/>
            <w:vAlign w:val="center"/>
          </w:tcPr>
          <w:p w14:paraId="530F427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AIKM capability</w:t>
            </w:r>
          </w:p>
        </w:tc>
        <w:tc>
          <w:tcPr>
            <w:tcW w:w="1071" w:type="dxa"/>
            <w:shd w:val="clear" w:color="auto" w:fill="FFFFFF" w:themeFill="background1"/>
            <w:vAlign w:val="center"/>
          </w:tcPr>
          <w:p w14:paraId="0B74E5F6">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583" w:type="dxa"/>
            <w:shd w:val="clear" w:color="auto" w:fill="FFFFFF" w:themeFill="background1"/>
            <w:vAlign w:val="center"/>
          </w:tcPr>
          <w:p w14:paraId="1EA6B9F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Absorptive capacity (mediator)</w:t>
            </w:r>
          </w:p>
        </w:tc>
        <w:tc>
          <w:tcPr>
            <w:tcW w:w="1314" w:type="dxa"/>
            <w:shd w:val="clear" w:color="auto" w:fill="FFFFFF" w:themeFill="background1"/>
            <w:vAlign w:val="center"/>
          </w:tcPr>
          <w:p w14:paraId="7D397AB7">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KM capability; absorptive capacity</w:t>
            </w:r>
          </w:p>
        </w:tc>
        <w:tc>
          <w:tcPr>
            <w:tcW w:w="1057" w:type="dxa"/>
            <w:shd w:val="clear" w:color="auto" w:fill="FFFFFF" w:themeFill="background1"/>
            <w:vAlign w:val="center"/>
          </w:tcPr>
          <w:p w14:paraId="2125C8F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Mixed-method; PLS-SEM</w:t>
            </w:r>
          </w:p>
        </w:tc>
        <w:tc>
          <w:tcPr>
            <w:tcW w:w="1814" w:type="dxa"/>
            <w:shd w:val="clear" w:color="auto" w:fill="FFFFFF" w:themeFill="background1"/>
            <w:vAlign w:val="center"/>
          </w:tcPr>
          <w:p w14:paraId="419ADF87">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AIKM raised clinical performance via absorptive capacity.</w:t>
            </w:r>
          </w:p>
        </w:tc>
        <w:tc>
          <w:tcPr>
            <w:tcW w:w="707" w:type="dxa"/>
            <w:shd w:val="clear" w:color="auto" w:fill="FFFFFF" w:themeFill="background1"/>
            <w:vAlign w:val="center"/>
          </w:tcPr>
          <w:p w14:paraId="6D7E224B">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RO1</w:t>
            </w:r>
          </w:p>
        </w:tc>
      </w:tr>
      <w:tr w14:paraId="6DE795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0150A633">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62</w:t>
            </w:r>
          </w:p>
        </w:tc>
        <w:tc>
          <w:tcPr>
            <w:tcW w:w="865" w:type="dxa"/>
            <w:shd w:val="clear" w:color="auto" w:fill="FFFFFF" w:themeFill="background1"/>
            <w:vAlign w:val="center"/>
          </w:tcPr>
          <w:p w14:paraId="0E04AF1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Li et al. (2024)</w:t>
            </w:r>
          </w:p>
        </w:tc>
        <w:tc>
          <w:tcPr>
            <w:tcW w:w="907" w:type="dxa"/>
            <w:shd w:val="clear" w:color="auto" w:fill="FFFFFF" w:themeFill="background1"/>
            <w:vAlign w:val="center"/>
          </w:tcPr>
          <w:p w14:paraId="64BD166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China; IT service company; 327 paired leader-employee data</w:t>
            </w:r>
          </w:p>
        </w:tc>
        <w:tc>
          <w:tcPr>
            <w:tcW w:w="1078" w:type="dxa"/>
            <w:shd w:val="clear" w:color="auto" w:fill="FFFFFF" w:themeFill="background1"/>
            <w:vAlign w:val="center"/>
          </w:tcPr>
          <w:p w14:paraId="4510B8E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Algorithmic management</w:t>
            </w:r>
          </w:p>
        </w:tc>
        <w:tc>
          <w:tcPr>
            <w:tcW w:w="1275" w:type="dxa"/>
            <w:shd w:val="clear" w:color="auto" w:fill="FFFFFF" w:themeFill="background1"/>
            <w:vAlign w:val="center"/>
          </w:tcPr>
          <w:p w14:paraId="2D93664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Employee creativity</w:t>
            </w:r>
          </w:p>
        </w:tc>
        <w:tc>
          <w:tcPr>
            <w:tcW w:w="2229" w:type="dxa"/>
            <w:shd w:val="clear" w:color="auto" w:fill="FFFFFF" w:themeFill="background1"/>
            <w:vAlign w:val="center"/>
          </w:tcPr>
          <w:p w14:paraId="0AC71673">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071" w:type="dxa"/>
            <w:shd w:val="clear" w:color="auto" w:fill="FFFFFF" w:themeFill="background1"/>
            <w:vAlign w:val="center"/>
          </w:tcPr>
          <w:p w14:paraId="12B4E1C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Algorithmic management</w:t>
            </w:r>
          </w:p>
        </w:tc>
        <w:tc>
          <w:tcPr>
            <w:tcW w:w="1583" w:type="dxa"/>
            <w:shd w:val="clear" w:color="auto" w:fill="FFFFFF" w:themeFill="background1"/>
            <w:vAlign w:val="center"/>
          </w:tcPr>
          <w:p w14:paraId="4046DC13">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797588A2">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AMO Theory</w:t>
            </w:r>
          </w:p>
        </w:tc>
        <w:tc>
          <w:tcPr>
            <w:tcW w:w="1057" w:type="dxa"/>
            <w:shd w:val="clear" w:color="auto" w:fill="FFFFFF" w:themeFill="background1"/>
            <w:vAlign w:val="center"/>
          </w:tcPr>
          <w:p w14:paraId="2D07B6D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Paired leader-employee survey; n=327</w:t>
            </w:r>
          </w:p>
        </w:tc>
        <w:tc>
          <w:tcPr>
            <w:tcW w:w="1814" w:type="dxa"/>
            <w:shd w:val="clear" w:color="auto" w:fill="FFFFFF" w:themeFill="background1"/>
            <w:vAlign w:val="center"/>
          </w:tcPr>
          <w:p w14:paraId="1BFE7063">
            <w:pPr>
              <w:spacing w:after="0" w:line="240" w:lineRule="auto"/>
              <w:rPr>
                <w:rFonts w:ascii="Times New Roman" w:hAnsi="Times New Roman" w:eastAsia="宋体" w:cs="Times New Roman"/>
                <w:sz w:val="20"/>
                <w:szCs w:val="20"/>
              </w:rPr>
            </w:pPr>
            <w:r>
              <w:rPr>
                <w:rFonts w:ascii="Times New Roman" w:hAnsi="Times New Roman" w:eastAsia="Times New Roman" w:cs="Times New Roman"/>
                <w:sz w:val="20"/>
                <w:szCs w:val="20"/>
              </w:rPr>
              <w:t>Algorithmic management lowered employee creativity.</w:t>
            </w:r>
          </w:p>
        </w:tc>
        <w:tc>
          <w:tcPr>
            <w:tcW w:w="707" w:type="dxa"/>
            <w:shd w:val="clear" w:color="auto" w:fill="FFFFFF" w:themeFill="background1"/>
            <w:vAlign w:val="center"/>
          </w:tcPr>
          <w:p w14:paraId="0B2A395F">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3D6134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686CA9B4">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63</w:t>
            </w:r>
          </w:p>
        </w:tc>
        <w:tc>
          <w:tcPr>
            <w:tcW w:w="865" w:type="dxa"/>
            <w:shd w:val="clear" w:color="auto" w:fill="FFFFFF" w:themeFill="background1"/>
            <w:vAlign w:val="center"/>
          </w:tcPr>
          <w:p w14:paraId="2BB7529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Kellogg et al. (2020)</w:t>
            </w:r>
          </w:p>
        </w:tc>
        <w:tc>
          <w:tcPr>
            <w:tcW w:w="907" w:type="dxa"/>
            <w:shd w:val="clear" w:color="auto" w:fill="FFFFFF" w:themeFill="background1"/>
            <w:vAlign w:val="center"/>
          </w:tcPr>
          <w:p w14:paraId="32E8D39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Systematic review; algorithmic control</w:t>
            </w:r>
          </w:p>
        </w:tc>
        <w:tc>
          <w:tcPr>
            <w:tcW w:w="1078" w:type="dxa"/>
            <w:shd w:val="clear" w:color="auto" w:fill="FFFFFF" w:themeFill="background1"/>
            <w:vAlign w:val="center"/>
          </w:tcPr>
          <w:p w14:paraId="2909DBB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Algorithmic management</w:t>
            </w:r>
          </w:p>
        </w:tc>
        <w:tc>
          <w:tcPr>
            <w:tcW w:w="1275" w:type="dxa"/>
            <w:shd w:val="clear" w:color="auto" w:fill="FFFFFF" w:themeFill="background1"/>
            <w:vAlign w:val="center"/>
          </w:tcPr>
          <w:p w14:paraId="7A3EB41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Worker resistance; algoactivism</w:t>
            </w:r>
          </w:p>
        </w:tc>
        <w:tc>
          <w:tcPr>
            <w:tcW w:w="2229" w:type="dxa"/>
            <w:shd w:val="clear" w:color="auto" w:fill="FFFFFF" w:themeFill="background1"/>
            <w:vAlign w:val="center"/>
          </w:tcPr>
          <w:p w14:paraId="529115C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Restricting; recommending; recording; rating; replacing; rewarding</w:t>
            </w:r>
          </w:p>
        </w:tc>
        <w:tc>
          <w:tcPr>
            <w:tcW w:w="1071" w:type="dxa"/>
            <w:shd w:val="clear" w:color="auto" w:fill="FFFFFF" w:themeFill="background1"/>
            <w:vAlign w:val="center"/>
          </w:tcPr>
          <w:p w14:paraId="22FC56C5">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L</w:t>
            </w:r>
            <w:r>
              <w:rPr>
                <w:rFonts w:ascii="Times New Roman" w:hAnsi="Times New Roman" w:eastAsia="宋体" w:cs="Times New Roman"/>
                <w:sz w:val="20"/>
                <w:szCs w:val="20"/>
              </w:rPr>
              <w:t>ack of worker voice</w:t>
            </w:r>
          </w:p>
        </w:tc>
        <w:tc>
          <w:tcPr>
            <w:tcW w:w="1583" w:type="dxa"/>
            <w:shd w:val="clear" w:color="auto" w:fill="FFFFFF" w:themeFill="background1"/>
            <w:vAlign w:val="center"/>
          </w:tcPr>
          <w:p w14:paraId="45998C3F">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2EA62E12">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Labor Process Theory</w:t>
            </w:r>
          </w:p>
        </w:tc>
        <w:tc>
          <w:tcPr>
            <w:tcW w:w="1057" w:type="dxa"/>
            <w:shd w:val="clear" w:color="auto" w:fill="FFFFFF" w:themeFill="background1"/>
            <w:vAlign w:val="center"/>
          </w:tcPr>
          <w:p w14:paraId="3842329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Systematic review</w:t>
            </w:r>
          </w:p>
        </w:tc>
        <w:tc>
          <w:tcPr>
            <w:tcW w:w="1814" w:type="dxa"/>
            <w:shd w:val="clear" w:color="auto" w:fill="FFFFFF" w:themeFill="background1"/>
            <w:vAlign w:val="center"/>
          </w:tcPr>
          <w:p w14:paraId="5E9AD032">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Employers control workers through six algorithmic mechanisms</w:t>
            </w:r>
          </w:p>
        </w:tc>
        <w:tc>
          <w:tcPr>
            <w:tcW w:w="707" w:type="dxa"/>
            <w:shd w:val="clear" w:color="auto" w:fill="FFFFFF" w:themeFill="background1"/>
            <w:vAlign w:val="center"/>
          </w:tcPr>
          <w:p w14:paraId="7432011A">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2F6653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5530041B">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64</w:t>
            </w:r>
          </w:p>
        </w:tc>
        <w:tc>
          <w:tcPr>
            <w:tcW w:w="865" w:type="dxa"/>
            <w:shd w:val="clear" w:color="auto" w:fill="FFFFFF" w:themeFill="background1"/>
            <w:vAlign w:val="center"/>
          </w:tcPr>
          <w:p w14:paraId="2E1A5F6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Khalig et al. (2022)</w:t>
            </w:r>
          </w:p>
        </w:tc>
        <w:tc>
          <w:tcPr>
            <w:tcW w:w="907" w:type="dxa"/>
            <w:shd w:val="clear" w:color="auto" w:fill="FFFFFF" w:themeFill="background1"/>
            <w:vAlign w:val="center"/>
          </w:tcPr>
          <w:p w14:paraId="44CB5D0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Pakistan; 330 hotel staff Lahore</w:t>
            </w:r>
          </w:p>
        </w:tc>
        <w:tc>
          <w:tcPr>
            <w:tcW w:w="1078" w:type="dxa"/>
            <w:shd w:val="clear" w:color="auto" w:fill="FFFFFF" w:themeFill="background1"/>
            <w:vAlign w:val="center"/>
          </w:tcPr>
          <w:p w14:paraId="48BC57C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awareness</w:t>
            </w:r>
          </w:p>
        </w:tc>
        <w:tc>
          <w:tcPr>
            <w:tcW w:w="1275" w:type="dxa"/>
            <w:shd w:val="clear" w:color="auto" w:fill="FFFFFF" w:themeFill="background1"/>
            <w:vAlign w:val="center"/>
          </w:tcPr>
          <w:p w14:paraId="7C80CB7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Turnover intention</w:t>
            </w:r>
          </w:p>
        </w:tc>
        <w:tc>
          <w:tcPr>
            <w:tcW w:w="2229" w:type="dxa"/>
            <w:shd w:val="clear" w:color="auto" w:fill="FFFFFF" w:themeFill="background1"/>
            <w:vAlign w:val="center"/>
          </w:tcPr>
          <w:p w14:paraId="740A10A2">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071" w:type="dxa"/>
            <w:shd w:val="clear" w:color="auto" w:fill="FFFFFF" w:themeFill="background1"/>
            <w:vAlign w:val="center"/>
          </w:tcPr>
          <w:p w14:paraId="412CFB7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and robotics awareness positively related to turnover intention</w:t>
            </w:r>
          </w:p>
        </w:tc>
        <w:tc>
          <w:tcPr>
            <w:tcW w:w="1583" w:type="dxa"/>
            <w:shd w:val="clear" w:color="auto" w:fill="FFFFFF" w:themeFill="background1"/>
            <w:vAlign w:val="center"/>
          </w:tcPr>
          <w:p w14:paraId="75B8756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Mutual trust</w:t>
            </w:r>
          </w:p>
        </w:tc>
        <w:tc>
          <w:tcPr>
            <w:tcW w:w="1314" w:type="dxa"/>
            <w:shd w:val="clear" w:color="auto" w:fill="FFFFFF" w:themeFill="background1"/>
            <w:vAlign w:val="center"/>
          </w:tcPr>
          <w:p w14:paraId="407DA4F9">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Resource gain and resource loss perspective</w:t>
            </w:r>
          </w:p>
        </w:tc>
        <w:tc>
          <w:tcPr>
            <w:tcW w:w="1057" w:type="dxa"/>
            <w:shd w:val="clear" w:color="auto" w:fill="FFFFFF" w:themeFill="background1"/>
            <w:vAlign w:val="center"/>
          </w:tcPr>
          <w:p w14:paraId="2F2EBE4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Survey; hierarchical regression; n=330</w:t>
            </w:r>
          </w:p>
        </w:tc>
        <w:tc>
          <w:tcPr>
            <w:tcW w:w="1814" w:type="dxa"/>
            <w:shd w:val="clear" w:color="auto" w:fill="FFFFFF" w:themeFill="background1"/>
            <w:vAlign w:val="center"/>
          </w:tcPr>
          <w:p w14:paraId="2F473B48">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AI awareness raised turnover intention, weakened by trust.</w:t>
            </w:r>
          </w:p>
        </w:tc>
        <w:tc>
          <w:tcPr>
            <w:tcW w:w="707" w:type="dxa"/>
            <w:shd w:val="clear" w:color="auto" w:fill="FFFFFF" w:themeFill="background1"/>
            <w:vAlign w:val="center"/>
          </w:tcPr>
          <w:p w14:paraId="5ABA128B">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ab/>
            </w:r>
            <w:r>
              <w:rPr>
                <w:rFonts w:ascii="Times New Roman" w:hAnsi="Times New Roman" w:eastAsia="宋体" w:cs="Times New Roman"/>
                <w:sz w:val="20"/>
                <w:szCs w:val="20"/>
              </w:rPr>
              <w:t>RO2</w:t>
            </w:r>
          </w:p>
        </w:tc>
      </w:tr>
      <w:tr w14:paraId="51A74ED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038E3EC0">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65</w:t>
            </w:r>
          </w:p>
        </w:tc>
        <w:tc>
          <w:tcPr>
            <w:tcW w:w="865" w:type="dxa"/>
            <w:shd w:val="clear" w:color="auto" w:fill="FFFFFF" w:themeFill="background1"/>
            <w:vAlign w:val="center"/>
          </w:tcPr>
          <w:p w14:paraId="0309F15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Kong et al. (2021)</w:t>
            </w:r>
          </w:p>
        </w:tc>
        <w:tc>
          <w:tcPr>
            <w:tcW w:w="907" w:type="dxa"/>
            <w:shd w:val="clear" w:color="auto" w:fill="FFFFFF" w:themeFill="background1"/>
            <w:vAlign w:val="center"/>
          </w:tcPr>
          <w:p w14:paraId="2F7D5DA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China; 432 full-service hotel employees</w:t>
            </w:r>
          </w:p>
        </w:tc>
        <w:tc>
          <w:tcPr>
            <w:tcW w:w="1078" w:type="dxa"/>
            <w:shd w:val="clear" w:color="auto" w:fill="FFFFFF" w:themeFill="background1"/>
            <w:vAlign w:val="center"/>
          </w:tcPr>
          <w:p w14:paraId="777F3DA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 xml:space="preserve">AI awareness </w:t>
            </w:r>
          </w:p>
        </w:tc>
        <w:tc>
          <w:tcPr>
            <w:tcW w:w="1275" w:type="dxa"/>
            <w:shd w:val="clear" w:color="auto" w:fill="FFFFFF" w:themeFill="background1"/>
            <w:vAlign w:val="center"/>
          </w:tcPr>
          <w:p w14:paraId="676CA93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Career competency; job burnout</w:t>
            </w:r>
          </w:p>
        </w:tc>
        <w:tc>
          <w:tcPr>
            <w:tcW w:w="2229" w:type="dxa"/>
            <w:shd w:val="clear" w:color="auto" w:fill="FFFFFF" w:themeFill="background1"/>
            <w:vAlign w:val="center"/>
          </w:tcPr>
          <w:p w14:paraId="4EA4D83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Organizational commitment</w:t>
            </w:r>
          </w:p>
        </w:tc>
        <w:tc>
          <w:tcPr>
            <w:tcW w:w="1071" w:type="dxa"/>
            <w:shd w:val="clear" w:color="auto" w:fill="FFFFFF" w:themeFill="background1"/>
            <w:vAlign w:val="center"/>
          </w:tcPr>
          <w:p w14:paraId="2508382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awareness increases job burnout</w:t>
            </w:r>
          </w:p>
        </w:tc>
        <w:tc>
          <w:tcPr>
            <w:tcW w:w="1583" w:type="dxa"/>
            <w:shd w:val="clear" w:color="auto" w:fill="FFFFFF" w:themeFill="background1"/>
            <w:vAlign w:val="center"/>
          </w:tcPr>
          <w:p w14:paraId="47603A5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Organizational commitment as mediating mechanism</w:t>
            </w:r>
          </w:p>
        </w:tc>
        <w:tc>
          <w:tcPr>
            <w:tcW w:w="1314" w:type="dxa"/>
            <w:shd w:val="clear" w:color="auto" w:fill="FFFFFF" w:themeFill="background1"/>
            <w:vAlign w:val="center"/>
          </w:tcPr>
          <w:p w14:paraId="51ABF313">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Career theory; fit theory</w:t>
            </w:r>
          </w:p>
        </w:tc>
        <w:tc>
          <w:tcPr>
            <w:tcW w:w="1057" w:type="dxa"/>
            <w:shd w:val="clear" w:color="auto" w:fill="FFFFFF" w:themeFill="background1"/>
            <w:vAlign w:val="center"/>
          </w:tcPr>
          <w:p w14:paraId="4C99125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Survey; SEM; n=432</w:t>
            </w:r>
          </w:p>
        </w:tc>
        <w:tc>
          <w:tcPr>
            <w:tcW w:w="1814" w:type="dxa"/>
            <w:shd w:val="clear" w:color="auto" w:fill="FFFFFF" w:themeFill="background1"/>
            <w:vAlign w:val="center"/>
          </w:tcPr>
          <w:p w14:paraId="27609547">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AI awareness raised burnout, mediated by commitment.</w:t>
            </w:r>
          </w:p>
        </w:tc>
        <w:tc>
          <w:tcPr>
            <w:tcW w:w="707" w:type="dxa"/>
            <w:shd w:val="clear" w:color="auto" w:fill="FFFFFF" w:themeFill="background1"/>
            <w:vAlign w:val="center"/>
          </w:tcPr>
          <w:p w14:paraId="3F4B9531">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1498539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1A8795D9">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66</w:t>
            </w:r>
          </w:p>
        </w:tc>
        <w:tc>
          <w:tcPr>
            <w:tcW w:w="865" w:type="dxa"/>
            <w:shd w:val="clear" w:color="auto" w:fill="FFFFFF" w:themeFill="background1"/>
            <w:vAlign w:val="center"/>
          </w:tcPr>
          <w:p w14:paraId="5E8C6B3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Jia et al. (2024)</w:t>
            </w:r>
          </w:p>
        </w:tc>
        <w:tc>
          <w:tcPr>
            <w:tcW w:w="907" w:type="dxa"/>
            <w:shd w:val="clear" w:color="auto" w:fill="FFFFFF" w:themeFill="background1"/>
            <w:vAlign w:val="center"/>
          </w:tcPr>
          <w:p w14:paraId="4BF9FE7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Multi-industry survey</w:t>
            </w:r>
          </w:p>
        </w:tc>
        <w:tc>
          <w:tcPr>
            <w:tcW w:w="1078" w:type="dxa"/>
            <w:shd w:val="clear" w:color="auto" w:fill="FFFFFF" w:themeFill="background1"/>
            <w:vAlign w:val="center"/>
          </w:tcPr>
          <w:p w14:paraId="50A3DAC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augmentation function vs. automation function</w:t>
            </w:r>
          </w:p>
        </w:tc>
        <w:tc>
          <w:tcPr>
            <w:tcW w:w="1275" w:type="dxa"/>
            <w:shd w:val="clear" w:color="auto" w:fill="FFFFFF" w:themeFill="background1"/>
            <w:vAlign w:val="center"/>
          </w:tcPr>
          <w:p w14:paraId="390C929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Employee creativity</w:t>
            </w:r>
          </w:p>
        </w:tc>
        <w:tc>
          <w:tcPr>
            <w:tcW w:w="2229" w:type="dxa"/>
            <w:shd w:val="clear" w:color="auto" w:fill="FFFFFF" w:themeFill="background1"/>
            <w:vAlign w:val="center"/>
          </w:tcPr>
          <w:p w14:paraId="3261126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augmentation; cognitive flexibility</w:t>
            </w:r>
          </w:p>
        </w:tc>
        <w:tc>
          <w:tcPr>
            <w:tcW w:w="1071" w:type="dxa"/>
            <w:shd w:val="clear" w:color="auto" w:fill="FFFFFF" w:themeFill="background1"/>
            <w:vAlign w:val="center"/>
          </w:tcPr>
          <w:p w14:paraId="510B1DC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Automation function</w:t>
            </w:r>
          </w:p>
        </w:tc>
        <w:tc>
          <w:tcPr>
            <w:tcW w:w="1583" w:type="dxa"/>
            <w:shd w:val="clear" w:color="auto" w:fill="FFFFFF" w:themeFill="background1"/>
            <w:vAlign w:val="center"/>
          </w:tcPr>
          <w:p w14:paraId="328255E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4D255282">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Componential Theory of Creativity</w:t>
            </w:r>
          </w:p>
        </w:tc>
        <w:tc>
          <w:tcPr>
            <w:tcW w:w="1057" w:type="dxa"/>
            <w:shd w:val="clear" w:color="auto" w:fill="FFFFFF" w:themeFill="background1"/>
            <w:vAlign w:val="center"/>
          </w:tcPr>
          <w:p w14:paraId="2BDB20C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Multi-industry survey</w:t>
            </w:r>
          </w:p>
        </w:tc>
        <w:tc>
          <w:tcPr>
            <w:tcW w:w="1814" w:type="dxa"/>
            <w:shd w:val="clear" w:color="auto" w:fill="FFFFFF" w:themeFill="background1"/>
            <w:vAlign w:val="center"/>
          </w:tcPr>
          <w:p w14:paraId="1085BDE0">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AI augmentation raised creativity; automation had a weaker effect.</w:t>
            </w:r>
          </w:p>
        </w:tc>
        <w:tc>
          <w:tcPr>
            <w:tcW w:w="707" w:type="dxa"/>
            <w:shd w:val="clear" w:color="auto" w:fill="FFFFFF" w:themeFill="background1"/>
            <w:vAlign w:val="center"/>
          </w:tcPr>
          <w:p w14:paraId="75D201B4">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2197FFC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32CBDC24">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67</w:t>
            </w:r>
          </w:p>
        </w:tc>
        <w:tc>
          <w:tcPr>
            <w:tcW w:w="865" w:type="dxa"/>
            <w:shd w:val="clear" w:color="auto" w:fill="FFFFFF" w:themeFill="background1"/>
            <w:vAlign w:val="center"/>
          </w:tcPr>
          <w:p w14:paraId="51C9167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Kim (2023)</w:t>
            </w:r>
          </w:p>
        </w:tc>
        <w:tc>
          <w:tcPr>
            <w:tcW w:w="907" w:type="dxa"/>
            <w:shd w:val="clear" w:color="auto" w:fill="FFFFFF" w:themeFill="background1"/>
            <w:vAlign w:val="center"/>
          </w:tcPr>
          <w:p w14:paraId="2A6F8E5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South Korea; hotel frontline employees</w:t>
            </w:r>
          </w:p>
        </w:tc>
        <w:tc>
          <w:tcPr>
            <w:tcW w:w="1078" w:type="dxa"/>
            <w:shd w:val="clear" w:color="auto" w:fill="FFFFFF" w:themeFill="background1"/>
            <w:vAlign w:val="center"/>
          </w:tcPr>
          <w:p w14:paraId="14B4D23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Frontline service robots service competence</w:t>
            </w:r>
          </w:p>
        </w:tc>
        <w:tc>
          <w:tcPr>
            <w:tcW w:w="1275" w:type="dxa"/>
            <w:shd w:val="clear" w:color="auto" w:fill="FFFFFF" w:themeFill="background1"/>
            <w:vAlign w:val="center"/>
          </w:tcPr>
          <w:p w14:paraId="77F222D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Willingness to collaborate with FLSRs</w:t>
            </w:r>
          </w:p>
        </w:tc>
        <w:tc>
          <w:tcPr>
            <w:tcW w:w="2229" w:type="dxa"/>
            <w:shd w:val="clear" w:color="auto" w:fill="FFFFFF" w:themeFill="background1"/>
            <w:vAlign w:val="center"/>
          </w:tcPr>
          <w:p w14:paraId="1F2F39D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Service competence; perceived usefulness; perceived ease of use</w:t>
            </w:r>
          </w:p>
        </w:tc>
        <w:tc>
          <w:tcPr>
            <w:tcW w:w="1071" w:type="dxa"/>
            <w:shd w:val="clear" w:color="auto" w:fill="FFFFFF" w:themeFill="background1"/>
            <w:vAlign w:val="center"/>
          </w:tcPr>
          <w:p w14:paraId="71C9EB4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Perceived risk</w:t>
            </w:r>
          </w:p>
        </w:tc>
        <w:tc>
          <w:tcPr>
            <w:tcW w:w="1583" w:type="dxa"/>
            <w:shd w:val="clear" w:color="auto" w:fill="FFFFFF" w:themeFill="background1"/>
            <w:vAlign w:val="center"/>
          </w:tcPr>
          <w:p w14:paraId="6A52FEC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Not tested</w:t>
            </w:r>
          </w:p>
        </w:tc>
        <w:tc>
          <w:tcPr>
            <w:tcW w:w="1314" w:type="dxa"/>
            <w:shd w:val="clear" w:color="auto" w:fill="FFFFFF" w:themeFill="background1"/>
            <w:vAlign w:val="center"/>
          </w:tcPr>
          <w:p w14:paraId="0D04A39C">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Technology Acceptance Model</w:t>
            </w:r>
          </w:p>
        </w:tc>
        <w:tc>
          <w:tcPr>
            <w:tcW w:w="1057" w:type="dxa"/>
            <w:shd w:val="clear" w:color="auto" w:fill="FFFFFF" w:themeFill="background1"/>
            <w:vAlign w:val="center"/>
          </w:tcPr>
          <w:p w14:paraId="06055B9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Survey; PLS-SEM</w:t>
            </w:r>
          </w:p>
        </w:tc>
        <w:tc>
          <w:tcPr>
            <w:tcW w:w="1814" w:type="dxa"/>
            <w:shd w:val="clear" w:color="auto" w:fill="FFFFFF" w:themeFill="background1"/>
            <w:vAlign w:val="center"/>
          </w:tcPr>
          <w:p w14:paraId="16964628">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Service competence raised willingness to collaborate, reduced by risk.</w:t>
            </w:r>
          </w:p>
        </w:tc>
        <w:tc>
          <w:tcPr>
            <w:tcW w:w="707" w:type="dxa"/>
            <w:shd w:val="clear" w:color="auto" w:fill="FFFFFF" w:themeFill="background1"/>
            <w:vAlign w:val="center"/>
          </w:tcPr>
          <w:p w14:paraId="1E0E31C4">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2579B8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5F3B3088">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68</w:t>
            </w:r>
          </w:p>
        </w:tc>
        <w:tc>
          <w:tcPr>
            <w:tcW w:w="865" w:type="dxa"/>
            <w:shd w:val="clear" w:color="auto" w:fill="FFFFFF" w:themeFill="background1"/>
            <w:vAlign w:val="center"/>
          </w:tcPr>
          <w:p w14:paraId="7CC1ABB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Li et al. (2024)</w:t>
            </w:r>
          </w:p>
        </w:tc>
        <w:tc>
          <w:tcPr>
            <w:tcW w:w="907" w:type="dxa"/>
            <w:shd w:val="clear" w:color="auto" w:fill="FFFFFF" w:themeFill="background1"/>
            <w:vAlign w:val="center"/>
          </w:tcPr>
          <w:p w14:paraId="2CE4A0C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China; hotel employees; two-stage</w:t>
            </w:r>
          </w:p>
        </w:tc>
        <w:tc>
          <w:tcPr>
            <w:tcW w:w="1078" w:type="dxa"/>
            <w:shd w:val="clear" w:color="auto" w:fill="FFFFFF" w:themeFill="background1"/>
            <w:vAlign w:val="center"/>
          </w:tcPr>
          <w:p w14:paraId="59F8FFA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Work autonomy in HRC</w:t>
            </w:r>
          </w:p>
        </w:tc>
        <w:tc>
          <w:tcPr>
            <w:tcW w:w="1275" w:type="dxa"/>
            <w:shd w:val="clear" w:color="auto" w:fill="FFFFFF" w:themeFill="background1"/>
            <w:vAlign w:val="center"/>
          </w:tcPr>
          <w:p w14:paraId="4075AD0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Service innovation behaviour; insomnia</w:t>
            </w:r>
          </w:p>
        </w:tc>
        <w:tc>
          <w:tcPr>
            <w:tcW w:w="2229" w:type="dxa"/>
            <w:shd w:val="clear" w:color="auto" w:fill="FFFFFF" w:themeFill="background1"/>
            <w:vAlign w:val="center"/>
          </w:tcPr>
          <w:p w14:paraId="7D7C825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Work autonomy</w:t>
            </w:r>
          </w:p>
        </w:tc>
        <w:tc>
          <w:tcPr>
            <w:tcW w:w="1071" w:type="dxa"/>
            <w:shd w:val="clear" w:color="auto" w:fill="FFFFFF" w:themeFill="background1"/>
            <w:vAlign w:val="center"/>
          </w:tcPr>
          <w:p w14:paraId="2CA153C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insecurity</w:t>
            </w:r>
          </w:p>
        </w:tc>
        <w:tc>
          <w:tcPr>
            <w:tcW w:w="1583" w:type="dxa"/>
            <w:shd w:val="clear" w:color="auto" w:fill="FFFFFF" w:themeFill="background1"/>
            <w:vAlign w:val="center"/>
          </w:tcPr>
          <w:p w14:paraId="4417725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Person-job fit</w:t>
            </w:r>
          </w:p>
        </w:tc>
        <w:tc>
          <w:tcPr>
            <w:tcW w:w="1314" w:type="dxa"/>
            <w:shd w:val="clear" w:color="auto" w:fill="FFFFFF" w:themeFill="background1"/>
            <w:vAlign w:val="center"/>
          </w:tcPr>
          <w:p w14:paraId="5289B81D">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Conservation of Resources Theory</w:t>
            </w:r>
          </w:p>
        </w:tc>
        <w:tc>
          <w:tcPr>
            <w:tcW w:w="1057" w:type="dxa"/>
            <w:shd w:val="clear" w:color="auto" w:fill="FFFFFF" w:themeFill="background1"/>
            <w:vAlign w:val="center"/>
          </w:tcPr>
          <w:p w14:paraId="086901D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Two-stage survey</w:t>
            </w:r>
          </w:p>
        </w:tc>
        <w:tc>
          <w:tcPr>
            <w:tcW w:w="1814" w:type="dxa"/>
            <w:shd w:val="clear" w:color="auto" w:fill="FFFFFF" w:themeFill="background1"/>
            <w:vAlign w:val="center"/>
          </w:tcPr>
          <w:p w14:paraId="3F78254A">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Work autonomy reduced job insecurity, raising innovation.</w:t>
            </w:r>
          </w:p>
        </w:tc>
        <w:tc>
          <w:tcPr>
            <w:tcW w:w="707" w:type="dxa"/>
            <w:shd w:val="clear" w:color="auto" w:fill="FFFFFF" w:themeFill="background1"/>
            <w:vAlign w:val="center"/>
          </w:tcPr>
          <w:p w14:paraId="7F3B6AB6">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6FBD9E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49A27F28">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69</w:t>
            </w:r>
          </w:p>
        </w:tc>
        <w:tc>
          <w:tcPr>
            <w:tcW w:w="865" w:type="dxa"/>
            <w:shd w:val="clear" w:color="auto" w:fill="FFFFFF" w:themeFill="background1"/>
            <w:vAlign w:val="center"/>
          </w:tcPr>
          <w:p w14:paraId="79F5044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Le &amp; Cayrat (2024)</w:t>
            </w:r>
          </w:p>
        </w:tc>
        <w:tc>
          <w:tcPr>
            <w:tcW w:w="907" w:type="dxa"/>
            <w:shd w:val="clear" w:color="auto" w:fill="FFFFFF" w:themeFill="background1"/>
            <w:vAlign w:val="center"/>
          </w:tcPr>
          <w:p w14:paraId="47B24DC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Qualitative employee survey; service employees</w:t>
            </w:r>
          </w:p>
        </w:tc>
        <w:tc>
          <w:tcPr>
            <w:tcW w:w="1078" w:type="dxa"/>
            <w:shd w:val="clear" w:color="auto" w:fill="FFFFFF" w:themeFill="background1"/>
            <w:vAlign w:val="center"/>
          </w:tcPr>
          <w:p w14:paraId="1E5F468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Artificial companionship; robotic agents</w:t>
            </w:r>
          </w:p>
        </w:tc>
        <w:tc>
          <w:tcPr>
            <w:tcW w:w="1275" w:type="dxa"/>
            <w:shd w:val="clear" w:color="auto" w:fill="FFFFFF" w:themeFill="background1"/>
            <w:vAlign w:val="center"/>
          </w:tcPr>
          <w:p w14:paraId="4821847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Stress; well-being</w:t>
            </w:r>
          </w:p>
        </w:tc>
        <w:tc>
          <w:tcPr>
            <w:tcW w:w="2229" w:type="dxa"/>
            <w:shd w:val="clear" w:color="auto" w:fill="FFFFFF" w:themeFill="background1"/>
            <w:vAlign w:val="center"/>
          </w:tcPr>
          <w:p w14:paraId="48E3470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Four support roles</w:t>
            </w:r>
          </w:p>
        </w:tc>
        <w:tc>
          <w:tcPr>
            <w:tcW w:w="1071" w:type="dxa"/>
            <w:shd w:val="clear" w:color="auto" w:fill="FFFFFF" w:themeFill="background1"/>
            <w:vAlign w:val="center"/>
          </w:tcPr>
          <w:p w14:paraId="5229DA06">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583" w:type="dxa"/>
            <w:shd w:val="clear" w:color="auto" w:fill="FFFFFF" w:themeFill="background1"/>
            <w:vAlign w:val="center"/>
          </w:tcPr>
          <w:p w14:paraId="2A9DEE4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Aligning companionship with job demands</w:t>
            </w:r>
          </w:p>
        </w:tc>
        <w:tc>
          <w:tcPr>
            <w:tcW w:w="1314" w:type="dxa"/>
            <w:shd w:val="clear" w:color="auto" w:fill="FFFFFF" w:themeFill="background1"/>
            <w:vAlign w:val="center"/>
          </w:tcPr>
          <w:p w14:paraId="07CAC1F5">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Social Support Theory</w:t>
            </w:r>
          </w:p>
        </w:tc>
        <w:tc>
          <w:tcPr>
            <w:tcW w:w="1057" w:type="dxa"/>
            <w:shd w:val="clear" w:color="auto" w:fill="FFFFFF" w:themeFill="background1"/>
            <w:vAlign w:val="center"/>
          </w:tcPr>
          <w:p w14:paraId="087F954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Mixed methods</w:t>
            </w:r>
          </w:p>
        </w:tc>
        <w:tc>
          <w:tcPr>
            <w:tcW w:w="1814" w:type="dxa"/>
            <w:shd w:val="clear" w:color="auto" w:fill="FFFFFF" w:themeFill="background1"/>
            <w:vAlign w:val="center"/>
          </w:tcPr>
          <w:p w14:paraId="218E3390">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Artificial companionship offers four support roles.</w:t>
            </w:r>
          </w:p>
        </w:tc>
        <w:tc>
          <w:tcPr>
            <w:tcW w:w="707" w:type="dxa"/>
            <w:shd w:val="clear" w:color="auto" w:fill="FFFFFF" w:themeFill="background1"/>
            <w:vAlign w:val="center"/>
          </w:tcPr>
          <w:p w14:paraId="675CD754">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546BA6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586F3303">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70</w:t>
            </w:r>
          </w:p>
        </w:tc>
        <w:tc>
          <w:tcPr>
            <w:tcW w:w="865" w:type="dxa"/>
            <w:shd w:val="clear" w:color="auto" w:fill="FFFFFF" w:themeFill="background1"/>
            <w:vAlign w:val="center"/>
          </w:tcPr>
          <w:p w14:paraId="3D04CCB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Tahir et al. (2024)</w:t>
            </w:r>
          </w:p>
        </w:tc>
        <w:tc>
          <w:tcPr>
            <w:tcW w:w="907" w:type="dxa"/>
            <w:shd w:val="clear" w:color="auto" w:fill="FFFFFF" w:themeFill="background1"/>
            <w:vAlign w:val="center"/>
          </w:tcPr>
          <w:p w14:paraId="7C2F2F8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Hospitality; two studies</w:t>
            </w:r>
          </w:p>
        </w:tc>
        <w:tc>
          <w:tcPr>
            <w:tcW w:w="1078" w:type="dxa"/>
            <w:shd w:val="clear" w:color="auto" w:fill="FFFFFF" w:themeFill="background1"/>
            <w:vAlign w:val="center"/>
          </w:tcPr>
          <w:p w14:paraId="393FF33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knowledge</w:t>
            </w:r>
          </w:p>
        </w:tc>
        <w:tc>
          <w:tcPr>
            <w:tcW w:w="1275" w:type="dxa"/>
            <w:shd w:val="clear" w:color="auto" w:fill="FFFFFF" w:themeFill="background1"/>
            <w:vAlign w:val="center"/>
          </w:tcPr>
          <w:p w14:paraId="65633BD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Creativity; turnover intentions</w:t>
            </w:r>
          </w:p>
        </w:tc>
        <w:tc>
          <w:tcPr>
            <w:tcW w:w="2229" w:type="dxa"/>
            <w:shd w:val="clear" w:color="auto" w:fill="FFFFFF" w:themeFill="background1"/>
            <w:vAlign w:val="center"/>
          </w:tcPr>
          <w:p w14:paraId="2AFC327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knowledge</w:t>
            </w:r>
          </w:p>
        </w:tc>
        <w:tc>
          <w:tcPr>
            <w:tcW w:w="1071" w:type="dxa"/>
            <w:shd w:val="clear" w:color="auto" w:fill="FFFFFF" w:themeFill="background1"/>
            <w:vAlign w:val="center"/>
          </w:tcPr>
          <w:p w14:paraId="28284337">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583" w:type="dxa"/>
            <w:shd w:val="clear" w:color="auto" w:fill="FFFFFF" w:themeFill="background1"/>
            <w:vAlign w:val="center"/>
          </w:tcPr>
          <w:p w14:paraId="2BA75BD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Responsible leadership as moderator</w:t>
            </w:r>
          </w:p>
        </w:tc>
        <w:tc>
          <w:tcPr>
            <w:tcW w:w="1314" w:type="dxa"/>
            <w:shd w:val="clear" w:color="auto" w:fill="FFFFFF" w:themeFill="background1"/>
            <w:vAlign w:val="center"/>
          </w:tcPr>
          <w:p w14:paraId="4E7C00AE">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Creativity Theory; SDT</w:t>
            </w:r>
          </w:p>
        </w:tc>
        <w:tc>
          <w:tcPr>
            <w:tcW w:w="1057" w:type="dxa"/>
            <w:shd w:val="clear" w:color="auto" w:fill="FFFFFF" w:themeFill="background1"/>
            <w:vAlign w:val="center"/>
          </w:tcPr>
          <w:p w14:paraId="0632F36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Multi-wave research design; two studies</w:t>
            </w:r>
          </w:p>
        </w:tc>
        <w:tc>
          <w:tcPr>
            <w:tcW w:w="1814" w:type="dxa"/>
            <w:shd w:val="clear" w:color="auto" w:fill="FFFFFF" w:themeFill="background1"/>
            <w:vAlign w:val="center"/>
          </w:tcPr>
          <w:p w14:paraId="6BB13266">
            <w:pPr>
              <w:spacing w:after="0" w:line="240" w:lineRule="auto"/>
              <w:rPr>
                <w:rFonts w:ascii="Times New Roman" w:hAnsi="Times New Roman" w:eastAsia="Times New Roman" w:cs="Times New Roman"/>
                <w:sz w:val="20"/>
                <w:szCs w:val="20"/>
              </w:rPr>
            </w:pPr>
            <w:r>
              <w:rPr>
                <w:rFonts w:ascii="Times New Roman" w:hAnsi="Times New Roman" w:eastAsia="Times New Roman" w:cs="Times New Roman"/>
                <w:sz w:val="20"/>
                <w:szCs w:val="20"/>
              </w:rPr>
              <w:t>AI knowledge raised creativity and reduced turnover intention. Moderating the relationship.</w:t>
            </w:r>
          </w:p>
        </w:tc>
        <w:tc>
          <w:tcPr>
            <w:tcW w:w="707" w:type="dxa"/>
            <w:shd w:val="clear" w:color="auto" w:fill="FFFFFF" w:themeFill="background1"/>
            <w:vAlign w:val="center"/>
          </w:tcPr>
          <w:p w14:paraId="07E76DCA">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140BF52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40D5536B">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71</w:t>
            </w:r>
          </w:p>
        </w:tc>
        <w:tc>
          <w:tcPr>
            <w:tcW w:w="865" w:type="dxa"/>
            <w:shd w:val="clear" w:color="auto" w:fill="FFFFFF" w:themeFill="background1"/>
            <w:vAlign w:val="center"/>
          </w:tcPr>
          <w:p w14:paraId="52EE00D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Hughes et al. (2026)</w:t>
            </w:r>
          </w:p>
        </w:tc>
        <w:tc>
          <w:tcPr>
            <w:tcW w:w="907" w:type="dxa"/>
            <w:shd w:val="clear" w:color="auto" w:fill="FFFFFF" w:themeFill="background1"/>
            <w:vAlign w:val="center"/>
          </w:tcPr>
          <w:p w14:paraId="0FA42C0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Cross-industry; 304 decision-makers</w:t>
            </w:r>
          </w:p>
        </w:tc>
        <w:tc>
          <w:tcPr>
            <w:tcW w:w="1078" w:type="dxa"/>
            <w:shd w:val="clear" w:color="auto" w:fill="FFFFFF" w:themeFill="background1"/>
            <w:vAlign w:val="center"/>
          </w:tcPr>
          <w:p w14:paraId="283ABBA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Generative AI</w:t>
            </w:r>
            <w:r>
              <w:rPr>
                <w:rFonts w:hint="eastAsia" w:ascii="Times New Roman" w:hAnsi="Times New Roman" w:eastAsia="宋体" w:cs="Times New Roman"/>
                <w:sz w:val="20"/>
                <w:szCs w:val="20"/>
              </w:rPr>
              <w:t xml:space="preserve"> </w:t>
            </w:r>
            <w:r>
              <w:rPr>
                <w:rFonts w:ascii="Times New Roman" w:hAnsi="Times New Roman" w:eastAsia="宋体" w:cs="Times New Roman"/>
                <w:sz w:val="20"/>
                <w:szCs w:val="20"/>
              </w:rPr>
              <w:t>organisational adoption</w:t>
            </w:r>
          </w:p>
        </w:tc>
        <w:tc>
          <w:tcPr>
            <w:tcW w:w="1275" w:type="dxa"/>
            <w:shd w:val="clear" w:color="auto" w:fill="FFFFFF" w:themeFill="background1"/>
            <w:vAlign w:val="center"/>
          </w:tcPr>
          <w:p w14:paraId="703EA43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Not employee-focused</w:t>
            </w:r>
          </w:p>
        </w:tc>
        <w:tc>
          <w:tcPr>
            <w:tcW w:w="2229" w:type="dxa"/>
            <w:shd w:val="clear" w:color="auto" w:fill="FFFFFF" w:themeFill="background1"/>
            <w:vAlign w:val="center"/>
          </w:tcPr>
          <w:p w14:paraId="2E2F30B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Perceived advantage; staff skills</w:t>
            </w:r>
          </w:p>
        </w:tc>
        <w:tc>
          <w:tcPr>
            <w:tcW w:w="1071" w:type="dxa"/>
            <w:shd w:val="clear" w:color="auto" w:fill="FFFFFF" w:themeFill="background1"/>
            <w:vAlign w:val="center"/>
          </w:tcPr>
          <w:p w14:paraId="636DC39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Explainability complexity; skills gap</w:t>
            </w:r>
          </w:p>
        </w:tc>
        <w:tc>
          <w:tcPr>
            <w:tcW w:w="1583" w:type="dxa"/>
            <w:shd w:val="clear" w:color="auto" w:fill="FFFFFF" w:themeFill="background1"/>
            <w:vAlign w:val="center"/>
          </w:tcPr>
          <w:p w14:paraId="04F628A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Change capacity as moderator</w:t>
            </w:r>
          </w:p>
        </w:tc>
        <w:tc>
          <w:tcPr>
            <w:tcW w:w="1314" w:type="dxa"/>
            <w:shd w:val="clear" w:color="auto" w:fill="FFFFFF" w:themeFill="background1"/>
            <w:vAlign w:val="center"/>
          </w:tcPr>
          <w:p w14:paraId="7282D84C">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TOE framework</w:t>
            </w:r>
          </w:p>
        </w:tc>
        <w:tc>
          <w:tcPr>
            <w:tcW w:w="1057" w:type="dxa"/>
            <w:shd w:val="clear" w:color="auto" w:fill="FFFFFF" w:themeFill="background1"/>
            <w:vAlign w:val="center"/>
          </w:tcPr>
          <w:p w14:paraId="20B0D3F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Mixed methods; SEM; n=304</w:t>
            </w:r>
          </w:p>
        </w:tc>
        <w:tc>
          <w:tcPr>
            <w:tcW w:w="1814" w:type="dxa"/>
            <w:shd w:val="clear" w:color="auto" w:fill="FFFFFF" w:themeFill="background1"/>
            <w:vAlign w:val="center"/>
          </w:tcPr>
          <w:p w14:paraId="3ABFB9F7">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Perceived advantage drove adoption; skills gap was a key barrier.</w:t>
            </w:r>
          </w:p>
        </w:tc>
        <w:tc>
          <w:tcPr>
            <w:tcW w:w="707" w:type="dxa"/>
            <w:shd w:val="clear" w:color="auto" w:fill="FFFFFF" w:themeFill="background1"/>
            <w:vAlign w:val="center"/>
          </w:tcPr>
          <w:p w14:paraId="684E0468">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0DD031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29C8BE2C">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72</w:t>
            </w:r>
          </w:p>
        </w:tc>
        <w:tc>
          <w:tcPr>
            <w:tcW w:w="865" w:type="dxa"/>
            <w:shd w:val="clear" w:color="auto" w:fill="FFFFFF" w:themeFill="background1"/>
            <w:vAlign w:val="center"/>
          </w:tcPr>
          <w:p w14:paraId="1534722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Gupta et al. (2026)</w:t>
            </w:r>
          </w:p>
        </w:tc>
        <w:tc>
          <w:tcPr>
            <w:tcW w:w="907" w:type="dxa"/>
            <w:shd w:val="clear" w:color="auto" w:fill="FFFFFF" w:themeFill="background1"/>
            <w:vAlign w:val="center"/>
          </w:tcPr>
          <w:p w14:paraId="180B352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India; 26 executives</w:t>
            </w:r>
          </w:p>
        </w:tc>
        <w:tc>
          <w:tcPr>
            <w:tcW w:w="1078" w:type="dxa"/>
            <w:shd w:val="clear" w:color="auto" w:fill="FFFFFF" w:themeFill="background1"/>
            <w:vAlign w:val="center"/>
          </w:tcPr>
          <w:p w14:paraId="0102F8D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AI-based digital transformation</w:t>
            </w:r>
          </w:p>
        </w:tc>
        <w:tc>
          <w:tcPr>
            <w:tcW w:w="1275" w:type="dxa"/>
            <w:shd w:val="clear" w:color="auto" w:fill="FFFFFF" w:themeFill="background1"/>
            <w:vAlign w:val="center"/>
          </w:tcPr>
          <w:p w14:paraId="6A119B4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Not employee-focused</w:t>
            </w:r>
          </w:p>
        </w:tc>
        <w:tc>
          <w:tcPr>
            <w:tcW w:w="2229" w:type="dxa"/>
            <w:shd w:val="clear" w:color="auto" w:fill="FFFFFF" w:themeFill="background1"/>
            <w:vAlign w:val="center"/>
          </w:tcPr>
          <w:p w14:paraId="408016E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Training; top management support</w:t>
            </w:r>
          </w:p>
        </w:tc>
        <w:tc>
          <w:tcPr>
            <w:tcW w:w="1071" w:type="dxa"/>
            <w:shd w:val="clear" w:color="auto" w:fill="FFFFFF" w:themeFill="background1"/>
            <w:vAlign w:val="center"/>
          </w:tcPr>
          <w:p w14:paraId="0CFC05E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Tech readiness; org capacitys</w:t>
            </w:r>
          </w:p>
        </w:tc>
        <w:tc>
          <w:tcPr>
            <w:tcW w:w="1583" w:type="dxa"/>
            <w:shd w:val="clear" w:color="auto" w:fill="FFFFFF" w:themeFill="background1"/>
            <w:vAlign w:val="center"/>
          </w:tcPr>
          <w:p w14:paraId="3B7BEC5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Top management support; IT resources</w:t>
            </w:r>
          </w:p>
        </w:tc>
        <w:tc>
          <w:tcPr>
            <w:tcW w:w="1314" w:type="dxa"/>
            <w:shd w:val="clear" w:color="auto" w:fill="FFFFFF" w:themeFill="background1"/>
            <w:vAlign w:val="center"/>
          </w:tcPr>
          <w:p w14:paraId="1C2611D5">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Technology-Organization-Environment (TOE) framework</w:t>
            </w:r>
          </w:p>
        </w:tc>
        <w:tc>
          <w:tcPr>
            <w:tcW w:w="1057" w:type="dxa"/>
            <w:shd w:val="clear" w:color="auto" w:fill="FFFFFF" w:themeFill="background1"/>
            <w:vAlign w:val="center"/>
          </w:tcPr>
          <w:p w14:paraId="7B86DE8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Qualitative; in-depth semi-structured interviews; content analysis; n=26</w:t>
            </w:r>
          </w:p>
        </w:tc>
        <w:tc>
          <w:tcPr>
            <w:tcW w:w="1814" w:type="dxa"/>
            <w:shd w:val="clear" w:color="auto" w:fill="FFFFFF" w:themeFill="background1"/>
            <w:vAlign w:val="center"/>
          </w:tcPr>
          <w:p w14:paraId="00132208">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Top management support accelerated AI transformation.</w:t>
            </w:r>
          </w:p>
        </w:tc>
        <w:tc>
          <w:tcPr>
            <w:tcW w:w="707" w:type="dxa"/>
            <w:shd w:val="clear" w:color="auto" w:fill="FFFFFF" w:themeFill="background1"/>
            <w:vAlign w:val="center"/>
          </w:tcPr>
          <w:p w14:paraId="790D49AC">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RO1</w:t>
            </w:r>
          </w:p>
        </w:tc>
      </w:tr>
      <w:tr w14:paraId="0D656C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06FDCC0D">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73</w:t>
            </w:r>
          </w:p>
        </w:tc>
        <w:tc>
          <w:tcPr>
            <w:tcW w:w="865" w:type="dxa"/>
            <w:shd w:val="clear" w:color="auto" w:fill="FFFFFF" w:themeFill="background1"/>
            <w:vAlign w:val="center"/>
          </w:tcPr>
          <w:p w14:paraId="5189CED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Gkinko &amp; Elbanna (2022)</w:t>
            </w:r>
          </w:p>
        </w:tc>
        <w:tc>
          <w:tcPr>
            <w:tcW w:w="907" w:type="dxa"/>
            <w:shd w:val="clear" w:color="auto" w:fill="FFFFFF" w:themeFill="background1"/>
            <w:vAlign w:val="center"/>
          </w:tcPr>
          <w:p w14:paraId="2ED1BA5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b/>
            </w:r>
            <w:r>
              <w:rPr>
                <w:rFonts w:ascii="Times New Roman" w:hAnsi="Times New Roman" w:eastAsia="宋体" w:cs="Times New Roman"/>
                <w:sz w:val="20"/>
                <w:szCs w:val="20"/>
              </w:rPr>
              <w:t>International organisation; case study</w:t>
            </w:r>
          </w:p>
        </w:tc>
        <w:tc>
          <w:tcPr>
            <w:tcW w:w="1078" w:type="dxa"/>
            <w:shd w:val="clear" w:color="auto" w:fill="FFFFFF" w:themeFill="background1"/>
            <w:vAlign w:val="center"/>
          </w:tcPr>
          <w:p w14:paraId="3EE6957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chatbot</w:t>
            </w:r>
          </w:p>
        </w:tc>
        <w:tc>
          <w:tcPr>
            <w:tcW w:w="1275" w:type="dxa"/>
            <w:shd w:val="clear" w:color="auto" w:fill="FFFFFF" w:themeFill="background1"/>
            <w:vAlign w:val="center"/>
          </w:tcPr>
          <w:p w14:paraId="2EFFD0D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Mixed emotions</w:t>
            </w:r>
          </w:p>
        </w:tc>
        <w:tc>
          <w:tcPr>
            <w:tcW w:w="2229" w:type="dxa"/>
            <w:shd w:val="clear" w:color="auto" w:fill="FFFFFF" w:themeFill="background1"/>
            <w:vAlign w:val="center"/>
          </w:tcPr>
          <w:p w14:paraId="26FC8CB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Chatbot design; social presence</w:t>
            </w:r>
          </w:p>
        </w:tc>
        <w:tc>
          <w:tcPr>
            <w:tcW w:w="1071" w:type="dxa"/>
            <w:shd w:val="clear" w:color="auto" w:fill="FFFFFF" w:themeFill="background1"/>
            <w:vAlign w:val="center"/>
          </w:tcPr>
          <w:p w14:paraId="41AE5D6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Negative emotions</w:t>
            </w:r>
          </w:p>
        </w:tc>
        <w:tc>
          <w:tcPr>
            <w:tcW w:w="1583" w:type="dxa"/>
            <w:shd w:val="clear" w:color="auto" w:fill="FFFFFF" w:themeFill="background1"/>
            <w:vAlign w:val="center"/>
          </w:tcPr>
          <w:p w14:paraId="59424954">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5F040098">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Sociotechnical approach</w:t>
            </w:r>
          </w:p>
        </w:tc>
        <w:tc>
          <w:tcPr>
            <w:tcW w:w="1057" w:type="dxa"/>
            <w:shd w:val="clear" w:color="auto" w:fill="FFFFFF" w:themeFill="background1"/>
            <w:vAlign w:val="center"/>
          </w:tcPr>
          <w:p w14:paraId="3797A25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Case study; interviews</w:t>
            </w:r>
          </w:p>
        </w:tc>
        <w:tc>
          <w:tcPr>
            <w:tcW w:w="1814" w:type="dxa"/>
            <w:shd w:val="clear" w:color="auto" w:fill="FFFFFF" w:themeFill="background1"/>
            <w:vAlign w:val="center"/>
          </w:tcPr>
          <w:p w14:paraId="4F3B6BEC">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Employees experienced mixed emotions with AI chatbots.</w:t>
            </w:r>
          </w:p>
        </w:tc>
        <w:tc>
          <w:tcPr>
            <w:tcW w:w="707" w:type="dxa"/>
            <w:shd w:val="clear" w:color="auto" w:fill="FFFFFF" w:themeFill="background1"/>
            <w:vAlign w:val="center"/>
          </w:tcPr>
          <w:p w14:paraId="35A81CCB">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RO3</w:t>
            </w:r>
          </w:p>
        </w:tc>
      </w:tr>
      <w:tr w14:paraId="17C753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06FA2238">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74</w:t>
            </w:r>
          </w:p>
        </w:tc>
        <w:tc>
          <w:tcPr>
            <w:tcW w:w="865" w:type="dxa"/>
            <w:shd w:val="clear" w:color="auto" w:fill="FFFFFF" w:themeFill="background1"/>
            <w:vAlign w:val="center"/>
          </w:tcPr>
          <w:p w14:paraId="44FF854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Kelley (2022)</w:t>
            </w:r>
          </w:p>
        </w:tc>
        <w:tc>
          <w:tcPr>
            <w:tcW w:w="907" w:type="dxa"/>
            <w:shd w:val="clear" w:color="auto" w:fill="FFFFFF" w:themeFill="background1"/>
            <w:vAlign w:val="center"/>
          </w:tcPr>
          <w:p w14:paraId="19A9B55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24 organisations; 49 interviews</w:t>
            </w:r>
          </w:p>
        </w:tc>
        <w:tc>
          <w:tcPr>
            <w:tcW w:w="1078" w:type="dxa"/>
            <w:shd w:val="clear" w:color="auto" w:fill="FFFFFF" w:themeFill="background1"/>
            <w:vAlign w:val="center"/>
          </w:tcPr>
          <w:p w14:paraId="1E9E805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principles adoption</w:t>
            </w:r>
          </w:p>
        </w:tc>
        <w:tc>
          <w:tcPr>
            <w:tcW w:w="1275" w:type="dxa"/>
            <w:shd w:val="clear" w:color="auto" w:fill="FFFFFF" w:themeFill="background1"/>
            <w:vAlign w:val="center"/>
          </w:tcPr>
          <w:p w14:paraId="41ADF96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Perceptions of effective AI principal adoption</w:t>
            </w:r>
          </w:p>
        </w:tc>
        <w:tc>
          <w:tcPr>
            <w:tcW w:w="2229" w:type="dxa"/>
            <w:shd w:val="clear" w:color="auto" w:fill="FFFFFF" w:themeFill="background1"/>
            <w:vAlign w:val="center"/>
          </w:tcPr>
          <w:p w14:paraId="4A46751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Communication; management support</w:t>
            </w:r>
          </w:p>
        </w:tc>
        <w:tc>
          <w:tcPr>
            <w:tcW w:w="1071" w:type="dxa"/>
            <w:shd w:val="clear" w:color="auto" w:fill="FFFFFF" w:themeFill="background1"/>
            <w:vAlign w:val="center"/>
          </w:tcPr>
          <w:p w14:paraId="0C068019">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583" w:type="dxa"/>
            <w:shd w:val="clear" w:color="auto" w:fill="FFFFFF" w:themeFill="background1"/>
            <w:vAlign w:val="center"/>
          </w:tcPr>
          <w:p w14:paraId="706CEDE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Management support; training</w:t>
            </w:r>
          </w:p>
        </w:tc>
        <w:tc>
          <w:tcPr>
            <w:tcW w:w="1314" w:type="dxa"/>
            <w:shd w:val="clear" w:color="auto" w:fill="FFFFFF" w:themeFill="background1"/>
            <w:vAlign w:val="center"/>
          </w:tcPr>
          <w:p w14:paraId="1DEFF1A4">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Business code adoption theory</w:t>
            </w:r>
          </w:p>
        </w:tc>
        <w:tc>
          <w:tcPr>
            <w:tcW w:w="1057" w:type="dxa"/>
            <w:shd w:val="clear" w:color="auto" w:fill="FFFFFF" w:themeFill="background1"/>
            <w:vAlign w:val="center"/>
          </w:tcPr>
          <w:p w14:paraId="1915ECE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Qualitative; 49 interviews</w:t>
            </w:r>
          </w:p>
        </w:tc>
        <w:tc>
          <w:tcPr>
            <w:tcW w:w="1814" w:type="dxa"/>
            <w:shd w:val="clear" w:color="auto" w:fill="FFFFFF" w:themeFill="background1"/>
            <w:vAlign w:val="center"/>
          </w:tcPr>
          <w:p w14:paraId="792F43D2">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Management support and communication drove effective AI principle adoption.</w:t>
            </w:r>
          </w:p>
        </w:tc>
        <w:tc>
          <w:tcPr>
            <w:tcW w:w="707" w:type="dxa"/>
            <w:shd w:val="clear" w:color="auto" w:fill="FFFFFF" w:themeFill="background1"/>
            <w:vAlign w:val="center"/>
          </w:tcPr>
          <w:p w14:paraId="2549B591">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6DFB1AB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54D23E81">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75</w:t>
            </w:r>
          </w:p>
        </w:tc>
        <w:tc>
          <w:tcPr>
            <w:tcW w:w="865" w:type="dxa"/>
            <w:shd w:val="clear" w:color="auto" w:fill="FFFFFF" w:themeFill="background1"/>
            <w:vAlign w:val="center"/>
          </w:tcPr>
          <w:p w14:paraId="20B4BCC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b/>
            </w:r>
            <w:r>
              <w:rPr>
                <w:rFonts w:ascii="Times New Roman" w:hAnsi="Times New Roman" w:eastAsia="宋体" w:cs="Times New Roman"/>
                <w:sz w:val="20"/>
                <w:szCs w:val="20"/>
              </w:rPr>
              <w:t>Liu et al. (2025)</w:t>
            </w:r>
          </w:p>
        </w:tc>
        <w:tc>
          <w:tcPr>
            <w:tcW w:w="907" w:type="dxa"/>
            <w:shd w:val="clear" w:color="auto" w:fill="FFFFFF" w:themeFill="background1"/>
            <w:vAlign w:val="center"/>
          </w:tcPr>
          <w:p w14:paraId="50BBA11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China; 291 paired participants</w:t>
            </w:r>
          </w:p>
        </w:tc>
        <w:tc>
          <w:tcPr>
            <w:tcW w:w="1078" w:type="dxa"/>
            <w:shd w:val="clear" w:color="auto" w:fill="FFFFFF" w:themeFill="background1"/>
            <w:vAlign w:val="center"/>
          </w:tcPr>
          <w:p w14:paraId="491FFE6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Generative AI adoption</w:t>
            </w:r>
          </w:p>
        </w:tc>
        <w:tc>
          <w:tcPr>
            <w:tcW w:w="1275" w:type="dxa"/>
            <w:shd w:val="clear" w:color="auto" w:fill="FFFFFF" w:themeFill="background1"/>
            <w:vAlign w:val="center"/>
          </w:tcPr>
          <w:p w14:paraId="6B6F390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Voice quality; cyberloafing; cheating behavior</w:t>
            </w:r>
          </w:p>
        </w:tc>
        <w:tc>
          <w:tcPr>
            <w:tcW w:w="2229" w:type="dxa"/>
            <w:shd w:val="clear" w:color="auto" w:fill="FFFFFF" w:themeFill="background1"/>
            <w:vAlign w:val="center"/>
          </w:tcPr>
          <w:p w14:paraId="24EB1D8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crafting; career commitment</w:t>
            </w:r>
          </w:p>
        </w:tc>
        <w:tc>
          <w:tcPr>
            <w:tcW w:w="1071" w:type="dxa"/>
            <w:shd w:val="clear" w:color="auto" w:fill="FFFFFF" w:themeFill="background1"/>
            <w:vAlign w:val="center"/>
          </w:tcPr>
          <w:p w14:paraId="6AD7A99D">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583" w:type="dxa"/>
            <w:shd w:val="clear" w:color="auto" w:fill="FFFFFF" w:themeFill="background1"/>
            <w:vAlign w:val="center"/>
          </w:tcPr>
          <w:p w14:paraId="6E92DE60">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1369E9E9">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COR Theory</w:t>
            </w:r>
          </w:p>
        </w:tc>
        <w:tc>
          <w:tcPr>
            <w:tcW w:w="1057" w:type="dxa"/>
            <w:shd w:val="clear" w:color="auto" w:fill="FFFFFF" w:themeFill="background1"/>
            <w:vAlign w:val="center"/>
          </w:tcPr>
          <w:p w14:paraId="613F4BC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Two-wave survey; mediation</w:t>
            </w:r>
          </w:p>
        </w:tc>
        <w:tc>
          <w:tcPr>
            <w:tcW w:w="1814" w:type="dxa"/>
            <w:shd w:val="clear" w:color="auto" w:fill="FFFFFF" w:themeFill="background1"/>
            <w:vAlign w:val="center"/>
          </w:tcPr>
          <w:p w14:paraId="544C3EEE">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GenAI adoption raised voice and reduced cyberloafing.</w:t>
            </w:r>
          </w:p>
        </w:tc>
        <w:tc>
          <w:tcPr>
            <w:tcW w:w="707" w:type="dxa"/>
            <w:shd w:val="clear" w:color="auto" w:fill="FFFFFF" w:themeFill="background1"/>
            <w:vAlign w:val="center"/>
          </w:tcPr>
          <w:p w14:paraId="0C171E89">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RO3</w:t>
            </w:r>
          </w:p>
        </w:tc>
      </w:tr>
      <w:tr w14:paraId="3D1AC44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553D2ACF">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76</w:t>
            </w:r>
          </w:p>
        </w:tc>
        <w:tc>
          <w:tcPr>
            <w:tcW w:w="865" w:type="dxa"/>
            <w:shd w:val="clear" w:color="auto" w:fill="FFFFFF" w:themeFill="background1"/>
            <w:vAlign w:val="center"/>
          </w:tcPr>
          <w:p w14:paraId="26A02DE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Miller (2022)</w:t>
            </w:r>
          </w:p>
        </w:tc>
        <w:tc>
          <w:tcPr>
            <w:tcW w:w="907" w:type="dxa"/>
            <w:shd w:val="clear" w:color="auto" w:fill="FFFFFF" w:themeFill="background1"/>
            <w:vAlign w:val="center"/>
          </w:tcPr>
          <w:p w14:paraId="6A0EB80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Systematic literature review; AI project contexts</w:t>
            </w:r>
          </w:p>
        </w:tc>
        <w:tc>
          <w:tcPr>
            <w:tcW w:w="1078" w:type="dxa"/>
            <w:shd w:val="clear" w:color="auto" w:fill="FFFFFF" w:themeFill="background1"/>
            <w:vAlign w:val="center"/>
          </w:tcPr>
          <w:p w14:paraId="51B804E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project development and usage</w:t>
            </w:r>
          </w:p>
        </w:tc>
        <w:tc>
          <w:tcPr>
            <w:tcW w:w="1275" w:type="dxa"/>
            <w:shd w:val="clear" w:color="auto" w:fill="FFFFFF" w:themeFill="background1"/>
            <w:vAlign w:val="center"/>
          </w:tcPr>
          <w:p w14:paraId="1BA193A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Not employee-focused</w:t>
            </w:r>
          </w:p>
        </w:tc>
        <w:tc>
          <w:tcPr>
            <w:tcW w:w="2229" w:type="dxa"/>
            <w:shd w:val="clear" w:color="auto" w:fill="FFFFFF" w:themeFill="background1"/>
            <w:vAlign w:val="center"/>
          </w:tcPr>
          <w:p w14:paraId="20AB0155">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071" w:type="dxa"/>
            <w:shd w:val="clear" w:color="auto" w:fill="FFFFFF" w:themeFill="background1"/>
            <w:vAlign w:val="center"/>
          </w:tcPr>
          <w:p w14:paraId="5B5ED72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Passive stakeholder concerns</w:t>
            </w:r>
          </w:p>
        </w:tc>
        <w:tc>
          <w:tcPr>
            <w:tcW w:w="1583" w:type="dxa"/>
            <w:shd w:val="clear" w:color="auto" w:fill="FFFFFF" w:themeFill="background1"/>
            <w:vAlign w:val="center"/>
          </w:tcPr>
          <w:p w14:paraId="60717CC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Stakeholder engagement</w:t>
            </w:r>
          </w:p>
        </w:tc>
        <w:tc>
          <w:tcPr>
            <w:tcW w:w="1314" w:type="dxa"/>
            <w:shd w:val="clear" w:color="auto" w:fill="FFFFFF" w:themeFill="background1"/>
            <w:vAlign w:val="center"/>
          </w:tcPr>
          <w:p w14:paraId="7CCD27FF">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Stakeholder Theory</w:t>
            </w:r>
          </w:p>
        </w:tc>
        <w:tc>
          <w:tcPr>
            <w:tcW w:w="1057" w:type="dxa"/>
            <w:shd w:val="clear" w:color="auto" w:fill="FFFFFF" w:themeFill="background1"/>
            <w:vAlign w:val="center"/>
          </w:tcPr>
          <w:p w14:paraId="658460F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Systematic literature review; thematic analysis</w:t>
            </w:r>
          </w:p>
        </w:tc>
        <w:tc>
          <w:tcPr>
            <w:tcW w:w="1814" w:type="dxa"/>
            <w:shd w:val="clear" w:color="auto" w:fill="FFFFFF" w:themeFill="background1"/>
            <w:vAlign w:val="center"/>
          </w:tcPr>
          <w:p w14:paraId="2287C868">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Passive stakeholders are often overlooked in AI projects.</w:t>
            </w:r>
          </w:p>
        </w:tc>
        <w:tc>
          <w:tcPr>
            <w:tcW w:w="707" w:type="dxa"/>
            <w:shd w:val="clear" w:color="auto" w:fill="FFFFFF" w:themeFill="background1"/>
            <w:vAlign w:val="center"/>
          </w:tcPr>
          <w:p w14:paraId="4E2002DD">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w:t>
            </w:r>
            <w:r>
              <w:rPr>
                <w:rFonts w:hint="eastAsia" w:ascii="Times New Roman" w:hAnsi="Times New Roman" w:eastAsia="宋体" w:cs="Times New Roman"/>
                <w:sz w:val="20"/>
                <w:szCs w:val="20"/>
              </w:rPr>
              <w:t>1</w:t>
            </w:r>
          </w:p>
        </w:tc>
      </w:tr>
      <w:tr w14:paraId="1A1EB6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46E7E800">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77</w:t>
            </w:r>
          </w:p>
        </w:tc>
        <w:tc>
          <w:tcPr>
            <w:tcW w:w="865" w:type="dxa"/>
            <w:shd w:val="clear" w:color="auto" w:fill="FFFFFF" w:themeFill="background1"/>
            <w:vAlign w:val="center"/>
          </w:tcPr>
          <w:p w14:paraId="49BC218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Smith (2024)</w:t>
            </w:r>
          </w:p>
        </w:tc>
        <w:tc>
          <w:tcPr>
            <w:tcW w:w="907" w:type="dxa"/>
            <w:shd w:val="clear" w:color="auto" w:fill="FFFFFF" w:themeFill="background1"/>
            <w:vAlign w:val="center"/>
          </w:tcPr>
          <w:p w14:paraId="515F874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Multinational corporations; qualitative interviews</w:t>
            </w:r>
          </w:p>
        </w:tc>
        <w:tc>
          <w:tcPr>
            <w:tcW w:w="1078" w:type="dxa"/>
            <w:shd w:val="clear" w:color="auto" w:fill="FFFFFF" w:themeFill="background1"/>
            <w:vAlign w:val="center"/>
          </w:tcPr>
          <w:p w14:paraId="58D6321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Generative AI adoption</w:t>
            </w:r>
          </w:p>
        </w:tc>
        <w:tc>
          <w:tcPr>
            <w:tcW w:w="1275" w:type="dxa"/>
            <w:shd w:val="clear" w:color="auto" w:fill="FFFFFF" w:themeFill="background1"/>
            <w:vAlign w:val="center"/>
          </w:tcPr>
          <w:p w14:paraId="2C4D9BF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Adoption; challenges</w:t>
            </w:r>
          </w:p>
        </w:tc>
        <w:tc>
          <w:tcPr>
            <w:tcW w:w="2229" w:type="dxa"/>
            <w:shd w:val="clear" w:color="auto" w:fill="FFFFFF" w:themeFill="background1"/>
            <w:vAlign w:val="center"/>
          </w:tcPr>
          <w:p w14:paraId="386612C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Usefulness; ease of use; leadership support</w:t>
            </w:r>
          </w:p>
        </w:tc>
        <w:tc>
          <w:tcPr>
            <w:tcW w:w="1071" w:type="dxa"/>
            <w:shd w:val="clear" w:color="auto" w:fill="FFFFFF" w:themeFill="background1"/>
            <w:vAlign w:val="center"/>
          </w:tcPr>
          <w:p w14:paraId="3EEA216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Privacy; skills gaps; trust issues</w:t>
            </w:r>
          </w:p>
        </w:tc>
        <w:tc>
          <w:tcPr>
            <w:tcW w:w="1583" w:type="dxa"/>
            <w:shd w:val="clear" w:color="auto" w:fill="FFFFFF" w:themeFill="background1"/>
            <w:vAlign w:val="center"/>
          </w:tcPr>
          <w:p w14:paraId="371105A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Training; governance; leadership support</w:t>
            </w:r>
          </w:p>
        </w:tc>
        <w:tc>
          <w:tcPr>
            <w:tcW w:w="1314" w:type="dxa"/>
            <w:shd w:val="clear" w:color="auto" w:fill="FFFFFF" w:themeFill="background1"/>
            <w:vAlign w:val="center"/>
          </w:tcPr>
          <w:p w14:paraId="2311995A">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Extended TAM</w:t>
            </w:r>
          </w:p>
        </w:tc>
        <w:tc>
          <w:tcPr>
            <w:tcW w:w="1057" w:type="dxa"/>
            <w:shd w:val="clear" w:color="auto" w:fill="FFFFFF" w:themeFill="background1"/>
            <w:vAlign w:val="center"/>
          </w:tcPr>
          <w:p w14:paraId="7534DD7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Qualitative; interviews</w:t>
            </w:r>
          </w:p>
        </w:tc>
        <w:tc>
          <w:tcPr>
            <w:tcW w:w="1814" w:type="dxa"/>
            <w:shd w:val="clear" w:color="auto" w:fill="FFFFFF" w:themeFill="background1"/>
            <w:vAlign w:val="center"/>
          </w:tcPr>
          <w:p w14:paraId="082050C2">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TAM factors and organisational influences shaped GenAI adoption.</w:t>
            </w:r>
          </w:p>
        </w:tc>
        <w:tc>
          <w:tcPr>
            <w:tcW w:w="707" w:type="dxa"/>
            <w:shd w:val="clear" w:color="auto" w:fill="FFFFFF" w:themeFill="background1"/>
            <w:vAlign w:val="center"/>
          </w:tcPr>
          <w:p w14:paraId="5AC6DD25">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64038C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275B62F5">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78</w:t>
            </w:r>
          </w:p>
        </w:tc>
        <w:tc>
          <w:tcPr>
            <w:tcW w:w="865" w:type="dxa"/>
            <w:shd w:val="clear" w:color="auto" w:fill="FFFFFF" w:themeFill="background1"/>
            <w:vAlign w:val="center"/>
          </w:tcPr>
          <w:p w14:paraId="77F01CD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Rauhala et al. (2025)</w:t>
            </w:r>
          </w:p>
        </w:tc>
        <w:tc>
          <w:tcPr>
            <w:tcW w:w="907" w:type="dxa"/>
            <w:shd w:val="clear" w:color="auto" w:fill="FFFFFF" w:themeFill="background1"/>
            <w:vAlign w:val="center"/>
          </w:tcPr>
          <w:p w14:paraId="518EEA5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Finland; 474 knowledge workers</w:t>
            </w:r>
          </w:p>
        </w:tc>
        <w:tc>
          <w:tcPr>
            <w:tcW w:w="1078" w:type="dxa"/>
            <w:shd w:val="clear" w:color="auto" w:fill="FFFFFF" w:themeFill="background1"/>
            <w:vAlign w:val="center"/>
          </w:tcPr>
          <w:p w14:paraId="72C04EF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Ethical AI in the workplace</w:t>
            </w:r>
          </w:p>
        </w:tc>
        <w:tc>
          <w:tcPr>
            <w:tcW w:w="1275" w:type="dxa"/>
            <w:shd w:val="clear" w:color="auto" w:fill="FFFFFF" w:themeFill="background1"/>
            <w:vAlign w:val="center"/>
          </w:tcPr>
          <w:p w14:paraId="56A31BC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Participation; engagement</w:t>
            </w:r>
          </w:p>
        </w:tc>
        <w:tc>
          <w:tcPr>
            <w:tcW w:w="2229" w:type="dxa"/>
            <w:shd w:val="clear" w:color="auto" w:fill="FFFFFF" w:themeFill="background1"/>
            <w:vAlign w:val="center"/>
          </w:tcPr>
          <w:p w14:paraId="4A6D491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Fairness; transparency</w:t>
            </w:r>
          </w:p>
        </w:tc>
        <w:tc>
          <w:tcPr>
            <w:tcW w:w="1071" w:type="dxa"/>
            <w:shd w:val="clear" w:color="auto" w:fill="FFFFFF" w:themeFill="background1"/>
            <w:vAlign w:val="center"/>
          </w:tcPr>
          <w:p w14:paraId="5D996F69">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583" w:type="dxa"/>
            <w:shd w:val="clear" w:color="auto" w:fill="FFFFFF" w:themeFill="background1"/>
            <w:vAlign w:val="center"/>
          </w:tcPr>
          <w:p w14:paraId="6254059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Inclusive AI; communication</w:t>
            </w:r>
          </w:p>
        </w:tc>
        <w:tc>
          <w:tcPr>
            <w:tcW w:w="1314" w:type="dxa"/>
            <w:shd w:val="clear" w:color="auto" w:fill="FFFFFF" w:themeFill="background1"/>
            <w:vAlign w:val="center"/>
          </w:tcPr>
          <w:p w14:paraId="4C67EBD1">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Professional agency model</w:t>
            </w:r>
          </w:p>
        </w:tc>
        <w:tc>
          <w:tcPr>
            <w:tcW w:w="1057" w:type="dxa"/>
            <w:shd w:val="clear" w:color="auto" w:fill="FFFFFF" w:themeFill="background1"/>
            <w:vAlign w:val="center"/>
          </w:tcPr>
          <w:p w14:paraId="49CE88F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Survey; CFA; path analysis</w:t>
            </w:r>
          </w:p>
        </w:tc>
        <w:tc>
          <w:tcPr>
            <w:tcW w:w="1814" w:type="dxa"/>
            <w:shd w:val="clear" w:color="auto" w:fill="FFFFFF" w:themeFill="background1"/>
            <w:vAlign w:val="center"/>
          </w:tcPr>
          <w:p w14:paraId="136955FB">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Fairness and transparency raised participation and engagement.</w:t>
            </w:r>
          </w:p>
        </w:tc>
        <w:tc>
          <w:tcPr>
            <w:tcW w:w="707" w:type="dxa"/>
            <w:shd w:val="clear" w:color="auto" w:fill="FFFFFF" w:themeFill="background1"/>
            <w:vAlign w:val="center"/>
          </w:tcPr>
          <w:p w14:paraId="4B144763">
            <w:pPr>
              <w:spacing w:after="0" w:line="240" w:lineRule="auto"/>
              <w:rPr>
                <w:rFonts w:ascii="Times New Roman" w:hAnsi="Times New Roman" w:eastAsia="宋体" w:cs="Times New Roman"/>
                <w:sz w:val="20"/>
                <w:szCs w:val="20"/>
              </w:rPr>
            </w:pPr>
            <w:r>
              <w:rPr>
                <w:rFonts w:hint="eastAsia" w:ascii="Times New Roman" w:hAnsi="Times New Roman" w:eastAsia="宋体" w:cs="Times New Roman"/>
                <w:sz w:val="20"/>
                <w:szCs w:val="20"/>
              </w:rPr>
              <w:t>RO2</w:t>
            </w:r>
          </w:p>
        </w:tc>
      </w:tr>
      <w:tr w14:paraId="2B27B0A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773443DB">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79</w:t>
            </w:r>
          </w:p>
        </w:tc>
        <w:tc>
          <w:tcPr>
            <w:tcW w:w="865" w:type="dxa"/>
            <w:shd w:val="clear" w:color="auto" w:fill="FFFFFF" w:themeFill="background1"/>
            <w:vAlign w:val="center"/>
          </w:tcPr>
          <w:p w14:paraId="2B1C16B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Lane &amp; Williams (2023)</w:t>
            </w:r>
          </w:p>
        </w:tc>
        <w:tc>
          <w:tcPr>
            <w:tcW w:w="907" w:type="dxa"/>
            <w:shd w:val="clear" w:color="auto" w:fill="FFFFFF" w:themeFill="background1"/>
            <w:vAlign w:val="center"/>
          </w:tcPr>
          <w:p w14:paraId="6F9FD1D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OECD working paper; conceptual guide</w:t>
            </w:r>
          </w:p>
        </w:tc>
        <w:tc>
          <w:tcPr>
            <w:tcW w:w="1078" w:type="dxa"/>
            <w:shd w:val="clear" w:color="auto" w:fill="FFFFFF" w:themeFill="background1"/>
            <w:vAlign w:val="center"/>
          </w:tcPr>
          <w:p w14:paraId="6141951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in the workplace</w:t>
            </w:r>
          </w:p>
        </w:tc>
        <w:tc>
          <w:tcPr>
            <w:tcW w:w="1275" w:type="dxa"/>
            <w:shd w:val="clear" w:color="auto" w:fill="FFFFFF" w:themeFill="background1"/>
            <w:vAlign w:val="center"/>
          </w:tcPr>
          <w:p w14:paraId="2C00B27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Not employee-focused</w:t>
            </w:r>
          </w:p>
        </w:tc>
        <w:tc>
          <w:tcPr>
            <w:tcW w:w="2229" w:type="dxa"/>
            <w:shd w:val="clear" w:color="auto" w:fill="FFFFFF" w:themeFill="background1"/>
            <w:vAlign w:val="center"/>
          </w:tcPr>
          <w:p w14:paraId="31CBAB1E">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071" w:type="dxa"/>
            <w:shd w:val="clear" w:color="auto" w:fill="FFFFFF" w:themeFill="background1"/>
            <w:vAlign w:val="center"/>
          </w:tcPr>
          <w:p w14:paraId="6D706B99">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583" w:type="dxa"/>
            <w:shd w:val="clear" w:color="auto" w:fill="FFFFFF" w:themeFill="background1"/>
            <w:vAlign w:val="center"/>
          </w:tcPr>
          <w:p w14:paraId="0CDCB449">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09FD16FC">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Conceptual framework for classifying AI</w:t>
            </w:r>
          </w:p>
        </w:tc>
        <w:tc>
          <w:tcPr>
            <w:tcW w:w="1057" w:type="dxa"/>
            <w:shd w:val="clear" w:color="auto" w:fill="FFFFFF" w:themeFill="background1"/>
            <w:vAlign w:val="center"/>
          </w:tcPr>
          <w:p w14:paraId="4D67797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Conceptual guide</w:t>
            </w:r>
          </w:p>
        </w:tc>
        <w:tc>
          <w:tcPr>
            <w:tcW w:w="1814" w:type="dxa"/>
            <w:shd w:val="clear" w:color="auto" w:fill="FFFFFF" w:themeFill="background1"/>
            <w:vAlign w:val="center"/>
          </w:tcPr>
          <w:p w14:paraId="15AAD139">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Provides a framework for classifying workplace AI.</w:t>
            </w:r>
          </w:p>
        </w:tc>
        <w:tc>
          <w:tcPr>
            <w:tcW w:w="707" w:type="dxa"/>
            <w:shd w:val="clear" w:color="auto" w:fill="FFFFFF" w:themeFill="background1"/>
            <w:vAlign w:val="center"/>
          </w:tcPr>
          <w:p w14:paraId="55294422">
            <w:pPr>
              <w:spacing w:after="0" w:line="240" w:lineRule="auto"/>
              <w:rPr>
                <w:rFonts w:ascii="Times New Roman" w:hAnsi="Times New Roman" w:eastAsia="宋体" w:cs="Times New Roman"/>
                <w:sz w:val="20"/>
                <w:szCs w:val="20"/>
              </w:rPr>
            </w:pPr>
            <w:r>
              <w:rPr>
                <w:rFonts w:hint="eastAsia" w:ascii="Times New Roman" w:hAnsi="Times New Roman" w:eastAsia="宋体" w:cs="Times New Roman"/>
                <w:sz w:val="20"/>
                <w:szCs w:val="20"/>
              </w:rPr>
              <w:t>RO1</w:t>
            </w:r>
          </w:p>
        </w:tc>
      </w:tr>
      <w:tr w14:paraId="2B1D8C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2CB1E55E">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80</w:t>
            </w:r>
          </w:p>
        </w:tc>
        <w:tc>
          <w:tcPr>
            <w:tcW w:w="865" w:type="dxa"/>
            <w:shd w:val="clear" w:color="auto" w:fill="FFFFFF" w:themeFill="background1"/>
            <w:vAlign w:val="center"/>
          </w:tcPr>
          <w:p w14:paraId="3FB91F0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Lesener et al. (2019)</w:t>
            </w:r>
          </w:p>
        </w:tc>
        <w:tc>
          <w:tcPr>
            <w:tcW w:w="907" w:type="dxa"/>
            <w:shd w:val="clear" w:color="auto" w:fill="FFFFFF" w:themeFill="background1"/>
            <w:vAlign w:val="center"/>
          </w:tcPr>
          <w:p w14:paraId="3BE89EF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Meta-analytic review; longitudinal studies</w:t>
            </w:r>
          </w:p>
        </w:tc>
        <w:tc>
          <w:tcPr>
            <w:tcW w:w="1078" w:type="dxa"/>
            <w:shd w:val="clear" w:color="auto" w:fill="FFFFFF" w:themeFill="background1"/>
            <w:vAlign w:val="center"/>
          </w:tcPr>
          <w:p w14:paraId="66267B5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Not AI-specific</w:t>
            </w:r>
          </w:p>
        </w:tc>
        <w:tc>
          <w:tcPr>
            <w:tcW w:w="1275" w:type="dxa"/>
            <w:shd w:val="clear" w:color="auto" w:fill="FFFFFF" w:themeFill="background1"/>
            <w:vAlign w:val="center"/>
          </w:tcPr>
          <w:p w14:paraId="6D57634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Burnout; engagement</w:t>
            </w:r>
          </w:p>
        </w:tc>
        <w:tc>
          <w:tcPr>
            <w:tcW w:w="2229" w:type="dxa"/>
            <w:shd w:val="clear" w:color="auto" w:fill="FFFFFF" w:themeFill="background1"/>
            <w:vAlign w:val="center"/>
          </w:tcPr>
          <w:p w14:paraId="4C8828A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resources</w:t>
            </w:r>
          </w:p>
        </w:tc>
        <w:tc>
          <w:tcPr>
            <w:tcW w:w="1071" w:type="dxa"/>
            <w:shd w:val="clear" w:color="auto" w:fill="FFFFFF" w:themeFill="background1"/>
            <w:vAlign w:val="center"/>
          </w:tcPr>
          <w:p w14:paraId="1E8C7FB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demands</w:t>
            </w:r>
          </w:p>
        </w:tc>
        <w:tc>
          <w:tcPr>
            <w:tcW w:w="1583" w:type="dxa"/>
            <w:shd w:val="clear" w:color="auto" w:fill="FFFFFF" w:themeFill="background1"/>
            <w:vAlign w:val="center"/>
          </w:tcPr>
          <w:p w14:paraId="0F0D2CD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resources</w:t>
            </w:r>
          </w:p>
        </w:tc>
        <w:tc>
          <w:tcPr>
            <w:tcW w:w="1314" w:type="dxa"/>
            <w:shd w:val="clear" w:color="auto" w:fill="FFFFFF" w:themeFill="background1"/>
            <w:vAlign w:val="center"/>
          </w:tcPr>
          <w:p w14:paraId="077CCF0E">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Job Demands-Resources</w:t>
            </w:r>
            <w:r>
              <w:rPr>
                <w:rFonts w:hint="eastAsia" w:ascii="Times New Roman" w:hAnsi="Times New Roman" w:eastAsia="宋体" w:cs="Times New Roman"/>
                <w:sz w:val="20"/>
                <w:szCs w:val="20"/>
              </w:rPr>
              <w:t xml:space="preserve"> </w:t>
            </w:r>
            <w:r>
              <w:rPr>
                <w:rFonts w:ascii="Times New Roman" w:hAnsi="Times New Roman" w:eastAsia="宋体" w:cs="Times New Roman"/>
                <w:sz w:val="20"/>
                <w:szCs w:val="20"/>
              </w:rPr>
              <w:t>Model</w:t>
            </w:r>
          </w:p>
        </w:tc>
        <w:tc>
          <w:tcPr>
            <w:tcW w:w="1057" w:type="dxa"/>
            <w:shd w:val="clear" w:color="auto" w:fill="FFFFFF" w:themeFill="background1"/>
            <w:vAlign w:val="center"/>
          </w:tcPr>
          <w:p w14:paraId="5A1FF4F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Meta-analytic review; longitudinal studies</w:t>
            </w:r>
          </w:p>
        </w:tc>
        <w:tc>
          <w:tcPr>
            <w:tcW w:w="1814" w:type="dxa"/>
            <w:shd w:val="clear" w:color="auto" w:fill="FFFFFF" w:themeFill="background1"/>
            <w:vAlign w:val="center"/>
          </w:tcPr>
          <w:p w14:paraId="1706BB39">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Job demands raised burnout; resources raised engagement and buffered burnout.</w:t>
            </w:r>
          </w:p>
        </w:tc>
        <w:tc>
          <w:tcPr>
            <w:tcW w:w="707" w:type="dxa"/>
            <w:shd w:val="clear" w:color="auto" w:fill="FFFFFF" w:themeFill="background1"/>
            <w:vAlign w:val="center"/>
          </w:tcPr>
          <w:p w14:paraId="7849325A">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RO1</w:t>
            </w:r>
          </w:p>
        </w:tc>
      </w:tr>
      <w:tr w14:paraId="0ACD6C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27B0444F">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81</w:t>
            </w:r>
          </w:p>
        </w:tc>
        <w:tc>
          <w:tcPr>
            <w:tcW w:w="865" w:type="dxa"/>
            <w:shd w:val="clear" w:color="auto" w:fill="FFFFFF" w:themeFill="background1"/>
            <w:vAlign w:val="center"/>
          </w:tcPr>
          <w:p w14:paraId="3039536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Hunter et al. (1990)</w:t>
            </w:r>
          </w:p>
        </w:tc>
        <w:tc>
          <w:tcPr>
            <w:tcW w:w="907" w:type="dxa"/>
            <w:shd w:val="clear" w:color="auto" w:fill="FFFFFF" w:themeFill="background1"/>
            <w:vAlign w:val="center"/>
          </w:tcPr>
          <w:p w14:paraId="2240916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Meta-analysis; 68 studies</w:t>
            </w:r>
          </w:p>
        </w:tc>
        <w:tc>
          <w:tcPr>
            <w:tcW w:w="1078" w:type="dxa"/>
            <w:shd w:val="clear" w:color="auto" w:fill="FFFFFF" w:themeFill="background1"/>
            <w:vAlign w:val="center"/>
          </w:tcPr>
          <w:p w14:paraId="2217A644">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Not AI-specific</w:t>
            </w:r>
          </w:p>
        </w:tc>
        <w:tc>
          <w:tcPr>
            <w:tcW w:w="1275" w:type="dxa"/>
            <w:shd w:val="clear" w:color="auto" w:fill="FFFFFF" w:themeFill="background1"/>
            <w:vAlign w:val="center"/>
          </w:tcPr>
          <w:p w14:paraId="005243DE">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2229" w:type="dxa"/>
            <w:shd w:val="clear" w:color="auto" w:fill="FFFFFF" w:themeFill="background1"/>
            <w:vAlign w:val="center"/>
          </w:tcPr>
          <w:p w14:paraId="6F0241DC">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071" w:type="dxa"/>
            <w:shd w:val="clear" w:color="auto" w:fill="FFFFFF" w:themeFill="background1"/>
            <w:vAlign w:val="center"/>
          </w:tcPr>
          <w:p w14:paraId="44A58730">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583" w:type="dxa"/>
            <w:shd w:val="clear" w:color="auto" w:fill="FFFFFF" w:themeFill="background1"/>
            <w:vAlign w:val="center"/>
          </w:tcPr>
          <w:p w14:paraId="1D4024D1">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40D11A60">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Job complexity framework</w:t>
            </w:r>
          </w:p>
        </w:tc>
        <w:tc>
          <w:tcPr>
            <w:tcW w:w="1057" w:type="dxa"/>
            <w:shd w:val="clear" w:color="auto" w:fill="FFFFFF" w:themeFill="background1"/>
            <w:vAlign w:val="center"/>
          </w:tcPr>
          <w:p w14:paraId="30EDB46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Meta-analysis; 68 studies</w:t>
            </w:r>
          </w:p>
        </w:tc>
        <w:tc>
          <w:tcPr>
            <w:tcW w:w="1814" w:type="dxa"/>
            <w:shd w:val="clear" w:color="auto" w:fill="FFFFFF" w:themeFill="background1"/>
            <w:vAlign w:val="center"/>
          </w:tcPr>
          <w:p w14:paraId="2A2EEA53">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Output variability rose with job complexity.</w:t>
            </w:r>
          </w:p>
        </w:tc>
        <w:tc>
          <w:tcPr>
            <w:tcW w:w="707" w:type="dxa"/>
            <w:shd w:val="clear" w:color="auto" w:fill="FFFFFF" w:themeFill="background1"/>
            <w:vAlign w:val="center"/>
          </w:tcPr>
          <w:p w14:paraId="64E0453F">
            <w:pPr>
              <w:spacing w:after="0" w:line="240" w:lineRule="auto"/>
              <w:rPr>
                <w:rFonts w:ascii="Times New Roman" w:hAnsi="Times New Roman" w:eastAsia="宋体" w:cs="Times New Roman"/>
                <w:sz w:val="20"/>
                <w:szCs w:val="20"/>
              </w:rPr>
            </w:pPr>
            <w:r>
              <w:rPr>
                <w:rFonts w:hint="eastAsia" w:ascii="Times New Roman" w:hAnsi="Times New Roman" w:eastAsia="宋体" w:cs="Times New Roman"/>
                <w:sz w:val="20"/>
                <w:szCs w:val="20"/>
              </w:rPr>
              <w:t>RO1</w:t>
            </w:r>
          </w:p>
        </w:tc>
      </w:tr>
      <w:tr w14:paraId="617C23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05CB8326">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82</w:t>
            </w:r>
          </w:p>
        </w:tc>
        <w:tc>
          <w:tcPr>
            <w:tcW w:w="865" w:type="dxa"/>
            <w:shd w:val="clear" w:color="auto" w:fill="FFFFFF" w:themeFill="background1"/>
            <w:vAlign w:val="center"/>
          </w:tcPr>
          <w:p w14:paraId="6B72F54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Huang et al. (2016)</w:t>
            </w:r>
          </w:p>
        </w:tc>
        <w:tc>
          <w:tcPr>
            <w:tcW w:w="907" w:type="dxa"/>
            <w:shd w:val="clear" w:color="auto" w:fill="FFFFFF" w:themeFill="background1"/>
            <w:vAlign w:val="center"/>
          </w:tcPr>
          <w:p w14:paraId="3439D3D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China; multiple mediation models</w:t>
            </w:r>
          </w:p>
        </w:tc>
        <w:tc>
          <w:tcPr>
            <w:tcW w:w="1078" w:type="dxa"/>
            <w:shd w:val="clear" w:color="auto" w:fill="FFFFFF" w:themeFill="background1"/>
            <w:vAlign w:val="center"/>
          </w:tcPr>
          <w:p w14:paraId="298151A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Not AI-specific</w:t>
            </w:r>
          </w:p>
        </w:tc>
        <w:tc>
          <w:tcPr>
            <w:tcW w:w="1275" w:type="dxa"/>
            <w:shd w:val="clear" w:color="auto" w:fill="FFFFFF" w:themeFill="background1"/>
            <w:vAlign w:val="center"/>
          </w:tcPr>
          <w:p w14:paraId="6126260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Emotional exhaustion; depersonalization</w:t>
            </w:r>
          </w:p>
        </w:tc>
        <w:tc>
          <w:tcPr>
            <w:tcW w:w="2229" w:type="dxa"/>
            <w:shd w:val="clear" w:color="auto" w:fill="FFFFFF" w:themeFill="background1"/>
            <w:vAlign w:val="center"/>
          </w:tcPr>
          <w:p w14:paraId="0F8D6A0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Self-esteem; optimism</w:t>
            </w:r>
          </w:p>
        </w:tc>
        <w:tc>
          <w:tcPr>
            <w:tcW w:w="1071" w:type="dxa"/>
            <w:shd w:val="clear" w:color="auto" w:fill="FFFFFF" w:themeFill="background1"/>
            <w:vAlign w:val="center"/>
          </w:tcPr>
          <w:p w14:paraId="3F2A659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Workload</w:t>
            </w:r>
          </w:p>
        </w:tc>
        <w:tc>
          <w:tcPr>
            <w:tcW w:w="1583" w:type="dxa"/>
            <w:shd w:val="clear" w:color="auto" w:fill="FFFFFF" w:themeFill="background1"/>
            <w:vAlign w:val="center"/>
          </w:tcPr>
          <w:p w14:paraId="5887344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Social support</w:t>
            </w:r>
          </w:p>
        </w:tc>
        <w:tc>
          <w:tcPr>
            <w:tcW w:w="1314" w:type="dxa"/>
            <w:shd w:val="clear" w:color="auto" w:fill="FFFFFF" w:themeFill="background1"/>
            <w:vAlign w:val="center"/>
          </w:tcPr>
          <w:p w14:paraId="55ED885E">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JD-R Model</w:t>
            </w:r>
          </w:p>
        </w:tc>
        <w:tc>
          <w:tcPr>
            <w:tcW w:w="1057" w:type="dxa"/>
            <w:shd w:val="clear" w:color="auto" w:fill="FFFFFF" w:themeFill="background1"/>
            <w:vAlign w:val="center"/>
          </w:tcPr>
          <w:p w14:paraId="149572A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Bootstrap; 1,000 samples</w:t>
            </w:r>
          </w:p>
        </w:tc>
        <w:tc>
          <w:tcPr>
            <w:tcW w:w="1814" w:type="dxa"/>
            <w:shd w:val="clear" w:color="auto" w:fill="FFFFFF" w:themeFill="background1"/>
            <w:vAlign w:val="center"/>
          </w:tcPr>
          <w:p w14:paraId="445CA88B">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Workload raised exhaustion; support lowered depersonalisation.</w:t>
            </w:r>
          </w:p>
        </w:tc>
        <w:tc>
          <w:tcPr>
            <w:tcW w:w="707" w:type="dxa"/>
            <w:shd w:val="clear" w:color="auto" w:fill="FFFFFF" w:themeFill="background1"/>
            <w:vAlign w:val="center"/>
          </w:tcPr>
          <w:p w14:paraId="31BAAC98">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RO1</w:t>
            </w:r>
          </w:p>
        </w:tc>
      </w:tr>
      <w:tr w14:paraId="301B0F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72736E9C">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83</w:t>
            </w:r>
          </w:p>
        </w:tc>
        <w:tc>
          <w:tcPr>
            <w:tcW w:w="865" w:type="dxa"/>
            <w:shd w:val="clear" w:color="auto" w:fill="FFFFFF" w:themeFill="background1"/>
            <w:vAlign w:val="center"/>
          </w:tcPr>
          <w:p w14:paraId="516740E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b/>
            </w:r>
            <w:r>
              <w:rPr>
                <w:rFonts w:ascii="Times New Roman" w:hAnsi="Times New Roman" w:eastAsia="宋体" w:cs="Times New Roman"/>
                <w:sz w:val="20"/>
                <w:szCs w:val="20"/>
              </w:rPr>
              <w:t>Guo &amp; Wang (2026)</w:t>
            </w:r>
          </w:p>
        </w:tc>
        <w:tc>
          <w:tcPr>
            <w:tcW w:w="907" w:type="dxa"/>
            <w:shd w:val="clear" w:color="auto" w:fill="FFFFFF" w:themeFill="background1"/>
            <w:vAlign w:val="center"/>
          </w:tcPr>
          <w:p w14:paraId="0132671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China; 477 community workers</w:t>
            </w:r>
          </w:p>
        </w:tc>
        <w:tc>
          <w:tcPr>
            <w:tcW w:w="1078" w:type="dxa"/>
            <w:shd w:val="clear" w:color="auto" w:fill="FFFFFF" w:themeFill="background1"/>
            <w:vAlign w:val="center"/>
          </w:tcPr>
          <w:p w14:paraId="05A9B08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Not AI-specific</w:t>
            </w:r>
          </w:p>
        </w:tc>
        <w:tc>
          <w:tcPr>
            <w:tcW w:w="1275" w:type="dxa"/>
            <w:shd w:val="clear" w:color="auto" w:fill="FFFFFF" w:themeFill="background1"/>
            <w:vAlign w:val="center"/>
          </w:tcPr>
          <w:p w14:paraId="59E5F65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Helping; exhaustion; engagement</w:t>
            </w:r>
          </w:p>
        </w:tc>
        <w:tc>
          <w:tcPr>
            <w:tcW w:w="2229" w:type="dxa"/>
            <w:shd w:val="clear" w:color="auto" w:fill="FFFFFF" w:themeFill="background1"/>
            <w:vAlign w:val="center"/>
          </w:tcPr>
          <w:p w14:paraId="6628885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POS</w:t>
            </w:r>
          </w:p>
        </w:tc>
        <w:tc>
          <w:tcPr>
            <w:tcW w:w="1071" w:type="dxa"/>
            <w:shd w:val="clear" w:color="auto" w:fill="FFFFFF" w:themeFill="background1"/>
            <w:vAlign w:val="center"/>
          </w:tcPr>
          <w:p w14:paraId="3C040BB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Workload; role conflict</w:t>
            </w:r>
          </w:p>
        </w:tc>
        <w:tc>
          <w:tcPr>
            <w:tcW w:w="1583" w:type="dxa"/>
            <w:shd w:val="clear" w:color="auto" w:fill="FFFFFF" w:themeFill="background1"/>
            <w:vAlign w:val="center"/>
          </w:tcPr>
          <w:p w14:paraId="02421A3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POS as moderator</w:t>
            </w:r>
          </w:p>
        </w:tc>
        <w:tc>
          <w:tcPr>
            <w:tcW w:w="1314" w:type="dxa"/>
            <w:shd w:val="clear" w:color="auto" w:fill="FFFFFF" w:themeFill="background1"/>
            <w:vAlign w:val="center"/>
          </w:tcPr>
          <w:p w14:paraId="3CF556D3">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JD-R Model</w:t>
            </w:r>
          </w:p>
        </w:tc>
        <w:tc>
          <w:tcPr>
            <w:tcW w:w="1057" w:type="dxa"/>
            <w:shd w:val="clear" w:color="auto" w:fill="FFFFFF" w:themeFill="background1"/>
            <w:vAlign w:val="center"/>
          </w:tcPr>
          <w:p w14:paraId="2B10AD2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Survey; SEM; n=477</w:t>
            </w:r>
          </w:p>
        </w:tc>
        <w:tc>
          <w:tcPr>
            <w:tcW w:w="1814" w:type="dxa"/>
            <w:shd w:val="clear" w:color="auto" w:fill="FFFFFF" w:themeFill="background1"/>
            <w:vAlign w:val="center"/>
          </w:tcPr>
          <w:p w14:paraId="39CE989D">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Job demands lowered helping via exhaustion and engagement.</w:t>
            </w:r>
          </w:p>
        </w:tc>
        <w:tc>
          <w:tcPr>
            <w:tcW w:w="707" w:type="dxa"/>
            <w:shd w:val="clear" w:color="auto" w:fill="FFFFFF" w:themeFill="background1"/>
            <w:vAlign w:val="center"/>
          </w:tcPr>
          <w:p w14:paraId="45C19FC4">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ab/>
            </w:r>
            <w:r>
              <w:rPr>
                <w:rFonts w:ascii="Times New Roman" w:hAnsi="Times New Roman" w:eastAsia="宋体" w:cs="Times New Roman"/>
                <w:sz w:val="20"/>
                <w:szCs w:val="20"/>
              </w:rPr>
              <w:t>RO2</w:t>
            </w:r>
          </w:p>
        </w:tc>
      </w:tr>
      <w:tr w14:paraId="0125F2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192102B1">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84</w:t>
            </w:r>
          </w:p>
        </w:tc>
        <w:tc>
          <w:tcPr>
            <w:tcW w:w="865" w:type="dxa"/>
            <w:shd w:val="clear" w:color="auto" w:fill="FFFFFF" w:themeFill="background1"/>
            <w:vAlign w:val="center"/>
          </w:tcPr>
          <w:p w14:paraId="22710AA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Bauer et al. (2008)</w:t>
            </w:r>
          </w:p>
        </w:tc>
        <w:tc>
          <w:tcPr>
            <w:tcW w:w="907" w:type="dxa"/>
            <w:shd w:val="clear" w:color="auto" w:fill="FFFFFF" w:themeFill="background1"/>
            <w:vAlign w:val="center"/>
          </w:tcPr>
          <w:p w14:paraId="65B1A38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Survey; foundational HRC review</w:t>
            </w:r>
          </w:p>
        </w:tc>
        <w:tc>
          <w:tcPr>
            <w:tcW w:w="1078" w:type="dxa"/>
            <w:shd w:val="clear" w:color="auto" w:fill="FFFFFF" w:themeFill="background1"/>
            <w:vAlign w:val="center"/>
          </w:tcPr>
          <w:p w14:paraId="6ADB07C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 xml:space="preserve">Human-robot collaboration </w:t>
            </w:r>
          </w:p>
        </w:tc>
        <w:tc>
          <w:tcPr>
            <w:tcW w:w="1275" w:type="dxa"/>
            <w:shd w:val="clear" w:color="auto" w:fill="FFFFFF" w:themeFill="background1"/>
            <w:vAlign w:val="center"/>
          </w:tcPr>
          <w:p w14:paraId="6FC6045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Not employee-focused</w:t>
            </w:r>
          </w:p>
        </w:tc>
        <w:tc>
          <w:tcPr>
            <w:tcW w:w="2229" w:type="dxa"/>
            <w:shd w:val="clear" w:color="auto" w:fill="FFFFFF" w:themeFill="background1"/>
            <w:vAlign w:val="center"/>
          </w:tcPr>
          <w:p w14:paraId="1AA0FCC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Robotic systems; collaboration strategies</w:t>
            </w:r>
          </w:p>
        </w:tc>
        <w:tc>
          <w:tcPr>
            <w:tcW w:w="1071" w:type="dxa"/>
            <w:shd w:val="clear" w:color="auto" w:fill="FFFFFF" w:themeFill="background1"/>
            <w:vAlign w:val="center"/>
          </w:tcPr>
          <w:p w14:paraId="2D0E5EA6">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583" w:type="dxa"/>
            <w:shd w:val="clear" w:color="auto" w:fill="FFFFFF" w:themeFill="background1"/>
            <w:vAlign w:val="center"/>
          </w:tcPr>
          <w:p w14:paraId="1B51BF8D">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2A2E555F">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057" w:type="dxa"/>
            <w:shd w:val="clear" w:color="auto" w:fill="FFFFFF" w:themeFill="background1"/>
            <w:vAlign w:val="center"/>
          </w:tcPr>
          <w:p w14:paraId="4E8DEC7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Survey</w:t>
            </w:r>
          </w:p>
        </w:tc>
        <w:tc>
          <w:tcPr>
            <w:tcW w:w="1814" w:type="dxa"/>
            <w:shd w:val="clear" w:color="auto" w:fill="FFFFFF" w:themeFill="background1"/>
            <w:vAlign w:val="center"/>
          </w:tcPr>
          <w:p w14:paraId="35B63C1F">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Overview of robotic systems and HRC strategies</w:t>
            </w:r>
          </w:p>
        </w:tc>
        <w:tc>
          <w:tcPr>
            <w:tcW w:w="707" w:type="dxa"/>
            <w:shd w:val="clear" w:color="auto" w:fill="FFFFFF" w:themeFill="background1"/>
            <w:vAlign w:val="center"/>
          </w:tcPr>
          <w:p w14:paraId="2B2D3A65">
            <w:pPr>
              <w:spacing w:after="0" w:line="240" w:lineRule="auto"/>
              <w:rPr>
                <w:rFonts w:ascii="Times New Roman" w:hAnsi="Times New Roman" w:eastAsia="宋体" w:cs="Times New Roman"/>
                <w:sz w:val="20"/>
                <w:szCs w:val="20"/>
              </w:rPr>
            </w:pPr>
            <w:r>
              <w:rPr>
                <w:rFonts w:hint="eastAsia" w:ascii="Times New Roman" w:hAnsi="Times New Roman" w:eastAsia="宋体" w:cs="Times New Roman"/>
                <w:sz w:val="20"/>
                <w:szCs w:val="20"/>
              </w:rPr>
              <w:t>RO1</w:t>
            </w:r>
          </w:p>
        </w:tc>
      </w:tr>
      <w:tr w14:paraId="42C724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27E678AC">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85</w:t>
            </w:r>
          </w:p>
        </w:tc>
        <w:tc>
          <w:tcPr>
            <w:tcW w:w="865" w:type="dxa"/>
            <w:shd w:val="clear" w:color="auto" w:fill="FFFFFF" w:themeFill="background1"/>
            <w:vAlign w:val="center"/>
          </w:tcPr>
          <w:p w14:paraId="4FB025E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Li et al. (2025)</w:t>
            </w:r>
          </w:p>
        </w:tc>
        <w:tc>
          <w:tcPr>
            <w:tcW w:w="907" w:type="dxa"/>
            <w:shd w:val="clear" w:color="auto" w:fill="FFFFFF" w:themeFill="background1"/>
            <w:vAlign w:val="center"/>
          </w:tcPr>
          <w:p w14:paraId="33AA852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b/>
            </w:r>
            <w:r>
              <w:rPr>
                <w:rFonts w:ascii="Times New Roman" w:hAnsi="Times New Roman" w:eastAsia="宋体" w:cs="Times New Roman"/>
                <w:sz w:val="20"/>
                <w:szCs w:val="20"/>
              </w:rPr>
              <w:t>Hospitality; robotic restaurant</w:t>
            </w:r>
          </w:p>
        </w:tc>
        <w:tc>
          <w:tcPr>
            <w:tcW w:w="1078" w:type="dxa"/>
            <w:shd w:val="clear" w:color="auto" w:fill="FFFFFF" w:themeFill="background1"/>
            <w:vAlign w:val="center"/>
          </w:tcPr>
          <w:p w14:paraId="2FC2880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Hybrid team modes</w:t>
            </w:r>
          </w:p>
        </w:tc>
        <w:tc>
          <w:tcPr>
            <w:tcW w:w="1275" w:type="dxa"/>
            <w:shd w:val="clear" w:color="auto" w:fill="FFFFFF" w:themeFill="background1"/>
            <w:vAlign w:val="center"/>
          </w:tcPr>
          <w:p w14:paraId="54EA299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Customer value behaviours</w:t>
            </w:r>
          </w:p>
        </w:tc>
        <w:tc>
          <w:tcPr>
            <w:tcW w:w="2229" w:type="dxa"/>
            <w:shd w:val="clear" w:color="auto" w:fill="FFFFFF" w:themeFill="background1"/>
            <w:vAlign w:val="center"/>
          </w:tcPr>
          <w:p w14:paraId="364B9CD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Collaboration mode; novelty; trust</w:t>
            </w:r>
          </w:p>
        </w:tc>
        <w:tc>
          <w:tcPr>
            <w:tcW w:w="1071" w:type="dxa"/>
            <w:shd w:val="clear" w:color="auto" w:fill="FFFFFF" w:themeFill="background1"/>
            <w:vAlign w:val="center"/>
          </w:tcPr>
          <w:p w14:paraId="0DCDBDE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Robot-dominated mode</w:t>
            </w:r>
          </w:p>
        </w:tc>
        <w:tc>
          <w:tcPr>
            <w:tcW w:w="1583" w:type="dxa"/>
            <w:shd w:val="clear" w:color="auto" w:fill="FFFFFF" w:themeFill="background1"/>
            <w:vAlign w:val="center"/>
          </w:tcPr>
          <w:p w14:paraId="28FB04CF">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40F45463">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Service-Dominant Logic</w:t>
            </w:r>
          </w:p>
        </w:tc>
        <w:tc>
          <w:tcPr>
            <w:tcW w:w="1057" w:type="dxa"/>
            <w:shd w:val="clear" w:color="auto" w:fill="FFFFFF" w:themeFill="background1"/>
            <w:vAlign w:val="center"/>
          </w:tcPr>
          <w:p w14:paraId="785635F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Three experiments</w:t>
            </w:r>
          </w:p>
        </w:tc>
        <w:tc>
          <w:tcPr>
            <w:tcW w:w="1814" w:type="dxa"/>
            <w:shd w:val="clear" w:color="auto" w:fill="FFFFFF" w:themeFill="background1"/>
            <w:vAlign w:val="center"/>
          </w:tcPr>
          <w:p w14:paraId="1E6193C2">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Hybrid team modes shaped customer value behaviours.</w:t>
            </w:r>
          </w:p>
        </w:tc>
        <w:tc>
          <w:tcPr>
            <w:tcW w:w="707" w:type="dxa"/>
            <w:shd w:val="clear" w:color="auto" w:fill="FFFFFF" w:themeFill="background1"/>
            <w:vAlign w:val="center"/>
          </w:tcPr>
          <w:p w14:paraId="206E4E86">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792B04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6CCB4B77">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86</w:t>
            </w:r>
          </w:p>
        </w:tc>
        <w:tc>
          <w:tcPr>
            <w:tcW w:w="865" w:type="dxa"/>
            <w:shd w:val="clear" w:color="auto" w:fill="FFFFFF" w:themeFill="background1"/>
            <w:vAlign w:val="center"/>
          </w:tcPr>
          <w:p w14:paraId="4E1B173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Leiño Calleja et al. (2025)</w:t>
            </w:r>
          </w:p>
        </w:tc>
        <w:tc>
          <w:tcPr>
            <w:tcW w:w="907" w:type="dxa"/>
            <w:shd w:val="clear" w:color="auto" w:fill="FFFFFF" w:themeFill="background1"/>
            <w:vAlign w:val="center"/>
          </w:tcPr>
          <w:p w14:paraId="0056133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B2C experiments + B2B survey; n=1,239</w:t>
            </w:r>
          </w:p>
        </w:tc>
        <w:tc>
          <w:tcPr>
            <w:tcW w:w="1078" w:type="dxa"/>
            <w:shd w:val="clear" w:color="auto" w:fill="FFFFFF" w:themeFill="background1"/>
            <w:vAlign w:val="center"/>
          </w:tcPr>
          <w:p w14:paraId="012BD8F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b/>
            </w:r>
            <w:r>
              <w:rPr>
                <w:rFonts w:ascii="Times New Roman" w:hAnsi="Times New Roman" w:eastAsia="宋体" w:cs="Times New Roman"/>
                <w:sz w:val="20"/>
                <w:szCs w:val="20"/>
              </w:rPr>
              <w:t>Frontline robots in hybrid human-robot teams</w:t>
            </w:r>
          </w:p>
        </w:tc>
        <w:tc>
          <w:tcPr>
            <w:tcW w:w="1275" w:type="dxa"/>
            <w:shd w:val="clear" w:color="auto" w:fill="FFFFFF" w:themeFill="background1"/>
            <w:vAlign w:val="center"/>
          </w:tcPr>
          <w:p w14:paraId="0A2FF14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Teamwork quality; FLE evaluations</w:t>
            </w:r>
          </w:p>
        </w:tc>
        <w:tc>
          <w:tcPr>
            <w:tcW w:w="2229" w:type="dxa"/>
            <w:shd w:val="clear" w:color="auto" w:fill="FFFFFF" w:themeFill="background1"/>
            <w:vAlign w:val="center"/>
          </w:tcPr>
          <w:p w14:paraId="6C47D55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High social presence</w:t>
            </w:r>
          </w:p>
        </w:tc>
        <w:tc>
          <w:tcPr>
            <w:tcW w:w="1071" w:type="dxa"/>
            <w:shd w:val="clear" w:color="auto" w:fill="FFFFFF" w:themeFill="background1"/>
            <w:vAlign w:val="center"/>
          </w:tcPr>
          <w:p w14:paraId="1AD077F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Corrective interrogation</w:t>
            </w:r>
          </w:p>
        </w:tc>
        <w:tc>
          <w:tcPr>
            <w:tcW w:w="1583" w:type="dxa"/>
            <w:shd w:val="clear" w:color="auto" w:fill="FFFFFF" w:themeFill="background1"/>
            <w:vAlign w:val="center"/>
          </w:tcPr>
          <w:p w14:paraId="4A98422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Training; programming</w:t>
            </w:r>
          </w:p>
        </w:tc>
        <w:tc>
          <w:tcPr>
            <w:tcW w:w="1314" w:type="dxa"/>
            <w:shd w:val="clear" w:color="auto" w:fill="FFFFFF" w:themeFill="background1"/>
            <w:vAlign w:val="center"/>
          </w:tcPr>
          <w:p w14:paraId="4E2FE907">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ASP; social cognition</w:t>
            </w:r>
          </w:p>
        </w:tc>
        <w:tc>
          <w:tcPr>
            <w:tcW w:w="1057" w:type="dxa"/>
            <w:shd w:val="clear" w:color="auto" w:fill="FFFFFF" w:themeFill="background1"/>
            <w:vAlign w:val="center"/>
          </w:tcPr>
          <w:p w14:paraId="1F0B973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Experiments + field survey</w:t>
            </w:r>
          </w:p>
        </w:tc>
        <w:tc>
          <w:tcPr>
            <w:tcW w:w="1814" w:type="dxa"/>
            <w:shd w:val="clear" w:color="auto" w:fill="FFFFFF" w:themeFill="background1"/>
            <w:vAlign w:val="center"/>
          </w:tcPr>
          <w:p w14:paraId="1AB52BD8">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High-ASP robots improved teamwork quality, but interrogation harmed it..</w:t>
            </w:r>
          </w:p>
        </w:tc>
        <w:tc>
          <w:tcPr>
            <w:tcW w:w="707" w:type="dxa"/>
            <w:shd w:val="clear" w:color="auto" w:fill="FFFFFF" w:themeFill="background1"/>
            <w:vAlign w:val="center"/>
          </w:tcPr>
          <w:p w14:paraId="335FB18C">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444E0F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025A7403">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87</w:t>
            </w:r>
          </w:p>
        </w:tc>
        <w:tc>
          <w:tcPr>
            <w:tcW w:w="865" w:type="dxa"/>
            <w:shd w:val="clear" w:color="auto" w:fill="FFFFFF" w:themeFill="background1"/>
            <w:vAlign w:val="center"/>
          </w:tcPr>
          <w:p w14:paraId="6321420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Simón et al. (2020)</w:t>
            </w:r>
          </w:p>
        </w:tc>
        <w:tc>
          <w:tcPr>
            <w:tcW w:w="907" w:type="dxa"/>
            <w:shd w:val="clear" w:color="auto" w:fill="FFFFFF" w:themeFill="background1"/>
            <w:vAlign w:val="center"/>
          </w:tcPr>
          <w:p w14:paraId="0DEEBD1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Tourism frontline teams; focus groups</w:t>
            </w:r>
          </w:p>
        </w:tc>
        <w:tc>
          <w:tcPr>
            <w:tcW w:w="1078" w:type="dxa"/>
            <w:shd w:val="clear" w:color="auto" w:fill="FFFFFF" w:themeFill="background1"/>
            <w:vAlign w:val="center"/>
          </w:tcPr>
          <w:p w14:paraId="1AD9153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Human-robot interaction</w:t>
            </w:r>
          </w:p>
        </w:tc>
        <w:tc>
          <w:tcPr>
            <w:tcW w:w="1275" w:type="dxa"/>
            <w:shd w:val="clear" w:color="auto" w:fill="FFFFFF" w:themeFill="background1"/>
            <w:vAlign w:val="center"/>
          </w:tcPr>
          <w:p w14:paraId="150EB99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Trust in robots</w:t>
            </w:r>
          </w:p>
        </w:tc>
        <w:tc>
          <w:tcPr>
            <w:tcW w:w="2229" w:type="dxa"/>
            <w:shd w:val="clear" w:color="auto" w:fill="FFFFFF" w:themeFill="background1"/>
            <w:vAlign w:val="center"/>
          </w:tcPr>
          <w:p w14:paraId="70F39A7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Robot appearance; control</w:t>
            </w:r>
          </w:p>
        </w:tc>
        <w:tc>
          <w:tcPr>
            <w:tcW w:w="1071" w:type="dxa"/>
            <w:shd w:val="clear" w:color="auto" w:fill="FFFFFF" w:themeFill="background1"/>
            <w:vAlign w:val="center"/>
          </w:tcPr>
          <w:p w14:paraId="4C78DC2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Human-like face; robot size</w:t>
            </w:r>
          </w:p>
        </w:tc>
        <w:tc>
          <w:tcPr>
            <w:tcW w:w="1583" w:type="dxa"/>
            <w:shd w:val="clear" w:color="auto" w:fill="FFFFFF" w:themeFill="background1"/>
            <w:vAlign w:val="center"/>
          </w:tcPr>
          <w:p w14:paraId="53A2D527">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28D82537">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Trust framework in HRI</w:t>
            </w:r>
          </w:p>
        </w:tc>
        <w:tc>
          <w:tcPr>
            <w:tcW w:w="1057" w:type="dxa"/>
            <w:shd w:val="clear" w:color="auto" w:fill="FFFFFF" w:themeFill="background1"/>
            <w:vAlign w:val="center"/>
          </w:tcPr>
          <w:p w14:paraId="071885F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Focus groups; LEGO Serious Play</w:t>
            </w:r>
          </w:p>
        </w:tc>
        <w:tc>
          <w:tcPr>
            <w:tcW w:w="1814" w:type="dxa"/>
            <w:shd w:val="clear" w:color="auto" w:fill="FFFFFF" w:themeFill="background1"/>
            <w:vAlign w:val="center"/>
          </w:tcPr>
          <w:p w14:paraId="52D876E0">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Trust in robots depends on appearance, task delegation and team environment.</w:t>
            </w:r>
          </w:p>
        </w:tc>
        <w:tc>
          <w:tcPr>
            <w:tcW w:w="707" w:type="dxa"/>
            <w:shd w:val="clear" w:color="auto" w:fill="FFFFFF" w:themeFill="background1"/>
            <w:vAlign w:val="center"/>
          </w:tcPr>
          <w:p w14:paraId="55554BE9">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655414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01C88820">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88</w:t>
            </w:r>
          </w:p>
        </w:tc>
        <w:tc>
          <w:tcPr>
            <w:tcW w:w="865" w:type="dxa"/>
            <w:shd w:val="clear" w:color="auto" w:fill="FFFFFF" w:themeFill="background1"/>
            <w:vAlign w:val="center"/>
          </w:tcPr>
          <w:p w14:paraId="051AE8F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Brigham et al. (2026)</w:t>
            </w:r>
          </w:p>
        </w:tc>
        <w:tc>
          <w:tcPr>
            <w:tcW w:w="907" w:type="dxa"/>
            <w:shd w:val="clear" w:color="auto" w:fill="FFFFFF" w:themeFill="background1"/>
            <w:vAlign w:val="center"/>
          </w:tcPr>
          <w:p w14:paraId="74687EE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Conceptual framework; organisational settings</w:t>
            </w:r>
          </w:p>
        </w:tc>
        <w:tc>
          <w:tcPr>
            <w:tcW w:w="1078" w:type="dxa"/>
            <w:shd w:val="clear" w:color="auto" w:fill="FFFFFF" w:themeFill="background1"/>
            <w:vAlign w:val="center"/>
          </w:tcPr>
          <w:p w14:paraId="67D8A08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Agentic AI systems</w:t>
            </w:r>
          </w:p>
        </w:tc>
        <w:tc>
          <w:tcPr>
            <w:tcW w:w="1275" w:type="dxa"/>
            <w:shd w:val="clear" w:color="auto" w:fill="FFFFFF" w:themeFill="background1"/>
            <w:vAlign w:val="center"/>
          </w:tcPr>
          <w:p w14:paraId="7C94008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Adaptive vs. maladaptive utilization; substantive vs. symbolic use</w:t>
            </w:r>
          </w:p>
        </w:tc>
        <w:tc>
          <w:tcPr>
            <w:tcW w:w="2229" w:type="dxa"/>
            <w:shd w:val="clear" w:color="auto" w:fill="FFFFFF" w:themeFill="background1"/>
            <w:vAlign w:val="center"/>
          </w:tcPr>
          <w:p w14:paraId="54E5744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System capabilities; autonomy</w:t>
            </w:r>
          </w:p>
        </w:tc>
        <w:tc>
          <w:tcPr>
            <w:tcW w:w="1071" w:type="dxa"/>
            <w:shd w:val="clear" w:color="auto" w:fill="FFFFFF" w:themeFill="background1"/>
            <w:vAlign w:val="center"/>
          </w:tcPr>
          <w:p w14:paraId="01AA2F25">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583" w:type="dxa"/>
            <w:shd w:val="clear" w:color="auto" w:fill="FFFFFF" w:themeFill="background1"/>
            <w:vAlign w:val="center"/>
          </w:tcPr>
          <w:p w14:paraId="78DF5B21">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2BB80623">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Agentic system utilization framework</w:t>
            </w:r>
          </w:p>
        </w:tc>
        <w:tc>
          <w:tcPr>
            <w:tcW w:w="1057" w:type="dxa"/>
            <w:shd w:val="clear" w:color="auto" w:fill="FFFFFF" w:themeFill="background1"/>
            <w:vAlign w:val="center"/>
          </w:tcPr>
          <w:p w14:paraId="4DD0498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Quantitative study proposed</w:t>
            </w:r>
          </w:p>
        </w:tc>
        <w:tc>
          <w:tcPr>
            <w:tcW w:w="1814" w:type="dxa"/>
            <w:shd w:val="clear" w:color="auto" w:fill="FFFFFF" w:themeFill="background1"/>
            <w:vAlign w:val="center"/>
          </w:tcPr>
          <w:p w14:paraId="4AA28216">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Agentic AI use includes adaptive, maladaptive and symbolic patterns.</w:t>
            </w:r>
          </w:p>
        </w:tc>
        <w:tc>
          <w:tcPr>
            <w:tcW w:w="707" w:type="dxa"/>
            <w:shd w:val="clear" w:color="auto" w:fill="FFFFFF" w:themeFill="background1"/>
            <w:vAlign w:val="center"/>
          </w:tcPr>
          <w:p w14:paraId="576553FE">
            <w:pPr>
              <w:spacing w:after="0" w:line="240" w:lineRule="auto"/>
              <w:rPr>
                <w:rFonts w:ascii="Times New Roman" w:hAnsi="Times New Roman" w:eastAsia="宋体" w:cs="Times New Roman"/>
                <w:sz w:val="20"/>
                <w:szCs w:val="20"/>
              </w:rPr>
            </w:pPr>
            <w:r>
              <w:rPr>
                <w:rFonts w:hint="eastAsia" w:ascii="Times New Roman" w:hAnsi="Times New Roman" w:eastAsia="宋体" w:cs="Times New Roman"/>
                <w:sz w:val="20"/>
                <w:szCs w:val="20"/>
              </w:rPr>
              <w:t>RO2</w:t>
            </w:r>
          </w:p>
        </w:tc>
      </w:tr>
      <w:tr w14:paraId="4DDFBAE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65A2B163">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89</w:t>
            </w:r>
          </w:p>
        </w:tc>
        <w:tc>
          <w:tcPr>
            <w:tcW w:w="865" w:type="dxa"/>
            <w:shd w:val="clear" w:color="auto" w:fill="FFFFFF" w:themeFill="background1"/>
            <w:vAlign w:val="center"/>
          </w:tcPr>
          <w:p w14:paraId="2D7C02B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Watoła &amp; Strzelecki (2026)</w:t>
            </w:r>
          </w:p>
        </w:tc>
        <w:tc>
          <w:tcPr>
            <w:tcW w:w="907" w:type="dxa"/>
            <w:shd w:val="clear" w:color="auto" w:fill="FFFFFF" w:themeFill="background1"/>
            <w:vAlign w:val="center"/>
          </w:tcPr>
          <w:p w14:paraId="0981524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Financial sector; 196 respondents</w:t>
            </w:r>
          </w:p>
        </w:tc>
        <w:tc>
          <w:tcPr>
            <w:tcW w:w="1078" w:type="dxa"/>
            <w:shd w:val="clear" w:color="auto" w:fill="FFFFFF" w:themeFill="background1"/>
            <w:vAlign w:val="center"/>
          </w:tcPr>
          <w:p w14:paraId="413ECDF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in financial sector</w:t>
            </w:r>
          </w:p>
        </w:tc>
        <w:tc>
          <w:tcPr>
            <w:tcW w:w="1275" w:type="dxa"/>
            <w:shd w:val="clear" w:color="auto" w:fill="FFFFFF" w:themeFill="background1"/>
            <w:vAlign w:val="center"/>
          </w:tcPr>
          <w:p w14:paraId="2170DBA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Innovation orientation; change acceptance; fears of job replacement</w:t>
            </w:r>
          </w:p>
        </w:tc>
        <w:tc>
          <w:tcPr>
            <w:tcW w:w="2229" w:type="dxa"/>
            <w:shd w:val="clear" w:color="auto" w:fill="FFFFFF" w:themeFill="background1"/>
            <w:vAlign w:val="center"/>
          </w:tcPr>
          <w:p w14:paraId="01A70B0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familiarity; trust in AI</w:t>
            </w:r>
          </w:p>
        </w:tc>
        <w:tc>
          <w:tcPr>
            <w:tcW w:w="1071" w:type="dxa"/>
            <w:shd w:val="clear" w:color="auto" w:fill="FFFFFF" w:themeFill="background1"/>
            <w:vAlign w:val="center"/>
          </w:tcPr>
          <w:p w14:paraId="005EED5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replacement fears; trust does not alleviate displacement anxiety</w:t>
            </w:r>
          </w:p>
        </w:tc>
        <w:tc>
          <w:tcPr>
            <w:tcW w:w="1583" w:type="dxa"/>
            <w:shd w:val="clear" w:color="auto" w:fill="FFFFFF" w:themeFill="background1"/>
            <w:vAlign w:val="center"/>
          </w:tcPr>
          <w:p w14:paraId="54C36491">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66F5E4BA">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Technology acceptance; organizational change</w:t>
            </w:r>
          </w:p>
        </w:tc>
        <w:tc>
          <w:tcPr>
            <w:tcW w:w="1057" w:type="dxa"/>
            <w:shd w:val="clear" w:color="auto" w:fill="FFFFFF" w:themeFill="background1"/>
            <w:vAlign w:val="center"/>
          </w:tcPr>
          <w:p w14:paraId="0254A40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Survey; PLS-SEM; n=196</w:t>
            </w:r>
          </w:p>
        </w:tc>
        <w:tc>
          <w:tcPr>
            <w:tcW w:w="1814" w:type="dxa"/>
            <w:shd w:val="clear" w:color="auto" w:fill="FFFFFF" w:themeFill="background1"/>
            <w:vAlign w:val="center"/>
          </w:tcPr>
          <w:p w14:paraId="0425DFC4">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AI familiarity raised trust and innovation, but not job security.</w:t>
            </w:r>
          </w:p>
        </w:tc>
        <w:tc>
          <w:tcPr>
            <w:tcW w:w="707" w:type="dxa"/>
            <w:shd w:val="clear" w:color="auto" w:fill="FFFFFF" w:themeFill="background1"/>
            <w:vAlign w:val="center"/>
          </w:tcPr>
          <w:p w14:paraId="3C06044C">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r w14:paraId="2A1E862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1B112E25">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90</w:t>
            </w:r>
          </w:p>
        </w:tc>
        <w:tc>
          <w:tcPr>
            <w:tcW w:w="865" w:type="dxa"/>
            <w:shd w:val="clear" w:color="auto" w:fill="FFFFFF" w:themeFill="background1"/>
            <w:vAlign w:val="center"/>
          </w:tcPr>
          <w:p w14:paraId="7D24043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Klöpper &amp; Messer (2025)</w:t>
            </w:r>
          </w:p>
        </w:tc>
        <w:tc>
          <w:tcPr>
            <w:tcW w:w="907" w:type="dxa"/>
            <w:shd w:val="clear" w:color="auto" w:fill="FFFFFF" w:themeFill="background1"/>
            <w:vAlign w:val="center"/>
          </w:tcPr>
          <w:p w14:paraId="69C212A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Online experiment; employees performing real-effort tasks</w:t>
            </w:r>
          </w:p>
        </w:tc>
        <w:tc>
          <w:tcPr>
            <w:tcW w:w="1078" w:type="dxa"/>
            <w:shd w:val="clear" w:color="auto" w:fill="FFFFFF" w:themeFill="background1"/>
            <w:vAlign w:val="center"/>
          </w:tcPr>
          <w:p w14:paraId="5552BA3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People analytics; algorithmic management</w:t>
            </w:r>
          </w:p>
        </w:tc>
        <w:tc>
          <w:tcPr>
            <w:tcW w:w="1275" w:type="dxa"/>
            <w:shd w:val="clear" w:color="auto" w:fill="FFFFFF" w:themeFill="background1"/>
            <w:vAlign w:val="center"/>
          </w:tcPr>
          <w:p w14:paraId="61BF454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Unfairness; retaliation</w:t>
            </w:r>
          </w:p>
        </w:tc>
        <w:tc>
          <w:tcPr>
            <w:tcW w:w="2229" w:type="dxa"/>
            <w:shd w:val="clear" w:color="auto" w:fill="FFFFFF" w:themeFill="background1"/>
            <w:vAlign w:val="center"/>
          </w:tcPr>
          <w:p w14:paraId="01D2429D">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071" w:type="dxa"/>
            <w:shd w:val="clear" w:color="auto" w:fill="FFFFFF" w:themeFill="background1"/>
            <w:vAlign w:val="center"/>
          </w:tcPr>
          <w:p w14:paraId="7A5237E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Algorithmic unfairness</w:t>
            </w:r>
          </w:p>
        </w:tc>
        <w:tc>
          <w:tcPr>
            <w:tcW w:w="1583" w:type="dxa"/>
            <w:shd w:val="clear" w:color="auto" w:fill="FFFFFF" w:themeFill="background1"/>
            <w:vAlign w:val="center"/>
          </w:tcPr>
          <w:p w14:paraId="3F36B17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Keeping people in focus despite technical systems</w:t>
            </w:r>
          </w:p>
        </w:tc>
        <w:tc>
          <w:tcPr>
            <w:tcW w:w="1314" w:type="dxa"/>
            <w:shd w:val="clear" w:color="auto" w:fill="FFFFFF" w:themeFill="background1"/>
            <w:vAlign w:val="center"/>
          </w:tcPr>
          <w:p w14:paraId="304232D0">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Organizational justice</w:t>
            </w:r>
          </w:p>
        </w:tc>
        <w:tc>
          <w:tcPr>
            <w:tcW w:w="1057" w:type="dxa"/>
            <w:shd w:val="clear" w:color="auto" w:fill="FFFFFF" w:themeFill="background1"/>
            <w:vAlign w:val="center"/>
          </w:tcPr>
          <w:p w14:paraId="76A42B9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Online experiment</w:t>
            </w:r>
          </w:p>
        </w:tc>
        <w:tc>
          <w:tcPr>
            <w:tcW w:w="1814" w:type="dxa"/>
            <w:shd w:val="clear" w:color="auto" w:fill="FFFFFF" w:themeFill="background1"/>
            <w:vAlign w:val="center"/>
          </w:tcPr>
          <w:p w14:paraId="1328BAB0">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Algorithmic unfairness raised retaliation.</w:t>
            </w:r>
          </w:p>
        </w:tc>
        <w:tc>
          <w:tcPr>
            <w:tcW w:w="707" w:type="dxa"/>
            <w:shd w:val="clear" w:color="auto" w:fill="FFFFFF" w:themeFill="background1"/>
            <w:vAlign w:val="center"/>
          </w:tcPr>
          <w:p w14:paraId="1C8EB766">
            <w:pPr>
              <w:spacing w:after="0" w:line="240" w:lineRule="auto"/>
              <w:rPr>
                <w:rFonts w:ascii="Times New Roman" w:hAnsi="Times New Roman" w:eastAsia="宋体" w:cs="Times New Roman"/>
                <w:sz w:val="20"/>
                <w:szCs w:val="20"/>
              </w:rPr>
            </w:pPr>
            <w:r>
              <w:rPr>
                <w:rFonts w:hint="eastAsia" w:ascii="Times New Roman" w:hAnsi="Times New Roman" w:eastAsia="宋体" w:cs="Times New Roman"/>
                <w:sz w:val="20"/>
                <w:szCs w:val="20"/>
              </w:rPr>
              <w:t>RO2</w:t>
            </w:r>
          </w:p>
        </w:tc>
      </w:tr>
      <w:tr w14:paraId="3DB3BB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700CF4DB">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91</w:t>
            </w:r>
          </w:p>
        </w:tc>
        <w:tc>
          <w:tcPr>
            <w:tcW w:w="865" w:type="dxa"/>
            <w:shd w:val="clear" w:color="auto" w:fill="FFFFFF" w:themeFill="background1"/>
            <w:vAlign w:val="center"/>
          </w:tcPr>
          <w:p w14:paraId="3C1A775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Narayandas &amp; Zhang (2026)</w:t>
            </w:r>
          </w:p>
        </w:tc>
        <w:tc>
          <w:tcPr>
            <w:tcW w:w="907" w:type="dxa"/>
            <w:shd w:val="clear" w:color="auto" w:fill="FFFFFF" w:themeFill="background1"/>
            <w:vAlign w:val="center"/>
          </w:tcPr>
          <w:p w14:paraId="5E60E8C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HBS working knowledge; conceptual article</w:t>
            </w:r>
          </w:p>
        </w:tc>
        <w:tc>
          <w:tcPr>
            <w:tcW w:w="1078" w:type="dxa"/>
            <w:shd w:val="clear" w:color="auto" w:fill="FFFFFF" w:themeFill="background1"/>
            <w:vAlign w:val="center"/>
          </w:tcPr>
          <w:p w14:paraId="46CFA9A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adoption</w:t>
            </w:r>
          </w:p>
        </w:tc>
        <w:tc>
          <w:tcPr>
            <w:tcW w:w="1275" w:type="dxa"/>
            <w:shd w:val="clear" w:color="auto" w:fill="FFFFFF" w:themeFill="background1"/>
            <w:vAlign w:val="center"/>
          </w:tcPr>
          <w:p w14:paraId="27AD74A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Symbolic adoption; passive resistance; avoidance</w:t>
            </w:r>
          </w:p>
        </w:tc>
        <w:tc>
          <w:tcPr>
            <w:tcW w:w="2229" w:type="dxa"/>
            <w:shd w:val="clear" w:color="auto" w:fill="FFFFFF" w:themeFill="background1"/>
            <w:vAlign w:val="center"/>
          </w:tcPr>
          <w:p w14:paraId="446192A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Identity-compatible advantages; role redesign</w:t>
            </w:r>
          </w:p>
        </w:tc>
        <w:tc>
          <w:tcPr>
            <w:tcW w:w="1071" w:type="dxa"/>
            <w:shd w:val="clear" w:color="auto" w:fill="FFFFFF" w:themeFill="background1"/>
            <w:vAlign w:val="center"/>
          </w:tcPr>
          <w:p w14:paraId="6E43AB9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Role compression; identity threats</w:t>
            </w:r>
          </w:p>
        </w:tc>
        <w:tc>
          <w:tcPr>
            <w:tcW w:w="1583" w:type="dxa"/>
            <w:shd w:val="clear" w:color="auto" w:fill="FFFFFF" w:themeFill="background1"/>
            <w:vAlign w:val="center"/>
          </w:tcPr>
          <w:p w14:paraId="3519BB8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Identity-compatible governance</w:t>
            </w:r>
          </w:p>
        </w:tc>
        <w:tc>
          <w:tcPr>
            <w:tcW w:w="1314" w:type="dxa"/>
            <w:shd w:val="clear" w:color="auto" w:fill="FFFFFF" w:themeFill="background1"/>
            <w:vAlign w:val="center"/>
          </w:tcPr>
          <w:p w14:paraId="373C32F0">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Professional identity threat</w:t>
            </w:r>
          </w:p>
        </w:tc>
        <w:tc>
          <w:tcPr>
            <w:tcW w:w="1057" w:type="dxa"/>
            <w:shd w:val="clear" w:color="auto" w:fill="FFFFFF" w:themeFill="background1"/>
            <w:vAlign w:val="center"/>
          </w:tcPr>
          <w:p w14:paraId="1B7AF58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Practitioner-oriented research synthesis</w:t>
            </w:r>
          </w:p>
        </w:tc>
        <w:tc>
          <w:tcPr>
            <w:tcW w:w="1814" w:type="dxa"/>
            <w:shd w:val="clear" w:color="auto" w:fill="FFFFFF" w:themeFill="background1"/>
            <w:vAlign w:val="center"/>
          </w:tcPr>
          <w:p w14:paraId="572B36A8">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AI threatens professional identity, driving symbolic adoption.</w:t>
            </w:r>
          </w:p>
        </w:tc>
        <w:tc>
          <w:tcPr>
            <w:tcW w:w="707" w:type="dxa"/>
            <w:shd w:val="clear" w:color="auto" w:fill="FFFFFF" w:themeFill="background1"/>
            <w:vAlign w:val="center"/>
          </w:tcPr>
          <w:p w14:paraId="2FDC9E5A">
            <w:pPr>
              <w:spacing w:after="0" w:line="240" w:lineRule="auto"/>
              <w:rPr>
                <w:rFonts w:ascii="Times New Roman" w:hAnsi="Times New Roman" w:eastAsia="宋体" w:cs="Times New Roman"/>
                <w:sz w:val="20"/>
                <w:szCs w:val="20"/>
              </w:rPr>
            </w:pPr>
            <w:r>
              <w:rPr>
                <w:rFonts w:hint="eastAsia" w:ascii="Times New Roman" w:hAnsi="Times New Roman" w:eastAsia="宋体" w:cs="Times New Roman"/>
                <w:sz w:val="20"/>
                <w:szCs w:val="20"/>
              </w:rPr>
              <w:t>RO2</w:t>
            </w:r>
          </w:p>
        </w:tc>
      </w:tr>
      <w:tr w14:paraId="338863A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333DA67A">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92</w:t>
            </w:r>
          </w:p>
        </w:tc>
        <w:tc>
          <w:tcPr>
            <w:tcW w:w="865" w:type="dxa"/>
            <w:shd w:val="clear" w:color="auto" w:fill="FFFFFF" w:themeFill="background1"/>
            <w:vAlign w:val="center"/>
          </w:tcPr>
          <w:p w14:paraId="5F286A5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Chung et al. (2025)</w:t>
            </w:r>
          </w:p>
        </w:tc>
        <w:tc>
          <w:tcPr>
            <w:tcW w:w="907" w:type="dxa"/>
            <w:shd w:val="clear" w:color="auto" w:fill="FFFFFF" w:themeFill="background1"/>
            <w:vAlign w:val="center"/>
          </w:tcPr>
          <w:p w14:paraId="2C8370A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South Korea; 209 employees across industries</w:t>
            </w:r>
          </w:p>
        </w:tc>
        <w:tc>
          <w:tcPr>
            <w:tcW w:w="1078" w:type="dxa"/>
            <w:shd w:val="clear" w:color="auto" w:fill="FFFFFF" w:themeFill="background1"/>
            <w:vAlign w:val="center"/>
          </w:tcPr>
          <w:p w14:paraId="49859E9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awareness</w:t>
            </w:r>
          </w:p>
        </w:tc>
        <w:tc>
          <w:tcPr>
            <w:tcW w:w="1275" w:type="dxa"/>
            <w:shd w:val="clear" w:color="auto" w:fill="FFFFFF" w:themeFill="background1"/>
            <w:vAlign w:val="center"/>
          </w:tcPr>
          <w:p w14:paraId="2622049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Task performance; deviant behaviour</w:t>
            </w:r>
          </w:p>
        </w:tc>
        <w:tc>
          <w:tcPr>
            <w:tcW w:w="2229" w:type="dxa"/>
            <w:shd w:val="clear" w:color="auto" w:fill="FFFFFF" w:themeFill="background1"/>
            <w:vAlign w:val="center"/>
          </w:tcPr>
          <w:p w14:paraId="0216C06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Career resilience</w:t>
            </w:r>
          </w:p>
        </w:tc>
        <w:tc>
          <w:tcPr>
            <w:tcW w:w="1071" w:type="dxa"/>
            <w:shd w:val="clear" w:color="auto" w:fill="FFFFFF" w:themeFill="background1"/>
            <w:vAlign w:val="center"/>
          </w:tcPr>
          <w:p w14:paraId="3DDF844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insecurity</w:t>
            </w:r>
          </w:p>
        </w:tc>
        <w:tc>
          <w:tcPr>
            <w:tcW w:w="1583" w:type="dxa"/>
            <w:shd w:val="clear" w:color="auto" w:fill="FFFFFF" w:themeFill="background1"/>
            <w:vAlign w:val="center"/>
          </w:tcPr>
          <w:p w14:paraId="42E1C03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Career resilience development programmes</w:t>
            </w:r>
          </w:p>
        </w:tc>
        <w:tc>
          <w:tcPr>
            <w:tcW w:w="1314" w:type="dxa"/>
            <w:shd w:val="clear" w:color="auto" w:fill="FFFFFF" w:themeFill="background1"/>
            <w:vAlign w:val="center"/>
          </w:tcPr>
          <w:p w14:paraId="69976EC5">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Job Insecurity Framework</w:t>
            </w:r>
          </w:p>
        </w:tc>
        <w:tc>
          <w:tcPr>
            <w:tcW w:w="1057" w:type="dxa"/>
            <w:shd w:val="clear" w:color="auto" w:fill="FFFFFF" w:themeFill="background1"/>
            <w:vAlign w:val="center"/>
          </w:tcPr>
          <w:p w14:paraId="71815A4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Three-wave survey; moderated mediation; n=209</w:t>
            </w:r>
          </w:p>
        </w:tc>
        <w:tc>
          <w:tcPr>
            <w:tcW w:w="1814" w:type="dxa"/>
            <w:shd w:val="clear" w:color="auto" w:fill="FFFFFF" w:themeFill="background1"/>
            <w:vAlign w:val="center"/>
          </w:tcPr>
          <w:p w14:paraId="0A71200D">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AI awareness raised job insecurity, lowering performance.</w:t>
            </w:r>
          </w:p>
        </w:tc>
        <w:tc>
          <w:tcPr>
            <w:tcW w:w="707" w:type="dxa"/>
            <w:shd w:val="clear" w:color="auto" w:fill="FFFFFF" w:themeFill="background1"/>
            <w:vAlign w:val="center"/>
          </w:tcPr>
          <w:p w14:paraId="30E74680">
            <w:pPr>
              <w:spacing w:after="0" w:line="240" w:lineRule="auto"/>
              <w:rPr>
                <w:rFonts w:ascii="Times New Roman" w:hAnsi="Times New Roman" w:eastAsia="宋体" w:cs="Times New Roman"/>
                <w:sz w:val="20"/>
                <w:szCs w:val="20"/>
              </w:rPr>
            </w:pPr>
            <w:r>
              <w:rPr>
                <w:rFonts w:hint="eastAsia" w:ascii="Times New Roman" w:hAnsi="Times New Roman" w:eastAsia="宋体" w:cs="Times New Roman"/>
                <w:sz w:val="20"/>
                <w:szCs w:val="20"/>
              </w:rPr>
              <w:t>RO2</w:t>
            </w:r>
          </w:p>
        </w:tc>
      </w:tr>
      <w:tr w14:paraId="3A9E78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1264F97C">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93</w:t>
            </w:r>
          </w:p>
        </w:tc>
        <w:tc>
          <w:tcPr>
            <w:tcW w:w="865" w:type="dxa"/>
            <w:shd w:val="clear" w:color="auto" w:fill="FFFFFF" w:themeFill="background1"/>
            <w:vAlign w:val="center"/>
          </w:tcPr>
          <w:p w14:paraId="46C3B36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Jaworek (2025)</w:t>
            </w:r>
          </w:p>
        </w:tc>
        <w:tc>
          <w:tcPr>
            <w:tcW w:w="907" w:type="dxa"/>
            <w:shd w:val="clear" w:color="auto" w:fill="FFFFFF" w:themeFill="background1"/>
            <w:vAlign w:val="center"/>
          </w:tcPr>
          <w:p w14:paraId="5CC680C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Conceptual review; workplace AI resistance</w:t>
            </w:r>
          </w:p>
        </w:tc>
        <w:tc>
          <w:tcPr>
            <w:tcW w:w="1078" w:type="dxa"/>
            <w:shd w:val="clear" w:color="auto" w:fill="FFFFFF" w:themeFill="background1"/>
            <w:vAlign w:val="center"/>
          </w:tcPr>
          <w:p w14:paraId="464871D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in the workplace</w:t>
            </w:r>
          </w:p>
        </w:tc>
        <w:tc>
          <w:tcPr>
            <w:tcW w:w="1275" w:type="dxa"/>
            <w:shd w:val="clear" w:color="auto" w:fill="FFFFFF" w:themeFill="background1"/>
            <w:vAlign w:val="center"/>
          </w:tcPr>
          <w:p w14:paraId="644453D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Resistance to AI</w:t>
            </w:r>
          </w:p>
        </w:tc>
        <w:tc>
          <w:tcPr>
            <w:tcW w:w="2229" w:type="dxa"/>
            <w:shd w:val="clear" w:color="auto" w:fill="FFFFFF" w:themeFill="background1"/>
            <w:vAlign w:val="center"/>
          </w:tcPr>
          <w:p w14:paraId="2C516049">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071" w:type="dxa"/>
            <w:shd w:val="clear" w:color="auto" w:fill="FFFFFF" w:themeFill="background1"/>
            <w:vAlign w:val="center"/>
          </w:tcPr>
          <w:p w14:paraId="48E789B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Uncertainty; low self-efficacy</w:t>
            </w:r>
          </w:p>
        </w:tc>
        <w:tc>
          <w:tcPr>
            <w:tcW w:w="1583" w:type="dxa"/>
            <w:shd w:val="clear" w:color="auto" w:fill="FFFFFF" w:themeFill="background1"/>
            <w:vAlign w:val="center"/>
          </w:tcPr>
          <w:p w14:paraId="759A157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Employee involvement</w:t>
            </w:r>
          </w:p>
        </w:tc>
        <w:tc>
          <w:tcPr>
            <w:tcW w:w="1314" w:type="dxa"/>
            <w:shd w:val="clear" w:color="auto" w:fill="FFFFFF" w:themeFill="background1"/>
            <w:vAlign w:val="center"/>
          </w:tcPr>
          <w:p w14:paraId="3336E2C8">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Self-efficacy theory; uncertainty and stress framework; algorithmic aversion</w:t>
            </w:r>
          </w:p>
        </w:tc>
        <w:tc>
          <w:tcPr>
            <w:tcW w:w="1057" w:type="dxa"/>
            <w:shd w:val="clear" w:color="auto" w:fill="FFFFFF" w:themeFill="background1"/>
            <w:vAlign w:val="center"/>
          </w:tcPr>
          <w:p w14:paraId="5BA6D71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Conceptual/theoretical analysis</w:t>
            </w:r>
          </w:p>
        </w:tc>
        <w:tc>
          <w:tcPr>
            <w:tcW w:w="1814" w:type="dxa"/>
            <w:shd w:val="clear" w:color="auto" w:fill="FFFFFF" w:themeFill="background1"/>
            <w:vAlign w:val="center"/>
          </w:tcPr>
          <w:p w14:paraId="2A957ACC">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AI resistance stems from uncertainty and low self-efficacy.</w:t>
            </w:r>
          </w:p>
        </w:tc>
        <w:tc>
          <w:tcPr>
            <w:tcW w:w="707" w:type="dxa"/>
            <w:shd w:val="clear" w:color="auto" w:fill="FFFFFF" w:themeFill="background1"/>
            <w:vAlign w:val="center"/>
          </w:tcPr>
          <w:p w14:paraId="4394B2DC">
            <w:pPr>
              <w:spacing w:after="0" w:line="240" w:lineRule="auto"/>
              <w:rPr>
                <w:rFonts w:ascii="Times New Roman" w:hAnsi="Times New Roman" w:eastAsia="宋体" w:cs="Times New Roman"/>
                <w:sz w:val="20"/>
                <w:szCs w:val="20"/>
              </w:rPr>
            </w:pPr>
            <w:r>
              <w:rPr>
                <w:rFonts w:hint="eastAsia" w:ascii="Times New Roman" w:hAnsi="Times New Roman" w:eastAsia="宋体" w:cs="Times New Roman"/>
                <w:sz w:val="20"/>
                <w:szCs w:val="20"/>
              </w:rPr>
              <w:t>RO2</w:t>
            </w:r>
          </w:p>
        </w:tc>
      </w:tr>
      <w:tr w14:paraId="2B117F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6C71DFD9">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94</w:t>
            </w:r>
          </w:p>
        </w:tc>
        <w:tc>
          <w:tcPr>
            <w:tcW w:w="865" w:type="dxa"/>
            <w:shd w:val="clear" w:color="auto" w:fill="FFFFFF" w:themeFill="background1"/>
            <w:vAlign w:val="center"/>
          </w:tcPr>
          <w:p w14:paraId="67A56B5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Cai et al. (2026)</w:t>
            </w:r>
          </w:p>
        </w:tc>
        <w:tc>
          <w:tcPr>
            <w:tcW w:w="907" w:type="dxa"/>
            <w:shd w:val="clear" w:color="auto" w:fill="FFFFFF" w:themeFill="background1"/>
            <w:vAlign w:val="center"/>
          </w:tcPr>
          <w:p w14:paraId="5013A47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China; 316 SME employees</w:t>
            </w:r>
          </w:p>
        </w:tc>
        <w:tc>
          <w:tcPr>
            <w:tcW w:w="1078" w:type="dxa"/>
            <w:shd w:val="clear" w:color="auto" w:fill="FFFFFF" w:themeFill="background1"/>
            <w:vAlign w:val="center"/>
          </w:tcPr>
          <w:p w14:paraId="1C9994D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usage</w:t>
            </w:r>
          </w:p>
        </w:tc>
        <w:tc>
          <w:tcPr>
            <w:tcW w:w="1275" w:type="dxa"/>
            <w:shd w:val="clear" w:color="auto" w:fill="FFFFFF" w:themeFill="background1"/>
            <w:vAlign w:val="center"/>
          </w:tcPr>
          <w:p w14:paraId="4AEEEE1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Employee creativity</w:t>
            </w:r>
          </w:p>
        </w:tc>
        <w:tc>
          <w:tcPr>
            <w:tcW w:w="2229" w:type="dxa"/>
            <w:shd w:val="clear" w:color="auto" w:fill="FFFFFF" w:themeFill="background1"/>
            <w:vAlign w:val="center"/>
          </w:tcPr>
          <w:p w14:paraId="4B31C6B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Work engagement as mediator</w:t>
            </w:r>
          </w:p>
        </w:tc>
        <w:tc>
          <w:tcPr>
            <w:tcW w:w="1071" w:type="dxa"/>
            <w:shd w:val="clear" w:color="auto" w:fill="FFFFFF" w:themeFill="background1"/>
            <w:vAlign w:val="center"/>
          </w:tcPr>
          <w:p w14:paraId="4FA1682B">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583" w:type="dxa"/>
            <w:shd w:val="clear" w:color="auto" w:fill="FFFFFF" w:themeFill="background1"/>
            <w:vAlign w:val="center"/>
          </w:tcPr>
          <w:p w14:paraId="7E2625F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Training; AI literacy support</w:t>
            </w:r>
          </w:p>
        </w:tc>
        <w:tc>
          <w:tcPr>
            <w:tcW w:w="1314" w:type="dxa"/>
            <w:shd w:val="clear" w:color="auto" w:fill="FFFFFF" w:themeFill="background1"/>
            <w:vAlign w:val="center"/>
          </w:tcPr>
          <w:p w14:paraId="188B6799">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Conservation of Resources Theory; Social Exchange Theory</w:t>
            </w:r>
          </w:p>
        </w:tc>
        <w:tc>
          <w:tcPr>
            <w:tcW w:w="1057" w:type="dxa"/>
            <w:shd w:val="clear" w:color="auto" w:fill="FFFFFF" w:themeFill="background1"/>
            <w:vAlign w:val="center"/>
          </w:tcPr>
          <w:p w14:paraId="37121D9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Survey; SPSS and Amos; n=316</w:t>
            </w:r>
          </w:p>
        </w:tc>
        <w:tc>
          <w:tcPr>
            <w:tcW w:w="1814" w:type="dxa"/>
            <w:shd w:val="clear" w:color="auto" w:fill="FFFFFF" w:themeFill="background1"/>
            <w:vAlign w:val="center"/>
          </w:tcPr>
          <w:p w14:paraId="4D060EDC">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AI usage raised creativity via work engagement.</w:t>
            </w:r>
          </w:p>
        </w:tc>
        <w:tc>
          <w:tcPr>
            <w:tcW w:w="707" w:type="dxa"/>
            <w:shd w:val="clear" w:color="auto" w:fill="FFFFFF" w:themeFill="background1"/>
            <w:vAlign w:val="center"/>
          </w:tcPr>
          <w:p w14:paraId="7C74E210">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RO3</w:t>
            </w:r>
          </w:p>
        </w:tc>
      </w:tr>
      <w:tr w14:paraId="422A810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594F0C70">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95</w:t>
            </w:r>
          </w:p>
        </w:tc>
        <w:tc>
          <w:tcPr>
            <w:tcW w:w="865" w:type="dxa"/>
            <w:shd w:val="clear" w:color="auto" w:fill="FFFFFF" w:themeFill="background1"/>
            <w:vAlign w:val="center"/>
          </w:tcPr>
          <w:p w14:paraId="489D0AB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Magni &amp; Tang (2025)</w:t>
            </w:r>
          </w:p>
        </w:tc>
        <w:tc>
          <w:tcPr>
            <w:tcW w:w="907" w:type="dxa"/>
            <w:shd w:val="clear" w:color="auto" w:fill="FFFFFF" w:themeFill="background1"/>
            <w:vAlign w:val="center"/>
          </w:tcPr>
          <w:p w14:paraId="4BB1DDA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Singapore; 341 business school students</w:t>
            </w:r>
          </w:p>
        </w:tc>
        <w:tc>
          <w:tcPr>
            <w:tcW w:w="1078" w:type="dxa"/>
            <w:shd w:val="clear" w:color="auto" w:fill="FFFFFF" w:themeFill="background1"/>
            <w:vAlign w:val="center"/>
          </w:tcPr>
          <w:p w14:paraId="01907C0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usage in coworking scenario</w:t>
            </w:r>
          </w:p>
        </w:tc>
        <w:tc>
          <w:tcPr>
            <w:tcW w:w="1275" w:type="dxa"/>
            <w:shd w:val="clear" w:color="auto" w:fill="FFFFFF" w:themeFill="background1"/>
            <w:vAlign w:val="center"/>
          </w:tcPr>
          <w:p w14:paraId="1EF3BD4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Peer evaluation; perceived responsibility; negative affect</w:t>
            </w:r>
          </w:p>
        </w:tc>
        <w:tc>
          <w:tcPr>
            <w:tcW w:w="2229" w:type="dxa"/>
            <w:shd w:val="clear" w:color="auto" w:fill="FFFFFF" w:themeFill="background1"/>
            <w:vAlign w:val="center"/>
          </w:tcPr>
          <w:p w14:paraId="07B18D10">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071" w:type="dxa"/>
            <w:shd w:val="clear" w:color="auto" w:fill="FFFFFF" w:themeFill="background1"/>
            <w:vAlign w:val="center"/>
          </w:tcPr>
          <w:p w14:paraId="417D613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 usage penalty</w:t>
            </w:r>
          </w:p>
        </w:tc>
        <w:tc>
          <w:tcPr>
            <w:tcW w:w="1583" w:type="dxa"/>
            <w:shd w:val="clear" w:color="auto" w:fill="FFFFFF" w:themeFill="background1"/>
            <w:vAlign w:val="center"/>
          </w:tcPr>
          <w:p w14:paraId="020828C2">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314" w:type="dxa"/>
            <w:shd w:val="clear" w:color="auto" w:fill="FFFFFF" w:themeFill="background1"/>
            <w:vAlign w:val="center"/>
          </w:tcPr>
          <w:p w14:paraId="0E105021">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Attribution Theory</w:t>
            </w:r>
          </w:p>
        </w:tc>
        <w:tc>
          <w:tcPr>
            <w:tcW w:w="1057" w:type="dxa"/>
            <w:shd w:val="clear" w:color="auto" w:fill="FFFFFF" w:themeFill="background1"/>
            <w:vAlign w:val="center"/>
          </w:tcPr>
          <w:p w14:paraId="22DEB79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2×2 scenario experiment; mediation analysis</w:t>
            </w:r>
          </w:p>
        </w:tc>
        <w:tc>
          <w:tcPr>
            <w:tcW w:w="1814" w:type="dxa"/>
            <w:shd w:val="clear" w:color="auto" w:fill="FFFFFF" w:themeFill="background1"/>
            <w:vAlign w:val="center"/>
          </w:tcPr>
          <w:p w14:paraId="5534FB48">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AI users were judged more negatively for poor work.</w:t>
            </w:r>
          </w:p>
        </w:tc>
        <w:tc>
          <w:tcPr>
            <w:tcW w:w="707" w:type="dxa"/>
            <w:shd w:val="clear" w:color="auto" w:fill="FFFFFF" w:themeFill="background1"/>
            <w:vAlign w:val="center"/>
          </w:tcPr>
          <w:p w14:paraId="6C98EF8A">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RO2</w:t>
            </w:r>
          </w:p>
        </w:tc>
      </w:tr>
    </w:tbl>
    <w:tbl>
      <w:tblPr>
        <w:tblStyle w:val="36"/>
        <w:tblW w:w="0" w:type="auto"/>
        <w:tblCellSpacing w:w="15" w:type="dxa"/>
        <w:tblInd w:w="45" w:type="dxa"/>
        <w:tblLayout w:type="autofit"/>
        <w:tblCellMar>
          <w:top w:w="15" w:type="dxa"/>
          <w:left w:w="15" w:type="dxa"/>
          <w:bottom w:w="15" w:type="dxa"/>
          <w:right w:w="15" w:type="dxa"/>
        </w:tblCellMar>
      </w:tblPr>
      <w:tblGrid>
        <w:gridCol w:w="81"/>
        <w:gridCol w:w="1914"/>
      </w:tblGrid>
      <w:tr w14:paraId="59041B82">
        <w:tblPrEx>
          <w:tblCellMar>
            <w:top w:w="15" w:type="dxa"/>
            <w:left w:w="15" w:type="dxa"/>
            <w:bottom w:w="15" w:type="dxa"/>
            <w:right w:w="15" w:type="dxa"/>
          </w:tblCellMar>
        </w:tblPrEx>
        <w:trPr>
          <w:tblCellSpacing w:w="15" w:type="dxa"/>
        </w:trPr>
        <w:tc>
          <w:tcPr>
            <w:tcW w:w="0" w:type="auto"/>
            <w:vAlign w:val="center"/>
          </w:tcPr>
          <w:p w14:paraId="73A51281">
            <w:pPr>
              <w:spacing w:after="0" w:line="240" w:lineRule="auto"/>
              <w:jc w:val="both"/>
              <w:rPr>
                <w:rFonts w:ascii="Times New Roman" w:hAnsi="Times New Roman" w:eastAsia="宋体" w:cs="Times New Roman"/>
                <w:sz w:val="20"/>
                <w:szCs w:val="20"/>
              </w:rPr>
            </w:pPr>
          </w:p>
        </w:tc>
        <w:tc>
          <w:tcPr>
            <w:tcW w:w="0" w:type="auto"/>
            <w:vAlign w:val="center"/>
          </w:tcPr>
          <w:p w14:paraId="1EC3CFB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Jia, Ning &amp; Liu (2025)</w:t>
            </w:r>
          </w:p>
        </w:tc>
      </w:tr>
    </w:tbl>
    <w:tbl>
      <w:tblPr>
        <w:tblStyle w:val="3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72"/>
        <w:gridCol w:w="865"/>
        <w:gridCol w:w="907"/>
        <w:gridCol w:w="1078"/>
        <w:gridCol w:w="1275"/>
        <w:gridCol w:w="2229"/>
        <w:gridCol w:w="1071"/>
        <w:gridCol w:w="1583"/>
        <w:gridCol w:w="1314"/>
        <w:gridCol w:w="1057"/>
        <w:gridCol w:w="1814"/>
        <w:gridCol w:w="707"/>
      </w:tblGrid>
      <w:tr w14:paraId="21A274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0DA03261">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96</w:t>
            </w:r>
          </w:p>
        </w:tc>
        <w:tc>
          <w:tcPr>
            <w:tcW w:w="865" w:type="dxa"/>
            <w:shd w:val="clear" w:color="auto" w:fill="FFFFFF" w:themeFill="background1"/>
            <w:vAlign w:val="center"/>
          </w:tcPr>
          <w:p w14:paraId="55B97925">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b/>
            </w:r>
            <w:r>
              <w:rPr>
                <w:rFonts w:ascii="Times New Roman" w:hAnsi="Times New Roman" w:eastAsia="宋体" w:cs="Times New Roman"/>
                <w:sz w:val="20"/>
                <w:szCs w:val="20"/>
              </w:rPr>
              <w:t>Jia et al. (2025)</w:t>
            </w:r>
          </w:p>
        </w:tc>
        <w:tc>
          <w:tcPr>
            <w:tcW w:w="907" w:type="dxa"/>
            <w:shd w:val="clear" w:color="auto" w:fill="FFFFFF" w:themeFill="background1"/>
            <w:vAlign w:val="center"/>
          </w:tcPr>
          <w:p w14:paraId="47696C5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Systematic review; 107 articles</w:t>
            </w:r>
          </w:p>
        </w:tc>
        <w:tc>
          <w:tcPr>
            <w:tcW w:w="1078" w:type="dxa"/>
            <w:shd w:val="clear" w:color="auto" w:fill="FFFFFF" w:themeFill="background1"/>
            <w:vAlign w:val="center"/>
          </w:tcPr>
          <w:p w14:paraId="326E0EA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Workplace AI implementation</w:t>
            </w:r>
          </w:p>
        </w:tc>
        <w:tc>
          <w:tcPr>
            <w:tcW w:w="1275" w:type="dxa"/>
            <w:shd w:val="clear" w:color="auto" w:fill="FFFFFF" w:themeFill="background1"/>
            <w:vAlign w:val="center"/>
          </w:tcPr>
          <w:p w14:paraId="4335470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Psychological, behavioral, and performance outcomes</w:t>
            </w:r>
          </w:p>
        </w:tc>
        <w:tc>
          <w:tcPr>
            <w:tcW w:w="2229" w:type="dxa"/>
            <w:shd w:val="clear" w:color="auto" w:fill="FFFFFF" w:themeFill="background1"/>
            <w:vAlign w:val="center"/>
          </w:tcPr>
          <w:p w14:paraId="6DF3BFD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Resource; cognitive; motivational</w:t>
            </w:r>
          </w:p>
        </w:tc>
        <w:tc>
          <w:tcPr>
            <w:tcW w:w="1071" w:type="dxa"/>
            <w:shd w:val="clear" w:color="auto" w:fill="FFFFFF" w:themeFill="background1"/>
            <w:vAlign w:val="center"/>
          </w:tcPr>
          <w:p w14:paraId="3B14BB68">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insecurity; cognitive overload</w:t>
            </w:r>
          </w:p>
        </w:tc>
        <w:tc>
          <w:tcPr>
            <w:tcW w:w="1583" w:type="dxa"/>
            <w:shd w:val="clear" w:color="auto" w:fill="FFFFFF" w:themeFill="background1"/>
            <w:vAlign w:val="center"/>
          </w:tcPr>
          <w:p w14:paraId="2566661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Moderating mechanisms</w:t>
            </w:r>
          </w:p>
        </w:tc>
        <w:tc>
          <w:tcPr>
            <w:tcW w:w="1314" w:type="dxa"/>
            <w:shd w:val="clear" w:color="auto" w:fill="FFFFFF" w:themeFill="background1"/>
            <w:vAlign w:val="center"/>
          </w:tcPr>
          <w:p w14:paraId="64683E80">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Resource, stress, cognitive, motivational</w:t>
            </w:r>
          </w:p>
        </w:tc>
        <w:tc>
          <w:tcPr>
            <w:tcW w:w="1057" w:type="dxa"/>
            <w:shd w:val="clear" w:color="auto" w:fill="FFFFFF" w:themeFill="background1"/>
            <w:vAlign w:val="center"/>
          </w:tcPr>
          <w:p w14:paraId="0E3297C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Systematic review; 107 included</w:t>
            </w:r>
          </w:p>
        </w:tc>
        <w:tc>
          <w:tcPr>
            <w:tcW w:w="1814" w:type="dxa"/>
            <w:shd w:val="clear" w:color="auto" w:fill="FFFFFF" w:themeFill="background1"/>
            <w:vAlign w:val="center"/>
          </w:tcPr>
          <w:p w14:paraId="45F5A0FB">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Workplace AI has a dual impact on employees.</w:t>
            </w:r>
          </w:p>
        </w:tc>
        <w:tc>
          <w:tcPr>
            <w:tcW w:w="707" w:type="dxa"/>
            <w:shd w:val="clear" w:color="auto" w:fill="FFFFFF" w:themeFill="background1"/>
            <w:vAlign w:val="center"/>
          </w:tcPr>
          <w:p w14:paraId="7B2DA867">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RO1</w:t>
            </w:r>
          </w:p>
        </w:tc>
      </w:tr>
      <w:tr w14:paraId="58C7AC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7069855E">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97</w:t>
            </w:r>
          </w:p>
        </w:tc>
        <w:tc>
          <w:tcPr>
            <w:tcW w:w="865" w:type="dxa"/>
            <w:shd w:val="clear" w:color="auto" w:fill="FFFFFF" w:themeFill="background1"/>
            <w:vAlign w:val="center"/>
          </w:tcPr>
          <w:p w14:paraId="1B2E4D8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Wan et al. (2025)</w:t>
            </w:r>
          </w:p>
        </w:tc>
        <w:tc>
          <w:tcPr>
            <w:tcW w:w="907" w:type="dxa"/>
            <w:shd w:val="clear" w:color="auto" w:fill="FFFFFF" w:themeFill="background1"/>
            <w:vAlign w:val="center"/>
          </w:tcPr>
          <w:p w14:paraId="5A60062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China’s financial sector; survey data</w:t>
            </w:r>
          </w:p>
        </w:tc>
        <w:tc>
          <w:tcPr>
            <w:tcW w:w="1078" w:type="dxa"/>
            <w:shd w:val="clear" w:color="auto" w:fill="FFFFFF" w:themeFill="background1"/>
            <w:vAlign w:val="center"/>
          </w:tcPr>
          <w:p w14:paraId="30D8300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AI-driven; human–AI collaboration</w:t>
            </w:r>
          </w:p>
        </w:tc>
        <w:tc>
          <w:tcPr>
            <w:tcW w:w="1275" w:type="dxa"/>
            <w:shd w:val="clear" w:color="auto" w:fill="FFFFFF" w:themeFill="background1"/>
            <w:vAlign w:val="center"/>
          </w:tcPr>
          <w:p w14:paraId="70B64E2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Employee performance; innovation capability; managerial performance</w:t>
            </w:r>
          </w:p>
        </w:tc>
        <w:tc>
          <w:tcPr>
            <w:tcW w:w="2229" w:type="dxa"/>
            <w:shd w:val="clear" w:color="auto" w:fill="FFFFFF" w:themeFill="background1"/>
            <w:vAlign w:val="center"/>
          </w:tcPr>
          <w:p w14:paraId="1CE24747">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Employee skills; data reliability</w:t>
            </w:r>
          </w:p>
        </w:tc>
        <w:tc>
          <w:tcPr>
            <w:tcW w:w="1071" w:type="dxa"/>
            <w:shd w:val="clear" w:color="auto" w:fill="FFFFFF" w:themeFill="background1"/>
            <w:vAlign w:val="center"/>
          </w:tcPr>
          <w:p w14:paraId="2FD53F58">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583" w:type="dxa"/>
            <w:shd w:val="clear" w:color="auto" w:fill="FFFFFF" w:themeFill="background1"/>
            <w:vAlign w:val="center"/>
          </w:tcPr>
          <w:p w14:paraId="22EBD09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Managerial oversight; data governance; workflow optimization</w:t>
            </w:r>
          </w:p>
        </w:tc>
        <w:tc>
          <w:tcPr>
            <w:tcW w:w="1314" w:type="dxa"/>
            <w:shd w:val="clear" w:color="auto" w:fill="FFFFFF" w:themeFill="background1"/>
            <w:vAlign w:val="center"/>
          </w:tcPr>
          <w:p w14:paraId="4BACE3A0">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Collaboration Theory</w:t>
            </w:r>
          </w:p>
        </w:tc>
        <w:tc>
          <w:tcPr>
            <w:tcW w:w="1057" w:type="dxa"/>
            <w:shd w:val="clear" w:color="auto" w:fill="FFFFFF" w:themeFill="background1"/>
            <w:vAlign w:val="center"/>
          </w:tcPr>
          <w:p w14:paraId="42A55D9F">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Survey; multiple regression; fsQCA; n=202</w:t>
            </w:r>
          </w:p>
        </w:tc>
        <w:tc>
          <w:tcPr>
            <w:tcW w:w="1814" w:type="dxa"/>
            <w:shd w:val="clear" w:color="auto" w:fill="FFFFFF" w:themeFill="background1"/>
            <w:vAlign w:val="center"/>
          </w:tcPr>
          <w:p w14:paraId="5D057733">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Skills, data and management raised innovation and performance.</w:t>
            </w:r>
          </w:p>
        </w:tc>
        <w:tc>
          <w:tcPr>
            <w:tcW w:w="707" w:type="dxa"/>
            <w:shd w:val="clear" w:color="auto" w:fill="FFFFFF" w:themeFill="background1"/>
            <w:vAlign w:val="center"/>
          </w:tcPr>
          <w:p w14:paraId="35BAC295">
            <w:pPr>
              <w:spacing w:after="0" w:line="240" w:lineRule="auto"/>
              <w:rPr>
                <w:rFonts w:ascii="Times New Roman" w:hAnsi="Times New Roman" w:eastAsia="宋体" w:cs="Times New Roman"/>
                <w:sz w:val="20"/>
                <w:szCs w:val="20"/>
              </w:rPr>
            </w:pPr>
            <w:r>
              <w:rPr>
                <w:rFonts w:hint="eastAsia" w:ascii="Times New Roman" w:hAnsi="Times New Roman" w:eastAsia="宋体" w:cs="Times New Roman"/>
                <w:sz w:val="20"/>
                <w:szCs w:val="20"/>
              </w:rPr>
              <w:t>RO3</w:t>
            </w:r>
          </w:p>
        </w:tc>
      </w:tr>
      <w:tr w14:paraId="519F62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7F415E3A">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98</w:t>
            </w:r>
          </w:p>
        </w:tc>
        <w:tc>
          <w:tcPr>
            <w:tcW w:w="865" w:type="dxa"/>
            <w:shd w:val="clear" w:color="auto" w:fill="FFFFFF" w:themeFill="background1"/>
            <w:vAlign w:val="center"/>
          </w:tcPr>
          <w:p w14:paraId="09C8D361">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Nguyen et al. (2026)</w:t>
            </w:r>
          </w:p>
        </w:tc>
        <w:tc>
          <w:tcPr>
            <w:tcW w:w="907" w:type="dxa"/>
            <w:shd w:val="clear" w:color="auto" w:fill="FFFFFF" w:themeFill="background1"/>
            <w:vAlign w:val="center"/>
          </w:tcPr>
          <w:p w14:paraId="7861F0E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Vietnam; multi-wave, multilevel survey</w:t>
            </w:r>
          </w:p>
        </w:tc>
        <w:tc>
          <w:tcPr>
            <w:tcW w:w="1078" w:type="dxa"/>
            <w:shd w:val="clear" w:color="auto" w:fill="FFFFFF" w:themeFill="background1"/>
            <w:vAlign w:val="center"/>
          </w:tcPr>
          <w:p w14:paraId="60639E64">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Employee–AI collaboration</w:t>
            </w:r>
          </w:p>
        </w:tc>
        <w:tc>
          <w:tcPr>
            <w:tcW w:w="1275" w:type="dxa"/>
            <w:shd w:val="clear" w:color="auto" w:fill="FFFFFF" w:themeFill="background1"/>
            <w:vAlign w:val="center"/>
          </w:tcPr>
          <w:p w14:paraId="68C03F7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performance</w:t>
            </w:r>
          </w:p>
        </w:tc>
        <w:tc>
          <w:tcPr>
            <w:tcW w:w="2229" w:type="dxa"/>
            <w:shd w:val="clear" w:color="auto" w:fill="FFFFFF" w:themeFill="background1"/>
            <w:vAlign w:val="center"/>
          </w:tcPr>
          <w:p w14:paraId="324F899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Cognitive flexibility</w:t>
            </w:r>
          </w:p>
        </w:tc>
        <w:tc>
          <w:tcPr>
            <w:tcW w:w="1071" w:type="dxa"/>
            <w:shd w:val="clear" w:color="auto" w:fill="FFFFFF" w:themeFill="background1"/>
            <w:vAlign w:val="center"/>
          </w:tcPr>
          <w:p w14:paraId="305EBCD3">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583" w:type="dxa"/>
            <w:shd w:val="clear" w:color="auto" w:fill="FFFFFF" w:themeFill="background1"/>
            <w:vAlign w:val="center"/>
          </w:tcPr>
          <w:p w14:paraId="3D7EC95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Empowerment climate</w:t>
            </w:r>
          </w:p>
        </w:tc>
        <w:tc>
          <w:tcPr>
            <w:tcW w:w="1314" w:type="dxa"/>
            <w:shd w:val="clear" w:color="auto" w:fill="FFFFFF" w:themeFill="background1"/>
            <w:vAlign w:val="center"/>
          </w:tcPr>
          <w:p w14:paraId="43FFBF0A">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Social Exchange Theory; Social-Technical Systems</w:t>
            </w:r>
          </w:p>
        </w:tc>
        <w:tc>
          <w:tcPr>
            <w:tcW w:w="1057" w:type="dxa"/>
            <w:shd w:val="clear" w:color="auto" w:fill="FFFFFF" w:themeFill="background1"/>
            <w:vAlign w:val="center"/>
          </w:tcPr>
          <w:p w14:paraId="4550BCB2">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Multilevel analysis; multi-wave survey; n=202</w:t>
            </w:r>
          </w:p>
        </w:tc>
        <w:tc>
          <w:tcPr>
            <w:tcW w:w="1814" w:type="dxa"/>
            <w:shd w:val="clear" w:color="auto" w:fill="FFFFFF" w:themeFill="background1"/>
            <w:vAlign w:val="center"/>
          </w:tcPr>
          <w:p w14:paraId="4563DF3E">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Employee-AI collaboration raised performance via cognitive flexibility.</w:t>
            </w:r>
          </w:p>
        </w:tc>
        <w:tc>
          <w:tcPr>
            <w:tcW w:w="707" w:type="dxa"/>
            <w:shd w:val="clear" w:color="auto" w:fill="FFFFFF" w:themeFill="background1"/>
            <w:vAlign w:val="center"/>
          </w:tcPr>
          <w:p w14:paraId="23781A8D">
            <w:pPr>
              <w:spacing w:after="0" w:line="240" w:lineRule="auto"/>
              <w:rPr>
                <w:rFonts w:ascii="Times New Roman" w:hAnsi="Times New Roman" w:eastAsia="宋体" w:cs="Times New Roman"/>
                <w:sz w:val="20"/>
                <w:szCs w:val="20"/>
              </w:rPr>
            </w:pPr>
            <w:r>
              <w:rPr>
                <w:rFonts w:hint="eastAsia" w:ascii="Times New Roman" w:hAnsi="Times New Roman" w:eastAsia="宋体" w:cs="Times New Roman"/>
                <w:sz w:val="20"/>
                <w:szCs w:val="20"/>
              </w:rPr>
              <w:t>RO3</w:t>
            </w:r>
          </w:p>
        </w:tc>
      </w:tr>
      <w:tr w14:paraId="5406F3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6A956296">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99</w:t>
            </w:r>
          </w:p>
        </w:tc>
        <w:tc>
          <w:tcPr>
            <w:tcW w:w="865" w:type="dxa"/>
            <w:shd w:val="clear" w:color="auto" w:fill="FFFFFF" w:themeFill="background1"/>
            <w:vAlign w:val="center"/>
          </w:tcPr>
          <w:p w14:paraId="7FF415BD">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Liu &amp; Li (2025)</w:t>
            </w:r>
          </w:p>
        </w:tc>
        <w:tc>
          <w:tcPr>
            <w:tcW w:w="907" w:type="dxa"/>
            <w:shd w:val="clear" w:color="auto" w:fill="FFFFFF" w:themeFill="background1"/>
            <w:vAlign w:val="center"/>
          </w:tcPr>
          <w:p w14:paraId="51F3008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Safety-critical work contexts</w:t>
            </w:r>
          </w:p>
        </w:tc>
        <w:tc>
          <w:tcPr>
            <w:tcW w:w="1078" w:type="dxa"/>
            <w:shd w:val="clear" w:color="auto" w:fill="FFFFFF" w:themeFill="background1"/>
            <w:vAlign w:val="center"/>
          </w:tcPr>
          <w:p w14:paraId="72680119">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Human-AI collaboration</w:t>
            </w:r>
          </w:p>
        </w:tc>
        <w:tc>
          <w:tcPr>
            <w:tcW w:w="1275" w:type="dxa"/>
            <w:shd w:val="clear" w:color="auto" w:fill="FFFFFF" w:themeFill="background1"/>
            <w:vAlign w:val="center"/>
          </w:tcPr>
          <w:p w14:paraId="1AFF15E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Safety performance</w:t>
            </w:r>
          </w:p>
        </w:tc>
        <w:tc>
          <w:tcPr>
            <w:tcW w:w="2229" w:type="dxa"/>
            <w:shd w:val="clear" w:color="auto" w:fill="FFFFFF" w:themeFill="background1"/>
            <w:vAlign w:val="center"/>
          </w:tcPr>
          <w:p w14:paraId="46F89955">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071" w:type="dxa"/>
            <w:shd w:val="clear" w:color="auto" w:fill="FFFFFF" w:themeFill="background1"/>
            <w:vAlign w:val="center"/>
          </w:tcPr>
          <w:p w14:paraId="4A1F3E3A">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HAI-C task complexity; tech-learning anxiety</w:t>
            </w:r>
          </w:p>
        </w:tc>
        <w:tc>
          <w:tcPr>
            <w:tcW w:w="1583" w:type="dxa"/>
            <w:shd w:val="clear" w:color="auto" w:fill="FFFFFF" w:themeFill="background1"/>
            <w:vAlign w:val="center"/>
          </w:tcPr>
          <w:p w14:paraId="2BA3039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Job resources as buffer</w:t>
            </w:r>
          </w:p>
        </w:tc>
        <w:tc>
          <w:tcPr>
            <w:tcW w:w="1314" w:type="dxa"/>
            <w:shd w:val="clear" w:color="auto" w:fill="FFFFFF" w:themeFill="background1"/>
            <w:vAlign w:val="center"/>
          </w:tcPr>
          <w:p w14:paraId="27CCE357">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Job Demands-Resources (JD-R) model</w:t>
            </w:r>
          </w:p>
        </w:tc>
        <w:tc>
          <w:tcPr>
            <w:tcW w:w="1057" w:type="dxa"/>
            <w:shd w:val="clear" w:color="auto" w:fill="FFFFFF" w:themeFill="background1"/>
            <w:vAlign w:val="center"/>
          </w:tcPr>
          <w:p w14:paraId="7A3A384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Empirical study</w:t>
            </w:r>
          </w:p>
        </w:tc>
        <w:tc>
          <w:tcPr>
            <w:tcW w:w="1814" w:type="dxa"/>
            <w:shd w:val="clear" w:color="auto" w:fill="FFFFFF" w:themeFill="background1"/>
            <w:vAlign w:val="center"/>
          </w:tcPr>
          <w:p w14:paraId="268DD40F">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Human-AI collaboration had a dual impact on safety performance.</w:t>
            </w:r>
          </w:p>
        </w:tc>
        <w:tc>
          <w:tcPr>
            <w:tcW w:w="707" w:type="dxa"/>
            <w:shd w:val="clear" w:color="auto" w:fill="FFFFFF" w:themeFill="background1"/>
            <w:vAlign w:val="center"/>
          </w:tcPr>
          <w:p w14:paraId="2A0D1C64">
            <w:pPr>
              <w:spacing w:after="0" w:line="240" w:lineRule="auto"/>
              <w:rPr>
                <w:rFonts w:ascii="Times New Roman" w:hAnsi="Times New Roman" w:eastAsia="宋体" w:cs="Times New Roman"/>
                <w:sz w:val="20"/>
                <w:szCs w:val="20"/>
              </w:rPr>
            </w:pPr>
            <w:r>
              <w:rPr>
                <w:rFonts w:hint="eastAsia" w:ascii="Times New Roman" w:hAnsi="Times New Roman" w:eastAsia="宋体" w:cs="Times New Roman"/>
                <w:sz w:val="20"/>
                <w:szCs w:val="20"/>
              </w:rPr>
              <w:t>RO2</w:t>
            </w:r>
          </w:p>
        </w:tc>
      </w:tr>
      <w:tr w14:paraId="21832BE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22" w:hRule="atLeast"/>
        </w:trPr>
        <w:tc>
          <w:tcPr>
            <w:tcW w:w="572" w:type="dxa"/>
            <w:shd w:val="clear" w:color="auto" w:fill="FFFFFF" w:themeFill="background1"/>
            <w:vAlign w:val="center"/>
          </w:tcPr>
          <w:p w14:paraId="29A9374A">
            <w:pPr>
              <w:spacing w:after="0" w:line="240" w:lineRule="auto"/>
              <w:jc w:val="both"/>
              <w:rPr>
                <w:rFonts w:ascii="Times New Roman" w:hAnsi="Times New Roman" w:eastAsia="宋体" w:cs="Times New Roman"/>
                <w:sz w:val="20"/>
                <w:szCs w:val="20"/>
              </w:rPr>
            </w:pPr>
            <w:r>
              <w:rPr>
                <w:rFonts w:hint="eastAsia" w:ascii="Times New Roman" w:hAnsi="Times New Roman" w:eastAsia="宋体" w:cs="Times New Roman"/>
                <w:sz w:val="20"/>
                <w:szCs w:val="20"/>
              </w:rPr>
              <w:t>100</w:t>
            </w:r>
          </w:p>
        </w:tc>
        <w:tc>
          <w:tcPr>
            <w:tcW w:w="865" w:type="dxa"/>
            <w:shd w:val="clear" w:color="auto" w:fill="FFFFFF" w:themeFill="background1"/>
            <w:vAlign w:val="center"/>
          </w:tcPr>
          <w:p w14:paraId="5BBADB9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Zhang et al. (2026)</w:t>
            </w:r>
          </w:p>
        </w:tc>
        <w:tc>
          <w:tcPr>
            <w:tcW w:w="907" w:type="dxa"/>
            <w:shd w:val="clear" w:color="auto" w:fill="FFFFFF" w:themeFill="background1"/>
            <w:vAlign w:val="center"/>
          </w:tcPr>
          <w:p w14:paraId="2A87E5B0">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China; survey data</w:t>
            </w:r>
          </w:p>
        </w:tc>
        <w:tc>
          <w:tcPr>
            <w:tcW w:w="1078" w:type="dxa"/>
            <w:shd w:val="clear" w:color="auto" w:fill="FFFFFF" w:themeFill="background1"/>
            <w:vAlign w:val="center"/>
          </w:tcPr>
          <w:p w14:paraId="3A8347A3">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Employee–generative AI collaboration</w:t>
            </w:r>
          </w:p>
        </w:tc>
        <w:tc>
          <w:tcPr>
            <w:tcW w:w="1275" w:type="dxa"/>
            <w:shd w:val="clear" w:color="auto" w:fill="FFFFFF" w:themeFill="background1"/>
            <w:vAlign w:val="center"/>
          </w:tcPr>
          <w:p w14:paraId="5960029E">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Digital performance</w:t>
            </w:r>
          </w:p>
        </w:tc>
        <w:tc>
          <w:tcPr>
            <w:tcW w:w="2229" w:type="dxa"/>
            <w:shd w:val="clear" w:color="auto" w:fill="FFFFFF" w:themeFill="background1"/>
            <w:vAlign w:val="center"/>
          </w:tcPr>
          <w:p w14:paraId="53514F66">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Knowledge acquisition</w:t>
            </w:r>
          </w:p>
        </w:tc>
        <w:tc>
          <w:tcPr>
            <w:tcW w:w="1071" w:type="dxa"/>
            <w:shd w:val="clear" w:color="auto" w:fill="FFFFFF" w:themeFill="background1"/>
            <w:vAlign w:val="center"/>
          </w:tcPr>
          <w:p w14:paraId="715FDA63">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w:t>
            </w:r>
          </w:p>
        </w:tc>
        <w:tc>
          <w:tcPr>
            <w:tcW w:w="1583" w:type="dxa"/>
            <w:shd w:val="clear" w:color="auto" w:fill="FFFFFF" w:themeFill="background1"/>
            <w:vAlign w:val="center"/>
          </w:tcPr>
          <w:p w14:paraId="0549FC1C">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Task interdependence</w:t>
            </w:r>
          </w:p>
        </w:tc>
        <w:tc>
          <w:tcPr>
            <w:tcW w:w="1314" w:type="dxa"/>
            <w:shd w:val="clear" w:color="auto" w:fill="FFFFFF" w:themeFill="background1"/>
            <w:vAlign w:val="center"/>
          </w:tcPr>
          <w:p w14:paraId="02596045">
            <w:pPr>
              <w:spacing w:after="0" w:line="240" w:lineRule="auto"/>
              <w:jc w:val="center"/>
              <w:rPr>
                <w:rFonts w:ascii="Times New Roman" w:hAnsi="Times New Roman" w:eastAsia="宋体" w:cs="Times New Roman"/>
                <w:sz w:val="20"/>
                <w:szCs w:val="20"/>
              </w:rPr>
            </w:pPr>
            <w:r>
              <w:rPr>
                <w:rFonts w:ascii="Times New Roman" w:hAnsi="Times New Roman" w:eastAsia="宋体" w:cs="Times New Roman"/>
                <w:sz w:val="20"/>
                <w:szCs w:val="20"/>
              </w:rPr>
              <w:t>Knowledge acquisition approach</w:t>
            </w:r>
          </w:p>
        </w:tc>
        <w:tc>
          <w:tcPr>
            <w:tcW w:w="1057" w:type="dxa"/>
            <w:shd w:val="clear" w:color="auto" w:fill="FFFFFF" w:themeFill="background1"/>
            <w:vAlign w:val="center"/>
          </w:tcPr>
          <w:p w14:paraId="39CEDCFB">
            <w:pPr>
              <w:spacing w:after="0" w:line="240" w:lineRule="auto"/>
              <w:jc w:val="both"/>
              <w:rPr>
                <w:rFonts w:ascii="Times New Roman" w:hAnsi="Times New Roman" w:eastAsia="宋体" w:cs="Times New Roman"/>
                <w:sz w:val="20"/>
                <w:szCs w:val="20"/>
              </w:rPr>
            </w:pPr>
            <w:r>
              <w:rPr>
                <w:rFonts w:ascii="Times New Roman" w:hAnsi="Times New Roman" w:eastAsia="宋体" w:cs="Times New Roman"/>
                <w:sz w:val="20"/>
                <w:szCs w:val="20"/>
              </w:rPr>
              <w:t>Survey; mediation and moderation analysis</w:t>
            </w:r>
          </w:p>
        </w:tc>
        <w:tc>
          <w:tcPr>
            <w:tcW w:w="1814" w:type="dxa"/>
            <w:shd w:val="clear" w:color="auto" w:fill="FFFFFF" w:themeFill="background1"/>
            <w:vAlign w:val="center"/>
          </w:tcPr>
          <w:p w14:paraId="50005F94">
            <w:pPr>
              <w:spacing w:after="0" w:line="240" w:lineRule="auto"/>
              <w:rPr>
                <w:rFonts w:ascii="Times New Roman" w:hAnsi="Times New Roman" w:eastAsia="宋体" w:cs="Times New Roman"/>
                <w:sz w:val="20"/>
                <w:szCs w:val="20"/>
              </w:rPr>
            </w:pPr>
            <w:r>
              <w:rPr>
                <w:rFonts w:ascii="Times New Roman" w:hAnsi="Times New Roman" w:eastAsia="宋体" w:cs="Times New Roman"/>
                <w:sz w:val="20"/>
                <w:szCs w:val="20"/>
              </w:rPr>
              <w:t>GenAI collaboration raised digital performance via knowledge acquisition.</w:t>
            </w:r>
          </w:p>
        </w:tc>
        <w:tc>
          <w:tcPr>
            <w:tcW w:w="707" w:type="dxa"/>
            <w:shd w:val="clear" w:color="auto" w:fill="FFFFFF" w:themeFill="background1"/>
            <w:vAlign w:val="center"/>
          </w:tcPr>
          <w:p w14:paraId="395F8BCE">
            <w:pPr>
              <w:spacing w:after="0" w:line="240" w:lineRule="auto"/>
              <w:rPr>
                <w:rFonts w:ascii="Times New Roman" w:hAnsi="Times New Roman" w:eastAsia="宋体" w:cs="Times New Roman"/>
                <w:sz w:val="20"/>
                <w:szCs w:val="20"/>
              </w:rPr>
            </w:pPr>
            <w:r>
              <w:rPr>
                <w:rFonts w:hint="eastAsia" w:ascii="Times New Roman" w:hAnsi="Times New Roman" w:eastAsia="宋体" w:cs="Times New Roman"/>
                <w:sz w:val="20"/>
                <w:szCs w:val="20"/>
              </w:rPr>
              <w:t>RO3</w:t>
            </w:r>
          </w:p>
        </w:tc>
      </w:tr>
    </w:tbl>
    <w:p w14:paraId="40386DD3">
      <w:pPr>
        <w:pStyle w:val="16"/>
        <w:tabs>
          <w:tab w:val="left" w:pos="360"/>
        </w:tabs>
        <w:ind w:left="360" w:hanging="360"/>
        <w:rPr>
          <w:rFonts w:hint="eastAsia" w:ascii="宋体" w:hAnsi="宋体" w:eastAsia="宋体" w:cs="宋体"/>
          <w:lang w:eastAsia="zh-CN"/>
        </w:rPr>
      </w:pPr>
      <w:r>
        <w:rPr>
          <w:rFonts w:hint="eastAsia" w:ascii="宋体" w:hAnsi="宋体" w:eastAsia="宋体" w:cs="宋体"/>
          <w:lang w:eastAsia="zh-CN"/>
        </w:rPr>
        <w:t>。</w:t>
      </w:r>
    </w:p>
    <w:p w14:paraId="5B22A748">
      <w:pPr>
        <w:sectPr>
          <w:pgSz w:w="16838" w:h="11906" w:orient="landscape"/>
          <w:pgMar w:top="1800" w:right="1440" w:bottom="1800" w:left="1440" w:header="851" w:footer="992" w:gutter="0"/>
          <w:cols w:space="425" w:num="1"/>
          <w:docGrid w:type="lines" w:linePitch="312" w:charSpace="0"/>
        </w:sectPr>
      </w:pPr>
    </w:p>
    <w:p w14:paraId="4BADD6FB"/>
    <w:p w14:paraId="39B96DE9">
      <w:pPr>
        <w:keepNext w:val="0"/>
        <w:keepLines w:val="0"/>
        <w:pageBreakBefore w:val="0"/>
        <w:widowControl w:val="0"/>
        <w:kinsoku/>
        <w:wordWrap/>
        <w:overflowPunct/>
        <w:topLinePunct w:val="0"/>
        <w:autoSpaceDE/>
        <w:autoSpaceDN/>
        <w:bidi w:val="0"/>
        <w:adjustRightInd/>
        <w:snapToGrid/>
        <w:spacing w:line="279" w:lineRule="auto"/>
        <w:jc w:val="center"/>
        <w:textAlignment w:val="auto"/>
        <w:outlineLvl w:val="0"/>
        <w:rPr>
          <w:sz w:val="96"/>
          <w:szCs w:val="96"/>
        </w:rPr>
      </w:pPr>
      <w:bookmarkStart w:id="19" w:name="_Toc21951"/>
    </w:p>
    <w:p w14:paraId="4DE91CC5">
      <w:pPr>
        <w:keepNext w:val="0"/>
        <w:keepLines w:val="0"/>
        <w:pageBreakBefore w:val="0"/>
        <w:widowControl w:val="0"/>
        <w:kinsoku/>
        <w:wordWrap/>
        <w:overflowPunct/>
        <w:topLinePunct w:val="0"/>
        <w:autoSpaceDE/>
        <w:autoSpaceDN/>
        <w:bidi w:val="0"/>
        <w:adjustRightInd/>
        <w:snapToGrid/>
        <w:spacing w:line="279" w:lineRule="auto"/>
        <w:jc w:val="center"/>
        <w:textAlignment w:val="auto"/>
        <w:outlineLvl w:val="0"/>
        <w:rPr>
          <w:sz w:val="96"/>
          <w:szCs w:val="96"/>
        </w:rPr>
      </w:pPr>
    </w:p>
    <w:p w14:paraId="3B3B158D">
      <w:pPr>
        <w:keepNext w:val="0"/>
        <w:keepLines w:val="0"/>
        <w:pageBreakBefore w:val="0"/>
        <w:widowControl w:val="0"/>
        <w:kinsoku/>
        <w:wordWrap/>
        <w:overflowPunct/>
        <w:topLinePunct w:val="0"/>
        <w:autoSpaceDE/>
        <w:autoSpaceDN/>
        <w:bidi w:val="0"/>
        <w:adjustRightInd/>
        <w:snapToGrid/>
        <w:spacing w:line="279" w:lineRule="auto"/>
        <w:jc w:val="center"/>
        <w:textAlignment w:val="auto"/>
        <w:outlineLvl w:val="0"/>
        <w:rPr>
          <w:sz w:val="96"/>
          <w:szCs w:val="96"/>
        </w:rPr>
      </w:pPr>
    </w:p>
    <w:p w14:paraId="7286BB44">
      <w:pPr>
        <w:keepNext w:val="0"/>
        <w:keepLines w:val="0"/>
        <w:pageBreakBefore w:val="0"/>
        <w:widowControl w:val="0"/>
        <w:kinsoku/>
        <w:wordWrap/>
        <w:overflowPunct/>
        <w:topLinePunct w:val="0"/>
        <w:autoSpaceDE/>
        <w:autoSpaceDN/>
        <w:bidi w:val="0"/>
        <w:adjustRightInd/>
        <w:snapToGrid/>
        <w:spacing w:line="279" w:lineRule="auto"/>
        <w:jc w:val="center"/>
        <w:textAlignment w:val="auto"/>
        <w:outlineLvl w:val="0"/>
        <w:rPr>
          <w:sz w:val="96"/>
          <w:szCs w:val="96"/>
        </w:rPr>
      </w:pPr>
      <w:bookmarkStart w:id="37" w:name="_GoBack"/>
      <w:r>
        <w:rPr>
          <w:sz w:val="96"/>
          <w:szCs w:val="96"/>
        </w:rPr>
        <w:t>Part 3</w:t>
      </w:r>
      <w:bookmarkEnd w:id="19"/>
    </w:p>
    <w:p w14:paraId="24C17F2D">
      <w:pPr>
        <w:keepNext w:val="0"/>
        <w:keepLines w:val="0"/>
        <w:pageBreakBefore w:val="0"/>
        <w:widowControl w:val="0"/>
        <w:kinsoku/>
        <w:wordWrap/>
        <w:overflowPunct/>
        <w:topLinePunct w:val="0"/>
        <w:autoSpaceDE/>
        <w:autoSpaceDN/>
        <w:bidi w:val="0"/>
        <w:adjustRightInd/>
        <w:snapToGrid/>
        <w:spacing w:line="279" w:lineRule="auto"/>
        <w:jc w:val="center"/>
        <w:textAlignment w:val="auto"/>
        <w:outlineLvl w:val="0"/>
        <w:rPr>
          <w:rFonts w:hint="eastAsia" w:eastAsiaTheme="minorEastAsia"/>
          <w:lang w:val="en-US" w:eastAsia="zh-CN"/>
        </w:rPr>
      </w:pPr>
      <w:bookmarkStart w:id="20" w:name="_Toc28399"/>
      <w:r>
        <w:rPr>
          <w:sz w:val="72"/>
          <w:szCs w:val="72"/>
        </w:rPr>
        <w:t>Preliminary Review of Literatur</w:t>
      </w:r>
      <w:bookmarkEnd w:id="20"/>
      <w:r>
        <w:rPr>
          <w:rFonts w:hint="eastAsia"/>
          <w:sz w:val="72"/>
          <w:szCs w:val="72"/>
          <w:lang w:val="en-US" w:eastAsia="zh-CN"/>
        </w:rPr>
        <w:t>e</w:t>
      </w:r>
    </w:p>
    <w:p w14:paraId="4CF9E595"/>
    <w:bookmarkEnd w:id="37"/>
    <w:p w14:paraId="7771B2D5"/>
    <w:p w14:paraId="2CFC7BC1"/>
    <w:p w14:paraId="2A42EAD7"/>
    <w:p w14:paraId="54F20D23"/>
    <w:p w14:paraId="3D289560"/>
    <w:p w14:paraId="2146B005"/>
    <w:p w14:paraId="13DB081A"/>
    <w:p w14:paraId="2E5784FD"/>
    <w:p w14:paraId="7F4CE2B7"/>
    <w:p w14:paraId="47A07D07"/>
    <w:p w14:paraId="77019C27">
      <w:pPr>
        <w:pStyle w:val="4"/>
        <w:jc w:val="both"/>
        <w:rPr>
          <w:rFonts w:ascii="Times New Roman" w:hAnsi="Times New Roman" w:eastAsia="宋体" w:cs="Times New Roman"/>
          <w:color w:val="auto"/>
          <w:sz w:val="32"/>
          <w:szCs w:val="32"/>
          <w:lang w:eastAsia="zh-CN"/>
        </w:rPr>
      </w:pPr>
      <w:bookmarkStart w:id="21" w:name="_Toc9301"/>
      <w:r>
        <w:rPr>
          <w:rFonts w:ascii="Times New Roman" w:hAnsi="Times New Roman" w:eastAsia="宋体" w:cs="Times New Roman"/>
          <w:color w:val="auto"/>
          <w:sz w:val="32"/>
          <w:szCs w:val="32"/>
        </w:rPr>
        <w:t>3.1 Introduction</w:t>
      </w:r>
      <w:bookmarkEnd w:id="21"/>
    </w:p>
    <w:p w14:paraId="13D0808D">
      <w:pPr>
        <w:jc w:val="both"/>
        <w:rPr>
          <w:rFonts w:ascii="Times New Roman" w:hAnsi="Times New Roman" w:cs="Times New Roman"/>
        </w:rPr>
      </w:pPr>
      <w:r>
        <w:rPr>
          <w:rFonts w:ascii="Times New Roman" w:hAnsi="Times New Roman" w:cs="Times New Roman"/>
        </w:rPr>
        <w:t>This section builds on the sources mapped in Part 2 and moves from description to analysis. It examines how AI adoption, employee reactions and organisational support have been discussed in management literature and synthesises these findings rather than summarising individual studies. The analysis is structured around the three research objectives: identifying the main dimensions of AI adoption (RO1), identifying the major drivers and barriers influencing employee responses (RO2), and assessing the role of organisational support in promoting adaptation to AI-driven change (RO3). Four analytical dimensions guide the review: the scope and level of AI adoption, employee responses, drivers and barriers, and organisational support. Across these dimensions, particular attention is given to where studies agree and disagree, since these points of agreement and disagreement make it possible to identify research gaps. The section ends by identifying these gaps and proposing future research directions.</w:t>
      </w:r>
    </w:p>
    <w:p w14:paraId="40E068C8">
      <w:pPr>
        <w:jc w:val="both"/>
        <w:rPr>
          <w:rFonts w:ascii="Times New Roman" w:hAnsi="Times New Roman" w:cs="Times New Roman"/>
        </w:rPr>
      </w:pPr>
    </w:p>
    <w:p w14:paraId="7C208609">
      <w:pPr>
        <w:pStyle w:val="4"/>
        <w:jc w:val="both"/>
        <w:rPr>
          <w:rFonts w:ascii="Times New Roman" w:hAnsi="Times New Roman" w:eastAsia="宋体" w:cs="Times New Roman"/>
          <w:color w:val="auto"/>
          <w:sz w:val="32"/>
          <w:szCs w:val="32"/>
          <w:lang w:eastAsia="zh-CN"/>
        </w:rPr>
      </w:pPr>
      <w:bookmarkStart w:id="22" w:name="_Toc24823"/>
      <w:r>
        <w:rPr>
          <w:rFonts w:ascii="Times New Roman" w:hAnsi="Times New Roman" w:eastAsia="宋体" w:cs="Times New Roman"/>
          <w:color w:val="auto"/>
          <w:sz w:val="32"/>
          <w:szCs w:val="32"/>
          <w:lang w:eastAsia="zh-CN"/>
        </w:rPr>
        <w:t>3.2 Key Aim</w:t>
      </w:r>
      <w:bookmarkEnd w:id="22"/>
    </w:p>
    <w:p w14:paraId="06C30F1E">
      <w:pPr>
        <w:jc w:val="both"/>
        <w:rPr>
          <w:rFonts w:ascii="Times New Roman" w:hAnsi="Times New Roman" w:cs="Times New Roman"/>
        </w:rPr>
      </w:pPr>
      <w:r>
        <w:rPr>
          <w:rFonts w:ascii="Times New Roman" w:hAnsi="Times New Roman" w:cs="Times New Roman"/>
        </w:rPr>
        <w:t>The mapped literature is compared and synthesized to create three linked mapped findings, one for each research objective. This review compares studies in terms of the forms and levels of AI adoption they examine, the employee responses they report, the drivers and barriers they identify, and the organisational support mechanisms they discuss. It also compares how these features vary across contexts, theoretical frameworks and methods, and where the findings converge or diverge. For RO1, the mapped finding concerns the forms and levels of AI adoption discussed in the literature. For RO2, the mapped finding refers to drivers and barriers which influence employee responses. The mapped finding for RO3 is the role of organisational support in facilitating adaptation. Together, the three mapped findings address the overarching research question by connecting AI adoption, employee responses, organisational support and adaptation.</w:t>
      </w:r>
    </w:p>
    <w:p w14:paraId="0427B184">
      <w:pPr>
        <w:jc w:val="both"/>
        <w:rPr>
          <w:rFonts w:ascii="Times New Roman" w:hAnsi="Times New Roman" w:cs="Times New Roman"/>
          <w:sz w:val="32"/>
          <w:szCs w:val="32"/>
        </w:rPr>
      </w:pPr>
    </w:p>
    <w:p w14:paraId="01D1D09A">
      <w:pPr>
        <w:pStyle w:val="4"/>
        <w:jc w:val="both"/>
        <w:rPr>
          <w:rFonts w:ascii="Times New Roman" w:hAnsi="Times New Roman" w:eastAsia="宋体" w:cs="Times New Roman"/>
          <w:color w:val="auto"/>
          <w:sz w:val="32"/>
          <w:szCs w:val="32"/>
        </w:rPr>
      </w:pPr>
      <w:bookmarkStart w:id="23" w:name="_Toc13702"/>
      <w:r>
        <w:rPr>
          <w:rFonts w:ascii="Times New Roman" w:hAnsi="Times New Roman" w:eastAsia="宋体" w:cs="Times New Roman"/>
          <w:color w:val="auto"/>
          <w:sz w:val="32"/>
          <w:szCs w:val="32"/>
        </w:rPr>
        <w:t>3.3 Defining Key Terms</w:t>
      </w:r>
      <w:bookmarkEnd w:id="23"/>
    </w:p>
    <w:p w14:paraId="693C4789">
      <w:pPr>
        <w:jc w:val="both"/>
        <w:rPr>
          <w:rFonts w:ascii="Times New Roman" w:hAnsi="Times New Roman" w:eastAsia="宋体" w:cs="Times New Roman"/>
          <w:b/>
          <w:bCs/>
          <w:i/>
          <w:iCs/>
          <w:sz w:val="28"/>
          <w:szCs w:val="28"/>
        </w:rPr>
      </w:pPr>
      <w:r>
        <w:rPr>
          <w:rFonts w:ascii="Times New Roman" w:hAnsi="Times New Roman" w:eastAsia="宋体" w:cs="Times New Roman"/>
          <w:b/>
          <w:bCs/>
          <w:i/>
          <w:iCs/>
          <w:sz w:val="28"/>
          <w:szCs w:val="28"/>
        </w:rPr>
        <w:t>Artificial Intelligence (AI)</w:t>
      </w:r>
    </w:p>
    <w:p w14:paraId="48913753">
      <w:pPr>
        <w:jc w:val="both"/>
        <w:rPr>
          <w:rFonts w:ascii="Times New Roman" w:hAnsi="Times New Roman" w:eastAsia="宋体" w:cs="Times New Roman"/>
        </w:rPr>
      </w:pPr>
      <w:r>
        <w:rPr>
          <w:rFonts w:ascii="Times New Roman" w:hAnsi="Times New Roman" w:eastAsia="宋体" w:cs="Times New Roman"/>
        </w:rPr>
        <w:t>In this review, AI refers to technologies that are adopted within organisational settings to support or automate work tasks. These include machine learning, natural language processing, recommendation systems and chatbot applications used in areas such as HRM, decision-making and service delivery (Venkatesh et al., 2003; Park and Jung, 2021). General-purpose AI development, consumer AI products and technical AI research are not included, because they fall outside the organisational focus of this review.</w:t>
      </w:r>
    </w:p>
    <w:p w14:paraId="060452DB">
      <w:pPr>
        <w:jc w:val="both"/>
        <w:rPr>
          <w:rFonts w:ascii="Times New Roman" w:hAnsi="Times New Roman" w:eastAsia="宋体" w:cs="Times New Roman"/>
          <w:b/>
          <w:bCs/>
          <w:i/>
          <w:iCs/>
          <w:sz w:val="28"/>
          <w:szCs w:val="28"/>
        </w:rPr>
      </w:pPr>
      <w:r>
        <w:rPr>
          <w:rFonts w:ascii="Times New Roman" w:hAnsi="Times New Roman" w:eastAsia="宋体" w:cs="Times New Roman"/>
          <w:b/>
          <w:bCs/>
          <w:i/>
          <w:iCs/>
          <w:sz w:val="28"/>
          <w:szCs w:val="28"/>
        </w:rPr>
        <w:t>AI Adoption</w:t>
      </w:r>
    </w:p>
    <w:p w14:paraId="6EEB5E04">
      <w:pPr>
        <w:jc w:val="both"/>
        <w:rPr>
          <w:rFonts w:ascii="Times New Roman" w:hAnsi="Times New Roman" w:eastAsia="宋体" w:cs="Times New Roman"/>
        </w:rPr>
      </w:pPr>
      <w:r>
        <w:rPr>
          <w:rFonts w:ascii="Times New Roman" w:hAnsi="Times New Roman" w:eastAsia="宋体" w:cs="Times New Roman"/>
        </w:rPr>
        <w:t>AI adoption is conceptualised at different levels in the existing literature, and these levels should not be treated as interchangeable.</w:t>
      </w:r>
      <w:r>
        <w:rPr>
          <w:rFonts w:ascii="Times New Roman" w:hAnsi="Times New Roman" w:cs="Times New Roman"/>
        </w:rPr>
        <w:t xml:space="preserve"> </w:t>
      </w:r>
      <w:r>
        <w:rPr>
          <w:rFonts w:ascii="Times New Roman" w:hAnsi="Times New Roman" w:eastAsia="宋体" w:cs="Times New Roman"/>
        </w:rPr>
        <w:t>Venkatesh et al. (2003) define adoption at the individual level as the intention to accept and use technology by users. Conversely, Park and Jung (2021) explore adoption at the organisational level where AI is introduced to systems in the workplace and is shaped by trust and perceived support. These are not rival definitions of the same construct; rather they are conceptualisations of adoption at different levels of analysis. Since this review considers the organisational implementation of AI and the employee response to it, the unit of analysis here is the organisational and employee work context, not the individual user in isolation.</w:t>
      </w:r>
    </w:p>
    <w:p w14:paraId="5682C413">
      <w:pPr>
        <w:jc w:val="both"/>
        <w:rPr>
          <w:rFonts w:ascii="Times New Roman" w:hAnsi="Times New Roman" w:eastAsia="宋体" w:cs="Times New Roman"/>
          <w:i/>
          <w:iCs/>
          <w:sz w:val="28"/>
          <w:szCs w:val="28"/>
        </w:rPr>
      </w:pPr>
      <w:r>
        <w:rPr>
          <w:rFonts w:ascii="Times New Roman" w:hAnsi="Times New Roman" w:eastAsia="宋体" w:cs="Times New Roman"/>
          <w:b/>
          <w:bCs/>
          <w:i/>
          <w:iCs/>
          <w:sz w:val="28"/>
          <w:szCs w:val="28"/>
        </w:rPr>
        <w:t>Employee Resistance</w:t>
      </w:r>
    </w:p>
    <w:p w14:paraId="71A8FA38">
      <w:pPr>
        <w:jc w:val="both"/>
        <w:rPr>
          <w:rFonts w:ascii="Times New Roman" w:hAnsi="Times New Roman" w:eastAsia="宋体" w:cs="Times New Roman"/>
        </w:rPr>
      </w:pPr>
      <w:r>
        <w:rPr>
          <w:rFonts w:ascii="Times New Roman" w:hAnsi="Times New Roman" w:eastAsia="宋体" w:cs="Times New Roman"/>
        </w:rPr>
        <w:t>Employee resistance is defined in different ways in the literature, and this difference has direct implications for coding.</w:t>
      </w:r>
      <w:r>
        <w:rPr>
          <w:rFonts w:ascii="Times New Roman" w:hAnsi="Times New Roman" w:cs="Times New Roman"/>
        </w:rPr>
        <w:t xml:space="preserve"> </w:t>
      </w:r>
      <w:r>
        <w:rPr>
          <w:rFonts w:ascii="Times New Roman" w:hAnsi="Times New Roman" w:eastAsia="宋体" w:cs="Times New Roman"/>
        </w:rPr>
        <w:t>Golgeci et al. (2025) define resistance as a multidimensional construct including fears, inefficacies and antipathies, while Kim and Lee (2024) more narrowly describe it as a stress-related response to AI adoption. These are not just broader or narrower versions of the same construct</w:t>
      </w:r>
      <w:r>
        <w:rPr>
          <w:rFonts w:hint="eastAsia" w:ascii="Times New Roman" w:hAnsi="Times New Roman" w:eastAsia="宋体" w:cs="Times New Roman"/>
        </w:rPr>
        <w:t>.</w:t>
      </w:r>
      <w:r>
        <w:rPr>
          <w:rFonts w:ascii="Times New Roman" w:hAnsi="Times New Roman" w:eastAsia="宋体" w:cs="Times New Roman"/>
        </w:rPr>
        <w:t xml:space="preserve"> If resistance is considered as multidimensional then fears, inefficacies and antipathies need to be coded as separate categories under RO2 as they may have different drivers and require different forms of support. If resistance is considered one stress response, it can be coded as one category. This review follows the multidimensional view and the coding scheme in Part 2 and therefore records these three dimensions where the evidence allows.</w:t>
      </w:r>
    </w:p>
    <w:p w14:paraId="7A943711">
      <w:pPr>
        <w:jc w:val="both"/>
        <w:rPr>
          <w:rFonts w:ascii="Times New Roman" w:hAnsi="Times New Roman" w:eastAsia="宋体" w:cs="Times New Roman"/>
          <w:i/>
          <w:iCs/>
          <w:sz w:val="28"/>
          <w:szCs w:val="28"/>
        </w:rPr>
      </w:pPr>
      <w:r>
        <w:rPr>
          <w:rFonts w:ascii="Times New Roman" w:hAnsi="Times New Roman" w:eastAsia="宋体" w:cs="Times New Roman"/>
          <w:b/>
          <w:bCs/>
          <w:i/>
          <w:iCs/>
          <w:sz w:val="28"/>
          <w:szCs w:val="28"/>
        </w:rPr>
        <w:t>Organisational Support</w:t>
      </w:r>
    </w:p>
    <w:p w14:paraId="231189C7">
      <w:pPr>
        <w:jc w:val="both"/>
        <w:rPr>
          <w:rFonts w:ascii="Times New Roman" w:hAnsi="Times New Roman" w:eastAsia="宋体" w:cs="Times New Roman"/>
        </w:rPr>
      </w:pPr>
      <w:r>
        <w:rPr>
          <w:rFonts w:ascii="Times New Roman" w:hAnsi="Times New Roman" w:eastAsia="宋体" w:cs="Times New Roman"/>
        </w:rPr>
        <w:t>Organisational support is used in this review as an umbrella category that covers two related but distinct concepts. Park and Jung (2021) focus on perceived organisational support, which refers to employees’ perception that the organisation cares about their wellbeing and values their contribution. Daly et al. (2025), by contrast, focus on organisational support practices, such as training, communication and visible benefits. These are not the same thing: one is a perception; the other is an action. They are grouped together here because the review is concerned with how support, whether perceived or enacted, shapes employee adaptation to AI-driven change. This grouping has a conceptual limitation</w:t>
      </w:r>
      <w:r>
        <w:rPr>
          <w:rFonts w:hint="eastAsia" w:ascii="Times New Roman" w:hAnsi="Times New Roman" w:eastAsia="宋体" w:cs="Times New Roman"/>
        </w:rPr>
        <w:t>:</w:t>
      </w:r>
      <w:r>
        <w:rPr>
          <w:rFonts w:ascii="Times New Roman" w:hAnsi="Times New Roman" w:eastAsia="宋体" w:cs="Times New Roman"/>
        </w:rPr>
        <w:t xml:space="preserve"> perceived support and support practices may operate through different mechanisms and combining them in one category may obscure whether it is the practice itself or the perception of it that</w:t>
      </w:r>
      <w:r>
        <w:rPr>
          <w:rFonts w:ascii="Microsoft YaHei UI" w:hAnsi="Microsoft YaHei UI" w:eastAsia="Microsoft YaHei UI" w:cs="Arial"/>
          <w:sz w:val="18"/>
          <w:szCs w:val="18"/>
        </w:rPr>
        <w:t xml:space="preserve"> </w:t>
      </w:r>
      <w:r>
        <w:rPr>
          <w:rFonts w:ascii="Times New Roman" w:hAnsi="Times New Roman" w:eastAsia="宋体" w:cs="Times New Roman"/>
        </w:rPr>
        <w:t>is associated with adaptation</w:t>
      </w:r>
      <w:r>
        <w:rPr>
          <w:rFonts w:hint="eastAsia" w:ascii="Times New Roman" w:hAnsi="Times New Roman" w:eastAsia="宋体" w:cs="Times New Roman"/>
        </w:rPr>
        <w:t>.</w:t>
      </w:r>
    </w:p>
    <w:p w14:paraId="72DF61D8">
      <w:pPr>
        <w:jc w:val="both"/>
        <w:rPr>
          <w:rFonts w:ascii="Times New Roman" w:hAnsi="Times New Roman" w:eastAsia="宋体" w:cs="Times New Roman"/>
        </w:rPr>
      </w:pPr>
    </w:p>
    <w:p w14:paraId="7EB99167">
      <w:pPr>
        <w:pStyle w:val="4"/>
        <w:jc w:val="both"/>
        <w:rPr>
          <w:rFonts w:ascii="Times New Roman" w:hAnsi="Times New Roman" w:eastAsia="宋体" w:cs="Times New Roman"/>
          <w:color w:val="auto"/>
          <w:sz w:val="32"/>
          <w:szCs w:val="32"/>
          <w:lang w:eastAsia="zh-CN"/>
        </w:rPr>
      </w:pPr>
      <w:bookmarkStart w:id="24" w:name="_Toc30120"/>
      <w:r>
        <w:rPr>
          <w:rFonts w:ascii="Times New Roman" w:hAnsi="Times New Roman" w:eastAsia="宋体" w:cs="Times New Roman"/>
          <w:color w:val="auto"/>
          <w:sz w:val="32"/>
          <w:szCs w:val="32"/>
        </w:rPr>
        <w:t>3.4 Mapping AI Adoption and Employee Responses</w:t>
      </w:r>
      <w:bookmarkEnd w:id="24"/>
    </w:p>
    <w:p w14:paraId="300C1906">
      <w:pPr>
        <w:jc w:val="both"/>
        <w:rPr>
          <w:rFonts w:ascii="Times New Roman" w:hAnsi="Times New Roman" w:eastAsia="宋体" w:cs="Times New Roman"/>
        </w:rPr>
      </w:pPr>
      <w:r>
        <w:rPr>
          <w:rFonts w:ascii="Times New Roman" w:hAnsi="Times New Roman" w:eastAsia="宋体" w:cs="Times New Roman"/>
        </w:rPr>
        <w:t>The review framework proposed by Petersen et al. (2008) sets out a structured sequence of steps, from defining the research question to extracting and mapping data into a classification scheme (see Figure 1). In line with this framework, the present review defines its research questions first (RO1–RO3) and uses a coding scheme to organise the studies included in the Part 2 mapping table. This study does not claim to conduct a full systematic search; rather, it applies the mapping framework to the studies collected in Part 2 to identify patterns and</w:t>
      </w:r>
      <w:r>
        <w:rPr>
          <w:rFonts w:hint="eastAsia" w:ascii="Times New Roman" w:hAnsi="Times New Roman" w:eastAsia="宋体" w:cs="Times New Roman"/>
        </w:rPr>
        <w:t xml:space="preserve"> </w:t>
      </w:r>
      <w:r>
        <w:rPr>
          <w:rFonts w:ascii="Times New Roman" w:hAnsi="Times New Roman" w:eastAsia="宋体" w:cs="Times New Roman"/>
        </w:rPr>
        <w:t>gaps</w:t>
      </w:r>
      <w:r>
        <w:rPr>
          <w:rFonts w:hint="eastAsia" w:ascii="Times New Roman" w:hAnsi="Times New Roman" w:eastAsia="宋体" w:cs="Times New Roman"/>
        </w:rPr>
        <w:t xml:space="preserve"> </w:t>
      </w:r>
      <w:r>
        <w:rPr>
          <w:rFonts w:ascii="Times New Roman" w:hAnsi="Times New Roman" w:eastAsia="宋体" w:cs="Times New Roman"/>
        </w:rPr>
        <w:t>across</w:t>
      </w:r>
      <w:r>
        <w:rPr>
          <w:rFonts w:hint="eastAsia" w:ascii="Times New Roman" w:hAnsi="Times New Roman" w:eastAsia="宋体" w:cs="Times New Roman"/>
        </w:rPr>
        <w:t xml:space="preserve"> </w:t>
      </w:r>
      <w:r>
        <w:rPr>
          <w:rFonts w:ascii="Times New Roman" w:hAnsi="Times New Roman" w:eastAsia="宋体" w:cs="Times New Roman"/>
        </w:rPr>
        <w:t>the</w:t>
      </w:r>
      <w:r>
        <w:rPr>
          <w:rFonts w:hint="eastAsia" w:ascii="Times New Roman" w:hAnsi="Times New Roman" w:eastAsia="宋体" w:cs="Times New Roman"/>
        </w:rPr>
        <w:t xml:space="preserve"> </w:t>
      </w:r>
      <w:r>
        <w:rPr>
          <w:rFonts w:ascii="Times New Roman" w:hAnsi="Times New Roman" w:eastAsia="宋体" w:cs="Times New Roman"/>
        </w:rPr>
        <w:t xml:space="preserve">literature. </w:t>
      </w:r>
    </w:p>
    <w:p w14:paraId="5B28D7B7">
      <w:pPr>
        <w:jc w:val="both"/>
        <w:rPr>
          <w:rFonts w:ascii="Times New Roman" w:hAnsi="Times New Roman" w:eastAsia="宋体" w:cs="Times New Roman"/>
        </w:rPr>
      </w:pPr>
      <w:r>
        <w:rPr>
          <w:rFonts w:ascii="Times New Roman" w:hAnsi="Times New Roman" w:eastAsia="宋体" w:cs="Times New Roman"/>
        </w:rPr>
        <w:drawing>
          <wp:inline distT="0" distB="0" distL="0" distR="0">
            <wp:extent cx="5431155" cy="1414145"/>
            <wp:effectExtent l="0" t="0" r="7620" b="5080"/>
            <wp:docPr id="147896839"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96839" name="图片 2"/>
                    <pic:cNvPicPr>
                      <a:picLocks noChangeAspect="1"/>
                    </pic:cNvPicPr>
                  </pic:nvPicPr>
                  <pic:blipFill>
                    <a:blip r:embed="rId8"/>
                    <a:srcRect l="13287" t="40586" r="16806" b="11852"/>
                    <a:stretch>
                      <a:fillRect/>
                    </a:stretch>
                  </pic:blipFill>
                  <pic:spPr>
                    <a:xfrm>
                      <a:off x="0" y="0"/>
                      <a:ext cx="5431155" cy="1414145"/>
                    </a:xfrm>
                    <a:prstGeom prst="rect">
                      <a:avLst/>
                    </a:prstGeom>
                  </pic:spPr>
                </pic:pic>
              </a:graphicData>
            </a:graphic>
          </wp:inline>
        </w:drawing>
      </w:r>
    </w:p>
    <w:p w14:paraId="48E86DD5">
      <w:pPr>
        <w:jc w:val="center"/>
        <w:rPr>
          <w:rFonts w:ascii="Times New Roman" w:hAnsi="Times New Roman" w:eastAsia="宋体" w:cs="Times New Roman"/>
          <w:b/>
          <w:bCs/>
        </w:rPr>
      </w:pPr>
      <w:r>
        <w:rPr>
          <w:rFonts w:ascii="Times New Roman" w:hAnsi="Times New Roman" w:eastAsia="宋体" w:cs="Times New Roman"/>
          <w:b/>
          <w:bCs/>
        </w:rPr>
        <w:t>Figure 1</w:t>
      </w:r>
      <w:r>
        <w:rPr>
          <w:rFonts w:hint="eastAsia" w:ascii="Times New Roman" w:hAnsi="Times New Roman" w:eastAsia="宋体" w:cs="Times New Roman"/>
          <w:b/>
          <w:bCs/>
          <w:lang w:val="en-US" w:eastAsia="zh-CN"/>
        </w:rPr>
        <w:t xml:space="preserve">  </w:t>
      </w:r>
      <w:r>
        <w:rPr>
          <w:rFonts w:ascii="Times New Roman" w:hAnsi="Times New Roman" w:eastAsia="宋体" w:cs="Times New Roman"/>
          <w:b/>
          <w:bCs/>
        </w:rPr>
        <w:t>The systematic mapping process (Petersen et al., 2008, p. 70).</w:t>
      </w:r>
    </w:p>
    <w:p w14:paraId="17CA62DE">
      <w:pPr>
        <w:jc w:val="both"/>
        <w:rPr>
          <w:rFonts w:ascii="Times New Roman" w:hAnsi="Times New Roman" w:eastAsia="宋体" w:cs="Times New Roman"/>
        </w:rPr>
      </w:pPr>
      <w:r>
        <w:rPr>
          <w:rFonts w:ascii="Times New Roman" w:hAnsi="Times New Roman" w:eastAsia="宋体" w:cs="Times New Roman"/>
        </w:rPr>
        <w:t>The studies mapped in Part 2 can be divided into three broad levels of AI adoption. The unit of analysis, the key variables and the outcomes are different in the case of</w:t>
      </w:r>
      <w:r>
        <w:rPr>
          <w:rFonts w:ascii="Microsoft YaHei UI" w:hAnsi="Microsoft YaHei UI" w:eastAsia="Microsoft YaHei UI" w:cs="Arial"/>
          <w:sz w:val="18"/>
          <w:szCs w:val="18"/>
        </w:rPr>
        <w:t xml:space="preserve"> </w:t>
      </w:r>
      <w:r>
        <w:rPr>
          <w:rFonts w:ascii="Times New Roman" w:hAnsi="Times New Roman" w:eastAsia="宋体" w:cs="Times New Roman"/>
        </w:rPr>
        <w:t>individual-level studies and organisation-wide studies. Individual-level studies consider the employee as a unit, focus on perceptions such as usefulness and trust, and measure intention to use (Venkatesh et al., 2003; Kim and Lee, 2024). Conversely, organisation-wide studies take the organization or work system as the unit of analysis, focus on structural conditions such as management support and system integration, and evaluate adoption behaviour or adaptation outcomes (Park and Jung, 2021; Islam et al., 2023; Xu et al., 2024). A smaller number perceive AI adoption as a sector or cross-organisational change (Pereira et al., 2023; Vrontis et al., 2023; Bankins et al., 2024).</w:t>
      </w:r>
      <w:r>
        <w:t xml:space="preserve"> </w:t>
      </w:r>
      <w:r>
        <w:rPr>
          <w:rFonts w:ascii="Times New Roman" w:hAnsi="Times New Roman" w:eastAsia="宋体" w:cs="Times New Roman"/>
        </w:rPr>
        <w:t>Such variation in levels of analysis helps to explain some apparent contradictions in literature: differences in findings may reflect different levels of analysis rather than true conflicting evidence. It also shows that “AI adoption” is not one construct but a label for different phenomena.</w:t>
      </w:r>
    </w:p>
    <w:p w14:paraId="4A3F93FF">
      <w:pPr>
        <w:jc w:val="both"/>
        <w:rPr>
          <w:rFonts w:ascii="Times New Roman" w:hAnsi="Times New Roman" w:eastAsia="宋体" w:cs="Times New Roman"/>
        </w:rPr>
      </w:pPr>
    </w:p>
    <w:p w14:paraId="041D8411">
      <w:pPr>
        <w:jc w:val="both"/>
        <w:rPr>
          <w:rFonts w:ascii="Times New Roman" w:hAnsi="Times New Roman" w:eastAsia="宋体" w:cs="Times New Roman"/>
        </w:rPr>
      </w:pPr>
      <w:r>
        <w:rPr>
          <w:rFonts w:ascii="Times New Roman" w:hAnsi="Times New Roman" w:eastAsia="宋体" w:cs="Times New Roman"/>
        </w:rPr>
        <w:t>Employee reactions to AI are similarly different, but these reactions should not be considered as points within a single dimension. Trust, resistance and acceptance are not the same constructs and can co-exist, rather than replace each other. Park and Jung (2021) find that perceived usefulness increases trust, which shapes the intention to use. Xu et al. (2024) show that</w:t>
      </w:r>
      <w:r>
        <w:rPr>
          <w:rFonts w:ascii="Microsoft YaHei UI" w:hAnsi="Microsoft YaHei UI" w:eastAsia="Microsoft YaHei UI" w:cs="Arial"/>
          <w:sz w:val="18"/>
          <w:szCs w:val="18"/>
        </w:rPr>
        <w:t xml:space="preserve"> </w:t>
      </w:r>
      <w:r>
        <w:rPr>
          <w:rFonts w:ascii="Times New Roman" w:hAnsi="Times New Roman" w:eastAsia="宋体" w:cs="Times New Roman"/>
        </w:rPr>
        <w:t>leader trust helps employees to form the initial trust in AI systems. Resistance is a second reaction.</w:t>
      </w:r>
      <w:r>
        <w:rPr>
          <w:rFonts w:ascii="Microsoft YaHei UI" w:hAnsi="Microsoft YaHei UI" w:eastAsia="Microsoft YaHei UI" w:cs="Arial"/>
          <w:sz w:val="18"/>
          <w:szCs w:val="18"/>
        </w:rPr>
        <w:t xml:space="preserve"> </w:t>
      </w:r>
      <w:r>
        <w:rPr>
          <w:rFonts w:ascii="Times New Roman" w:hAnsi="Times New Roman" w:eastAsia="宋体" w:cs="Times New Roman"/>
        </w:rPr>
        <w:t>Golgeci et al. (2025) suggest that resistance is not a single-dimensional attitude but a multidimensional construct that includes fears, inefficacies and antipathies. Thus, it can co-exist with trust, rather than cancel it out. In summary, these studies suggest that employee responses are better understood as a pattern of multidimensional responses rather than a straightforward decision of acceptance or resistance.</w:t>
      </w:r>
    </w:p>
    <w:p w14:paraId="7B603F43">
      <w:pPr>
        <w:jc w:val="both"/>
        <w:rPr>
          <w:rFonts w:ascii="Times New Roman" w:hAnsi="Times New Roman" w:eastAsia="宋体" w:cs="Times New Roman"/>
        </w:rPr>
      </w:pPr>
      <w:r>
        <w:rPr>
          <w:rFonts w:ascii="Times New Roman" w:hAnsi="Times New Roman" w:eastAsia="宋体" w:cs="Times New Roman"/>
        </w:rPr>
        <w:t>A third pattern concerns ambivalence. Daly et al. (2025) find that employees’ attitudes and trust towards AI shift over time, from negative or instrumental to positive, as they gain knowledge and experience. This suggests that employees can hold mixed feelings about AI simultaneously rather than moving neatly from resistance to acceptance. Yuan et al. (2026) similarly show that AI adoption can produce both job insecurity and adaptation, depending on how the technology is framed and supported. This has a direct implication for RO2: employee responses should not be coded as a single binary outcome. A coding scheme that allows simultaneous and temporal responses would make it possible to record the same employee as both trusting and anxious, or as resistant at one point and adaptive later.</w:t>
      </w:r>
    </w:p>
    <w:p w14:paraId="3667EB4C">
      <w:pPr>
        <w:pStyle w:val="4"/>
        <w:jc w:val="both"/>
        <w:rPr>
          <w:rFonts w:ascii="Times New Roman" w:hAnsi="Times New Roman" w:eastAsia="宋体" w:cs="Times New Roman"/>
          <w:color w:val="auto"/>
          <w:sz w:val="32"/>
          <w:szCs w:val="32"/>
        </w:rPr>
      </w:pPr>
      <w:bookmarkStart w:id="25" w:name="_Toc9283"/>
      <w:r>
        <w:rPr>
          <w:rFonts w:ascii="Times New Roman" w:hAnsi="Times New Roman" w:eastAsia="宋体" w:cs="Times New Roman"/>
          <w:color w:val="auto"/>
          <w:sz w:val="32"/>
          <w:szCs w:val="32"/>
        </w:rPr>
        <w:t>3.5 Drivers and Barriers Influencing Employee Responses</w:t>
      </w:r>
      <w:bookmarkEnd w:id="25"/>
    </w:p>
    <w:p w14:paraId="4BBA831F">
      <w:pPr>
        <w:jc w:val="both"/>
        <w:rPr>
          <w:rFonts w:ascii="Times New Roman" w:hAnsi="Times New Roman" w:eastAsia="宋体" w:cs="Times New Roman"/>
        </w:rPr>
      </w:pPr>
      <w:r>
        <w:rPr>
          <w:rFonts w:ascii="Times New Roman" w:hAnsi="Times New Roman" w:eastAsia="宋体" w:cs="Times New Roman"/>
        </w:rPr>
        <w:t>The literature suggests that employee reactions to AI are associated with several layers of factors, rather than by one single factor. These factors can be grouped into three broad categories: individual-level factors, technology-level factors, and organisational-level factors. Individual-level factors include perceived usefulness, self-efficacy and AI anxiety. Technology-level factors include ease of use, explainability and the extent to which AI augments rather than replaces work. Organisational-level factors include management support, communication, training and perceived organisational support. These categories are not mutually exclusive, and the same study may touch on more than one. The sections below discuss each category in turn, focusing on where the evidence converges and where it diverges.</w:t>
      </w:r>
    </w:p>
    <w:p w14:paraId="4D452529">
      <w:pPr>
        <w:pStyle w:val="4"/>
        <w:jc w:val="both"/>
        <w:rPr>
          <w:rFonts w:ascii="Times New Roman" w:hAnsi="Times New Roman" w:eastAsia="宋体" w:cs="Times New Roman"/>
          <w:color w:val="auto"/>
          <w:sz w:val="28"/>
          <w:szCs w:val="28"/>
          <w:lang w:eastAsia="zh-CN"/>
        </w:rPr>
      </w:pPr>
      <w:bookmarkStart w:id="26" w:name="_Toc4635"/>
      <w:r>
        <w:rPr>
          <w:rFonts w:ascii="Times New Roman" w:hAnsi="Times New Roman" w:eastAsia="宋体" w:cs="Times New Roman"/>
          <w:color w:val="auto"/>
          <w:sz w:val="28"/>
          <w:szCs w:val="28"/>
          <w:lang w:eastAsia="zh-CN"/>
        </w:rPr>
        <w:t>3.5.1 Drivers Influencing Employee Responses</w:t>
      </w:r>
      <w:bookmarkEnd w:id="26"/>
    </w:p>
    <w:p w14:paraId="70AF7B1F">
      <w:pPr>
        <w:jc w:val="both"/>
        <w:rPr>
          <w:rFonts w:ascii="Times New Roman" w:hAnsi="Times New Roman" w:eastAsia="宋体" w:cs="Times New Roman"/>
        </w:rPr>
      </w:pPr>
      <w:r>
        <w:rPr>
          <w:rFonts w:ascii="Times New Roman" w:hAnsi="Times New Roman" w:eastAsia="宋体" w:cs="Times New Roman"/>
        </w:rPr>
        <w:t>Two recurring drivers emerge across mapped studies: perceived usefulness and organisational support. Perceived usefulness has been found in both individual-level studies (Venkatesh et al., 2003; Park and Jung, 2021) and organisation-level studies (Islam et al., 2023). Organisational support is also observed at both levels, associated with trust in Park and Jung (2021) and top management support in Islam et al. (2023). Other drivers are more situational. Performance expectancy and effort expectancy are central in Venkatesh et al. (2003), but receive less attention in AI-specific studies, possibly because UTAUT was developed for general technology acceptance, rather than for AI. Only Islam et al. (2023) mention technology competency, in a study of HR professionals in Malaysia, suggesting that skill-related drivers matter more when AI is newly introduced. These differences can be partially attributed to level of analysis and theoretical framework: individual-level studies using UTAUT or TAM focus on perceptions such as usefulness and ease of use, while organisation-level studies using TOE focus on structural conditions such as top management support and competitive pressure.</w:t>
      </w:r>
      <w:r>
        <w:t xml:space="preserve"> </w:t>
      </w:r>
      <w:r>
        <w:rPr>
          <w:rFonts w:ascii="Times New Roman" w:hAnsi="Times New Roman" w:eastAsia="宋体" w:cs="Times New Roman"/>
        </w:rPr>
        <w:t>This suggests that reported drivers may be shaped by the study’s level of analysis, its theoretical framework and the specific technology being studied, which matters for how RO2 is interpreted.</w:t>
      </w:r>
    </w:p>
    <w:p w14:paraId="17133D50">
      <w:pPr>
        <w:pStyle w:val="4"/>
        <w:jc w:val="both"/>
        <w:rPr>
          <w:rFonts w:ascii="Times New Roman" w:hAnsi="Times New Roman" w:eastAsia="宋体" w:cs="Times New Roman"/>
          <w:color w:val="auto"/>
          <w:sz w:val="28"/>
          <w:szCs w:val="28"/>
          <w:lang w:eastAsia="zh-CN"/>
        </w:rPr>
      </w:pPr>
      <w:bookmarkStart w:id="27" w:name="_Toc18310"/>
      <w:r>
        <w:rPr>
          <w:rFonts w:ascii="Times New Roman" w:hAnsi="Times New Roman" w:eastAsia="宋体" w:cs="Times New Roman"/>
          <w:color w:val="auto"/>
          <w:sz w:val="28"/>
          <w:szCs w:val="28"/>
          <w:lang w:eastAsia="zh-CN"/>
        </w:rPr>
        <w:t>3.5.2 Barriers Influencing Employee Responses</w:t>
      </w:r>
      <w:bookmarkEnd w:id="27"/>
    </w:p>
    <w:p w14:paraId="5823F303">
      <w:pPr>
        <w:keepNext/>
        <w:keepLines/>
        <w:pageBreakBefore w:val="0"/>
        <w:widowControl/>
        <w:kinsoku/>
        <w:wordWrap/>
        <w:overflowPunct/>
        <w:topLinePunct w:val="0"/>
        <w:autoSpaceDE/>
        <w:autoSpaceDN/>
        <w:bidi w:val="0"/>
        <w:adjustRightInd/>
        <w:snapToGrid/>
        <w:jc w:val="both"/>
        <w:textAlignment w:val="auto"/>
        <w:outlineLvl w:val="9"/>
        <w:rPr>
          <w:rFonts w:ascii="Times New Roman" w:hAnsi="Times New Roman" w:eastAsia="宋体" w:cs="Times New Roman"/>
          <w:b w:val="0"/>
          <w:bCs w:val="0"/>
          <w:color w:val="auto"/>
          <w:sz w:val="22"/>
          <w:szCs w:val="22"/>
          <w:lang w:eastAsia="zh-CN"/>
        </w:rPr>
      </w:pPr>
      <w:r>
        <w:rPr>
          <w:rFonts w:ascii="Times New Roman" w:hAnsi="Times New Roman" w:eastAsia="宋体" w:cs="Times New Roman"/>
          <w:b w:val="0"/>
          <w:bCs w:val="0"/>
          <w:color w:val="auto"/>
          <w:sz w:val="22"/>
          <w:szCs w:val="22"/>
          <w:lang w:eastAsia="zh-CN"/>
        </w:rPr>
        <w:t>Barriers in the mapped literature fall into three groups depending on what they primarily concern: psychological and perceptual barriers, job-related barriers, and capability-related barriers. This classification is based on the type of concern raised, rather than the level of analysis, as the same barrier can occur at both individual and organisational levels. Psychological and perceptual barriers include anxiety and fear of AI. As Golgeci et al. (2025) indicate, fears, inefficacies and antipathies are different dimensions of resistance. This shows that resistance is not a single attitude. Job-related barriers concern job insecurity. Yuan et al. (2026) find that AI implementation can generate job insecurity when employees see AI as a substitution rather than a complement to their work. Capability barriers are about skills and readiness. Repousis and Lois (2026) refer to persistent barriers of poor support and rigid hierarchies, while Islam et al. (2023) note that lack of technology competency can impede adoption even when the technology is available. In practice, these categories overlap: an employee lacking skills may also be anxious, and job insecurity may exacerbate both. However, separating them helps show that barriers operate through different mechanisms and may therefore require different responses.</w:t>
      </w:r>
    </w:p>
    <w:p w14:paraId="762EA8D5">
      <w:pPr>
        <w:pStyle w:val="4"/>
        <w:jc w:val="both"/>
        <w:rPr>
          <w:rFonts w:ascii="Times New Roman" w:hAnsi="Times New Roman" w:eastAsia="宋体" w:cs="Times New Roman"/>
          <w:color w:val="auto"/>
          <w:sz w:val="28"/>
          <w:szCs w:val="28"/>
          <w:lang w:eastAsia="zh-CN"/>
        </w:rPr>
      </w:pPr>
      <w:bookmarkStart w:id="28" w:name="_Toc9890"/>
      <w:r>
        <w:rPr>
          <w:rFonts w:ascii="Times New Roman" w:hAnsi="Times New Roman" w:eastAsia="宋体" w:cs="Times New Roman"/>
          <w:color w:val="auto"/>
          <w:sz w:val="28"/>
          <w:szCs w:val="28"/>
          <w:lang w:eastAsia="zh-CN"/>
        </w:rPr>
        <w:t>3.5.3 Critical Synthesis of Drivers and Barriers</w:t>
      </w:r>
      <w:bookmarkEnd w:id="28"/>
    </w:p>
    <w:p w14:paraId="770FDF0C">
      <w:pPr>
        <w:jc w:val="both"/>
        <w:rPr>
          <w:rFonts w:ascii="Times New Roman" w:hAnsi="Times New Roman" w:eastAsia="宋体" w:cs="Times New Roman"/>
        </w:rPr>
      </w:pPr>
      <w:r>
        <w:rPr>
          <w:rFonts w:ascii="Times New Roman" w:hAnsi="Times New Roman" w:eastAsia="宋体" w:cs="Times New Roman"/>
        </w:rPr>
        <w:t>Taken together, the literature repeatedly stresses trust, perceived usefulness and organisational support, but the way these factors are conceptualised varies across studies. Park and Jung (2021) see organisational support as a moderator that strengthens the trust–intention link, whereas Daly et al. (2025) view support as a contextual condition that influences trust over time. These are not necessarily inconsistent results; they are different conceptualisations of the role of support in different theoretical orientations. Golgeci et al. (2025) further demonstrate that resistance is multidimensional, implying that employee responses cannot be explained by a single driver or barrier. Song et al. (2026) report that human-AI collaboration has a double-edged effect on work effectiveness, increasing it through trust and reducing it through job insecurity, and they conclude that the positive effects outweigh the negative effects in their meta-analytic sample. This variation suggests that the role of drivers and barriers depends not only on the factor itself but also on how it is conceptualised and in what context it is studied.</w:t>
      </w:r>
    </w:p>
    <w:p w14:paraId="36ECD050">
      <w:pPr>
        <w:pStyle w:val="4"/>
        <w:jc w:val="both"/>
        <w:rPr>
          <w:rFonts w:ascii="Times New Roman" w:hAnsi="Times New Roman" w:eastAsia="宋体" w:cs="Times New Roman"/>
          <w:color w:val="auto"/>
          <w:sz w:val="32"/>
          <w:szCs w:val="32"/>
          <w:lang w:eastAsia="zh-CN"/>
        </w:rPr>
      </w:pPr>
      <w:bookmarkStart w:id="29" w:name="_Toc22184"/>
      <w:r>
        <w:rPr>
          <w:rFonts w:ascii="Times New Roman" w:hAnsi="Times New Roman" w:eastAsia="宋体" w:cs="Times New Roman"/>
          <w:color w:val="auto"/>
          <w:sz w:val="32"/>
          <w:szCs w:val="32"/>
          <w:lang w:eastAsia="zh-CN"/>
        </w:rPr>
        <w:t>3.6 Organisational Support and Employee Adaptation</w:t>
      </w:r>
      <w:bookmarkEnd w:id="29"/>
    </w:p>
    <w:p w14:paraId="360057C4">
      <w:pPr>
        <w:jc w:val="both"/>
        <w:rPr>
          <w:rFonts w:ascii="Times New Roman" w:hAnsi="Times New Roman" w:eastAsia="宋体" w:cs="Times New Roman"/>
        </w:rPr>
      </w:pPr>
      <w:r>
        <w:rPr>
          <w:rFonts w:ascii="Times New Roman" w:hAnsi="Times New Roman" w:eastAsia="宋体" w:cs="Times New Roman"/>
        </w:rPr>
        <w:t>Three recurring forms of organisational support were identified across the mapped literature: training and reskilling, communication and participation, and leadership or management support. These are not pre-determined categories but emerge from the studies themselves. Training and reskilling are considered by Park and Jung (2021), Yuan et al. (2026) and Repousis and Lois (2026). Daly et al. (2025) and Golgeci et al. (2025) discuss communication and participation. Leadership and management support are central in Cho, Hur and Kim (2025) and also appear in Park and Jung (2021). Not every study reports the same forms of support. Cho, Hur and Kim (2025) emphasise leadership support more, whereas Repousis and Lois (2026) stress training and dialogue. None of the studies in</w:t>
      </w:r>
      <w:r>
        <w:rPr>
          <w:rFonts w:hint="eastAsia" w:ascii="Times New Roman" w:hAnsi="Times New Roman" w:eastAsia="宋体" w:cs="Times New Roman"/>
        </w:rPr>
        <w:t xml:space="preserve"> the</w:t>
      </w:r>
      <w:r>
        <w:rPr>
          <w:rFonts w:ascii="Times New Roman" w:hAnsi="Times New Roman" w:eastAsia="宋体" w:cs="Times New Roman"/>
        </w:rPr>
        <w:t xml:space="preserve"> mapped literature consider all three mechanisms together, indicating that support is usually studied in partial rather than holistic terms.</w:t>
      </w:r>
    </w:p>
    <w:p w14:paraId="4633D7B7">
      <w:pPr>
        <w:jc w:val="both"/>
        <w:rPr>
          <w:rFonts w:ascii="Times New Roman" w:hAnsi="Times New Roman" w:eastAsia="宋体" w:cs="Times New Roman"/>
        </w:rPr>
      </w:pPr>
      <w:r>
        <w:rPr>
          <w:rFonts w:ascii="Times New Roman" w:hAnsi="Times New Roman" w:eastAsia="宋体" w:cs="Times New Roman"/>
        </w:rPr>
        <w:t>How these mechanisms relate to outcomes also varies. Park and Jung (2021) treat perceived organisational support as a moderator that strengthens the relationship between trust and intention. Daly et al. (2025) suggest that support is not a direct predictor of trust but a contextual condition that shapes trust over time. Yuan et al. (2026) note how the same technology can be associated with different experiences depending on the framing and support, but this is an observed association rather than a demonstrated causal effect. These differences matter for interpretation: support may function as a moderator in some studies, as a contextual condition in others, and as a direct predictor in others. Overall, the mapped literature shows a link between organisational support and adaptation, but the strength and form of this link depend on how support is conceptualised and in what context it is studied.</w:t>
      </w:r>
    </w:p>
    <w:p w14:paraId="4DE75555">
      <w:pPr>
        <w:pStyle w:val="4"/>
        <w:jc w:val="both"/>
        <w:rPr>
          <w:rFonts w:ascii="Times New Roman" w:hAnsi="Times New Roman" w:eastAsia="宋体" w:cs="Times New Roman"/>
          <w:color w:val="auto"/>
          <w:sz w:val="32"/>
          <w:szCs w:val="32"/>
          <w:lang w:eastAsia="zh-CN"/>
        </w:rPr>
      </w:pPr>
      <w:bookmarkStart w:id="30" w:name="_Toc15410"/>
      <w:r>
        <w:rPr>
          <w:rFonts w:ascii="Times New Roman" w:hAnsi="Times New Roman" w:eastAsia="宋体" w:cs="Times New Roman"/>
          <w:color w:val="auto"/>
          <w:sz w:val="32"/>
          <w:szCs w:val="32"/>
          <w:lang w:eastAsia="zh-CN"/>
        </w:rPr>
        <w:t>3.7 Critical Synthesis of Mapped Literature</w:t>
      </w:r>
      <w:bookmarkEnd w:id="30"/>
    </w:p>
    <w:p w14:paraId="3EC16D27">
      <w:pPr>
        <w:jc w:val="both"/>
        <w:rPr>
          <w:rFonts w:ascii="Times New Roman" w:hAnsi="Times New Roman" w:eastAsia="宋体" w:cs="Times New Roman"/>
        </w:rPr>
      </w:pPr>
      <w:r>
        <w:rPr>
          <w:rFonts w:ascii="Times New Roman" w:hAnsi="Times New Roman" w:eastAsia="宋体" w:cs="Times New Roman"/>
        </w:rPr>
        <w:t xml:space="preserve">Taken together, the </w:t>
      </w:r>
      <w:r>
        <w:rPr>
          <w:rFonts w:ascii="Times New Roman" w:hAnsi="Times New Roman" w:eastAsia="宋体" w:cs="Times New Roman"/>
        </w:rPr>
        <w:tab/>
      </w:r>
      <w:r>
        <w:rPr>
          <w:rFonts w:ascii="Times New Roman" w:hAnsi="Times New Roman" w:eastAsia="宋体" w:cs="Times New Roman"/>
        </w:rPr>
        <w:t>mapped literature can be read as an integrative interpretation rather than a set of separate findings.</w:t>
      </w:r>
      <w:r>
        <w:rPr>
          <w:rFonts w:ascii="Times New Roman" w:hAnsi="Times New Roman" w:cs="Times New Roman"/>
        </w:rPr>
        <w:t xml:space="preserve"> </w:t>
      </w:r>
      <w:r>
        <w:rPr>
          <w:rFonts w:ascii="Times New Roman" w:hAnsi="Times New Roman" w:eastAsia="宋体" w:cs="Times New Roman"/>
        </w:rPr>
        <w:t>This interpretation connects four factors: the extent and context of AI adoption, the pattern of employee responses, the organisational support systems established, and the outcome of adaptation. The level and context of AI adoption provide contextual conditions that may shape the concerns employees raise. These conditions determine the response pattern, which is better understood as a multidimensional response pattern rather than a binary choice, since trust, anxiety, job insecurity, resistance and adaptation often co-exist. Organisational support mechanisms then operate with this pattern of response, rather than on it directly. The interaction may be associated with adaptation outcomes, but they are contingent not determined.</w:t>
      </w:r>
    </w:p>
    <w:p w14:paraId="1D8551C1">
      <w:pPr>
        <w:jc w:val="both"/>
        <w:rPr>
          <w:rFonts w:ascii="Times New Roman" w:hAnsi="Times New Roman" w:eastAsia="宋体" w:cs="Times New Roman"/>
        </w:rPr>
      </w:pPr>
      <w:r>
        <w:rPr>
          <w:rFonts w:ascii="Times New Roman" w:hAnsi="Times New Roman" w:eastAsia="宋体" w:cs="Times New Roman"/>
        </w:rPr>
        <w:t>Three conditions seem to modify these relationships. The first is the form of AI adoption: augmentation-oriented adoption has been associated with more positive responses The second is the type of resistance encountered, since fears, inefficacies and antipathies may all need different support responses. The third is the broader organisational context, including the framing of AI and the levels of uncertainty experienced by employees. This interpretation is not a causal model and does not suggest that these relationships hold in all settings. It is a way of organizing the mapped evidence so that adoption, responses, support and adaptation can be examined together and it provides the basis for the research gaps discussed in section 3.9.</w:t>
      </w:r>
    </w:p>
    <w:p w14:paraId="1E9E11C3">
      <w:pPr>
        <w:jc w:val="both"/>
        <w:rPr>
          <w:rFonts w:ascii="Times New Roman" w:hAnsi="Times New Roman" w:eastAsia="宋体" w:cs="Times New Roman"/>
        </w:rPr>
      </w:pPr>
    </w:p>
    <w:p w14:paraId="311C259B">
      <w:pPr>
        <w:pStyle w:val="4"/>
        <w:jc w:val="both"/>
        <w:rPr>
          <w:rFonts w:ascii="Times New Roman" w:hAnsi="Times New Roman" w:eastAsia="宋体" w:cs="Times New Roman"/>
          <w:color w:val="auto"/>
          <w:sz w:val="32"/>
          <w:szCs w:val="32"/>
          <w:lang w:eastAsia="zh-CN"/>
        </w:rPr>
      </w:pPr>
      <w:bookmarkStart w:id="31" w:name="_Toc20910"/>
      <w:r>
        <w:rPr>
          <w:rFonts w:ascii="Times New Roman" w:hAnsi="Times New Roman" w:eastAsia="宋体" w:cs="Times New Roman"/>
          <w:color w:val="auto"/>
          <w:sz w:val="32"/>
          <w:szCs w:val="32"/>
          <w:lang w:eastAsia="zh-CN"/>
        </w:rPr>
        <w:t>3.8 Conclusion</w:t>
      </w:r>
      <w:bookmarkEnd w:id="31"/>
    </w:p>
    <w:p w14:paraId="1FDB74E4">
      <w:pPr>
        <w:jc w:val="both"/>
        <w:rPr>
          <w:rFonts w:ascii="Times New Roman" w:hAnsi="Times New Roman" w:eastAsia="宋体" w:cs="Times New Roman"/>
        </w:rPr>
      </w:pPr>
      <w:r>
        <w:rPr>
          <w:rFonts w:ascii="Times New Roman" w:hAnsi="Times New Roman" w:eastAsia="宋体" w:cs="Times New Roman"/>
        </w:rPr>
        <w:t>This section has mapped how AI adoption, employee responses and organisational support are discussed across the literature. The evidence suggests that these three elements are connected rather than separate: adoption is related to employee responses, and supports shapes how those responses develop. Employee responses are not a simple choice between acceptance and resistance, but a multidimensional set of responses, including trust, anxiety, job insecurity and adaptation. Organisational support can help employees adapt, but its effects depend on context, the form of AI adoption and the type of resistance involved. These patterns point to the research gaps discussed in the next section.</w:t>
      </w:r>
    </w:p>
    <w:p w14:paraId="4120108A">
      <w:pPr>
        <w:jc w:val="both"/>
        <w:rPr>
          <w:rFonts w:ascii="Times New Roman" w:hAnsi="Times New Roman" w:eastAsia="宋体" w:cs="Times New Roman"/>
        </w:rPr>
      </w:pPr>
    </w:p>
    <w:p w14:paraId="06276371">
      <w:pPr>
        <w:pStyle w:val="4"/>
        <w:jc w:val="both"/>
        <w:rPr>
          <w:rFonts w:ascii="Times New Roman" w:hAnsi="Times New Roman" w:eastAsia="宋体" w:cs="Times New Roman"/>
          <w:color w:val="auto"/>
          <w:sz w:val="32"/>
          <w:szCs w:val="32"/>
          <w:lang w:eastAsia="zh-CN"/>
        </w:rPr>
      </w:pPr>
      <w:bookmarkStart w:id="32" w:name="_Toc2591"/>
      <w:r>
        <w:rPr>
          <w:rFonts w:ascii="Times New Roman" w:hAnsi="Times New Roman" w:eastAsia="宋体" w:cs="Times New Roman"/>
          <w:color w:val="auto"/>
          <w:sz w:val="32"/>
          <w:szCs w:val="32"/>
          <w:lang w:eastAsia="zh-CN"/>
        </w:rPr>
        <w:t>3.9 Findings, Research Gaps &amp; Future Research</w:t>
      </w:r>
      <w:bookmarkEnd w:id="32"/>
    </w:p>
    <w:p w14:paraId="301E8958">
      <w:pPr>
        <w:pStyle w:val="4"/>
        <w:jc w:val="both"/>
        <w:rPr>
          <w:rFonts w:ascii="Times New Roman" w:hAnsi="Times New Roman" w:eastAsia="宋体" w:cs="Times New Roman"/>
          <w:color w:val="auto"/>
          <w:sz w:val="28"/>
          <w:szCs w:val="28"/>
          <w:lang w:eastAsia="zh-CN"/>
        </w:rPr>
      </w:pPr>
      <w:bookmarkStart w:id="33" w:name="_Toc21645"/>
      <w:r>
        <w:rPr>
          <w:rFonts w:ascii="Times New Roman" w:hAnsi="Times New Roman" w:eastAsia="宋体" w:cs="Times New Roman"/>
          <w:color w:val="auto"/>
          <w:sz w:val="28"/>
          <w:szCs w:val="28"/>
          <w:lang w:eastAsia="zh-CN"/>
        </w:rPr>
        <w:t>3.9.1 Key Findings</w:t>
      </w:r>
      <w:bookmarkEnd w:id="33"/>
      <w:r>
        <w:rPr>
          <w:rFonts w:ascii="Times New Roman" w:hAnsi="Times New Roman" w:eastAsia="宋体" w:cs="Times New Roman"/>
          <w:color w:val="auto"/>
          <w:sz w:val="28"/>
          <w:szCs w:val="28"/>
          <w:lang w:eastAsia="zh-CN"/>
        </w:rPr>
        <w:t xml:space="preserve"> </w:t>
      </w:r>
    </w:p>
    <w:p w14:paraId="1E87BDA7">
      <w:pPr>
        <w:jc w:val="both"/>
        <w:rPr>
          <w:rFonts w:ascii="Times New Roman" w:hAnsi="Times New Roman" w:eastAsia="宋体" w:cs="Times New Roman"/>
        </w:rPr>
      </w:pPr>
      <w:r>
        <w:rPr>
          <w:rFonts w:ascii="Times New Roman" w:hAnsi="Times New Roman" w:eastAsia="宋体" w:cs="Times New Roman"/>
        </w:rPr>
        <w:t>Three findings emerge from the mapping, each corresponding to one research objective.</w:t>
      </w:r>
      <w:r>
        <w:rPr>
          <w:rFonts w:ascii="Times New Roman" w:hAnsi="Times New Roman" w:cs="Times New Roman"/>
        </w:rPr>
        <w:t xml:space="preserve"> </w:t>
      </w:r>
      <w:r>
        <w:rPr>
          <w:rFonts w:ascii="Times New Roman" w:hAnsi="Times New Roman" w:eastAsia="宋体" w:cs="Times New Roman"/>
        </w:rPr>
        <w:t>The mapping for RO1 shows that AI adoption is concentrated on the organisational level, with fewer studies considering individual-level tool use and very few sector-level shifts. This indicates a strong concentration of research because it implies that literature is primarily interested in organisational adoption, with less focus on individual and sector-level dynamics. For RO2, the mapping reveals that the mapped studies cluster around two broad groups of responses</w:t>
      </w:r>
      <w:r>
        <w:rPr>
          <w:rFonts w:hint="eastAsia" w:ascii="Times New Roman" w:hAnsi="Times New Roman" w:eastAsia="宋体" w:cs="Times New Roman"/>
        </w:rPr>
        <w:t>:</w:t>
      </w:r>
      <w:r>
        <w:rPr>
          <w:rFonts w:ascii="Times New Roman" w:hAnsi="Times New Roman" w:eastAsia="宋体" w:cs="Times New Roman"/>
        </w:rPr>
        <w:t xml:space="preserve"> trust and acceptance on one side and anxiety, job insecurity and resistance on the other. Less often mentioned are ambivalence and adaptation though the studies that do mention them suggest that these responses can co-exist. Thus, evidence is mixed across response dimensions. In RO3, the mapping reveals that organisational support is mostly researched in terms of training and leadership support, while communication and participation are less frequent. No study examines all three support mechanisms in combination. Such uneven distribution indicates that some forms of support are under researched and the link between support and adaptation is not yet fully mapped.</w:t>
      </w:r>
    </w:p>
    <w:p w14:paraId="58836A7C">
      <w:pPr>
        <w:pStyle w:val="4"/>
        <w:jc w:val="both"/>
        <w:rPr>
          <w:rFonts w:ascii="Times New Roman" w:hAnsi="Times New Roman" w:eastAsia="宋体" w:cs="Times New Roman"/>
          <w:color w:val="auto"/>
          <w:sz w:val="28"/>
          <w:szCs w:val="28"/>
          <w:lang w:eastAsia="zh-CN"/>
        </w:rPr>
      </w:pPr>
      <w:bookmarkStart w:id="34" w:name="_Toc16048"/>
      <w:r>
        <w:rPr>
          <w:rFonts w:ascii="Times New Roman" w:hAnsi="Times New Roman" w:eastAsia="宋体" w:cs="Times New Roman"/>
          <w:color w:val="auto"/>
          <w:sz w:val="28"/>
          <w:szCs w:val="28"/>
          <w:lang w:eastAsia="zh-CN"/>
        </w:rPr>
        <w:t>3.9.2 Research Gaps</w:t>
      </w:r>
      <w:bookmarkEnd w:id="34"/>
      <w:r>
        <w:rPr>
          <w:rFonts w:ascii="Times New Roman" w:hAnsi="Times New Roman" w:eastAsia="宋体" w:cs="Times New Roman"/>
          <w:color w:val="auto"/>
          <w:sz w:val="28"/>
          <w:szCs w:val="28"/>
          <w:lang w:eastAsia="zh-CN"/>
        </w:rPr>
        <w:t xml:space="preserve"> </w:t>
      </w:r>
    </w:p>
    <w:p w14:paraId="44990770">
      <w:pPr>
        <w:jc w:val="both"/>
        <w:rPr>
          <w:rFonts w:ascii="Times New Roman" w:hAnsi="Times New Roman" w:eastAsia="宋体" w:cs="Times New Roman"/>
        </w:rPr>
      </w:pPr>
      <w:r>
        <w:rPr>
          <w:rFonts w:hint="eastAsia" w:ascii="Times New Roman" w:hAnsi="Times New Roman" w:eastAsia="宋体" w:cs="Times New Roman"/>
        </w:rPr>
        <w:t>P</w:t>
      </w:r>
      <w:r>
        <w:rPr>
          <w:rFonts w:ascii="Times New Roman" w:hAnsi="Times New Roman" w:eastAsia="宋体" w:cs="Times New Roman"/>
        </w:rPr>
        <w:t>revious studies have separately considered three areas. First, adoption research has identified the forms and levels of AI adoption, from individual-level tool use to organisation-wide adoption (Venkatesh et al., 2003; Park and Jung, 2021). Second, employee response research has examined trust, resistance, anxiety and job insecurity as separate reactions (Golgeci et al., 2025; Yuan et al., 2026). Third, research on organisational support has examined support for training, communication and leadership (Daly et al., 2025; Cho, Hur and Kim, 2025). What remains under-researched is the linkage between these three areas: how organisational support translates employee responses into adaptation outcomes, and how this translation varies across adoption levels and response dimensions. There are two reasons why existing studies cannot fully address this linkage. First, most of the studies focus on one area at a time, so the interaction between adoption level, response pattern and support mechanism is rarely studied together. Second, the studies that do address support tend to do so as a background condition rather than as a mechanism, so the process through which support influences adaptation is not traced. This review addresses the gap by mapping the three areas together and producing an integrative interpretation linking AI adoption, employee responses, organisational support and adaptation. In so doing it provides a more integrated account than any single study and identifies where the evidence is concentrated and where it is absent.</w:t>
      </w:r>
    </w:p>
    <w:p w14:paraId="3DBF3F36">
      <w:pPr>
        <w:pStyle w:val="4"/>
        <w:jc w:val="both"/>
        <w:rPr>
          <w:rFonts w:ascii="Times New Roman" w:hAnsi="Times New Roman" w:eastAsia="宋体" w:cs="Times New Roman"/>
          <w:color w:val="auto"/>
          <w:sz w:val="28"/>
          <w:szCs w:val="28"/>
          <w:lang w:eastAsia="zh-CN"/>
        </w:rPr>
      </w:pPr>
      <w:bookmarkStart w:id="35" w:name="_Toc30196"/>
      <w:r>
        <w:rPr>
          <w:rFonts w:ascii="Times New Roman" w:hAnsi="Times New Roman" w:eastAsia="宋体" w:cs="Times New Roman"/>
          <w:color w:val="auto"/>
          <w:sz w:val="28"/>
          <w:szCs w:val="28"/>
          <w:lang w:eastAsia="zh-CN"/>
        </w:rPr>
        <w:t>3.9.3 Future Research Directions</w:t>
      </w:r>
      <w:bookmarkEnd w:id="35"/>
      <w:r>
        <w:rPr>
          <w:rFonts w:ascii="Times New Roman" w:hAnsi="Times New Roman" w:eastAsia="宋体" w:cs="Times New Roman"/>
          <w:color w:val="auto"/>
          <w:sz w:val="28"/>
          <w:szCs w:val="28"/>
          <w:lang w:eastAsia="zh-CN"/>
        </w:rPr>
        <w:t xml:space="preserve"> </w:t>
      </w:r>
    </w:p>
    <w:p w14:paraId="6CE8C731">
      <w:pPr>
        <w:jc w:val="both"/>
        <w:rPr>
          <w:rFonts w:ascii="Times New Roman" w:hAnsi="Times New Roman" w:eastAsia="宋体" w:cs="Times New Roman"/>
        </w:rPr>
      </w:pPr>
      <w:r>
        <w:rPr>
          <w:rFonts w:ascii="Times New Roman" w:hAnsi="Times New Roman" w:eastAsia="宋体" w:cs="Times New Roman"/>
        </w:rPr>
        <w:t xml:space="preserve">The above gaps each suggest a particular methodological response. The first gap is the missing link between organisational support, employee responses and adaptation. </w:t>
      </w:r>
      <w:r>
        <w:rPr>
          <w:rFonts w:hint="eastAsia" w:ascii="Times New Roman" w:hAnsi="Times New Roman" w:eastAsia="宋体" w:cs="Times New Roman"/>
        </w:rPr>
        <w:t>A q</w:t>
      </w:r>
      <w:r>
        <w:rPr>
          <w:rFonts w:ascii="Times New Roman" w:hAnsi="Times New Roman" w:eastAsia="宋体" w:cs="Times New Roman"/>
        </w:rPr>
        <w:t>ualitative design would be useful here to trace how employees interpret support practices and how those interpretations influence responses over time. Survey studies can demonstrate that support and adaptation are related, but they cannot explain the mechanism by which support is translated into adaptation. The second gap concerns temporal interplay of responses and support. Most of the studies measure this interaction at one point in time, so they ‘may not adequately explain whether trust, anxiety or resistance change as employees gain experience with AI. A longitudinal study would address this limitation, by following the same employees through different stages of AI adoption, and allowing for the examination of whether responses change, and whether support practices accelerate or decelerate that change. The third gap relates to the uneven evidence across the levels of adoption, response dimensions and support mechanisms. A comparative design across sectors or levels of adoption would help to establish whether the patterns identified at the organisational level also hold at the individual or sector level and whether some support mechanisms matter more in certain contexts. These proposals are within the remit of the present mapping review: they follow directly from the gaps identified and do not assert causal relationships that the current evidence does not support.</w:t>
      </w:r>
    </w:p>
    <w:p w14:paraId="392E9511">
      <w:pPr>
        <w:jc w:val="both"/>
        <w:rPr>
          <w:rFonts w:ascii="Times New Roman" w:hAnsi="Times New Roman" w:eastAsia="宋体" w:cs="Times New Roman"/>
        </w:rPr>
      </w:pPr>
    </w:p>
    <w:p w14:paraId="47D22879">
      <w:pPr>
        <w:jc w:val="both"/>
        <w:rPr>
          <w:rFonts w:ascii="Times New Roman" w:hAnsi="Times New Roman" w:eastAsia="宋体" w:cs="Times New Roman"/>
        </w:rPr>
      </w:pPr>
    </w:p>
    <w:p w14:paraId="3DE2C187">
      <w:pPr>
        <w:jc w:val="both"/>
        <w:rPr>
          <w:rFonts w:ascii="Times New Roman" w:hAnsi="Times New Roman" w:eastAsia="宋体" w:cs="Times New Roman"/>
        </w:rPr>
      </w:pPr>
    </w:p>
    <w:p w14:paraId="249D0E1A">
      <w:pPr>
        <w:jc w:val="both"/>
        <w:rPr>
          <w:rFonts w:ascii="Times New Roman" w:hAnsi="Times New Roman" w:eastAsia="宋体" w:cs="Times New Roman"/>
        </w:rPr>
      </w:pPr>
    </w:p>
    <w:p w14:paraId="7FFC64AD">
      <w:pPr>
        <w:jc w:val="both"/>
        <w:rPr>
          <w:rFonts w:ascii="Times New Roman" w:hAnsi="Times New Roman" w:eastAsia="宋体" w:cs="Times New Roman"/>
        </w:rPr>
      </w:pPr>
    </w:p>
    <w:p w14:paraId="70FABF6C">
      <w:pPr>
        <w:jc w:val="both"/>
        <w:rPr>
          <w:rFonts w:ascii="Times New Roman" w:hAnsi="Times New Roman" w:eastAsia="宋体" w:cs="Times New Roman"/>
        </w:rPr>
      </w:pPr>
    </w:p>
    <w:p w14:paraId="2DECE4A8">
      <w:pPr>
        <w:jc w:val="both"/>
        <w:rPr>
          <w:rFonts w:ascii="Times New Roman" w:hAnsi="Times New Roman" w:eastAsia="宋体" w:cs="Times New Roman"/>
        </w:rPr>
      </w:pPr>
    </w:p>
    <w:p w14:paraId="6C5C3013">
      <w:pPr>
        <w:jc w:val="both"/>
        <w:rPr>
          <w:rFonts w:ascii="Times New Roman" w:hAnsi="Times New Roman" w:eastAsia="宋体" w:cs="Times New Roman"/>
        </w:rPr>
      </w:pPr>
    </w:p>
    <w:p w14:paraId="020678E5">
      <w:pPr>
        <w:jc w:val="both"/>
        <w:rPr>
          <w:rFonts w:ascii="Times New Roman" w:hAnsi="Times New Roman" w:eastAsia="宋体" w:cs="Times New Roman"/>
        </w:rPr>
      </w:pPr>
    </w:p>
    <w:p w14:paraId="1D647336">
      <w:pPr>
        <w:jc w:val="both"/>
        <w:rPr>
          <w:rFonts w:ascii="Times New Roman" w:hAnsi="Times New Roman" w:eastAsia="宋体" w:cs="Times New Roman"/>
        </w:rPr>
      </w:pPr>
    </w:p>
    <w:p w14:paraId="0FA4C47D">
      <w:pPr>
        <w:jc w:val="both"/>
        <w:rPr>
          <w:rFonts w:ascii="Times New Roman" w:hAnsi="Times New Roman" w:eastAsia="宋体" w:cs="Times New Roman"/>
        </w:rPr>
      </w:pPr>
    </w:p>
    <w:p w14:paraId="1D08227B">
      <w:pPr>
        <w:jc w:val="both"/>
        <w:rPr>
          <w:rFonts w:ascii="Times New Roman" w:hAnsi="Times New Roman" w:eastAsia="宋体" w:cs="Times New Roman"/>
        </w:rPr>
      </w:pPr>
    </w:p>
    <w:p w14:paraId="5B11DEB1">
      <w:pPr>
        <w:jc w:val="both"/>
        <w:rPr>
          <w:rFonts w:ascii="Times New Roman" w:hAnsi="Times New Roman" w:eastAsia="宋体" w:cs="Times New Roman"/>
        </w:rPr>
      </w:pPr>
    </w:p>
    <w:p w14:paraId="1F727D77">
      <w:pPr>
        <w:jc w:val="both"/>
        <w:rPr>
          <w:rFonts w:ascii="Times New Roman" w:hAnsi="Times New Roman" w:eastAsia="宋体" w:cs="Times New Roman"/>
        </w:rPr>
      </w:pPr>
    </w:p>
    <w:p w14:paraId="0C8E69B6">
      <w:pPr>
        <w:jc w:val="both"/>
        <w:rPr>
          <w:rFonts w:ascii="Times New Roman" w:hAnsi="Times New Roman" w:eastAsia="宋体" w:cs="Times New Roman"/>
        </w:rPr>
      </w:pPr>
    </w:p>
    <w:p w14:paraId="0F50F0A3">
      <w:pPr>
        <w:jc w:val="both"/>
        <w:rPr>
          <w:rFonts w:ascii="Times New Roman" w:hAnsi="Times New Roman" w:eastAsia="宋体" w:cs="Times New Roman"/>
        </w:rPr>
      </w:pPr>
    </w:p>
    <w:p w14:paraId="0753C209">
      <w:pPr>
        <w:jc w:val="both"/>
        <w:rPr>
          <w:rFonts w:ascii="Times New Roman" w:hAnsi="Times New Roman" w:eastAsia="宋体" w:cs="Times New Roman"/>
        </w:rPr>
      </w:pPr>
    </w:p>
    <w:p w14:paraId="5573DB05">
      <w:pPr>
        <w:jc w:val="both"/>
        <w:rPr>
          <w:rFonts w:ascii="Times New Roman" w:hAnsi="Times New Roman" w:eastAsia="宋体" w:cs="Times New Roman"/>
        </w:rPr>
      </w:pPr>
    </w:p>
    <w:p w14:paraId="016A7662">
      <w:pPr>
        <w:jc w:val="both"/>
        <w:rPr>
          <w:rFonts w:ascii="Times New Roman" w:hAnsi="Times New Roman" w:eastAsia="宋体" w:cs="Times New Roman"/>
        </w:rPr>
      </w:pPr>
    </w:p>
    <w:p w14:paraId="0A58CD6C">
      <w:pPr>
        <w:jc w:val="both"/>
        <w:rPr>
          <w:rFonts w:ascii="Times New Roman" w:hAnsi="Times New Roman" w:eastAsia="宋体" w:cs="Times New Roman"/>
        </w:rPr>
      </w:pPr>
    </w:p>
    <w:p w14:paraId="43F20B7C">
      <w:pPr>
        <w:jc w:val="both"/>
        <w:rPr>
          <w:rFonts w:ascii="Times New Roman" w:hAnsi="Times New Roman" w:eastAsia="宋体" w:cs="Times New Roman"/>
        </w:rPr>
      </w:pPr>
    </w:p>
    <w:p w14:paraId="4B19872A">
      <w:pPr>
        <w:keepNext w:val="0"/>
        <w:keepLines w:val="0"/>
        <w:pageBreakBefore w:val="0"/>
        <w:widowControl w:val="0"/>
        <w:kinsoku/>
        <w:wordWrap/>
        <w:overflowPunct/>
        <w:topLinePunct w:val="0"/>
        <w:autoSpaceDE/>
        <w:autoSpaceDN/>
        <w:bidi w:val="0"/>
        <w:adjustRightInd/>
        <w:snapToGrid/>
        <w:spacing w:line="279" w:lineRule="auto"/>
        <w:jc w:val="both"/>
        <w:textAlignment w:val="auto"/>
        <w:outlineLvl w:val="1"/>
        <w:rPr>
          <w:rFonts w:ascii="Times New Roman" w:hAnsi="Times New Roman" w:eastAsia="宋体" w:cs="Times New Roman"/>
          <w:b/>
          <w:bCs/>
          <w:sz w:val="32"/>
          <w:szCs w:val="32"/>
        </w:rPr>
      </w:pPr>
      <w:bookmarkStart w:id="36" w:name="_Toc14674"/>
      <w:r>
        <w:rPr>
          <w:rFonts w:ascii="Times New Roman" w:hAnsi="Times New Roman" w:eastAsia="宋体" w:cs="Times New Roman"/>
          <w:b/>
          <w:bCs/>
          <w:sz w:val="32"/>
          <w:szCs w:val="32"/>
        </w:rPr>
        <w:t>Reference List</w:t>
      </w:r>
      <w:r>
        <w:rPr>
          <w:rFonts w:hint="eastAsia" w:ascii="Times New Roman" w:hAnsi="Times New Roman" w:eastAsia="宋体" w:cs="Times New Roman"/>
          <w:b/>
          <w:bCs/>
          <w:sz w:val="32"/>
          <w:szCs w:val="32"/>
        </w:rPr>
        <w:t xml:space="preserve"> for Part3</w:t>
      </w:r>
      <w:bookmarkEnd w:id="36"/>
    </w:p>
    <w:p w14:paraId="2D6335DE">
      <w:pPr>
        <w:jc w:val="both"/>
        <w:rPr>
          <w:rFonts w:ascii="Times New Roman" w:hAnsi="Times New Roman" w:eastAsia="宋体" w:cs="Times New Roman"/>
        </w:rPr>
      </w:pPr>
      <w:r>
        <w:rPr>
          <w:rFonts w:ascii="Times New Roman" w:hAnsi="Times New Roman" w:eastAsia="宋体" w:cs="Times New Roman"/>
        </w:rPr>
        <w:t xml:space="preserve">Bankins, S., Ocampo, A.C., Marrone, M., Restubog, S.L.D. and Woo, S.E., 2024. A multilevel review of artificial intelligence in organizations: Implications for organisational behavior research and practice. </w:t>
      </w:r>
      <w:r>
        <w:rPr>
          <w:rFonts w:ascii="Times New Roman" w:hAnsi="Times New Roman" w:eastAsia="宋体" w:cs="Times New Roman"/>
          <w:i/>
          <w:iCs/>
        </w:rPr>
        <w:t>Journal of organisational behavior</w:t>
      </w:r>
      <w:r>
        <w:rPr>
          <w:rFonts w:ascii="Times New Roman" w:hAnsi="Times New Roman" w:eastAsia="宋体" w:cs="Times New Roman"/>
        </w:rPr>
        <w:t xml:space="preserve">, </w:t>
      </w:r>
      <w:r>
        <w:rPr>
          <w:rFonts w:ascii="Times New Roman" w:hAnsi="Times New Roman" w:eastAsia="宋体" w:cs="Times New Roman"/>
          <w:i/>
          <w:iCs/>
        </w:rPr>
        <w:t>45</w:t>
      </w:r>
      <w:r>
        <w:rPr>
          <w:rFonts w:ascii="Times New Roman" w:hAnsi="Times New Roman" w:eastAsia="宋体" w:cs="Times New Roman"/>
        </w:rPr>
        <w:t>(2), pp.159-182.</w:t>
      </w:r>
    </w:p>
    <w:p w14:paraId="521656CC">
      <w:pPr>
        <w:jc w:val="both"/>
        <w:rPr>
          <w:rFonts w:ascii="Times New Roman" w:hAnsi="Times New Roman" w:eastAsia="宋体" w:cs="Times New Roman"/>
        </w:rPr>
      </w:pPr>
      <w:r>
        <w:rPr>
          <w:rFonts w:ascii="Times New Roman" w:hAnsi="Times New Roman" w:eastAsia="宋体" w:cs="Times New Roman"/>
        </w:rPr>
        <w:t xml:space="preserve">Campbell, F., Tricco, A.C., Munn, Z., Pollock, D., Saran, A., Sutton, A., White, H. and Khalil, H., 2023. Mapping reviews, scoping reviews, and evidence and gap maps (EGMs): the same but different—the “Big Picture” review family. </w:t>
      </w:r>
      <w:r>
        <w:rPr>
          <w:rFonts w:ascii="Times New Roman" w:hAnsi="Times New Roman" w:eastAsia="宋体" w:cs="Times New Roman"/>
          <w:i/>
          <w:iCs/>
        </w:rPr>
        <w:t>Systematic reviews</w:t>
      </w:r>
      <w:r>
        <w:rPr>
          <w:rFonts w:ascii="Times New Roman" w:hAnsi="Times New Roman" w:eastAsia="宋体" w:cs="Times New Roman"/>
        </w:rPr>
        <w:t xml:space="preserve">, </w:t>
      </w:r>
      <w:r>
        <w:rPr>
          <w:rFonts w:ascii="Times New Roman" w:hAnsi="Times New Roman" w:eastAsia="宋体" w:cs="Times New Roman"/>
          <w:i/>
          <w:iCs/>
        </w:rPr>
        <w:t>12</w:t>
      </w:r>
      <w:r>
        <w:rPr>
          <w:rFonts w:ascii="Times New Roman" w:hAnsi="Times New Roman" w:eastAsia="宋体" w:cs="Times New Roman"/>
        </w:rPr>
        <w:t>(1), p.45.</w:t>
      </w:r>
    </w:p>
    <w:p w14:paraId="3E0C9F16">
      <w:pPr>
        <w:jc w:val="both"/>
        <w:rPr>
          <w:rFonts w:ascii="Times New Roman" w:hAnsi="Times New Roman" w:eastAsia="宋体" w:cs="Times New Roman"/>
        </w:rPr>
      </w:pPr>
      <w:r>
        <w:rPr>
          <w:rFonts w:ascii="Times New Roman" w:hAnsi="Times New Roman" w:eastAsia="宋体" w:cs="Times New Roman"/>
        </w:rPr>
        <w:t xml:space="preserve">Cho, S., Hur, J.Y. and Kim, D., 2025. Bridging trust in AI and its adoption: The role of organisational support in AI chatbot implementation in Korean government agencies. </w:t>
      </w:r>
      <w:r>
        <w:rPr>
          <w:rFonts w:ascii="Times New Roman" w:hAnsi="Times New Roman" w:eastAsia="宋体" w:cs="Times New Roman"/>
          <w:i/>
          <w:iCs/>
        </w:rPr>
        <w:t>Government Information Quarterly</w:t>
      </w:r>
      <w:r>
        <w:rPr>
          <w:rFonts w:ascii="Times New Roman" w:hAnsi="Times New Roman" w:eastAsia="宋体" w:cs="Times New Roman"/>
        </w:rPr>
        <w:t xml:space="preserve">, </w:t>
      </w:r>
      <w:r>
        <w:rPr>
          <w:rFonts w:ascii="Times New Roman" w:hAnsi="Times New Roman" w:eastAsia="宋体" w:cs="Times New Roman"/>
          <w:i/>
          <w:iCs/>
        </w:rPr>
        <w:t>42</w:t>
      </w:r>
      <w:r>
        <w:rPr>
          <w:rFonts w:ascii="Times New Roman" w:hAnsi="Times New Roman" w:eastAsia="宋体" w:cs="Times New Roman"/>
        </w:rPr>
        <w:t>(4), p.102081.</w:t>
      </w:r>
    </w:p>
    <w:p w14:paraId="053FD3B5">
      <w:pPr>
        <w:jc w:val="both"/>
        <w:rPr>
          <w:rFonts w:ascii="Times New Roman" w:hAnsi="Times New Roman" w:eastAsia="宋体" w:cs="Times New Roman"/>
        </w:rPr>
      </w:pPr>
      <w:r>
        <w:rPr>
          <w:rFonts w:ascii="Times New Roman" w:hAnsi="Times New Roman" w:eastAsia="宋体" w:cs="Times New Roman"/>
        </w:rPr>
        <w:t xml:space="preserve">Daly, S.J., Wiewiora, A. and Hearn, G., 2025. Shifting attitudes and trust in AI: Influences on organisational AI adoption. </w:t>
      </w:r>
      <w:r>
        <w:rPr>
          <w:rFonts w:ascii="Times New Roman" w:hAnsi="Times New Roman" w:eastAsia="宋体" w:cs="Times New Roman"/>
          <w:i/>
          <w:iCs/>
        </w:rPr>
        <w:t>Technological Forecasting and Social Change</w:t>
      </w:r>
      <w:r>
        <w:rPr>
          <w:rFonts w:ascii="Times New Roman" w:hAnsi="Times New Roman" w:eastAsia="宋体" w:cs="Times New Roman"/>
        </w:rPr>
        <w:t xml:space="preserve">, </w:t>
      </w:r>
      <w:r>
        <w:rPr>
          <w:rFonts w:ascii="Times New Roman" w:hAnsi="Times New Roman" w:eastAsia="宋体" w:cs="Times New Roman"/>
          <w:i/>
          <w:iCs/>
        </w:rPr>
        <w:t>215</w:t>
      </w:r>
      <w:r>
        <w:rPr>
          <w:rFonts w:ascii="Times New Roman" w:hAnsi="Times New Roman" w:eastAsia="宋体" w:cs="Times New Roman"/>
        </w:rPr>
        <w:t>, p.124108.</w:t>
      </w:r>
    </w:p>
    <w:p w14:paraId="7CA96984">
      <w:pPr>
        <w:jc w:val="both"/>
        <w:rPr>
          <w:rFonts w:ascii="Times New Roman" w:hAnsi="Times New Roman" w:eastAsia="宋体" w:cs="Times New Roman"/>
        </w:rPr>
      </w:pPr>
      <w:r>
        <w:rPr>
          <w:rFonts w:ascii="Times New Roman" w:hAnsi="Times New Roman" w:eastAsia="宋体" w:cs="Times New Roman"/>
        </w:rPr>
        <w:t xml:space="preserve">Golgeci, I., Ritala, P., Arslan, A., McKenna, B. and Ali, I., 2025. Confronting and alleviating AI resistance in the workplace: An integrative review and a process framework. </w:t>
      </w:r>
      <w:r>
        <w:rPr>
          <w:rFonts w:ascii="Times New Roman" w:hAnsi="Times New Roman" w:eastAsia="宋体" w:cs="Times New Roman"/>
          <w:i/>
          <w:iCs/>
        </w:rPr>
        <w:t>Human Resource Management Review</w:t>
      </w:r>
      <w:r>
        <w:rPr>
          <w:rFonts w:ascii="Times New Roman" w:hAnsi="Times New Roman" w:eastAsia="宋体" w:cs="Times New Roman"/>
        </w:rPr>
        <w:t xml:space="preserve">, </w:t>
      </w:r>
      <w:r>
        <w:rPr>
          <w:rFonts w:ascii="Times New Roman" w:hAnsi="Times New Roman" w:eastAsia="宋体" w:cs="Times New Roman"/>
          <w:i/>
          <w:iCs/>
        </w:rPr>
        <w:t>35</w:t>
      </w:r>
      <w:r>
        <w:rPr>
          <w:rFonts w:ascii="Times New Roman" w:hAnsi="Times New Roman" w:eastAsia="宋体" w:cs="Times New Roman"/>
        </w:rPr>
        <w:t>(2), p.101075.</w:t>
      </w:r>
    </w:p>
    <w:p w14:paraId="0A41F7F3">
      <w:pPr>
        <w:jc w:val="both"/>
        <w:rPr>
          <w:rFonts w:ascii="Times New Roman" w:hAnsi="Times New Roman" w:eastAsia="宋体" w:cs="Times New Roman"/>
        </w:rPr>
      </w:pPr>
      <w:r>
        <w:rPr>
          <w:rFonts w:ascii="Times New Roman" w:hAnsi="Times New Roman" w:eastAsia="宋体" w:cs="Times New Roman"/>
        </w:rPr>
        <w:t xml:space="preserve">Islam, M.A., Aldaihani, F.M.F. and Saatchi, S.G., 2023. Artificial intelligence adoption among human resource professionals: Does market turbulence play a role?. </w:t>
      </w:r>
      <w:r>
        <w:rPr>
          <w:rFonts w:ascii="Times New Roman" w:hAnsi="Times New Roman" w:eastAsia="宋体" w:cs="Times New Roman"/>
          <w:i/>
          <w:iCs/>
        </w:rPr>
        <w:t>Global Business and Organisational Excellence</w:t>
      </w:r>
      <w:r>
        <w:rPr>
          <w:rFonts w:ascii="Times New Roman" w:hAnsi="Times New Roman" w:eastAsia="宋体" w:cs="Times New Roman"/>
        </w:rPr>
        <w:t xml:space="preserve">, </w:t>
      </w:r>
      <w:r>
        <w:rPr>
          <w:rFonts w:ascii="Times New Roman" w:hAnsi="Times New Roman" w:eastAsia="宋体" w:cs="Times New Roman"/>
          <w:i/>
          <w:iCs/>
        </w:rPr>
        <w:t>42</w:t>
      </w:r>
      <w:r>
        <w:rPr>
          <w:rFonts w:ascii="Times New Roman" w:hAnsi="Times New Roman" w:eastAsia="宋体" w:cs="Times New Roman"/>
        </w:rPr>
        <w:t>(6), pp.59-74.</w:t>
      </w:r>
    </w:p>
    <w:p w14:paraId="1FD1D6A8">
      <w:pPr>
        <w:jc w:val="both"/>
        <w:rPr>
          <w:rFonts w:ascii="Times New Roman" w:hAnsi="Times New Roman" w:eastAsia="宋体" w:cs="Times New Roman"/>
        </w:rPr>
      </w:pPr>
      <w:r>
        <w:rPr>
          <w:rFonts w:ascii="Times New Roman" w:hAnsi="Times New Roman" w:eastAsia="宋体" w:cs="Times New Roman"/>
        </w:rPr>
        <w:t xml:space="preserve">Khalil, H., Welch, V., Grainger, M. and Campbell, F., 2025. Methodology for mapping reviews, evidence maps, and gap maps. </w:t>
      </w:r>
      <w:r>
        <w:rPr>
          <w:rFonts w:ascii="Times New Roman" w:hAnsi="Times New Roman" w:eastAsia="宋体" w:cs="Times New Roman"/>
          <w:i/>
          <w:iCs/>
        </w:rPr>
        <w:t>Research Synthesis Methods</w:t>
      </w:r>
      <w:r>
        <w:rPr>
          <w:rFonts w:ascii="Times New Roman" w:hAnsi="Times New Roman" w:eastAsia="宋体" w:cs="Times New Roman"/>
        </w:rPr>
        <w:t xml:space="preserve">, </w:t>
      </w:r>
      <w:r>
        <w:rPr>
          <w:rFonts w:ascii="Times New Roman" w:hAnsi="Times New Roman" w:eastAsia="宋体" w:cs="Times New Roman"/>
          <w:i/>
          <w:iCs/>
        </w:rPr>
        <w:t>16</w:t>
      </w:r>
      <w:r>
        <w:rPr>
          <w:rFonts w:ascii="Times New Roman" w:hAnsi="Times New Roman" w:eastAsia="宋体" w:cs="Times New Roman"/>
        </w:rPr>
        <w:t>(5), pp.786-796.</w:t>
      </w:r>
    </w:p>
    <w:p w14:paraId="5024B968">
      <w:pPr>
        <w:jc w:val="both"/>
        <w:rPr>
          <w:rFonts w:ascii="Times New Roman" w:hAnsi="Times New Roman" w:eastAsia="宋体" w:cs="Times New Roman"/>
        </w:rPr>
      </w:pPr>
      <w:r>
        <w:rPr>
          <w:rFonts w:ascii="Times New Roman" w:hAnsi="Times New Roman" w:eastAsia="宋体" w:cs="Times New Roman"/>
        </w:rPr>
        <w:t xml:space="preserve">Kim, B.J. and Lee, J., 2024. The mental health implications of artificial intelligence adoption: the crucial role of self-efficacy. </w:t>
      </w:r>
      <w:r>
        <w:rPr>
          <w:rFonts w:ascii="Times New Roman" w:hAnsi="Times New Roman" w:eastAsia="宋体" w:cs="Times New Roman"/>
          <w:i/>
          <w:iCs/>
        </w:rPr>
        <w:t>Humanities and Social Sciences Communications</w:t>
      </w:r>
      <w:r>
        <w:rPr>
          <w:rFonts w:ascii="Times New Roman" w:hAnsi="Times New Roman" w:eastAsia="宋体" w:cs="Times New Roman"/>
        </w:rPr>
        <w:t xml:space="preserve">, </w:t>
      </w:r>
      <w:r>
        <w:rPr>
          <w:rFonts w:ascii="Times New Roman" w:hAnsi="Times New Roman" w:eastAsia="宋体" w:cs="Times New Roman"/>
          <w:i/>
          <w:iCs/>
        </w:rPr>
        <w:t>11</w:t>
      </w:r>
      <w:r>
        <w:rPr>
          <w:rFonts w:ascii="Times New Roman" w:hAnsi="Times New Roman" w:eastAsia="宋体" w:cs="Times New Roman"/>
        </w:rPr>
        <w:t>(1), p.1561.</w:t>
      </w:r>
    </w:p>
    <w:p w14:paraId="2BE9A479">
      <w:pPr>
        <w:jc w:val="both"/>
        <w:rPr>
          <w:rFonts w:ascii="Times New Roman" w:hAnsi="Times New Roman" w:eastAsia="宋体" w:cs="Times New Roman"/>
        </w:rPr>
      </w:pPr>
      <w:r>
        <w:rPr>
          <w:rFonts w:ascii="Times New Roman" w:hAnsi="Times New Roman" w:eastAsia="宋体" w:cs="Times New Roman"/>
        </w:rPr>
        <w:t xml:space="preserve">Park, J.Y. and Yeseul, J., 2021. Employees’ intention to use artificial intelligence: Roles of perceived usefulness, trust, and perceived organisational support. </w:t>
      </w:r>
      <w:r>
        <w:rPr>
          <w:rFonts w:ascii="Times New Roman" w:hAnsi="Times New Roman" w:eastAsia="宋体" w:cs="Times New Roman"/>
          <w:i/>
          <w:iCs/>
        </w:rPr>
        <w:t>Korean Jounal of Industrial Organisational Psychology</w:t>
      </w:r>
      <w:r>
        <w:rPr>
          <w:rFonts w:ascii="Times New Roman" w:hAnsi="Times New Roman" w:eastAsia="宋体" w:cs="Times New Roman"/>
        </w:rPr>
        <w:t xml:space="preserve">, </w:t>
      </w:r>
      <w:r>
        <w:rPr>
          <w:rFonts w:ascii="Times New Roman" w:hAnsi="Times New Roman" w:eastAsia="宋体" w:cs="Times New Roman"/>
          <w:i/>
          <w:iCs/>
        </w:rPr>
        <w:t>34</w:t>
      </w:r>
      <w:r>
        <w:rPr>
          <w:rFonts w:ascii="Times New Roman" w:hAnsi="Times New Roman" w:eastAsia="宋体" w:cs="Times New Roman"/>
        </w:rPr>
        <w:t>(2), pp.183-211.</w:t>
      </w:r>
    </w:p>
    <w:p w14:paraId="3D5779B1">
      <w:pPr>
        <w:jc w:val="both"/>
        <w:rPr>
          <w:rFonts w:ascii="Times New Roman" w:hAnsi="Times New Roman" w:eastAsia="宋体" w:cs="Times New Roman"/>
        </w:rPr>
      </w:pPr>
      <w:r>
        <w:rPr>
          <w:rFonts w:ascii="Times New Roman" w:hAnsi="Times New Roman" w:eastAsia="宋体" w:cs="Times New Roman"/>
        </w:rPr>
        <w:t xml:space="preserve">Pereira, V., Hadjielias, E., Christofi, M. and Vrontis, D., 2023. A systematic literature review on the impact of artificial intelligence on workplace outcomes: A multi-process perspective. </w:t>
      </w:r>
      <w:r>
        <w:rPr>
          <w:rFonts w:ascii="Times New Roman" w:hAnsi="Times New Roman" w:eastAsia="宋体" w:cs="Times New Roman"/>
          <w:i/>
          <w:iCs/>
        </w:rPr>
        <w:t>Human Resource Management Review</w:t>
      </w:r>
      <w:r>
        <w:rPr>
          <w:rFonts w:ascii="Times New Roman" w:hAnsi="Times New Roman" w:eastAsia="宋体" w:cs="Times New Roman"/>
        </w:rPr>
        <w:t xml:space="preserve">, </w:t>
      </w:r>
      <w:r>
        <w:rPr>
          <w:rFonts w:ascii="Times New Roman" w:hAnsi="Times New Roman" w:eastAsia="宋体" w:cs="Times New Roman"/>
          <w:i/>
          <w:iCs/>
        </w:rPr>
        <w:t>33</w:t>
      </w:r>
      <w:r>
        <w:rPr>
          <w:rFonts w:ascii="Times New Roman" w:hAnsi="Times New Roman" w:eastAsia="宋体" w:cs="Times New Roman"/>
        </w:rPr>
        <w:t>(1), p.100857.</w:t>
      </w:r>
    </w:p>
    <w:p w14:paraId="5FE45CEE">
      <w:pPr>
        <w:jc w:val="both"/>
        <w:rPr>
          <w:rFonts w:ascii="Times New Roman" w:hAnsi="Times New Roman" w:eastAsia="宋体" w:cs="Times New Roman"/>
        </w:rPr>
      </w:pPr>
      <w:r>
        <w:rPr>
          <w:rFonts w:ascii="Times New Roman" w:hAnsi="Times New Roman" w:eastAsia="宋体" w:cs="Times New Roman"/>
        </w:rPr>
        <w:t xml:space="preserve">Petersen, K., Feldt, R., Mujtaba, S. and Mattsson, M., 2008, June. Systematic mapping studies in software engineering. In </w:t>
      </w:r>
      <w:r>
        <w:rPr>
          <w:rFonts w:ascii="Times New Roman" w:hAnsi="Times New Roman" w:eastAsia="宋体" w:cs="Times New Roman"/>
          <w:i/>
          <w:iCs/>
        </w:rPr>
        <w:t>12th international conference on evaluation and assessment in software engineering (EASE)</w:t>
      </w:r>
      <w:r>
        <w:rPr>
          <w:rFonts w:ascii="Times New Roman" w:hAnsi="Times New Roman" w:eastAsia="宋体" w:cs="Times New Roman"/>
        </w:rPr>
        <w:t>. BCS Learning &amp; Development.</w:t>
      </w:r>
    </w:p>
    <w:p w14:paraId="56CE0A4D">
      <w:pPr>
        <w:jc w:val="both"/>
        <w:rPr>
          <w:rFonts w:ascii="Times New Roman" w:hAnsi="Times New Roman" w:eastAsia="宋体" w:cs="Times New Roman"/>
        </w:rPr>
      </w:pPr>
      <w:r>
        <w:rPr>
          <w:rFonts w:ascii="Times New Roman" w:hAnsi="Times New Roman" w:eastAsia="宋体" w:cs="Times New Roman"/>
        </w:rPr>
        <w:t xml:space="preserve">Repousis, S. and Lois, P., 2026. Transformative Learning as a Framework for Overcoming Employee Resistance to AI Adoption: A Systematic Literature Review. </w:t>
      </w:r>
      <w:r>
        <w:rPr>
          <w:rFonts w:ascii="Times New Roman" w:hAnsi="Times New Roman" w:eastAsia="宋体" w:cs="Times New Roman"/>
          <w:i/>
          <w:iCs/>
        </w:rPr>
        <w:t>Human-AI Complementarity in Human Resource Management</w:t>
      </w:r>
      <w:r>
        <w:rPr>
          <w:rFonts w:ascii="Times New Roman" w:hAnsi="Times New Roman" w:eastAsia="宋体" w:cs="Times New Roman"/>
        </w:rPr>
        <w:t>, pp.123-160.</w:t>
      </w:r>
    </w:p>
    <w:p w14:paraId="396DFEC5">
      <w:pPr>
        <w:jc w:val="both"/>
        <w:rPr>
          <w:rFonts w:ascii="Times New Roman" w:hAnsi="Times New Roman" w:eastAsia="宋体" w:cs="Times New Roman"/>
        </w:rPr>
      </w:pPr>
      <w:r>
        <w:rPr>
          <w:rFonts w:ascii="Times New Roman" w:hAnsi="Times New Roman" w:eastAsia="宋体" w:cs="Times New Roman"/>
        </w:rPr>
        <w:t xml:space="preserve">Snyder, H., 2019. Literature review as a research methodology: An overview and guidelines. </w:t>
      </w:r>
      <w:r>
        <w:rPr>
          <w:rFonts w:ascii="Times New Roman" w:hAnsi="Times New Roman" w:eastAsia="宋体" w:cs="Times New Roman"/>
          <w:i/>
          <w:iCs/>
        </w:rPr>
        <w:t>Journal of business research</w:t>
      </w:r>
      <w:r>
        <w:rPr>
          <w:rFonts w:ascii="Times New Roman" w:hAnsi="Times New Roman" w:eastAsia="宋体" w:cs="Times New Roman"/>
        </w:rPr>
        <w:t xml:space="preserve">, </w:t>
      </w:r>
      <w:r>
        <w:rPr>
          <w:rFonts w:ascii="Times New Roman" w:hAnsi="Times New Roman" w:eastAsia="宋体" w:cs="Times New Roman"/>
          <w:i/>
          <w:iCs/>
        </w:rPr>
        <w:t>104</w:t>
      </w:r>
      <w:r>
        <w:rPr>
          <w:rFonts w:ascii="Times New Roman" w:hAnsi="Times New Roman" w:eastAsia="宋体" w:cs="Times New Roman"/>
        </w:rPr>
        <w:t>, pp.333-339.</w:t>
      </w:r>
    </w:p>
    <w:p w14:paraId="4BD39A64">
      <w:pPr>
        <w:jc w:val="both"/>
        <w:rPr>
          <w:rFonts w:ascii="Times New Roman" w:hAnsi="Times New Roman" w:eastAsia="宋体" w:cs="Times New Roman"/>
        </w:rPr>
      </w:pPr>
      <w:r>
        <w:rPr>
          <w:rFonts w:ascii="Times New Roman" w:hAnsi="Times New Roman" w:eastAsia="宋体" w:cs="Times New Roman"/>
        </w:rPr>
        <w:t xml:space="preserve">SONG, Y., ZENG, M. and SU, T., 2026. Opportunity or threat? A meta-analysis of the impact of human-AI collaboration systems on employee work effectiveness. </w:t>
      </w:r>
      <w:r>
        <w:rPr>
          <w:rFonts w:ascii="Times New Roman" w:hAnsi="Times New Roman" w:eastAsia="宋体" w:cs="Times New Roman"/>
          <w:i/>
          <w:iCs/>
        </w:rPr>
        <w:t>Advances in Psychological Science</w:t>
      </w:r>
      <w:r>
        <w:rPr>
          <w:rFonts w:ascii="Times New Roman" w:hAnsi="Times New Roman" w:eastAsia="宋体" w:cs="Times New Roman"/>
        </w:rPr>
        <w:t xml:space="preserve">, </w:t>
      </w:r>
      <w:r>
        <w:rPr>
          <w:rFonts w:ascii="Times New Roman" w:hAnsi="Times New Roman" w:eastAsia="宋体" w:cs="Times New Roman"/>
          <w:i/>
          <w:iCs/>
        </w:rPr>
        <w:t>34</w:t>
      </w:r>
      <w:r>
        <w:rPr>
          <w:rFonts w:ascii="Times New Roman" w:hAnsi="Times New Roman" w:eastAsia="宋体" w:cs="Times New Roman"/>
        </w:rPr>
        <w:t>(3), pp.461-486.</w:t>
      </w:r>
    </w:p>
    <w:p w14:paraId="0FD6CB78">
      <w:pPr>
        <w:jc w:val="both"/>
        <w:rPr>
          <w:rFonts w:ascii="Times New Roman" w:hAnsi="Times New Roman" w:eastAsia="宋体" w:cs="Times New Roman"/>
        </w:rPr>
      </w:pPr>
      <w:r>
        <w:rPr>
          <w:rFonts w:ascii="Times New Roman" w:hAnsi="Times New Roman" w:eastAsia="宋体" w:cs="Times New Roman"/>
        </w:rPr>
        <w:t xml:space="preserve">Venkatesh, V., Morris, M.G., Davis, G.B. and Davis, F.D., 2003. User acceptance of information technology: Toward a unified view1. </w:t>
      </w:r>
      <w:r>
        <w:rPr>
          <w:rFonts w:ascii="Times New Roman" w:hAnsi="Times New Roman" w:eastAsia="宋体" w:cs="Times New Roman"/>
          <w:i/>
          <w:iCs/>
        </w:rPr>
        <w:t>MIS quarterly</w:t>
      </w:r>
      <w:r>
        <w:rPr>
          <w:rFonts w:ascii="Times New Roman" w:hAnsi="Times New Roman" w:eastAsia="宋体" w:cs="Times New Roman"/>
        </w:rPr>
        <w:t xml:space="preserve">, </w:t>
      </w:r>
      <w:r>
        <w:rPr>
          <w:rFonts w:ascii="Times New Roman" w:hAnsi="Times New Roman" w:eastAsia="宋体" w:cs="Times New Roman"/>
          <w:i/>
          <w:iCs/>
        </w:rPr>
        <w:t>27</w:t>
      </w:r>
      <w:r>
        <w:rPr>
          <w:rFonts w:ascii="Times New Roman" w:hAnsi="Times New Roman" w:eastAsia="宋体" w:cs="Times New Roman"/>
        </w:rPr>
        <w:t>(3), pp.425-478.</w:t>
      </w:r>
    </w:p>
    <w:p w14:paraId="3E48659A">
      <w:pPr>
        <w:jc w:val="both"/>
        <w:rPr>
          <w:rFonts w:ascii="Times New Roman" w:hAnsi="Times New Roman" w:eastAsia="宋体" w:cs="Times New Roman"/>
        </w:rPr>
      </w:pPr>
      <w:r>
        <w:rPr>
          <w:rFonts w:ascii="Times New Roman" w:hAnsi="Times New Roman" w:eastAsia="宋体" w:cs="Times New Roman"/>
        </w:rPr>
        <w:t xml:space="preserve">Vrontis, D., Christofi, M., Pereira, V., Tarba, S., Makrides, A. and Trichina, E., 2023. Artificial intelligence, robotics, advanced technologies and human resource management: a systematic review. </w:t>
      </w:r>
      <w:r>
        <w:rPr>
          <w:rFonts w:ascii="Times New Roman" w:hAnsi="Times New Roman" w:eastAsia="宋体" w:cs="Times New Roman"/>
          <w:i/>
          <w:iCs/>
        </w:rPr>
        <w:t>Artificial intelligence and international HRM</w:t>
      </w:r>
      <w:r>
        <w:rPr>
          <w:rFonts w:ascii="Times New Roman" w:hAnsi="Times New Roman" w:eastAsia="宋体" w:cs="Times New Roman"/>
        </w:rPr>
        <w:t>, pp.172-201.</w:t>
      </w:r>
    </w:p>
    <w:p w14:paraId="7A6EA8D2">
      <w:pPr>
        <w:jc w:val="both"/>
        <w:rPr>
          <w:rFonts w:ascii="Times New Roman" w:hAnsi="Times New Roman" w:eastAsia="宋体" w:cs="Times New Roman"/>
        </w:rPr>
      </w:pPr>
      <w:r>
        <w:rPr>
          <w:rFonts w:ascii="Times New Roman" w:hAnsi="Times New Roman" w:eastAsia="宋体" w:cs="Times New Roman"/>
        </w:rPr>
        <w:t xml:space="preserve">Xu, Y., Huang, Y., Wang, J. and Zhou, D., 2024. How do employees form initial trust in artificial intelligence: hard to explain but leaders help. </w:t>
      </w:r>
      <w:r>
        <w:rPr>
          <w:rFonts w:ascii="Times New Roman" w:hAnsi="Times New Roman" w:eastAsia="宋体" w:cs="Times New Roman"/>
          <w:i/>
          <w:iCs/>
        </w:rPr>
        <w:t>Asia Pacific Journal of Human Resources</w:t>
      </w:r>
      <w:r>
        <w:rPr>
          <w:rFonts w:ascii="Times New Roman" w:hAnsi="Times New Roman" w:eastAsia="宋体" w:cs="Times New Roman"/>
        </w:rPr>
        <w:t xml:space="preserve">, </w:t>
      </w:r>
      <w:r>
        <w:rPr>
          <w:rFonts w:ascii="Times New Roman" w:hAnsi="Times New Roman" w:eastAsia="宋体" w:cs="Times New Roman"/>
          <w:i/>
          <w:iCs/>
        </w:rPr>
        <w:t>62</w:t>
      </w:r>
      <w:r>
        <w:rPr>
          <w:rFonts w:ascii="Times New Roman" w:hAnsi="Times New Roman" w:eastAsia="宋体" w:cs="Times New Roman"/>
        </w:rPr>
        <w:t>(3), p.e12402.</w:t>
      </w:r>
    </w:p>
    <w:p w14:paraId="024F855E">
      <w:pPr>
        <w:jc w:val="both"/>
        <w:rPr>
          <w:rFonts w:ascii="Times New Roman" w:hAnsi="Times New Roman" w:eastAsia="宋体" w:cs="Times New Roman"/>
        </w:rPr>
      </w:pPr>
      <w:r>
        <w:rPr>
          <w:rFonts w:ascii="Times New Roman" w:hAnsi="Times New Roman" w:eastAsia="宋体" w:cs="Times New Roman"/>
        </w:rPr>
        <w:t xml:space="preserve">Yuan, Y., Hao, F. and Liu, S., 2026. Augment or replace? AI implementation and employee job insecurity. </w:t>
      </w:r>
      <w:r>
        <w:rPr>
          <w:rFonts w:ascii="Times New Roman" w:hAnsi="Times New Roman" w:eastAsia="宋体" w:cs="Times New Roman"/>
          <w:i/>
          <w:iCs/>
        </w:rPr>
        <w:t>International Journal of Contemporary Hospitality Management</w:t>
      </w:r>
      <w:r>
        <w:rPr>
          <w:rFonts w:ascii="Times New Roman" w:hAnsi="Times New Roman" w:eastAsia="宋体" w:cs="Times New Roman"/>
        </w:rPr>
        <w:t>, pp.1-20.</w:t>
      </w:r>
    </w:p>
    <w:p w14:paraId="7A6681FB"/>
    <w:p w14:paraId="02ED231A"/>
    <w:p w14:paraId="6031208A"/>
    <w:p w14:paraId="1F28A444"/>
    <w:p w14:paraId="2C788B8A"/>
    <w:p w14:paraId="0C8668F7"/>
    <w:p w14:paraId="0364BF89"/>
    <w:p w14:paraId="7283177C"/>
    <w:p w14:paraId="7E7BE5AB"/>
    <w:p w14:paraId="547BA2DE"/>
    <w:p w14:paraId="50AF7AAA"/>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Courier">
    <w:altName w:val="Courier New"/>
    <w:panose1 w:val="02070409020205020404"/>
    <w:charset w:val="00"/>
    <w:family w:val="auto"/>
    <w:pitch w:val="default"/>
    <w:sig w:usb0="00000000" w:usb1="00000000" w:usb2="00000000" w:usb3="00000000" w:csb0="00000001" w:csb1="00000000"/>
  </w:font>
  <w:font w:name="Arial">
    <w:panose1 w:val="020B0604020202020204"/>
    <w:charset w:val="00"/>
    <w:family w:val="swiss"/>
    <w:pitch w:val="default"/>
    <w:sig w:usb0="E0002EFF" w:usb1="C000785B" w:usb2="00000009" w:usb3="00000000" w:csb0="400001FF" w:csb1="FFFF0000"/>
  </w:font>
  <w:font w:name="Microsoft YaHei UI">
    <w:panose1 w:val="020B0503020204020204"/>
    <w:charset w:val="86"/>
    <w:family w:val="swiss"/>
    <w:pitch w:val="default"/>
    <w:sig w:usb0="80000287" w:usb1="2ACF3C50" w:usb2="00000016" w:usb3="00000000" w:csb0="0004001F" w:csb1="00000000"/>
  </w:font>
  <w:font w:name="MS Mincho">
    <w:panose1 w:val="02020609040205080304"/>
    <w:charset w:val="80"/>
    <w:family w:val="modern"/>
    <w:pitch w:val="default"/>
    <w:sig w:usb0="E00002FF" w:usb1="6AC7FDFB" w:usb2="08000012" w:usb3="00000000" w:csb0="4002009F" w:csb1="DFD70000"/>
  </w:font>
  <w:font w:name="Tahoma">
    <w:panose1 w:val="020B0604030504040204"/>
    <w:charset w:val="00"/>
    <w:family w:val="auto"/>
    <w:pitch w:val="default"/>
    <w:sig w:usb0="E1002EFF" w:usb1="C000605B" w:usb2="00000029" w:usb3="00000000" w:csb0="200101FF" w:csb1="20280000"/>
  </w:font>
  <w:font w:name="Courier New">
    <w:panose1 w:val="02070309020205020404"/>
    <w:charset w:val="00"/>
    <w:family w:val="auto"/>
    <w:pitch w:val="default"/>
    <w:sig w:usb0="E0002E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2773303">
    <w:pPr>
      <w:pStyle w:val="26"/>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182993F9">
                          <w:pPr>
                            <w:pStyle w:val="2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zXDnwqAgAAV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CLNmWdjqneUROirm&#10;7eoYIGCnaxSlV2LQCtPWdWZ4GXGc/9x3UY9/g+Vv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AAAAAGRycy9QSwECFAAUAAAACACHTuJAs0lY&#10;7tAAAAAFAQAADwAAAAAAAAABACAAAAAiAAAAZHJzL2Rvd25yZXYueG1sUEsBAhQAFAAAAAgAh07i&#10;QIzXDnwqAgAAVQQAAA4AAAAAAAAAAQAgAAAAHwEAAGRycy9lMm9Eb2MueG1sUEsFBgAAAAAGAAYA&#10;WQEAALsFAAAAAA==&#10;">
              <v:fill on="f" focussize="0,0"/>
              <v:stroke on="f" weight="0.5pt"/>
              <v:imagedata o:title=""/>
              <o:lock v:ext="edit" aspectratio="f"/>
              <v:textbox inset="0mm,0mm,0mm,0mm" style="mso-fit-shape-to-text:t;">
                <w:txbxContent>
                  <w:p w14:paraId="182993F9">
                    <w:pPr>
                      <w:pStyle w:val="26"/>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E"/>
    <w:multiLevelType w:val="singleLevel"/>
    <w:tmpl w:val="FFFFFF7E"/>
    <w:lvl w:ilvl="0" w:tentative="0">
      <w:start w:val="1"/>
      <w:numFmt w:val="decimal"/>
      <w:pStyle w:val="21"/>
      <w:lvlText w:val="%1."/>
      <w:lvlJc w:val="left"/>
      <w:pPr>
        <w:tabs>
          <w:tab w:val="left" w:pos="1080"/>
        </w:tabs>
        <w:ind w:left="1080" w:hanging="360"/>
      </w:pPr>
    </w:lvl>
  </w:abstractNum>
  <w:abstractNum w:abstractNumId="1">
    <w:nsid w:val="FFFFFF7F"/>
    <w:multiLevelType w:val="singleLevel"/>
    <w:tmpl w:val="FFFFFF7F"/>
    <w:lvl w:ilvl="0" w:tentative="0">
      <w:start w:val="1"/>
      <w:numFmt w:val="decimal"/>
      <w:pStyle w:val="13"/>
      <w:lvlText w:val="%1."/>
      <w:lvlJc w:val="left"/>
      <w:pPr>
        <w:tabs>
          <w:tab w:val="left" w:pos="720"/>
        </w:tabs>
        <w:ind w:left="720" w:hanging="360"/>
      </w:pPr>
    </w:lvl>
  </w:abstractNum>
  <w:abstractNum w:abstractNumId="2">
    <w:nsid w:val="FFFFFF82"/>
    <w:multiLevelType w:val="singleLevel"/>
    <w:tmpl w:val="FFFFFF82"/>
    <w:lvl w:ilvl="0" w:tentative="0">
      <w:start w:val="1"/>
      <w:numFmt w:val="bullet"/>
      <w:pStyle w:val="19"/>
      <w:lvlText w:val=""/>
      <w:lvlJc w:val="left"/>
      <w:pPr>
        <w:tabs>
          <w:tab w:val="left" w:pos="1080"/>
        </w:tabs>
        <w:ind w:left="1080" w:hanging="360"/>
      </w:pPr>
      <w:rPr>
        <w:rFonts w:hint="default" w:ascii="Symbol" w:hAnsi="Symbol"/>
      </w:rPr>
    </w:lvl>
  </w:abstractNum>
  <w:abstractNum w:abstractNumId="3">
    <w:nsid w:val="FFFFFF83"/>
    <w:multiLevelType w:val="singleLevel"/>
    <w:tmpl w:val="FFFFFF83"/>
    <w:lvl w:ilvl="0" w:tentative="0">
      <w:start w:val="1"/>
      <w:numFmt w:val="bullet"/>
      <w:pStyle w:val="24"/>
      <w:lvlText w:val=""/>
      <w:lvlJc w:val="left"/>
      <w:pPr>
        <w:tabs>
          <w:tab w:val="left" w:pos="720"/>
        </w:tabs>
        <w:ind w:left="720" w:hanging="360"/>
      </w:pPr>
      <w:rPr>
        <w:rFonts w:hint="default" w:ascii="Symbol" w:hAnsi="Symbol"/>
      </w:rPr>
    </w:lvl>
  </w:abstractNum>
  <w:abstractNum w:abstractNumId="4">
    <w:nsid w:val="FFFFFF88"/>
    <w:multiLevelType w:val="singleLevel"/>
    <w:tmpl w:val="FFFFFF88"/>
    <w:lvl w:ilvl="0" w:tentative="0">
      <w:start w:val="1"/>
      <w:numFmt w:val="decimal"/>
      <w:pStyle w:val="14"/>
      <w:lvlText w:val="%1."/>
      <w:lvlJc w:val="left"/>
      <w:pPr>
        <w:tabs>
          <w:tab w:val="left" w:pos="360"/>
        </w:tabs>
        <w:ind w:left="360" w:hanging="360"/>
      </w:pPr>
    </w:lvl>
  </w:abstractNum>
  <w:abstractNum w:abstractNumId="5">
    <w:nsid w:val="FFFFFF89"/>
    <w:multiLevelType w:val="singleLevel"/>
    <w:tmpl w:val="FFFFFF89"/>
    <w:lvl w:ilvl="0" w:tentative="0">
      <w:start w:val="1"/>
      <w:numFmt w:val="bullet"/>
      <w:pStyle w:val="16"/>
      <w:lvlText w:val=""/>
      <w:lvlJc w:val="left"/>
      <w:pPr>
        <w:tabs>
          <w:tab w:val="left" w:pos="360"/>
        </w:tabs>
        <w:ind w:left="360" w:hanging="360"/>
      </w:pPr>
      <w:rPr>
        <w:rFonts w:hint="default" w:ascii="Symbol" w:hAnsi="Symbol"/>
      </w:rPr>
    </w:lvl>
  </w:abstractNum>
  <w:num w:numId="1">
    <w:abstractNumId w:val="1"/>
  </w:num>
  <w:num w:numId="2">
    <w:abstractNumId w:val="4"/>
  </w:num>
  <w:num w:numId="3">
    <w:abstractNumId w:val="5"/>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1"/>
  <w:bordersDoNotSurroundFooter w:val="1"/>
  <w:documentProtection w:enforcement="0"/>
  <w:defaultTabStop w:val="420"/>
  <w:drawingGridHorizontalSpacing w:val="11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C3D1965"/>
    <w:rsid w:val="001734B7"/>
    <w:rsid w:val="001D0B7B"/>
    <w:rsid w:val="00336465"/>
    <w:rsid w:val="003C7CCA"/>
    <w:rsid w:val="003F28DD"/>
    <w:rsid w:val="005A5109"/>
    <w:rsid w:val="005B7C2F"/>
    <w:rsid w:val="00610820"/>
    <w:rsid w:val="006B00AC"/>
    <w:rsid w:val="007A6CB8"/>
    <w:rsid w:val="007B53F2"/>
    <w:rsid w:val="009C28C3"/>
    <w:rsid w:val="00A94D77"/>
    <w:rsid w:val="00C01B42"/>
    <w:rsid w:val="00C34E6C"/>
    <w:rsid w:val="00D03B70"/>
    <w:rsid w:val="00D61095"/>
    <w:rsid w:val="00DA09B6"/>
    <w:rsid w:val="00EB55C0"/>
    <w:rsid w:val="00FA47A8"/>
    <w:rsid w:val="00FC5D3D"/>
    <w:rsid w:val="00FC6667"/>
    <w:rsid w:val="02254895"/>
    <w:rsid w:val="09EF42C8"/>
    <w:rsid w:val="0C296C83"/>
    <w:rsid w:val="0F5F1C6B"/>
    <w:rsid w:val="12A271E6"/>
    <w:rsid w:val="15D66ED9"/>
    <w:rsid w:val="18836AA3"/>
    <w:rsid w:val="1E4309DD"/>
    <w:rsid w:val="1E733517"/>
    <w:rsid w:val="1FC048AF"/>
    <w:rsid w:val="2A5B0D90"/>
    <w:rsid w:val="2CC41B02"/>
    <w:rsid w:val="32A642F0"/>
    <w:rsid w:val="39AC7709"/>
    <w:rsid w:val="3AC40053"/>
    <w:rsid w:val="3C3D1965"/>
    <w:rsid w:val="3DD87F4C"/>
    <w:rsid w:val="3F7136A4"/>
    <w:rsid w:val="40AD5B64"/>
    <w:rsid w:val="423C60F0"/>
    <w:rsid w:val="43C73DE9"/>
    <w:rsid w:val="4A965916"/>
    <w:rsid w:val="597731B4"/>
    <w:rsid w:val="5CAC7870"/>
    <w:rsid w:val="5D75517F"/>
    <w:rsid w:val="5F2B6F9C"/>
    <w:rsid w:val="5FAB2106"/>
    <w:rsid w:val="5FB23198"/>
    <w:rsid w:val="623164D0"/>
    <w:rsid w:val="649317EA"/>
    <w:rsid w:val="6751774F"/>
    <w:rsid w:val="6CC951B0"/>
    <w:rsid w:val="6E953C1C"/>
    <w:rsid w:val="766905FD"/>
    <w:rsid w:val="7A124E5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39"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iPriority="99" w:name="annotation text"/>
    <w:lsdException w:qFormat="1" w:unhideWhenUsed="0" w:uiPriority="99" w:semiHidden="0" w:name="header"/>
    <w:lsdException w:qFormat="1" w:unhideWhenUsed="0" w:uiPriority="99" w:semiHidden="0" w:name="footer"/>
    <w:lsdException w:unhideWhenUsed="0" w:uiPriority="0" w:semiHidden="0" w:name="index heading"/>
    <w:lsdException w:qFormat="1" w:uiPriority="35"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iPriority="99"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qFormat="1" w:uiPriority="99" w:semiHidden="0" w:name="macro"/>
    <w:lsdException w:unhideWhenUsed="0" w:uiPriority="0" w:semiHidden="0" w:name="toa heading"/>
    <w:lsdException w:uiPriority="99" w:semiHidden="0" w:name="List"/>
    <w:lsdException w:qFormat="1" w:uiPriority="99" w:semiHidden="0" w:name="List Bullet"/>
    <w:lsdException w:qFormat="1" w:uiPriority="99" w:semiHidden="0" w:name="List Number"/>
    <w:lsdException w:qFormat="1" w:uiPriority="99" w:semiHidden="0" w:name="List 2"/>
    <w:lsdException w:qFormat="1" w:uiPriority="99" w:semiHidden="0" w:name="List 3"/>
    <w:lsdException w:unhideWhenUsed="0" w:uiPriority="0" w:semiHidden="0" w:name="List 4"/>
    <w:lsdException w:unhideWhenUsed="0" w:uiPriority="0" w:semiHidden="0" w:name="List 5"/>
    <w:lsdException w:qFormat="1" w:uiPriority="99" w:semiHidden="0" w:name="List Bullet 2"/>
    <w:lsdException w:qFormat="1" w:uiPriority="99" w:semiHidden="0" w:name="List Bullet 3"/>
    <w:lsdException w:unhideWhenUsed="0" w:uiPriority="0" w:semiHidden="0" w:name="List Bullet 4"/>
    <w:lsdException w:unhideWhenUsed="0" w:uiPriority="0" w:semiHidden="0" w:name="List Bullet 5"/>
    <w:lsdException w:qFormat="1" w:uiPriority="99" w:semiHidden="0" w:name="List Number 2"/>
    <w:lsdException w:qFormat="1" w:uiPriority="99" w:semiHidden="0" w:name="List Number 3"/>
    <w:lsdException w:unhideWhenUsed="0" w:uiPriority="0" w:semiHidden="0" w:name="List Number 4"/>
    <w:lsdException w:unhideWhenUsed="0" w:uiPriority="0" w:semiHidden="0" w:name="List Number 5"/>
    <w:lsdException w:qFormat="1" w:unhideWhenUsed="0" w:uiPriority="10" w:semiHidden="0" w:name="Title"/>
    <w:lsdException w:unhideWhenUsed="0" w:uiPriority="0" w:semiHidden="0" w:name="Closing"/>
    <w:lsdException w:unhideWhenUsed="0" w:uiPriority="0" w:semiHidden="0" w:name="Signature"/>
    <w:lsdException w:qFormat="1" w:uiPriority="1" w:name="Default Paragraph Font"/>
    <w:lsdException w:qFormat="1" w:uiPriority="99" w:semiHidden="0" w:name="Body Text"/>
    <w:lsdException w:unhideWhenUsed="0" w:uiPriority="0" w:semiHidden="0" w:name="Body Text Indent"/>
    <w:lsdException w:qFormat="1" w:uiPriority="99" w:semiHidden="0" w:name="List Continue"/>
    <w:lsdException w:qFormat="1" w:uiPriority="99" w:semiHidden="0" w:name="List Continue 2"/>
    <w:lsdException w:qFormat="1" w:uiPriority="99"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11"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qFormat="1" w:uiPriority="99" w:semiHidden="0" w:name="Body Text 2"/>
    <w:lsdException w:qFormat="1" w:uiPriority="99"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iPriority="99" w:semiHidden="0" w:name="Hyperlink"/>
    <w:lsdException w:unhideWhenUsed="0" w:uiPriority="0" w:semiHidden="0" w:name="FollowedHyperlink"/>
    <w:lsdException w:qFormat="1" w:unhideWhenUsed="0" w:uiPriority="22" w:semiHidden="0" w:name="Strong"/>
    <w:lsdException w:qFormat="1" w:unhideWhenUsed="0" w:uiPriority="2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qFormat="1" w:unhideWhenUsed="0" w:uiPriority="59" w:semiHidden="0" w:name="Table Grid"/>
    <w:lsdException w:uiPriority="0" w:name="Table Theme"/>
    <w:lsdException w:qFormat="1" w:unhideWhenUsed="0" w:uiPriority="1" w:semiHidden="0" w:name="No Spacing"/>
    <w:lsdException w:qFormat="1" w:unhideWhenUsed="0" w:uiPriority="60" w:semiHidden="0" w:name="Light Shading"/>
    <w:lsdException w:qFormat="1" w:unhideWhenUsed="0" w:uiPriority="61" w:semiHidden="0" w:name="Light List"/>
    <w:lsdException w:qFormat="1"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qFormat="1" w:unhideWhenUsed="0" w:uiPriority="60" w:semiHidden="0" w:name="Light Shading Accent 1"/>
    <w:lsdException w:qFormat="1" w:unhideWhenUsed="0" w:uiPriority="61" w:semiHidden="0" w:name="Light List Accent 1"/>
    <w:lsdException w:qFormat="1"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qFormat="1" w:unhideWhenUsed="0" w:uiPriority="60" w:semiHidden="0" w:name="Light Shading Accent 2"/>
    <w:lsdException w:qFormat="1" w:unhideWhenUsed="0" w:uiPriority="61" w:semiHidden="0" w:name="Light List Accent 2"/>
    <w:lsdException w:qFormat="1"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qFormat="1"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qFormat="1" w:unhideWhenUsed="0" w:uiPriority="60" w:semiHidden="0" w:name="Light Shading Accent 5"/>
    <w:lsdException w:qFormat="1" w:unhideWhenUsed="0" w:uiPriority="61" w:semiHidden="0" w:name="Light List Accent 5"/>
    <w:lsdException w:qFormat="1"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qFormat="1"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78" w:lineRule="auto"/>
    </w:pPr>
    <w:rPr>
      <w:rFonts w:asciiTheme="minorHAnsi" w:hAnsiTheme="minorHAnsi" w:eastAsiaTheme="minorEastAsia" w:cstheme="minorBidi"/>
      <w:kern w:val="2"/>
      <w:sz w:val="22"/>
      <w:szCs w:val="24"/>
      <w:lang w:val="en-US" w:eastAsia="zh-CN" w:bidi="ar-SA"/>
      <w14:ligatures w14:val="standardContextual"/>
    </w:rPr>
  </w:style>
  <w:style w:type="paragraph" w:styleId="3">
    <w:name w:val="heading 1"/>
    <w:basedOn w:val="1"/>
    <w:next w:val="1"/>
    <w:link w:val="141"/>
    <w:qFormat/>
    <w:uiPriority w:val="9"/>
    <w:pPr>
      <w:keepNext/>
      <w:keepLines/>
      <w:widowControl/>
      <w:spacing w:before="480" w:after="0" w:line="276" w:lineRule="auto"/>
      <w:outlineLvl w:val="0"/>
    </w:pPr>
    <w:rPr>
      <w:rFonts w:asciiTheme="majorHAnsi" w:hAnsiTheme="majorHAnsi" w:eastAsiaTheme="majorEastAsia" w:cstheme="majorBidi"/>
      <w:b/>
      <w:bCs/>
      <w:color w:val="2E54A1" w:themeColor="accent1" w:themeShade="BF"/>
      <w:kern w:val="0"/>
      <w:sz w:val="28"/>
      <w:szCs w:val="28"/>
      <w:lang w:eastAsia="en-US"/>
      <w14:ligatures w14:val="none"/>
    </w:rPr>
  </w:style>
  <w:style w:type="paragraph" w:styleId="4">
    <w:name w:val="heading 2"/>
    <w:basedOn w:val="1"/>
    <w:next w:val="1"/>
    <w:link w:val="142"/>
    <w:unhideWhenUsed/>
    <w:qFormat/>
    <w:uiPriority w:val="9"/>
    <w:pPr>
      <w:keepNext/>
      <w:keepLines/>
      <w:widowControl/>
      <w:spacing w:before="200" w:after="0" w:line="276" w:lineRule="auto"/>
      <w:outlineLvl w:val="1"/>
    </w:pPr>
    <w:rPr>
      <w:rFonts w:asciiTheme="majorHAnsi" w:hAnsiTheme="majorHAnsi" w:eastAsiaTheme="majorEastAsia" w:cstheme="majorBidi"/>
      <w:b/>
      <w:bCs/>
      <w:color w:val="4874CB" w:themeColor="accent1"/>
      <w:kern w:val="0"/>
      <w:sz w:val="26"/>
      <w:szCs w:val="26"/>
      <w:lang w:eastAsia="en-US"/>
      <w14:textFill>
        <w14:solidFill>
          <w14:schemeClr w14:val="accent1"/>
        </w14:solidFill>
      </w14:textFill>
      <w14:ligatures w14:val="none"/>
    </w:rPr>
  </w:style>
  <w:style w:type="paragraph" w:styleId="5">
    <w:name w:val="heading 3"/>
    <w:basedOn w:val="1"/>
    <w:next w:val="1"/>
    <w:link w:val="143"/>
    <w:unhideWhenUsed/>
    <w:qFormat/>
    <w:uiPriority w:val="9"/>
    <w:pPr>
      <w:keepNext/>
      <w:keepLines/>
      <w:widowControl/>
      <w:spacing w:before="200" w:after="0" w:line="276" w:lineRule="auto"/>
      <w:outlineLvl w:val="2"/>
    </w:pPr>
    <w:rPr>
      <w:rFonts w:asciiTheme="majorHAnsi" w:hAnsiTheme="majorHAnsi" w:eastAsiaTheme="majorEastAsia" w:cstheme="majorBidi"/>
      <w:b/>
      <w:bCs/>
      <w:color w:val="4874CB" w:themeColor="accent1"/>
      <w:kern w:val="0"/>
      <w:sz w:val="17"/>
      <w:szCs w:val="22"/>
      <w:lang w:eastAsia="en-US"/>
      <w14:textFill>
        <w14:solidFill>
          <w14:schemeClr w14:val="accent1"/>
        </w14:solidFill>
      </w14:textFill>
      <w14:ligatures w14:val="none"/>
    </w:rPr>
  </w:style>
  <w:style w:type="paragraph" w:styleId="6">
    <w:name w:val="heading 4"/>
    <w:basedOn w:val="1"/>
    <w:next w:val="1"/>
    <w:link w:val="144"/>
    <w:semiHidden/>
    <w:unhideWhenUsed/>
    <w:qFormat/>
    <w:uiPriority w:val="9"/>
    <w:pPr>
      <w:keepNext/>
      <w:keepLines/>
      <w:widowControl/>
      <w:spacing w:before="200" w:after="0" w:line="276" w:lineRule="auto"/>
      <w:outlineLvl w:val="3"/>
    </w:pPr>
    <w:rPr>
      <w:rFonts w:asciiTheme="majorHAnsi" w:hAnsiTheme="majorHAnsi" w:eastAsiaTheme="majorEastAsia" w:cstheme="majorBidi"/>
      <w:b/>
      <w:bCs/>
      <w:i/>
      <w:iCs/>
      <w:color w:val="4874CB" w:themeColor="accent1"/>
      <w:kern w:val="0"/>
      <w:sz w:val="17"/>
      <w:szCs w:val="22"/>
      <w:lang w:eastAsia="en-US"/>
      <w14:textFill>
        <w14:solidFill>
          <w14:schemeClr w14:val="accent1"/>
        </w14:solidFill>
      </w14:textFill>
      <w14:ligatures w14:val="none"/>
    </w:rPr>
  </w:style>
  <w:style w:type="paragraph" w:styleId="7">
    <w:name w:val="heading 5"/>
    <w:basedOn w:val="1"/>
    <w:next w:val="1"/>
    <w:link w:val="145"/>
    <w:semiHidden/>
    <w:unhideWhenUsed/>
    <w:qFormat/>
    <w:uiPriority w:val="9"/>
    <w:pPr>
      <w:keepNext/>
      <w:keepLines/>
      <w:widowControl/>
      <w:spacing w:before="200" w:after="0" w:line="276" w:lineRule="auto"/>
      <w:outlineLvl w:val="4"/>
    </w:pPr>
    <w:rPr>
      <w:rFonts w:asciiTheme="majorHAnsi" w:hAnsiTheme="majorHAnsi" w:eastAsiaTheme="majorEastAsia" w:cstheme="majorBidi"/>
      <w:color w:val="1E386B" w:themeColor="accent1" w:themeShade="80"/>
      <w:kern w:val="0"/>
      <w:sz w:val="17"/>
      <w:szCs w:val="22"/>
      <w:lang w:eastAsia="en-US"/>
      <w14:ligatures w14:val="none"/>
    </w:rPr>
  </w:style>
  <w:style w:type="paragraph" w:styleId="8">
    <w:name w:val="heading 6"/>
    <w:basedOn w:val="1"/>
    <w:next w:val="1"/>
    <w:link w:val="146"/>
    <w:semiHidden/>
    <w:unhideWhenUsed/>
    <w:qFormat/>
    <w:uiPriority w:val="9"/>
    <w:pPr>
      <w:keepNext/>
      <w:keepLines/>
      <w:widowControl/>
      <w:spacing w:before="200" w:after="0" w:line="276" w:lineRule="auto"/>
      <w:outlineLvl w:val="5"/>
    </w:pPr>
    <w:rPr>
      <w:rFonts w:asciiTheme="majorHAnsi" w:hAnsiTheme="majorHAnsi" w:eastAsiaTheme="majorEastAsia" w:cstheme="majorBidi"/>
      <w:i/>
      <w:iCs/>
      <w:color w:val="1E386B" w:themeColor="accent1" w:themeShade="80"/>
      <w:kern w:val="0"/>
      <w:sz w:val="17"/>
      <w:szCs w:val="22"/>
      <w:lang w:eastAsia="en-US"/>
      <w14:ligatures w14:val="none"/>
    </w:rPr>
  </w:style>
  <w:style w:type="paragraph" w:styleId="9">
    <w:name w:val="heading 7"/>
    <w:basedOn w:val="1"/>
    <w:next w:val="1"/>
    <w:link w:val="147"/>
    <w:semiHidden/>
    <w:unhideWhenUsed/>
    <w:qFormat/>
    <w:uiPriority w:val="9"/>
    <w:pPr>
      <w:keepNext/>
      <w:keepLines/>
      <w:widowControl/>
      <w:spacing w:before="200" w:after="0" w:line="276" w:lineRule="auto"/>
      <w:outlineLvl w:val="6"/>
    </w:pPr>
    <w:rPr>
      <w:rFonts w:asciiTheme="majorHAnsi" w:hAnsiTheme="majorHAnsi" w:eastAsiaTheme="majorEastAsia" w:cstheme="majorBidi"/>
      <w:i/>
      <w:iCs/>
      <w:color w:val="404040" w:themeColor="text1" w:themeTint="BF"/>
      <w:kern w:val="0"/>
      <w:sz w:val="17"/>
      <w:szCs w:val="22"/>
      <w:lang w:eastAsia="en-US"/>
      <w14:textFill>
        <w14:solidFill>
          <w14:schemeClr w14:val="tx1">
            <w14:lumMod w14:val="75000"/>
            <w14:lumOff w14:val="25000"/>
          </w14:schemeClr>
        </w14:solidFill>
      </w14:textFill>
      <w14:ligatures w14:val="none"/>
    </w:rPr>
  </w:style>
  <w:style w:type="paragraph" w:styleId="10">
    <w:name w:val="heading 8"/>
    <w:basedOn w:val="1"/>
    <w:next w:val="1"/>
    <w:link w:val="148"/>
    <w:semiHidden/>
    <w:unhideWhenUsed/>
    <w:qFormat/>
    <w:uiPriority w:val="9"/>
    <w:pPr>
      <w:keepNext/>
      <w:keepLines/>
      <w:widowControl/>
      <w:spacing w:before="200" w:after="0" w:line="276" w:lineRule="auto"/>
      <w:outlineLvl w:val="7"/>
    </w:pPr>
    <w:rPr>
      <w:rFonts w:asciiTheme="majorHAnsi" w:hAnsiTheme="majorHAnsi" w:eastAsiaTheme="majorEastAsia" w:cstheme="majorBidi"/>
      <w:color w:val="4874CB" w:themeColor="accent1"/>
      <w:kern w:val="0"/>
      <w:sz w:val="20"/>
      <w:szCs w:val="20"/>
      <w:lang w:eastAsia="en-US"/>
      <w14:textFill>
        <w14:solidFill>
          <w14:schemeClr w14:val="accent1"/>
        </w14:solidFill>
      </w14:textFill>
      <w14:ligatures w14:val="none"/>
    </w:rPr>
  </w:style>
  <w:style w:type="paragraph" w:styleId="11">
    <w:name w:val="heading 9"/>
    <w:basedOn w:val="1"/>
    <w:next w:val="1"/>
    <w:link w:val="149"/>
    <w:semiHidden/>
    <w:unhideWhenUsed/>
    <w:qFormat/>
    <w:uiPriority w:val="9"/>
    <w:pPr>
      <w:keepNext/>
      <w:keepLines/>
      <w:widowControl/>
      <w:spacing w:before="200" w:after="0" w:line="276" w:lineRule="auto"/>
      <w:outlineLvl w:val="8"/>
    </w:pPr>
    <w:rPr>
      <w:rFonts w:asciiTheme="majorHAnsi" w:hAnsiTheme="majorHAnsi" w:eastAsiaTheme="majorEastAsia" w:cstheme="majorBidi"/>
      <w:i/>
      <w:iCs/>
      <w:color w:val="404040" w:themeColor="text1" w:themeTint="BF"/>
      <w:kern w:val="0"/>
      <w:sz w:val="20"/>
      <w:szCs w:val="20"/>
      <w:lang w:eastAsia="en-US"/>
      <w14:textFill>
        <w14:solidFill>
          <w14:schemeClr w14:val="tx1">
            <w14:lumMod w14:val="75000"/>
            <w14:lumOff w14:val="25000"/>
          </w14:schemeClr>
        </w14:solidFill>
      </w14:textFill>
      <w14:ligatures w14:val="none"/>
    </w:rPr>
  </w:style>
  <w:style w:type="character" w:default="1" w:styleId="136">
    <w:name w:val="Default Paragraph Font"/>
    <w:semiHidden/>
    <w:unhideWhenUsed/>
    <w:qFormat/>
    <w:uiPriority w:val="1"/>
  </w:style>
  <w:style w:type="table" w:default="1" w:styleId="36">
    <w:name w:val="Normal Table"/>
    <w:semiHidden/>
    <w:unhideWhenUsed/>
    <w:qFormat/>
    <w:uiPriority w:val="99"/>
    <w:tblPr>
      <w:tblCellMar>
        <w:top w:w="0" w:type="dxa"/>
        <w:left w:w="108" w:type="dxa"/>
        <w:bottom w:w="0" w:type="dxa"/>
        <w:right w:w="108" w:type="dxa"/>
      </w:tblCellMar>
    </w:tblPr>
  </w:style>
  <w:style w:type="paragraph" w:styleId="2">
    <w:name w:val="macro"/>
    <w:link w:val="150"/>
    <w:unhideWhenUsed/>
    <w:qFormat/>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lang w:val="en-US" w:eastAsia="en-US" w:bidi="ar-SA"/>
    </w:rPr>
  </w:style>
  <w:style w:type="paragraph" w:styleId="12">
    <w:name w:val="List 3"/>
    <w:basedOn w:val="1"/>
    <w:unhideWhenUsed/>
    <w:qFormat/>
    <w:uiPriority w:val="99"/>
    <w:pPr>
      <w:widowControl/>
      <w:spacing w:after="200" w:line="276" w:lineRule="auto"/>
      <w:ind w:left="1080" w:hanging="360"/>
      <w:contextualSpacing/>
    </w:pPr>
    <w:rPr>
      <w:rFonts w:ascii="Arial" w:hAnsi="Arial"/>
      <w:kern w:val="0"/>
      <w:sz w:val="17"/>
      <w:szCs w:val="22"/>
      <w:lang w:eastAsia="en-US"/>
      <w14:ligatures w14:val="none"/>
    </w:rPr>
  </w:style>
  <w:style w:type="paragraph" w:styleId="13">
    <w:name w:val="List Number 2"/>
    <w:basedOn w:val="1"/>
    <w:unhideWhenUsed/>
    <w:qFormat/>
    <w:uiPriority w:val="99"/>
    <w:pPr>
      <w:widowControl/>
      <w:numPr>
        <w:ilvl w:val="0"/>
        <w:numId w:val="1"/>
      </w:numPr>
      <w:tabs>
        <w:tab w:val="clear" w:pos="720"/>
      </w:tabs>
      <w:spacing w:after="200" w:line="276" w:lineRule="auto"/>
      <w:ind w:left="0" w:firstLine="0"/>
      <w:contextualSpacing/>
    </w:pPr>
    <w:rPr>
      <w:rFonts w:ascii="Arial" w:hAnsi="Arial"/>
      <w:kern w:val="0"/>
      <w:sz w:val="17"/>
      <w:szCs w:val="22"/>
      <w:lang w:eastAsia="en-US"/>
      <w14:ligatures w14:val="none"/>
    </w:rPr>
  </w:style>
  <w:style w:type="paragraph" w:styleId="14">
    <w:name w:val="List Number"/>
    <w:basedOn w:val="1"/>
    <w:unhideWhenUsed/>
    <w:qFormat/>
    <w:uiPriority w:val="99"/>
    <w:pPr>
      <w:widowControl/>
      <w:numPr>
        <w:ilvl w:val="0"/>
        <w:numId w:val="2"/>
      </w:numPr>
      <w:tabs>
        <w:tab w:val="clear" w:pos="360"/>
      </w:tabs>
      <w:spacing w:after="200" w:line="276" w:lineRule="auto"/>
      <w:ind w:left="0" w:firstLine="0"/>
      <w:contextualSpacing/>
    </w:pPr>
    <w:rPr>
      <w:rFonts w:ascii="Arial" w:hAnsi="Arial"/>
      <w:kern w:val="0"/>
      <w:sz w:val="17"/>
      <w:szCs w:val="22"/>
      <w:lang w:eastAsia="en-US"/>
      <w14:ligatures w14:val="none"/>
    </w:rPr>
  </w:style>
  <w:style w:type="paragraph" w:styleId="15">
    <w:name w:val="caption"/>
    <w:basedOn w:val="1"/>
    <w:next w:val="1"/>
    <w:semiHidden/>
    <w:unhideWhenUsed/>
    <w:qFormat/>
    <w:uiPriority w:val="35"/>
    <w:pPr>
      <w:widowControl/>
      <w:spacing w:after="200" w:line="240" w:lineRule="auto"/>
    </w:pPr>
    <w:rPr>
      <w:rFonts w:ascii="Arial" w:hAnsi="Arial"/>
      <w:b/>
      <w:bCs/>
      <w:color w:val="4874CB" w:themeColor="accent1"/>
      <w:kern w:val="0"/>
      <w:sz w:val="18"/>
      <w:szCs w:val="18"/>
      <w:lang w:eastAsia="en-US"/>
      <w14:textFill>
        <w14:solidFill>
          <w14:schemeClr w14:val="accent1"/>
        </w14:solidFill>
      </w14:textFill>
      <w14:ligatures w14:val="none"/>
    </w:rPr>
  </w:style>
  <w:style w:type="paragraph" w:styleId="16">
    <w:name w:val="List Bullet"/>
    <w:basedOn w:val="1"/>
    <w:unhideWhenUsed/>
    <w:qFormat/>
    <w:uiPriority w:val="99"/>
    <w:pPr>
      <w:widowControl/>
      <w:numPr>
        <w:ilvl w:val="0"/>
        <w:numId w:val="3"/>
      </w:numPr>
      <w:tabs>
        <w:tab w:val="clear" w:pos="360"/>
      </w:tabs>
      <w:spacing w:after="200" w:line="276" w:lineRule="auto"/>
      <w:ind w:left="0" w:firstLine="0"/>
      <w:contextualSpacing/>
    </w:pPr>
    <w:rPr>
      <w:rFonts w:ascii="Arial" w:hAnsi="Arial"/>
      <w:kern w:val="0"/>
      <w:sz w:val="17"/>
      <w:szCs w:val="22"/>
      <w:lang w:eastAsia="en-US"/>
      <w14:ligatures w14:val="none"/>
    </w:rPr>
  </w:style>
  <w:style w:type="paragraph" w:styleId="17">
    <w:name w:val="annotation text"/>
    <w:basedOn w:val="1"/>
    <w:semiHidden/>
    <w:unhideWhenUsed/>
    <w:qFormat/>
    <w:uiPriority w:val="99"/>
  </w:style>
  <w:style w:type="paragraph" w:styleId="18">
    <w:name w:val="Body Text 3"/>
    <w:basedOn w:val="1"/>
    <w:link w:val="151"/>
    <w:unhideWhenUsed/>
    <w:qFormat/>
    <w:uiPriority w:val="99"/>
    <w:pPr>
      <w:widowControl/>
      <w:spacing w:after="120" w:line="276" w:lineRule="auto"/>
    </w:pPr>
    <w:rPr>
      <w:rFonts w:ascii="Arial" w:hAnsi="Arial"/>
      <w:kern w:val="0"/>
      <w:sz w:val="16"/>
      <w:szCs w:val="16"/>
      <w:lang w:eastAsia="en-US"/>
      <w14:ligatures w14:val="none"/>
    </w:rPr>
  </w:style>
  <w:style w:type="paragraph" w:styleId="19">
    <w:name w:val="List Bullet 3"/>
    <w:basedOn w:val="1"/>
    <w:unhideWhenUsed/>
    <w:qFormat/>
    <w:uiPriority w:val="99"/>
    <w:pPr>
      <w:widowControl/>
      <w:numPr>
        <w:ilvl w:val="0"/>
        <w:numId w:val="4"/>
      </w:numPr>
      <w:tabs>
        <w:tab w:val="clear" w:pos="1080"/>
      </w:tabs>
      <w:spacing w:after="200" w:line="276" w:lineRule="auto"/>
      <w:ind w:left="0" w:firstLine="0"/>
      <w:contextualSpacing/>
    </w:pPr>
    <w:rPr>
      <w:rFonts w:ascii="Arial" w:hAnsi="Arial"/>
      <w:kern w:val="0"/>
      <w:sz w:val="17"/>
      <w:szCs w:val="22"/>
      <w:lang w:eastAsia="en-US"/>
      <w14:ligatures w14:val="none"/>
    </w:rPr>
  </w:style>
  <w:style w:type="paragraph" w:styleId="20">
    <w:name w:val="Body Text"/>
    <w:basedOn w:val="1"/>
    <w:link w:val="152"/>
    <w:unhideWhenUsed/>
    <w:qFormat/>
    <w:uiPriority w:val="99"/>
    <w:pPr>
      <w:widowControl/>
      <w:spacing w:after="120" w:line="276" w:lineRule="auto"/>
    </w:pPr>
    <w:rPr>
      <w:rFonts w:ascii="Arial" w:hAnsi="Arial"/>
      <w:kern w:val="0"/>
      <w:sz w:val="17"/>
      <w:szCs w:val="22"/>
      <w:lang w:eastAsia="en-US"/>
      <w14:ligatures w14:val="none"/>
    </w:rPr>
  </w:style>
  <w:style w:type="paragraph" w:styleId="21">
    <w:name w:val="List Number 3"/>
    <w:basedOn w:val="1"/>
    <w:unhideWhenUsed/>
    <w:qFormat/>
    <w:uiPriority w:val="99"/>
    <w:pPr>
      <w:widowControl/>
      <w:numPr>
        <w:ilvl w:val="0"/>
        <w:numId w:val="5"/>
      </w:numPr>
      <w:tabs>
        <w:tab w:val="clear" w:pos="1080"/>
      </w:tabs>
      <w:spacing w:after="200" w:line="276" w:lineRule="auto"/>
      <w:ind w:left="0" w:firstLine="0"/>
      <w:contextualSpacing/>
    </w:pPr>
    <w:rPr>
      <w:rFonts w:ascii="Arial" w:hAnsi="Arial"/>
      <w:kern w:val="0"/>
      <w:sz w:val="17"/>
      <w:szCs w:val="22"/>
      <w:lang w:eastAsia="en-US"/>
      <w14:ligatures w14:val="none"/>
    </w:rPr>
  </w:style>
  <w:style w:type="paragraph" w:styleId="22">
    <w:name w:val="List 2"/>
    <w:basedOn w:val="1"/>
    <w:unhideWhenUsed/>
    <w:qFormat/>
    <w:uiPriority w:val="99"/>
    <w:pPr>
      <w:widowControl/>
      <w:spacing w:after="200" w:line="276" w:lineRule="auto"/>
      <w:ind w:left="720" w:hanging="360"/>
      <w:contextualSpacing/>
    </w:pPr>
    <w:rPr>
      <w:rFonts w:ascii="Arial" w:hAnsi="Arial"/>
      <w:kern w:val="0"/>
      <w:sz w:val="17"/>
      <w:szCs w:val="22"/>
      <w:lang w:eastAsia="en-US"/>
      <w14:ligatures w14:val="none"/>
    </w:rPr>
  </w:style>
  <w:style w:type="paragraph" w:styleId="23">
    <w:name w:val="List Continue"/>
    <w:basedOn w:val="1"/>
    <w:unhideWhenUsed/>
    <w:qFormat/>
    <w:uiPriority w:val="99"/>
    <w:pPr>
      <w:widowControl/>
      <w:spacing w:after="120" w:line="276" w:lineRule="auto"/>
      <w:ind w:left="360"/>
      <w:contextualSpacing/>
    </w:pPr>
    <w:rPr>
      <w:rFonts w:ascii="Arial" w:hAnsi="Arial"/>
      <w:kern w:val="0"/>
      <w:sz w:val="17"/>
      <w:szCs w:val="22"/>
      <w:lang w:eastAsia="en-US"/>
      <w14:ligatures w14:val="none"/>
    </w:rPr>
  </w:style>
  <w:style w:type="paragraph" w:styleId="24">
    <w:name w:val="List Bullet 2"/>
    <w:basedOn w:val="1"/>
    <w:unhideWhenUsed/>
    <w:qFormat/>
    <w:uiPriority w:val="99"/>
    <w:pPr>
      <w:widowControl/>
      <w:numPr>
        <w:ilvl w:val="0"/>
        <w:numId w:val="6"/>
      </w:numPr>
      <w:tabs>
        <w:tab w:val="clear" w:pos="720"/>
      </w:tabs>
      <w:spacing w:after="200" w:line="276" w:lineRule="auto"/>
      <w:ind w:left="0" w:firstLine="0"/>
      <w:contextualSpacing/>
    </w:pPr>
    <w:rPr>
      <w:rFonts w:ascii="Arial" w:hAnsi="Arial"/>
      <w:kern w:val="0"/>
      <w:sz w:val="17"/>
      <w:szCs w:val="22"/>
      <w:lang w:eastAsia="en-US"/>
      <w14:ligatures w14:val="none"/>
    </w:rPr>
  </w:style>
  <w:style w:type="paragraph" w:styleId="25">
    <w:name w:val="toc 3"/>
    <w:basedOn w:val="1"/>
    <w:next w:val="1"/>
    <w:uiPriority w:val="0"/>
    <w:pPr>
      <w:ind w:left="840" w:leftChars="400"/>
    </w:pPr>
  </w:style>
  <w:style w:type="paragraph" w:styleId="26">
    <w:name w:val="footer"/>
    <w:basedOn w:val="1"/>
    <w:link w:val="153"/>
    <w:qFormat/>
    <w:uiPriority w:val="99"/>
    <w:pPr>
      <w:tabs>
        <w:tab w:val="center" w:pos="4153"/>
        <w:tab w:val="right" w:pos="8306"/>
      </w:tabs>
      <w:snapToGrid w:val="0"/>
    </w:pPr>
    <w:rPr>
      <w:sz w:val="18"/>
    </w:rPr>
  </w:style>
  <w:style w:type="paragraph" w:styleId="27">
    <w:name w:val="header"/>
    <w:basedOn w:val="1"/>
    <w:link w:val="154"/>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pPr>
    <w:rPr>
      <w:sz w:val="18"/>
    </w:rPr>
  </w:style>
  <w:style w:type="paragraph" w:styleId="28">
    <w:name w:val="toc 1"/>
    <w:basedOn w:val="1"/>
    <w:next w:val="1"/>
    <w:autoRedefine/>
    <w:uiPriority w:val="39"/>
  </w:style>
  <w:style w:type="paragraph" w:styleId="29">
    <w:name w:val="Subtitle"/>
    <w:basedOn w:val="1"/>
    <w:next w:val="1"/>
    <w:link w:val="155"/>
    <w:qFormat/>
    <w:uiPriority w:val="11"/>
    <w:pPr>
      <w:widowControl/>
      <w:spacing w:after="200" w:line="276" w:lineRule="auto"/>
    </w:pPr>
    <w:rPr>
      <w:rFonts w:asciiTheme="majorHAnsi" w:hAnsiTheme="majorHAnsi" w:eastAsiaTheme="majorEastAsia" w:cstheme="majorBidi"/>
      <w:i/>
      <w:iCs/>
      <w:color w:val="4874CB" w:themeColor="accent1"/>
      <w:spacing w:val="15"/>
      <w:kern w:val="0"/>
      <w:sz w:val="24"/>
      <w:lang w:eastAsia="en-US"/>
      <w14:textFill>
        <w14:solidFill>
          <w14:schemeClr w14:val="accent1"/>
        </w14:solidFill>
      </w14:textFill>
      <w14:ligatures w14:val="none"/>
    </w:rPr>
  </w:style>
  <w:style w:type="paragraph" w:styleId="30">
    <w:name w:val="List"/>
    <w:basedOn w:val="1"/>
    <w:unhideWhenUsed/>
    <w:uiPriority w:val="99"/>
    <w:pPr>
      <w:widowControl/>
      <w:spacing w:after="200" w:line="276" w:lineRule="auto"/>
      <w:ind w:left="360" w:hanging="360"/>
      <w:contextualSpacing/>
    </w:pPr>
    <w:rPr>
      <w:rFonts w:ascii="Arial" w:hAnsi="Arial"/>
      <w:kern w:val="0"/>
      <w:sz w:val="17"/>
      <w:szCs w:val="22"/>
      <w:lang w:eastAsia="en-US"/>
      <w14:ligatures w14:val="none"/>
    </w:rPr>
  </w:style>
  <w:style w:type="paragraph" w:styleId="31">
    <w:name w:val="toc 2"/>
    <w:basedOn w:val="1"/>
    <w:next w:val="1"/>
    <w:uiPriority w:val="0"/>
    <w:pPr>
      <w:ind w:left="420" w:leftChars="200"/>
    </w:pPr>
  </w:style>
  <w:style w:type="paragraph" w:styleId="32">
    <w:name w:val="Body Text 2"/>
    <w:basedOn w:val="1"/>
    <w:link w:val="156"/>
    <w:unhideWhenUsed/>
    <w:qFormat/>
    <w:uiPriority w:val="99"/>
    <w:pPr>
      <w:widowControl/>
      <w:spacing w:after="120" w:line="480" w:lineRule="auto"/>
    </w:pPr>
    <w:rPr>
      <w:rFonts w:ascii="Arial" w:hAnsi="Arial"/>
      <w:kern w:val="0"/>
      <w:sz w:val="17"/>
      <w:szCs w:val="22"/>
      <w:lang w:eastAsia="en-US"/>
      <w14:ligatures w14:val="none"/>
    </w:rPr>
  </w:style>
  <w:style w:type="paragraph" w:styleId="33">
    <w:name w:val="List Continue 2"/>
    <w:basedOn w:val="1"/>
    <w:unhideWhenUsed/>
    <w:qFormat/>
    <w:uiPriority w:val="99"/>
    <w:pPr>
      <w:widowControl/>
      <w:spacing w:after="120" w:line="276" w:lineRule="auto"/>
      <w:ind w:left="720"/>
      <w:contextualSpacing/>
    </w:pPr>
    <w:rPr>
      <w:rFonts w:ascii="Arial" w:hAnsi="Arial"/>
      <w:kern w:val="0"/>
      <w:sz w:val="17"/>
      <w:szCs w:val="22"/>
      <w:lang w:eastAsia="en-US"/>
      <w14:ligatures w14:val="none"/>
    </w:rPr>
  </w:style>
  <w:style w:type="paragraph" w:styleId="34">
    <w:name w:val="List Continue 3"/>
    <w:basedOn w:val="1"/>
    <w:unhideWhenUsed/>
    <w:qFormat/>
    <w:uiPriority w:val="99"/>
    <w:pPr>
      <w:widowControl/>
      <w:spacing w:after="120" w:line="276" w:lineRule="auto"/>
      <w:ind w:left="1080"/>
      <w:contextualSpacing/>
    </w:pPr>
    <w:rPr>
      <w:rFonts w:ascii="Arial" w:hAnsi="Arial"/>
      <w:kern w:val="0"/>
      <w:sz w:val="17"/>
      <w:szCs w:val="22"/>
      <w:lang w:eastAsia="en-US"/>
      <w14:ligatures w14:val="none"/>
    </w:rPr>
  </w:style>
  <w:style w:type="paragraph" w:styleId="35">
    <w:name w:val="Title"/>
    <w:basedOn w:val="1"/>
    <w:next w:val="1"/>
    <w:link w:val="157"/>
    <w:qFormat/>
    <w:uiPriority w:val="10"/>
    <w:pPr>
      <w:widowControl/>
      <w:pBdr>
        <w:bottom w:val="single" w:color="4874CB" w:themeColor="accent1" w:sz="8" w:space="4"/>
      </w:pBdr>
      <w:spacing w:after="300" w:line="240" w:lineRule="auto"/>
      <w:contextualSpacing/>
    </w:pPr>
    <w:rPr>
      <w:rFonts w:asciiTheme="majorHAnsi" w:hAnsiTheme="majorHAnsi" w:eastAsiaTheme="majorEastAsia" w:cstheme="majorBidi"/>
      <w:color w:val="333F50" w:themeColor="text2" w:themeShade="BF"/>
      <w:spacing w:val="5"/>
      <w:kern w:val="28"/>
      <w:sz w:val="52"/>
      <w:szCs w:val="52"/>
      <w:lang w:eastAsia="en-US"/>
      <w14:ligatures w14:val="none"/>
    </w:rPr>
  </w:style>
  <w:style w:type="table" w:styleId="37">
    <w:name w:val="Table Grid"/>
    <w:basedOn w:val="36"/>
    <w:qFormat/>
    <w:uiPriority w:val="59"/>
    <w:rPr>
      <w:rFonts w:ascii="Times New Roman" w:hAnsi="Times New Roman" w:eastAsia="宋体" w:cs="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38">
    <w:name w:val="Light Shading"/>
    <w:basedOn w:val="36"/>
    <w:qFormat/>
    <w:uiPriority w:val="60"/>
    <w:rPr>
      <w:rFonts w:ascii="Times New Roman" w:hAnsi="Times New Roman" w:eastAsia="宋体" w:cs="Times New Roman"/>
      <w:color w:val="000000" w:themeColor="text1" w:themeShade="BF"/>
    </w:rPr>
    <w:tblPr>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39">
    <w:name w:val="Light Shading Accent 1"/>
    <w:basedOn w:val="36"/>
    <w:qFormat/>
    <w:uiPriority w:val="60"/>
    <w:rPr>
      <w:rFonts w:ascii="Times New Roman" w:hAnsi="Times New Roman" w:eastAsia="宋体" w:cs="Times New Roman"/>
      <w:color w:val="2E54A1" w:themeColor="accent1" w:themeShade="BF"/>
    </w:rPr>
    <w:tblPr>
      <w:tblBorders>
        <w:top w:val="single" w:color="4874CB" w:themeColor="accent1" w:sz="8" w:space="0"/>
        <w:bottom w:val="single" w:color="4874CB" w:themeColor="accent1" w:sz="8" w:space="0"/>
      </w:tblBorders>
    </w:tblPr>
    <w:tblStylePr w:type="firstRow">
      <w:pPr>
        <w:spacing w:before="0" w:after="0" w:line="240" w:lineRule="auto"/>
      </w:pPr>
      <w:rPr>
        <w:b/>
        <w:bCs/>
      </w:rPr>
      <w:tblPr/>
      <w:tcPr>
        <w:tcBorders>
          <w:top w:val="single" w:color="4874CB" w:themeColor="accent1" w:sz="8" w:space="0"/>
          <w:left w:val="nil"/>
          <w:bottom w:val="single" w:color="4874CB" w:themeColor="accent1" w:sz="8" w:space="0"/>
          <w:right w:val="nil"/>
          <w:insideH w:val="nil"/>
          <w:insideV w:val="nil"/>
        </w:tcBorders>
      </w:tcPr>
    </w:tblStylePr>
    <w:tblStylePr w:type="lastRow">
      <w:pPr>
        <w:spacing w:before="0" w:after="0" w:line="240" w:lineRule="auto"/>
      </w:pPr>
      <w:rPr>
        <w:b/>
        <w:bCs/>
      </w:rPr>
      <w:tblPr/>
      <w:tcPr>
        <w:tcBorders>
          <w:top w:val="single" w:color="4874CB" w:themeColor="accent1" w:sz="8" w:space="0"/>
          <w:left w:val="nil"/>
          <w:bottom w:val="single" w:color="4874CB"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1DCF2" w:themeFill="accent1" w:themeFillTint="3F"/>
      </w:tcPr>
    </w:tblStylePr>
    <w:tblStylePr w:type="band1Horz">
      <w:tblPr/>
      <w:tcPr>
        <w:tcBorders>
          <w:left w:val="nil"/>
          <w:right w:val="nil"/>
          <w:insideH w:val="nil"/>
          <w:insideV w:val="nil"/>
        </w:tcBorders>
        <w:shd w:val="clear" w:color="auto" w:fill="D1DCF2" w:themeFill="accent1" w:themeFillTint="3F"/>
      </w:tcPr>
    </w:tblStylePr>
  </w:style>
  <w:style w:type="table" w:styleId="40">
    <w:name w:val="Light Shading Accent 2"/>
    <w:basedOn w:val="36"/>
    <w:qFormat/>
    <w:uiPriority w:val="60"/>
    <w:rPr>
      <w:rFonts w:ascii="Times New Roman" w:hAnsi="Times New Roman" w:eastAsia="宋体" w:cs="Times New Roman"/>
      <w:color w:val="C65F10" w:themeColor="accent2" w:themeShade="BF"/>
    </w:rPr>
    <w:tblPr>
      <w:tblBorders>
        <w:top w:val="single" w:color="EE822F" w:themeColor="accent2" w:sz="8" w:space="0"/>
        <w:bottom w:val="single" w:color="EE822F" w:themeColor="accent2" w:sz="8" w:space="0"/>
      </w:tblBorders>
    </w:tblPr>
    <w:tblStylePr w:type="firstRow">
      <w:pPr>
        <w:spacing w:before="0" w:after="0" w:line="240" w:lineRule="auto"/>
      </w:pPr>
      <w:rPr>
        <w:b/>
        <w:bCs/>
      </w:rPr>
      <w:tblPr/>
      <w:tcPr>
        <w:tcBorders>
          <w:top w:val="single" w:color="EE822F" w:themeColor="accent2" w:sz="8" w:space="0"/>
          <w:left w:val="nil"/>
          <w:bottom w:val="single" w:color="EE822F" w:themeColor="accent2" w:sz="8" w:space="0"/>
          <w:right w:val="nil"/>
          <w:insideH w:val="nil"/>
          <w:insideV w:val="nil"/>
        </w:tcBorders>
      </w:tcPr>
    </w:tblStylePr>
    <w:tblStylePr w:type="lastRow">
      <w:pPr>
        <w:spacing w:before="0" w:after="0" w:line="240" w:lineRule="auto"/>
      </w:pPr>
      <w:rPr>
        <w:b/>
        <w:bCs/>
      </w:rPr>
      <w:tblPr/>
      <w:tcPr>
        <w:tcBorders>
          <w:top w:val="single" w:color="EE822F" w:themeColor="accent2" w:sz="8" w:space="0"/>
          <w:left w:val="nil"/>
          <w:bottom w:val="single" w:color="EE822F"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E0CB" w:themeFill="accent2" w:themeFillTint="3F"/>
      </w:tcPr>
    </w:tblStylePr>
    <w:tblStylePr w:type="band1Horz">
      <w:tblPr/>
      <w:tcPr>
        <w:tcBorders>
          <w:left w:val="nil"/>
          <w:right w:val="nil"/>
          <w:insideH w:val="nil"/>
          <w:insideV w:val="nil"/>
        </w:tcBorders>
        <w:shd w:val="clear" w:color="auto" w:fill="FAE0CB" w:themeFill="accent2" w:themeFillTint="3F"/>
      </w:tcPr>
    </w:tblStylePr>
  </w:style>
  <w:style w:type="table" w:styleId="41">
    <w:name w:val="Light Shading Accent 3"/>
    <w:basedOn w:val="36"/>
    <w:uiPriority w:val="60"/>
    <w:rPr>
      <w:rFonts w:ascii="Times New Roman" w:hAnsi="Times New Roman" w:eastAsia="宋体" w:cs="Times New Roman"/>
      <w:color w:val="B68C02" w:themeColor="accent3" w:themeShade="BF"/>
    </w:rPr>
    <w:tblPr>
      <w:tblBorders>
        <w:top w:val="single" w:color="F2BA02" w:themeColor="accent3" w:sz="8" w:space="0"/>
        <w:bottom w:val="single" w:color="F2BA02" w:themeColor="accent3" w:sz="8" w:space="0"/>
      </w:tblBorders>
    </w:tblPr>
    <w:tblStylePr w:type="firstRow">
      <w:pPr>
        <w:spacing w:before="0" w:after="0" w:line="240" w:lineRule="auto"/>
      </w:pPr>
      <w:rPr>
        <w:b/>
        <w:bCs/>
      </w:rPr>
      <w:tblPr/>
      <w:tcPr>
        <w:tcBorders>
          <w:top w:val="single" w:color="F2BA02" w:themeColor="accent3" w:sz="8" w:space="0"/>
          <w:left w:val="nil"/>
          <w:bottom w:val="single" w:color="F2BA02" w:themeColor="accent3" w:sz="8" w:space="0"/>
          <w:right w:val="nil"/>
          <w:insideH w:val="nil"/>
          <w:insideV w:val="nil"/>
        </w:tcBorders>
      </w:tcPr>
    </w:tblStylePr>
    <w:tblStylePr w:type="lastRow">
      <w:pPr>
        <w:spacing w:before="0" w:after="0" w:line="240" w:lineRule="auto"/>
      </w:pPr>
      <w:rPr>
        <w:b/>
        <w:bCs/>
      </w:rPr>
      <w:tblPr/>
      <w:tcPr>
        <w:tcBorders>
          <w:top w:val="single" w:color="F2BA02" w:themeColor="accent3" w:sz="8" w:space="0"/>
          <w:left w:val="nil"/>
          <w:bottom w:val="single" w:color="F2BA02"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EEFBD" w:themeFill="accent3" w:themeFillTint="3F"/>
      </w:tcPr>
    </w:tblStylePr>
    <w:tblStylePr w:type="band1Horz">
      <w:tblPr/>
      <w:tcPr>
        <w:tcBorders>
          <w:left w:val="nil"/>
          <w:right w:val="nil"/>
          <w:insideH w:val="nil"/>
          <w:insideV w:val="nil"/>
        </w:tcBorders>
        <w:shd w:val="clear" w:color="auto" w:fill="FEEFBD" w:themeFill="accent3" w:themeFillTint="3F"/>
      </w:tcPr>
    </w:tblStylePr>
  </w:style>
  <w:style w:type="table" w:styleId="42">
    <w:name w:val="Light Shading Accent 4"/>
    <w:basedOn w:val="36"/>
    <w:uiPriority w:val="60"/>
    <w:rPr>
      <w:rFonts w:ascii="Times New Roman" w:hAnsi="Times New Roman" w:eastAsia="宋体" w:cs="Times New Roman"/>
      <w:color w:val="588E32" w:themeColor="accent4" w:themeShade="BF"/>
    </w:rPr>
    <w:tblPr>
      <w:tblBorders>
        <w:top w:val="single" w:color="75BD42" w:themeColor="accent4" w:sz="8" w:space="0"/>
        <w:bottom w:val="single" w:color="75BD42" w:themeColor="accent4" w:sz="8" w:space="0"/>
      </w:tblBorders>
    </w:tblPr>
    <w:tblStylePr w:type="firstRow">
      <w:pPr>
        <w:spacing w:before="0" w:after="0" w:line="240" w:lineRule="auto"/>
      </w:pPr>
      <w:rPr>
        <w:b/>
        <w:bCs/>
      </w:rPr>
      <w:tblPr/>
      <w:tcPr>
        <w:tcBorders>
          <w:top w:val="single" w:color="75BD42" w:themeColor="accent4" w:sz="8" w:space="0"/>
          <w:left w:val="nil"/>
          <w:bottom w:val="single" w:color="75BD42" w:themeColor="accent4" w:sz="8" w:space="0"/>
          <w:right w:val="nil"/>
          <w:insideH w:val="nil"/>
          <w:insideV w:val="nil"/>
        </w:tcBorders>
      </w:tcPr>
    </w:tblStylePr>
    <w:tblStylePr w:type="lastRow">
      <w:pPr>
        <w:spacing w:before="0" w:after="0" w:line="240" w:lineRule="auto"/>
      </w:pPr>
      <w:rPr>
        <w:b/>
        <w:bCs/>
      </w:rPr>
      <w:tblPr/>
      <w:tcPr>
        <w:tcBorders>
          <w:top w:val="single" w:color="75BD42" w:themeColor="accent4" w:sz="8" w:space="0"/>
          <w:left w:val="nil"/>
          <w:bottom w:val="single" w:color="75BD4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CEED0" w:themeFill="accent4" w:themeFillTint="3F"/>
      </w:tcPr>
    </w:tblStylePr>
    <w:tblStylePr w:type="band1Horz">
      <w:tblPr/>
      <w:tcPr>
        <w:tcBorders>
          <w:left w:val="nil"/>
          <w:right w:val="nil"/>
          <w:insideH w:val="nil"/>
          <w:insideV w:val="nil"/>
        </w:tcBorders>
        <w:shd w:val="clear" w:color="auto" w:fill="DCEED0" w:themeFill="accent4" w:themeFillTint="3F"/>
      </w:tcPr>
    </w:tblStylePr>
  </w:style>
  <w:style w:type="table" w:styleId="43">
    <w:name w:val="Light Shading Accent 5"/>
    <w:basedOn w:val="36"/>
    <w:qFormat/>
    <w:uiPriority w:val="60"/>
    <w:rPr>
      <w:rFonts w:ascii="Times New Roman" w:hAnsi="Times New Roman" w:eastAsia="宋体" w:cs="Times New Roman"/>
      <w:color w:val="249087" w:themeColor="accent5" w:themeShade="BF"/>
    </w:rPr>
    <w:tblPr>
      <w:tblBorders>
        <w:top w:val="single" w:color="30C0B4" w:themeColor="accent5" w:sz="8" w:space="0"/>
        <w:bottom w:val="single" w:color="30C0B4" w:themeColor="accent5" w:sz="8" w:space="0"/>
      </w:tblBorders>
    </w:tblPr>
    <w:tblStylePr w:type="firstRow">
      <w:pPr>
        <w:spacing w:before="0" w:after="0" w:line="240" w:lineRule="auto"/>
      </w:pPr>
      <w:rPr>
        <w:b/>
        <w:bCs/>
      </w:rPr>
      <w:tblPr/>
      <w:tcPr>
        <w:tcBorders>
          <w:top w:val="single" w:color="30C0B4" w:themeColor="accent5" w:sz="8" w:space="0"/>
          <w:left w:val="nil"/>
          <w:bottom w:val="single" w:color="30C0B4" w:themeColor="accent5" w:sz="8" w:space="0"/>
          <w:right w:val="nil"/>
          <w:insideH w:val="nil"/>
          <w:insideV w:val="nil"/>
        </w:tcBorders>
      </w:tcPr>
    </w:tblStylePr>
    <w:tblStylePr w:type="lastRow">
      <w:pPr>
        <w:spacing w:before="0" w:after="0" w:line="240" w:lineRule="auto"/>
      </w:pPr>
      <w:rPr>
        <w:b/>
        <w:bCs/>
      </w:rPr>
      <w:tblPr/>
      <w:tcPr>
        <w:tcBorders>
          <w:top w:val="single" w:color="30C0B4" w:themeColor="accent5" w:sz="8" w:space="0"/>
          <w:left w:val="nil"/>
          <w:bottom w:val="single" w:color="30C0B4"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9F1EE" w:themeFill="accent5" w:themeFillTint="3F"/>
      </w:tcPr>
    </w:tblStylePr>
    <w:tblStylePr w:type="band1Horz">
      <w:tblPr/>
      <w:tcPr>
        <w:tcBorders>
          <w:left w:val="nil"/>
          <w:right w:val="nil"/>
          <w:insideH w:val="nil"/>
          <w:insideV w:val="nil"/>
        </w:tcBorders>
        <w:shd w:val="clear" w:color="auto" w:fill="C9F1EE" w:themeFill="accent5" w:themeFillTint="3F"/>
      </w:tcPr>
    </w:tblStylePr>
  </w:style>
  <w:style w:type="table" w:styleId="44">
    <w:name w:val="Light Shading Accent 6"/>
    <w:basedOn w:val="36"/>
    <w:uiPriority w:val="60"/>
    <w:rPr>
      <w:rFonts w:ascii="Times New Roman" w:hAnsi="Times New Roman" w:eastAsia="宋体" w:cs="Times New Roman"/>
      <w:color w:val="C81D31" w:themeColor="accent6" w:themeShade="BF"/>
    </w:rPr>
    <w:tblPr>
      <w:tblBorders>
        <w:top w:val="single" w:color="E54C5E" w:themeColor="accent6" w:sz="8" w:space="0"/>
        <w:bottom w:val="single" w:color="E54C5E" w:themeColor="accent6" w:sz="8" w:space="0"/>
      </w:tblBorders>
    </w:tblPr>
    <w:tblStylePr w:type="firstRow">
      <w:pPr>
        <w:spacing w:before="0" w:after="0" w:line="240" w:lineRule="auto"/>
      </w:pPr>
      <w:rPr>
        <w:b/>
        <w:bCs/>
      </w:rPr>
      <w:tblPr/>
      <w:tcPr>
        <w:tcBorders>
          <w:top w:val="single" w:color="E54C5E" w:themeColor="accent6" w:sz="8" w:space="0"/>
          <w:left w:val="nil"/>
          <w:bottom w:val="single" w:color="E54C5E" w:themeColor="accent6" w:sz="8" w:space="0"/>
          <w:right w:val="nil"/>
          <w:insideH w:val="nil"/>
          <w:insideV w:val="nil"/>
        </w:tcBorders>
      </w:tcPr>
    </w:tblStylePr>
    <w:tblStylePr w:type="lastRow">
      <w:pPr>
        <w:spacing w:before="0" w:after="0" w:line="240" w:lineRule="auto"/>
      </w:pPr>
      <w:rPr>
        <w:b/>
        <w:bCs/>
      </w:rPr>
      <w:tblPr/>
      <w:tcPr>
        <w:tcBorders>
          <w:top w:val="single" w:color="E54C5E" w:themeColor="accent6" w:sz="8" w:space="0"/>
          <w:left w:val="nil"/>
          <w:bottom w:val="single" w:color="E54C5E"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8D2D7" w:themeFill="accent6" w:themeFillTint="3F"/>
      </w:tcPr>
    </w:tblStylePr>
    <w:tblStylePr w:type="band1Horz">
      <w:tblPr/>
      <w:tcPr>
        <w:tcBorders>
          <w:left w:val="nil"/>
          <w:right w:val="nil"/>
          <w:insideH w:val="nil"/>
          <w:insideV w:val="nil"/>
        </w:tcBorders>
        <w:shd w:val="clear" w:color="auto" w:fill="F8D2D7" w:themeFill="accent6" w:themeFillTint="3F"/>
      </w:tcPr>
    </w:tblStylePr>
  </w:style>
  <w:style w:type="table" w:styleId="45">
    <w:name w:val="Light List"/>
    <w:basedOn w:val="36"/>
    <w:qFormat/>
    <w:uiPriority w:val="61"/>
    <w:rPr>
      <w:rFonts w:ascii="Times New Roman" w:hAnsi="Times New Roman" w:eastAsia="宋体" w:cs="Times New Roman"/>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6">
    <w:name w:val="Light List Accent 1"/>
    <w:basedOn w:val="36"/>
    <w:qFormat/>
    <w:uiPriority w:val="61"/>
    <w:rPr>
      <w:rFonts w:ascii="Times New Roman" w:hAnsi="Times New Roman" w:eastAsia="宋体" w:cs="Times New Roman"/>
    </w:rPr>
    <w:tblPr>
      <w:tblBorders>
        <w:top w:val="single" w:color="4874CB" w:themeColor="accent1" w:sz="8" w:space="0"/>
        <w:left w:val="single" w:color="4874CB" w:themeColor="accent1" w:sz="8" w:space="0"/>
        <w:bottom w:val="single" w:color="4874CB" w:themeColor="accent1" w:sz="8" w:space="0"/>
        <w:right w:val="single" w:color="4874CB" w:themeColor="accent1"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4874CB" w:themeFill="accent1"/>
      </w:tcPr>
    </w:tblStylePr>
    <w:tblStylePr w:type="lastRow">
      <w:pPr>
        <w:spacing w:before="0" w:after="0" w:line="240" w:lineRule="auto"/>
      </w:pPr>
      <w:rPr>
        <w:b/>
        <w:bCs/>
      </w:rPr>
      <w:tblPr/>
      <w:tcPr>
        <w:tcBorders>
          <w:top w:val="double" w:color="4874CB" w:themeColor="accent1" w:sz="6" w:space="0"/>
          <w:left w:val="single" w:color="4874CB" w:themeColor="accent1" w:sz="8" w:space="0"/>
          <w:bottom w:val="single" w:color="4874CB" w:themeColor="accent1" w:sz="8" w:space="0"/>
          <w:right w:val="single" w:color="4874CB" w:themeColor="accent1" w:sz="8" w:space="0"/>
        </w:tcBorders>
      </w:tcPr>
    </w:tblStylePr>
    <w:tblStylePr w:type="firstCol">
      <w:rPr>
        <w:b/>
        <w:bCs/>
      </w:rPr>
    </w:tblStylePr>
    <w:tblStylePr w:type="lastCol">
      <w:rPr>
        <w:b/>
        <w:bCs/>
      </w:rPr>
    </w:tblStylePr>
    <w:tblStylePr w:type="band1Vert">
      <w:tblPr/>
      <w:tcPr>
        <w:tcBorders>
          <w:top w:val="single" w:color="4874CB" w:themeColor="accent1" w:sz="8" w:space="0"/>
          <w:left w:val="single" w:color="4874CB" w:themeColor="accent1" w:sz="8" w:space="0"/>
          <w:bottom w:val="single" w:color="4874CB" w:themeColor="accent1" w:sz="8" w:space="0"/>
          <w:right w:val="single" w:color="4874CB" w:themeColor="accent1" w:sz="8" w:space="0"/>
        </w:tcBorders>
      </w:tcPr>
    </w:tblStylePr>
    <w:tblStylePr w:type="band1Horz">
      <w:tblPr/>
      <w:tcPr>
        <w:tcBorders>
          <w:top w:val="single" w:color="4874CB" w:themeColor="accent1" w:sz="8" w:space="0"/>
          <w:left w:val="single" w:color="4874CB" w:themeColor="accent1" w:sz="8" w:space="0"/>
          <w:bottom w:val="single" w:color="4874CB" w:themeColor="accent1" w:sz="8" w:space="0"/>
          <w:right w:val="single" w:color="4874CB" w:themeColor="accent1" w:sz="8" w:space="0"/>
        </w:tcBorders>
      </w:tcPr>
    </w:tblStylePr>
  </w:style>
  <w:style w:type="table" w:styleId="47">
    <w:name w:val="Light List Accent 2"/>
    <w:basedOn w:val="36"/>
    <w:qFormat/>
    <w:uiPriority w:val="61"/>
    <w:rPr>
      <w:rFonts w:ascii="Times New Roman" w:hAnsi="Times New Roman" w:eastAsia="宋体" w:cs="Times New Roman"/>
    </w:rPr>
    <w:tblPr>
      <w:tblBorders>
        <w:top w:val="single" w:color="EE822F" w:themeColor="accent2" w:sz="8" w:space="0"/>
        <w:left w:val="single" w:color="EE822F" w:themeColor="accent2" w:sz="8" w:space="0"/>
        <w:bottom w:val="single" w:color="EE822F" w:themeColor="accent2" w:sz="8" w:space="0"/>
        <w:right w:val="single" w:color="EE822F" w:themeColor="accent2"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EE822F" w:themeFill="accent2"/>
      </w:tcPr>
    </w:tblStylePr>
    <w:tblStylePr w:type="lastRow">
      <w:pPr>
        <w:spacing w:before="0" w:after="0" w:line="240" w:lineRule="auto"/>
      </w:pPr>
      <w:rPr>
        <w:b/>
        <w:bCs/>
      </w:rPr>
      <w:tblPr/>
      <w:tcPr>
        <w:tcBorders>
          <w:top w:val="double" w:color="EE822F" w:themeColor="accent2" w:sz="6" w:space="0"/>
          <w:left w:val="single" w:color="EE822F" w:themeColor="accent2" w:sz="8" w:space="0"/>
          <w:bottom w:val="single" w:color="EE822F" w:themeColor="accent2" w:sz="8" w:space="0"/>
          <w:right w:val="single" w:color="EE822F" w:themeColor="accent2" w:sz="8" w:space="0"/>
        </w:tcBorders>
      </w:tcPr>
    </w:tblStylePr>
    <w:tblStylePr w:type="firstCol">
      <w:rPr>
        <w:b/>
        <w:bCs/>
      </w:rPr>
    </w:tblStylePr>
    <w:tblStylePr w:type="lastCol">
      <w:rPr>
        <w:b/>
        <w:bCs/>
      </w:rPr>
    </w:tblStylePr>
    <w:tblStylePr w:type="band1Vert">
      <w:tblPr/>
      <w:tcPr>
        <w:tcBorders>
          <w:top w:val="single" w:color="EE822F" w:themeColor="accent2" w:sz="8" w:space="0"/>
          <w:left w:val="single" w:color="EE822F" w:themeColor="accent2" w:sz="8" w:space="0"/>
          <w:bottom w:val="single" w:color="EE822F" w:themeColor="accent2" w:sz="8" w:space="0"/>
          <w:right w:val="single" w:color="EE822F" w:themeColor="accent2" w:sz="8" w:space="0"/>
        </w:tcBorders>
      </w:tcPr>
    </w:tblStylePr>
    <w:tblStylePr w:type="band1Horz">
      <w:tblPr/>
      <w:tcPr>
        <w:tcBorders>
          <w:top w:val="single" w:color="EE822F" w:themeColor="accent2" w:sz="8" w:space="0"/>
          <w:left w:val="single" w:color="EE822F" w:themeColor="accent2" w:sz="8" w:space="0"/>
          <w:bottom w:val="single" w:color="EE822F" w:themeColor="accent2" w:sz="8" w:space="0"/>
          <w:right w:val="single" w:color="EE822F" w:themeColor="accent2" w:sz="8" w:space="0"/>
        </w:tcBorders>
      </w:tcPr>
    </w:tblStylePr>
  </w:style>
  <w:style w:type="table" w:styleId="48">
    <w:name w:val="Light List Accent 3"/>
    <w:basedOn w:val="36"/>
    <w:qFormat/>
    <w:uiPriority w:val="61"/>
    <w:rPr>
      <w:rFonts w:ascii="Times New Roman" w:hAnsi="Times New Roman" w:eastAsia="宋体" w:cs="Times New Roman"/>
    </w:rPr>
    <w:tblPr>
      <w:tblBorders>
        <w:top w:val="single" w:color="F2BA02" w:themeColor="accent3" w:sz="8" w:space="0"/>
        <w:left w:val="single" w:color="F2BA02" w:themeColor="accent3" w:sz="8" w:space="0"/>
        <w:bottom w:val="single" w:color="F2BA02" w:themeColor="accent3" w:sz="8" w:space="0"/>
        <w:right w:val="single" w:color="F2BA02" w:themeColor="accent3"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F2BA02" w:themeFill="accent3"/>
      </w:tcPr>
    </w:tblStylePr>
    <w:tblStylePr w:type="lastRow">
      <w:pPr>
        <w:spacing w:before="0" w:after="0" w:line="240" w:lineRule="auto"/>
      </w:pPr>
      <w:rPr>
        <w:b/>
        <w:bCs/>
      </w:rPr>
      <w:tblPr/>
      <w:tcPr>
        <w:tcBorders>
          <w:top w:val="double" w:color="F2BA02" w:themeColor="accent3" w:sz="6" w:space="0"/>
          <w:left w:val="single" w:color="F2BA02" w:themeColor="accent3" w:sz="8" w:space="0"/>
          <w:bottom w:val="single" w:color="F2BA02" w:themeColor="accent3" w:sz="8" w:space="0"/>
          <w:right w:val="single" w:color="F2BA02" w:themeColor="accent3" w:sz="8" w:space="0"/>
        </w:tcBorders>
      </w:tcPr>
    </w:tblStylePr>
    <w:tblStylePr w:type="firstCol">
      <w:rPr>
        <w:b/>
        <w:bCs/>
      </w:rPr>
    </w:tblStylePr>
    <w:tblStylePr w:type="lastCol">
      <w:rPr>
        <w:b/>
        <w:bCs/>
      </w:rPr>
    </w:tblStylePr>
    <w:tblStylePr w:type="band1Vert">
      <w:tblPr/>
      <w:tcPr>
        <w:tcBorders>
          <w:top w:val="single" w:color="F2BA02" w:themeColor="accent3" w:sz="8" w:space="0"/>
          <w:left w:val="single" w:color="F2BA02" w:themeColor="accent3" w:sz="8" w:space="0"/>
          <w:bottom w:val="single" w:color="F2BA02" w:themeColor="accent3" w:sz="8" w:space="0"/>
          <w:right w:val="single" w:color="F2BA02" w:themeColor="accent3" w:sz="8" w:space="0"/>
        </w:tcBorders>
      </w:tcPr>
    </w:tblStylePr>
    <w:tblStylePr w:type="band1Horz">
      <w:tblPr/>
      <w:tcPr>
        <w:tcBorders>
          <w:top w:val="single" w:color="F2BA02" w:themeColor="accent3" w:sz="8" w:space="0"/>
          <w:left w:val="single" w:color="F2BA02" w:themeColor="accent3" w:sz="8" w:space="0"/>
          <w:bottom w:val="single" w:color="F2BA02" w:themeColor="accent3" w:sz="8" w:space="0"/>
          <w:right w:val="single" w:color="F2BA02" w:themeColor="accent3" w:sz="8" w:space="0"/>
        </w:tcBorders>
      </w:tcPr>
    </w:tblStylePr>
  </w:style>
  <w:style w:type="table" w:styleId="49">
    <w:name w:val="Light List Accent 4"/>
    <w:basedOn w:val="36"/>
    <w:uiPriority w:val="61"/>
    <w:rPr>
      <w:rFonts w:ascii="Times New Roman" w:hAnsi="Times New Roman" w:eastAsia="宋体" w:cs="Times New Roman"/>
    </w:rPr>
    <w:tblPr>
      <w:tblBorders>
        <w:top w:val="single" w:color="75BD42" w:themeColor="accent4" w:sz="8" w:space="0"/>
        <w:left w:val="single" w:color="75BD42" w:themeColor="accent4" w:sz="8" w:space="0"/>
        <w:bottom w:val="single" w:color="75BD42" w:themeColor="accent4" w:sz="8" w:space="0"/>
        <w:right w:val="single" w:color="75BD42" w:themeColor="accent4"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75BD42" w:themeFill="accent4"/>
      </w:tcPr>
    </w:tblStylePr>
    <w:tblStylePr w:type="lastRow">
      <w:pPr>
        <w:spacing w:before="0" w:after="0" w:line="240" w:lineRule="auto"/>
      </w:pPr>
      <w:rPr>
        <w:b/>
        <w:bCs/>
      </w:rPr>
      <w:tblPr/>
      <w:tcPr>
        <w:tcBorders>
          <w:top w:val="double" w:color="75BD42" w:themeColor="accent4" w:sz="6" w:space="0"/>
          <w:left w:val="single" w:color="75BD42" w:themeColor="accent4" w:sz="8" w:space="0"/>
          <w:bottom w:val="single" w:color="75BD42" w:themeColor="accent4" w:sz="8" w:space="0"/>
          <w:right w:val="single" w:color="75BD42" w:themeColor="accent4" w:sz="8" w:space="0"/>
        </w:tcBorders>
      </w:tcPr>
    </w:tblStylePr>
    <w:tblStylePr w:type="firstCol">
      <w:rPr>
        <w:b/>
        <w:bCs/>
      </w:rPr>
    </w:tblStylePr>
    <w:tblStylePr w:type="lastCol">
      <w:rPr>
        <w:b/>
        <w:bCs/>
      </w:rPr>
    </w:tblStylePr>
    <w:tblStylePr w:type="band1Vert">
      <w:tblPr/>
      <w:tcPr>
        <w:tcBorders>
          <w:top w:val="single" w:color="75BD42" w:themeColor="accent4" w:sz="8" w:space="0"/>
          <w:left w:val="single" w:color="75BD42" w:themeColor="accent4" w:sz="8" w:space="0"/>
          <w:bottom w:val="single" w:color="75BD42" w:themeColor="accent4" w:sz="8" w:space="0"/>
          <w:right w:val="single" w:color="75BD42" w:themeColor="accent4" w:sz="8" w:space="0"/>
        </w:tcBorders>
      </w:tcPr>
    </w:tblStylePr>
    <w:tblStylePr w:type="band1Horz">
      <w:tblPr/>
      <w:tcPr>
        <w:tcBorders>
          <w:top w:val="single" w:color="75BD42" w:themeColor="accent4" w:sz="8" w:space="0"/>
          <w:left w:val="single" w:color="75BD42" w:themeColor="accent4" w:sz="8" w:space="0"/>
          <w:bottom w:val="single" w:color="75BD42" w:themeColor="accent4" w:sz="8" w:space="0"/>
          <w:right w:val="single" w:color="75BD42" w:themeColor="accent4" w:sz="8" w:space="0"/>
        </w:tcBorders>
      </w:tcPr>
    </w:tblStylePr>
  </w:style>
  <w:style w:type="table" w:styleId="50">
    <w:name w:val="Light List Accent 5"/>
    <w:basedOn w:val="36"/>
    <w:qFormat/>
    <w:uiPriority w:val="61"/>
    <w:rPr>
      <w:rFonts w:ascii="Times New Roman" w:hAnsi="Times New Roman" w:eastAsia="宋体" w:cs="Times New Roman"/>
    </w:rPr>
    <w:tblPr>
      <w:tblBorders>
        <w:top w:val="single" w:color="30C0B4" w:themeColor="accent5" w:sz="8" w:space="0"/>
        <w:left w:val="single" w:color="30C0B4" w:themeColor="accent5" w:sz="8" w:space="0"/>
        <w:bottom w:val="single" w:color="30C0B4" w:themeColor="accent5" w:sz="8" w:space="0"/>
        <w:right w:val="single" w:color="30C0B4" w:themeColor="accent5"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30C0B4" w:themeFill="accent5"/>
      </w:tcPr>
    </w:tblStylePr>
    <w:tblStylePr w:type="lastRow">
      <w:pPr>
        <w:spacing w:before="0" w:after="0" w:line="240" w:lineRule="auto"/>
      </w:pPr>
      <w:rPr>
        <w:b/>
        <w:bCs/>
      </w:rPr>
      <w:tblPr/>
      <w:tcPr>
        <w:tcBorders>
          <w:top w:val="double" w:color="30C0B4" w:themeColor="accent5" w:sz="6" w:space="0"/>
          <w:left w:val="single" w:color="30C0B4" w:themeColor="accent5" w:sz="8" w:space="0"/>
          <w:bottom w:val="single" w:color="30C0B4" w:themeColor="accent5" w:sz="8" w:space="0"/>
          <w:right w:val="single" w:color="30C0B4" w:themeColor="accent5" w:sz="8" w:space="0"/>
        </w:tcBorders>
      </w:tcPr>
    </w:tblStylePr>
    <w:tblStylePr w:type="firstCol">
      <w:rPr>
        <w:b/>
        <w:bCs/>
      </w:rPr>
    </w:tblStylePr>
    <w:tblStylePr w:type="lastCol">
      <w:rPr>
        <w:b/>
        <w:bCs/>
      </w:rPr>
    </w:tblStylePr>
    <w:tblStylePr w:type="band1Vert">
      <w:tblPr/>
      <w:tcPr>
        <w:tcBorders>
          <w:top w:val="single" w:color="30C0B4" w:themeColor="accent5" w:sz="8" w:space="0"/>
          <w:left w:val="single" w:color="30C0B4" w:themeColor="accent5" w:sz="8" w:space="0"/>
          <w:bottom w:val="single" w:color="30C0B4" w:themeColor="accent5" w:sz="8" w:space="0"/>
          <w:right w:val="single" w:color="30C0B4" w:themeColor="accent5" w:sz="8" w:space="0"/>
        </w:tcBorders>
      </w:tcPr>
    </w:tblStylePr>
    <w:tblStylePr w:type="band1Horz">
      <w:tblPr/>
      <w:tcPr>
        <w:tcBorders>
          <w:top w:val="single" w:color="30C0B4" w:themeColor="accent5" w:sz="8" w:space="0"/>
          <w:left w:val="single" w:color="30C0B4" w:themeColor="accent5" w:sz="8" w:space="0"/>
          <w:bottom w:val="single" w:color="30C0B4" w:themeColor="accent5" w:sz="8" w:space="0"/>
          <w:right w:val="single" w:color="30C0B4" w:themeColor="accent5" w:sz="8" w:space="0"/>
        </w:tcBorders>
      </w:tcPr>
    </w:tblStylePr>
  </w:style>
  <w:style w:type="table" w:styleId="51">
    <w:name w:val="Light List Accent 6"/>
    <w:basedOn w:val="36"/>
    <w:qFormat/>
    <w:uiPriority w:val="61"/>
    <w:rPr>
      <w:rFonts w:ascii="Times New Roman" w:hAnsi="Times New Roman" w:eastAsia="宋体" w:cs="Times New Roman"/>
    </w:rPr>
    <w:tblPr>
      <w:tblBorders>
        <w:top w:val="single" w:color="E54C5E" w:themeColor="accent6" w:sz="8" w:space="0"/>
        <w:left w:val="single" w:color="E54C5E" w:themeColor="accent6" w:sz="8" w:space="0"/>
        <w:bottom w:val="single" w:color="E54C5E" w:themeColor="accent6" w:sz="8" w:space="0"/>
        <w:right w:val="single" w:color="E54C5E" w:themeColor="accent6"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E54C5E" w:themeFill="accent6"/>
      </w:tcPr>
    </w:tblStylePr>
    <w:tblStylePr w:type="lastRow">
      <w:pPr>
        <w:spacing w:before="0" w:after="0" w:line="240" w:lineRule="auto"/>
      </w:pPr>
      <w:rPr>
        <w:b/>
        <w:bCs/>
      </w:rPr>
      <w:tblPr/>
      <w:tcPr>
        <w:tcBorders>
          <w:top w:val="double" w:color="E54C5E" w:themeColor="accent6" w:sz="6" w:space="0"/>
          <w:left w:val="single" w:color="E54C5E" w:themeColor="accent6" w:sz="8" w:space="0"/>
          <w:bottom w:val="single" w:color="E54C5E" w:themeColor="accent6" w:sz="8" w:space="0"/>
          <w:right w:val="single" w:color="E54C5E" w:themeColor="accent6" w:sz="8" w:space="0"/>
        </w:tcBorders>
      </w:tcPr>
    </w:tblStylePr>
    <w:tblStylePr w:type="firstCol">
      <w:rPr>
        <w:b/>
        <w:bCs/>
      </w:rPr>
    </w:tblStylePr>
    <w:tblStylePr w:type="lastCol">
      <w:rPr>
        <w:b/>
        <w:bCs/>
      </w:rPr>
    </w:tblStylePr>
    <w:tblStylePr w:type="band1Vert">
      <w:tblPr/>
      <w:tcPr>
        <w:tcBorders>
          <w:top w:val="single" w:color="E54C5E" w:themeColor="accent6" w:sz="8" w:space="0"/>
          <w:left w:val="single" w:color="E54C5E" w:themeColor="accent6" w:sz="8" w:space="0"/>
          <w:bottom w:val="single" w:color="E54C5E" w:themeColor="accent6" w:sz="8" w:space="0"/>
          <w:right w:val="single" w:color="E54C5E" w:themeColor="accent6" w:sz="8" w:space="0"/>
        </w:tcBorders>
      </w:tcPr>
    </w:tblStylePr>
    <w:tblStylePr w:type="band1Horz">
      <w:tblPr/>
      <w:tcPr>
        <w:tcBorders>
          <w:top w:val="single" w:color="E54C5E" w:themeColor="accent6" w:sz="8" w:space="0"/>
          <w:left w:val="single" w:color="E54C5E" w:themeColor="accent6" w:sz="8" w:space="0"/>
          <w:bottom w:val="single" w:color="E54C5E" w:themeColor="accent6" w:sz="8" w:space="0"/>
          <w:right w:val="single" w:color="E54C5E" w:themeColor="accent6" w:sz="8" w:space="0"/>
        </w:tcBorders>
      </w:tcPr>
    </w:tblStylePr>
  </w:style>
  <w:style w:type="table" w:styleId="52">
    <w:name w:val="Light Grid"/>
    <w:basedOn w:val="36"/>
    <w:qFormat/>
    <w:uiPriority w:val="62"/>
    <w:rPr>
      <w:rFonts w:ascii="Times New Roman" w:hAnsi="Times New Roman" w:eastAsia="宋体" w:cs="Times New Roman"/>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53">
    <w:name w:val="Light Grid Accent 1"/>
    <w:basedOn w:val="36"/>
    <w:qFormat/>
    <w:uiPriority w:val="62"/>
    <w:rPr>
      <w:rFonts w:ascii="Times New Roman" w:hAnsi="Times New Roman" w:eastAsia="宋体" w:cs="Times New Roman"/>
    </w:rPr>
    <w:tblPr>
      <w:tblBorders>
        <w:top w:val="single" w:color="4874CB" w:themeColor="accent1" w:sz="8" w:space="0"/>
        <w:left w:val="single" w:color="4874CB" w:themeColor="accent1" w:sz="8" w:space="0"/>
        <w:bottom w:val="single" w:color="4874CB" w:themeColor="accent1" w:sz="8" w:space="0"/>
        <w:right w:val="single" w:color="4874CB" w:themeColor="accent1" w:sz="8" w:space="0"/>
        <w:insideH w:val="single" w:color="4874CB" w:themeColor="accent1" w:sz="8" w:space="0"/>
        <w:insideV w:val="single" w:color="4874CB"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874CB" w:themeColor="accent1" w:sz="8" w:space="0"/>
          <w:left w:val="single" w:color="4874CB" w:themeColor="accent1" w:sz="8" w:space="0"/>
          <w:bottom w:val="single" w:color="4874CB" w:themeColor="accent1" w:sz="18" w:space="0"/>
          <w:right w:val="single" w:color="4874CB"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874CB" w:themeColor="accent1" w:sz="6" w:space="0"/>
          <w:left w:val="single" w:color="4874CB" w:themeColor="accent1" w:sz="8" w:space="0"/>
          <w:bottom w:val="single" w:color="4874CB" w:themeColor="accent1" w:sz="8" w:space="0"/>
          <w:right w:val="single" w:color="4874CB"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874CB" w:themeColor="accent1" w:sz="8" w:space="0"/>
          <w:left w:val="single" w:color="4874CB" w:themeColor="accent1" w:sz="8" w:space="0"/>
          <w:bottom w:val="single" w:color="4874CB" w:themeColor="accent1" w:sz="8" w:space="0"/>
          <w:right w:val="single" w:color="4874CB" w:themeColor="accent1" w:sz="8" w:space="0"/>
        </w:tcBorders>
      </w:tcPr>
    </w:tblStylePr>
    <w:tblStylePr w:type="band1Vert">
      <w:tblPr/>
      <w:tcPr>
        <w:tcBorders>
          <w:top w:val="single" w:color="4874CB" w:themeColor="accent1" w:sz="8" w:space="0"/>
          <w:left w:val="single" w:color="4874CB" w:themeColor="accent1" w:sz="8" w:space="0"/>
          <w:bottom w:val="single" w:color="4874CB" w:themeColor="accent1" w:sz="8" w:space="0"/>
          <w:right w:val="single" w:color="4874CB" w:themeColor="accent1" w:sz="8" w:space="0"/>
        </w:tcBorders>
        <w:shd w:val="clear" w:color="auto" w:fill="D1DCF2" w:themeFill="accent1" w:themeFillTint="3F"/>
      </w:tcPr>
    </w:tblStylePr>
    <w:tblStylePr w:type="band1Horz">
      <w:tblPr/>
      <w:tcPr>
        <w:tcBorders>
          <w:top w:val="single" w:color="4874CB" w:themeColor="accent1" w:sz="8" w:space="0"/>
          <w:left w:val="single" w:color="4874CB" w:themeColor="accent1" w:sz="8" w:space="0"/>
          <w:bottom w:val="single" w:color="4874CB" w:themeColor="accent1" w:sz="8" w:space="0"/>
          <w:right w:val="single" w:color="4874CB" w:themeColor="accent1" w:sz="8" w:space="0"/>
          <w:insideV w:val="single" w:sz="8" w:space="0"/>
        </w:tcBorders>
        <w:shd w:val="clear" w:color="auto" w:fill="D1DCF2" w:themeFill="accent1" w:themeFillTint="3F"/>
      </w:tcPr>
    </w:tblStylePr>
    <w:tblStylePr w:type="band2Horz">
      <w:tblPr/>
      <w:tcPr>
        <w:tcBorders>
          <w:top w:val="single" w:color="4874CB" w:themeColor="accent1" w:sz="8" w:space="0"/>
          <w:left w:val="single" w:color="4874CB" w:themeColor="accent1" w:sz="8" w:space="0"/>
          <w:bottom w:val="single" w:color="4874CB" w:themeColor="accent1" w:sz="8" w:space="0"/>
          <w:right w:val="single" w:color="4874CB" w:themeColor="accent1" w:sz="8" w:space="0"/>
          <w:insideV w:val="single" w:sz="8" w:space="0"/>
        </w:tcBorders>
      </w:tcPr>
    </w:tblStylePr>
  </w:style>
  <w:style w:type="table" w:styleId="54">
    <w:name w:val="Light Grid Accent 2"/>
    <w:basedOn w:val="36"/>
    <w:qFormat/>
    <w:uiPriority w:val="62"/>
    <w:rPr>
      <w:rFonts w:ascii="Times New Roman" w:hAnsi="Times New Roman" w:eastAsia="宋体" w:cs="Times New Roman"/>
    </w:rPr>
    <w:tblPr>
      <w:tblBorders>
        <w:top w:val="single" w:color="EE822F" w:themeColor="accent2" w:sz="8" w:space="0"/>
        <w:left w:val="single" w:color="EE822F" w:themeColor="accent2" w:sz="8" w:space="0"/>
        <w:bottom w:val="single" w:color="EE822F" w:themeColor="accent2" w:sz="8" w:space="0"/>
        <w:right w:val="single" w:color="EE822F" w:themeColor="accent2" w:sz="8" w:space="0"/>
        <w:insideH w:val="single" w:color="EE822F" w:themeColor="accent2" w:sz="8" w:space="0"/>
        <w:insideV w:val="single" w:color="EE822F"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EE822F" w:themeColor="accent2" w:sz="8" w:space="0"/>
          <w:left w:val="single" w:color="EE822F" w:themeColor="accent2" w:sz="8" w:space="0"/>
          <w:bottom w:val="single" w:color="EE822F" w:themeColor="accent2" w:sz="18" w:space="0"/>
          <w:right w:val="single" w:color="EE822F"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EE822F" w:themeColor="accent2" w:sz="6" w:space="0"/>
          <w:left w:val="single" w:color="EE822F" w:themeColor="accent2" w:sz="8" w:space="0"/>
          <w:bottom w:val="single" w:color="EE822F" w:themeColor="accent2" w:sz="8" w:space="0"/>
          <w:right w:val="single" w:color="EE822F"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EE822F" w:themeColor="accent2" w:sz="8" w:space="0"/>
          <w:left w:val="single" w:color="EE822F" w:themeColor="accent2" w:sz="8" w:space="0"/>
          <w:bottom w:val="single" w:color="EE822F" w:themeColor="accent2" w:sz="8" w:space="0"/>
          <w:right w:val="single" w:color="EE822F" w:themeColor="accent2" w:sz="8" w:space="0"/>
        </w:tcBorders>
      </w:tcPr>
    </w:tblStylePr>
    <w:tblStylePr w:type="band1Vert">
      <w:tblPr/>
      <w:tcPr>
        <w:tcBorders>
          <w:top w:val="single" w:color="EE822F" w:themeColor="accent2" w:sz="8" w:space="0"/>
          <w:left w:val="single" w:color="EE822F" w:themeColor="accent2" w:sz="8" w:space="0"/>
          <w:bottom w:val="single" w:color="EE822F" w:themeColor="accent2" w:sz="8" w:space="0"/>
          <w:right w:val="single" w:color="EE822F" w:themeColor="accent2" w:sz="8" w:space="0"/>
        </w:tcBorders>
        <w:shd w:val="clear" w:color="auto" w:fill="FAE0CB" w:themeFill="accent2" w:themeFillTint="3F"/>
      </w:tcPr>
    </w:tblStylePr>
    <w:tblStylePr w:type="band1Horz">
      <w:tblPr/>
      <w:tcPr>
        <w:tcBorders>
          <w:top w:val="single" w:color="EE822F" w:themeColor="accent2" w:sz="8" w:space="0"/>
          <w:left w:val="single" w:color="EE822F" w:themeColor="accent2" w:sz="8" w:space="0"/>
          <w:bottom w:val="single" w:color="EE822F" w:themeColor="accent2" w:sz="8" w:space="0"/>
          <w:right w:val="single" w:color="EE822F" w:themeColor="accent2" w:sz="8" w:space="0"/>
          <w:insideV w:val="single" w:sz="8" w:space="0"/>
        </w:tcBorders>
        <w:shd w:val="clear" w:color="auto" w:fill="FAE0CB" w:themeFill="accent2" w:themeFillTint="3F"/>
      </w:tcPr>
    </w:tblStylePr>
    <w:tblStylePr w:type="band2Horz">
      <w:tblPr/>
      <w:tcPr>
        <w:tcBorders>
          <w:top w:val="single" w:color="EE822F" w:themeColor="accent2" w:sz="8" w:space="0"/>
          <w:left w:val="single" w:color="EE822F" w:themeColor="accent2" w:sz="8" w:space="0"/>
          <w:bottom w:val="single" w:color="EE822F" w:themeColor="accent2" w:sz="8" w:space="0"/>
          <w:right w:val="single" w:color="EE822F" w:themeColor="accent2" w:sz="8" w:space="0"/>
          <w:insideV w:val="single" w:sz="8" w:space="0"/>
        </w:tcBorders>
      </w:tcPr>
    </w:tblStylePr>
  </w:style>
  <w:style w:type="table" w:styleId="55">
    <w:name w:val="Light Grid Accent 3"/>
    <w:basedOn w:val="36"/>
    <w:uiPriority w:val="62"/>
    <w:rPr>
      <w:rFonts w:ascii="Times New Roman" w:hAnsi="Times New Roman" w:eastAsia="宋体" w:cs="Times New Roman"/>
    </w:rPr>
    <w:tblPr>
      <w:tblBorders>
        <w:top w:val="single" w:color="F2BA02" w:themeColor="accent3" w:sz="8" w:space="0"/>
        <w:left w:val="single" w:color="F2BA02" w:themeColor="accent3" w:sz="8" w:space="0"/>
        <w:bottom w:val="single" w:color="F2BA02" w:themeColor="accent3" w:sz="8" w:space="0"/>
        <w:right w:val="single" w:color="F2BA02" w:themeColor="accent3" w:sz="8" w:space="0"/>
        <w:insideH w:val="single" w:color="F2BA02" w:themeColor="accent3" w:sz="8" w:space="0"/>
        <w:insideV w:val="single" w:color="F2BA02"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2BA02" w:themeColor="accent3" w:sz="8" w:space="0"/>
          <w:left w:val="single" w:color="F2BA02" w:themeColor="accent3" w:sz="8" w:space="0"/>
          <w:bottom w:val="single" w:color="F2BA02" w:themeColor="accent3" w:sz="18" w:space="0"/>
          <w:right w:val="single" w:color="F2BA02"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2BA02" w:themeColor="accent3" w:sz="6" w:space="0"/>
          <w:left w:val="single" w:color="F2BA02" w:themeColor="accent3" w:sz="8" w:space="0"/>
          <w:bottom w:val="single" w:color="F2BA02" w:themeColor="accent3" w:sz="8" w:space="0"/>
          <w:right w:val="single" w:color="F2BA02"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2BA02" w:themeColor="accent3" w:sz="8" w:space="0"/>
          <w:left w:val="single" w:color="F2BA02" w:themeColor="accent3" w:sz="8" w:space="0"/>
          <w:bottom w:val="single" w:color="F2BA02" w:themeColor="accent3" w:sz="8" w:space="0"/>
          <w:right w:val="single" w:color="F2BA02" w:themeColor="accent3" w:sz="8" w:space="0"/>
        </w:tcBorders>
      </w:tcPr>
    </w:tblStylePr>
    <w:tblStylePr w:type="band1Vert">
      <w:tblPr/>
      <w:tcPr>
        <w:tcBorders>
          <w:top w:val="single" w:color="F2BA02" w:themeColor="accent3" w:sz="8" w:space="0"/>
          <w:left w:val="single" w:color="F2BA02" w:themeColor="accent3" w:sz="8" w:space="0"/>
          <w:bottom w:val="single" w:color="F2BA02" w:themeColor="accent3" w:sz="8" w:space="0"/>
          <w:right w:val="single" w:color="F2BA02" w:themeColor="accent3" w:sz="8" w:space="0"/>
        </w:tcBorders>
        <w:shd w:val="clear" w:color="auto" w:fill="FEEFBD" w:themeFill="accent3" w:themeFillTint="3F"/>
      </w:tcPr>
    </w:tblStylePr>
    <w:tblStylePr w:type="band1Horz">
      <w:tblPr/>
      <w:tcPr>
        <w:tcBorders>
          <w:top w:val="single" w:color="F2BA02" w:themeColor="accent3" w:sz="8" w:space="0"/>
          <w:left w:val="single" w:color="F2BA02" w:themeColor="accent3" w:sz="8" w:space="0"/>
          <w:bottom w:val="single" w:color="F2BA02" w:themeColor="accent3" w:sz="8" w:space="0"/>
          <w:right w:val="single" w:color="F2BA02" w:themeColor="accent3" w:sz="8" w:space="0"/>
          <w:insideV w:val="single" w:sz="8" w:space="0"/>
        </w:tcBorders>
        <w:shd w:val="clear" w:color="auto" w:fill="FEEFBD" w:themeFill="accent3" w:themeFillTint="3F"/>
      </w:tcPr>
    </w:tblStylePr>
    <w:tblStylePr w:type="band2Horz">
      <w:tblPr/>
      <w:tcPr>
        <w:tcBorders>
          <w:top w:val="single" w:color="F2BA02" w:themeColor="accent3" w:sz="8" w:space="0"/>
          <w:left w:val="single" w:color="F2BA02" w:themeColor="accent3" w:sz="8" w:space="0"/>
          <w:bottom w:val="single" w:color="F2BA02" w:themeColor="accent3" w:sz="8" w:space="0"/>
          <w:right w:val="single" w:color="F2BA02" w:themeColor="accent3" w:sz="8" w:space="0"/>
          <w:insideV w:val="single" w:sz="8" w:space="0"/>
        </w:tcBorders>
      </w:tcPr>
    </w:tblStylePr>
  </w:style>
  <w:style w:type="table" w:styleId="56">
    <w:name w:val="Light Grid Accent 4"/>
    <w:basedOn w:val="36"/>
    <w:uiPriority w:val="62"/>
    <w:rPr>
      <w:rFonts w:ascii="Times New Roman" w:hAnsi="Times New Roman" w:eastAsia="宋体" w:cs="Times New Roman"/>
    </w:rPr>
    <w:tblPr>
      <w:tblBorders>
        <w:top w:val="single" w:color="75BD42" w:themeColor="accent4" w:sz="8" w:space="0"/>
        <w:left w:val="single" w:color="75BD42" w:themeColor="accent4" w:sz="8" w:space="0"/>
        <w:bottom w:val="single" w:color="75BD42" w:themeColor="accent4" w:sz="8" w:space="0"/>
        <w:right w:val="single" w:color="75BD42" w:themeColor="accent4" w:sz="8" w:space="0"/>
        <w:insideH w:val="single" w:color="75BD42" w:themeColor="accent4" w:sz="8" w:space="0"/>
        <w:insideV w:val="single" w:color="75BD4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5BD42" w:themeColor="accent4" w:sz="8" w:space="0"/>
          <w:left w:val="single" w:color="75BD42" w:themeColor="accent4" w:sz="8" w:space="0"/>
          <w:bottom w:val="single" w:color="75BD42" w:themeColor="accent4" w:sz="18" w:space="0"/>
          <w:right w:val="single" w:color="75BD4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5BD42" w:themeColor="accent4" w:sz="6" w:space="0"/>
          <w:left w:val="single" w:color="75BD42" w:themeColor="accent4" w:sz="8" w:space="0"/>
          <w:bottom w:val="single" w:color="75BD42" w:themeColor="accent4" w:sz="8" w:space="0"/>
          <w:right w:val="single" w:color="75BD4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5BD42" w:themeColor="accent4" w:sz="8" w:space="0"/>
          <w:left w:val="single" w:color="75BD42" w:themeColor="accent4" w:sz="8" w:space="0"/>
          <w:bottom w:val="single" w:color="75BD42" w:themeColor="accent4" w:sz="8" w:space="0"/>
          <w:right w:val="single" w:color="75BD42" w:themeColor="accent4" w:sz="8" w:space="0"/>
        </w:tcBorders>
      </w:tcPr>
    </w:tblStylePr>
    <w:tblStylePr w:type="band1Vert">
      <w:tblPr/>
      <w:tcPr>
        <w:tcBorders>
          <w:top w:val="single" w:color="75BD42" w:themeColor="accent4" w:sz="8" w:space="0"/>
          <w:left w:val="single" w:color="75BD42" w:themeColor="accent4" w:sz="8" w:space="0"/>
          <w:bottom w:val="single" w:color="75BD42" w:themeColor="accent4" w:sz="8" w:space="0"/>
          <w:right w:val="single" w:color="75BD42" w:themeColor="accent4" w:sz="8" w:space="0"/>
        </w:tcBorders>
        <w:shd w:val="clear" w:color="auto" w:fill="DCEED0" w:themeFill="accent4" w:themeFillTint="3F"/>
      </w:tcPr>
    </w:tblStylePr>
    <w:tblStylePr w:type="band1Horz">
      <w:tblPr/>
      <w:tcPr>
        <w:tcBorders>
          <w:top w:val="single" w:color="75BD42" w:themeColor="accent4" w:sz="8" w:space="0"/>
          <w:left w:val="single" w:color="75BD42" w:themeColor="accent4" w:sz="8" w:space="0"/>
          <w:bottom w:val="single" w:color="75BD42" w:themeColor="accent4" w:sz="8" w:space="0"/>
          <w:right w:val="single" w:color="75BD42" w:themeColor="accent4" w:sz="8" w:space="0"/>
          <w:insideV w:val="single" w:sz="8" w:space="0"/>
        </w:tcBorders>
        <w:shd w:val="clear" w:color="auto" w:fill="DCEED0" w:themeFill="accent4" w:themeFillTint="3F"/>
      </w:tcPr>
    </w:tblStylePr>
    <w:tblStylePr w:type="band2Horz">
      <w:tblPr/>
      <w:tcPr>
        <w:tcBorders>
          <w:top w:val="single" w:color="75BD42" w:themeColor="accent4" w:sz="8" w:space="0"/>
          <w:left w:val="single" w:color="75BD42" w:themeColor="accent4" w:sz="8" w:space="0"/>
          <w:bottom w:val="single" w:color="75BD42" w:themeColor="accent4" w:sz="8" w:space="0"/>
          <w:right w:val="single" w:color="75BD42" w:themeColor="accent4" w:sz="8" w:space="0"/>
          <w:insideV w:val="single" w:sz="8" w:space="0"/>
        </w:tcBorders>
      </w:tcPr>
    </w:tblStylePr>
  </w:style>
  <w:style w:type="table" w:styleId="57">
    <w:name w:val="Light Grid Accent 5"/>
    <w:basedOn w:val="36"/>
    <w:qFormat/>
    <w:uiPriority w:val="62"/>
    <w:rPr>
      <w:rFonts w:ascii="Times New Roman" w:hAnsi="Times New Roman" w:eastAsia="宋体" w:cs="Times New Roman"/>
    </w:rPr>
    <w:tblPr>
      <w:tblBorders>
        <w:top w:val="single" w:color="30C0B4" w:themeColor="accent5" w:sz="8" w:space="0"/>
        <w:left w:val="single" w:color="30C0B4" w:themeColor="accent5" w:sz="8" w:space="0"/>
        <w:bottom w:val="single" w:color="30C0B4" w:themeColor="accent5" w:sz="8" w:space="0"/>
        <w:right w:val="single" w:color="30C0B4" w:themeColor="accent5" w:sz="8" w:space="0"/>
        <w:insideH w:val="single" w:color="30C0B4" w:themeColor="accent5" w:sz="8" w:space="0"/>
        <w:insideV w:val="single" w:color="30C0B4"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30C0B4" w:themeColor="accent5" w:sz="8" w:space="0"/>
          <w:left w:val="single" w:color="30C0B4" w:themeColor="accent5" w:sz="8" w:space="0"/>
          <w:bottom w:val="single" w:color="30C0B4" w:themeColor="accent5" w:sz="18" w:space="0"/>
          <w:right w:val="single" w:color="30C0B4"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30C0B4" w:themeColor="accent5" w:sz="6" w:space="0"/>
          <w:left w:val="single" w:color="30C0B4" w:themeColor="accent5" w:sz="8" w:space="0"/>
          <w:bottom w:val="single" w:color="30C0B4" w:themeColor="accent5" w:sz="8" w:space="0"/>
          <w:right w:val="single" w:color="30C0B4"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30C0B4" w:themeColor="accent5" w:sz="8" w:space="0"/>
          <w:left w:val="single" w:color="30C0B4" w:themeColor="accent5" w:sz="8" w:space="0"/>
          <w:bottom w:val="single" w:color="30C0B4" w:themeColor="accent5" w:sz="8" w:space="0"/>
          <w:right w:val="single" w:color="30C0B4" w:themeColor="accent5" w:sz="8" w:space="0"/>
        </w:tcBorders>
      </w:tcPr>
    </w:tblStylePr>
    <w:tblStylePr w:type="band1Vert">
      <w:tblPr/>
      <w:tcPr>
        <w:tcBorders>
          <w:top w:val="single" w:color="30C0B4" w:themeColor="accent5" w:sz="8" w:space="0"/>
          <w:left w:val="single" w:color="30C0B4" w:themeColor="accent5" w:sz="8" w:space="0"/>
          <w:bottom w:val="single" w:color="30C0B4" w:themeColor="accent5" w:sz="8" w:space="0"/>
          <w:right w:val="single" w:color="30C0B4" w:themeColor="accent5" w:sz="8" w:space="0"/>
        </w:tcBorders>
        <w:shd w:val="clear" w:color="auto" w:fill="C9F1EE" w:themeFill="accent5" w:themeFillTint="3F"/>
      </w:tcPr>
    </w:tblStylePr>
    <w:tblStylePr w:type="band1Horz">
      <w:tblPr/>
      <w:tcPr>
        <w:tcBorders>
          <w:top w:val="single" w:color="30C0B4" w:themeColor="accent5" w:sz="8" w:space="0"/>
          <w:left w:val="single" w:color="30C0B4" w:themeColor="accent5" w:sz="8" w:space="0"/>
          <w:bottom w:val="single" w:color="30C0B4" w:themeColor="accent5" w:sz="8" w:space="0"/>
          <w:right w:val="single" w:color="30C0B4" w:themeColor="accent5" w:sz="8" w:space="0"/>
          <w:insideV w:val="single" w:sz="8" w:space="0"/>
        </w:tcBorders>
        <w:shd w:val="clear" w:color="auto" w:fill="C9F1EE" w:themeFill="accent5" w:themeFillTint="3F"/>
      </w:tcPr>
    </w:tblStylePr>
    <w:tblStylePr w:type="band2Horz">
      <w:tblPr/>
      <w:tcPr>
        <w:tcBorders>
          <w:top w:val="single" w:color="30C0B4" w:themeColor="accent5" w:sz="8" w:space="0"/>
          <w:left w:val="single" w:color="30C0B4" w:themeColor="accent5" w:sz="8" w:space="0"/>
          <w:bottom w:val="single" w:color="30C0B4" w:themeColor="accent5" w:sz="8" w:space="0"/>
          <w:right w:val="single" w:color="30C0B4" w:themeColor="accent5" w:sz="8" w:space="0"/>
          <w:insideV w:val="single" w:sz="8" w:space="0"/>
        </w:tcBorders>
      </w:tcPr>
    </w:tblStylePr>
  </w:style>
  <w:style w:type="table" w:styleId="58">
    <w:name w:val="Light Grid Accent 6"/>
    <w:basedOn w:val="36"/>
    <w:uiPriority w:val="62"/>
    <w:rPr>
      <w:rFonts w:ascii="Times New Roman" w:hAnsi="Times New Roman" w:eastAsia="宋体" w:cs="Times New Roman"/>
    </w:rPr>
    <w:tblPr>
      <w:tblBorders>
        <w:top w:val="single" w:color="E54C5E" w:themeColor="accent6" w:sz="8" w:space="0"/>
        <w:left w:val="single" w:color="E54C5E" w:themeColor="accent6" w:sz="8" w:space="0"/>
        <w:bottom w:val="single" w:color="E54C5E" w:themeColor="accent6" w:sz="8" w:space="0"/>
        <w:right w:val="single" w:color="E54C5E" w:themeColor="accent6" w:sz="8" w:space="0"/>
        <w:insideH w:val="single" w:color="E54C5E" w:themeColor="accent6" w:sz="8" w:space="0"/>
        <w:insideV w:val="single" w:color="E54C5E"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E54C5E" w:themeColor="accent6" w:sz="8" w:space="0"/>
          <w:left w:val="single" w:color="E54C5E" w:themeColor="accent6" w:sz="8" w:space="0"/>
          <w:bottom w:val="single" w:color="E54C5E" w:themeColor="accent6" w:sz="18" w:space="0"/>
          <w:right w:val="single" w:color="E54C5E"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E54C5E" w:themeColor="accent6" w:sz="6" w:space="0"/>
          <w:left w:val="single" w:color="E54C5E" w:themeColor="accent6" w:sz="8" w:space="0"/>
          <w:bottom w:val="single" w:color="E54C5E" w:themeColor="accent6" w:sz="8" w:space="0"/>
          <w:right w:val="single" w:color="E54C5E"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E54C5E" w:themeColor="accent6" w:sz="8" w:space="0"/>
          <w:left w:val="single" w:color="E54C5E" w:themeColor="accent6" w:sz="8" w:space="0"/>
          <w:bottom w:val="single" w:color="E54C5E" w:themeColor="accent6" w:sz="8" w:space="0"/>
          <w:right w:val="single" w:color="E54C5E" w:themeColor="accent6" w:sz="8" w:space="0"/>
        </w:tcBorders>
      </w:tcPr>
    </w:tblStylePr>
    <w:tblStylePr w:type="band1Vert">
      <w:tblPr/>
      <w:tcPr>
        <w:tcBorders>
          <w:top w:val="single" w:color="E54C5E" w:themeColor="accent6" w:sz="8" w:space="0"/>
          <w:left w:val="single" w:color="E54C5E" w:themeColor="accent6" w:sz="8" w:space="0"/>
          <w:bottom w:val="single" w:color="E54C5E" w:themeColor="accent6" w:sz="8" w:space="0"/>
          <w:right w:val="single" w:color="E54C5E" w:themeColor="accent6" w:sz="8" w:space="0"/>
        </w:tcBorders>
        <w:shd w:val="clear" w:color="auto" w:fill="F8D2D7" w:themeFill="accent6" w:themeFillTint="3F"/>
      </w:tcPr>
    </w:tblStylePr>
    <w:tblStylePr w:type="band1Horz">
      <w:tblPr/>
      <w:tcPr>
        <w:tcBorders>
          <w:top w:val="single" w:color="E54C5E" w:themeColor="accent6" w:sz="8" w:space="0"/>
          <w:left w:val="single" w:color="E54C5E" w:themeColor="accent6" w:sz="8" w:space="0"/>
          <w:bottom w:val="single" w:color="E54C5E" w:themeColor="accent6" w:sz="8" w:space="0"/>
          <w:right w:val="single" w:color="E54C5E" w:themeColor="accent6" w:sz="8" w:space="0"/>
          <w:insideV w:val="single" w:sz="8" w:space="0"/>
        </w:tcBorders>
        <w:shd w:val="clear" w:color="auto" w:fill="F8D2D7" w:themeFill="accent6" w:themeFillTint="3F"/>
      </w:tcPr>
    </w:tblStylePr>
    <w:tblStylePr w:type="band2Horz">
      <w:tblPr/>
      <w:tcPr>
        <w:tcBorders>
          <w:top w:val="single" w:color="E54C5E" w:themeColor="accent6" w:sz="8" w:space="0"/>
          <w:left w:val="single" w:color="E54C5E" w:themeColor="accent6" w:sz="8" w:space="0"/>
          <w:bottom w:val="single" w:color="E54C5E" w:themeColor="accent6" w:sz="8" w:space="0"/>
          <w:right w:val="single" w:color="E54C5E" w:themeColor="accent6" w:sz="8" w:space="0"/>
          <w:insideV w:val="single" w:sz="8" w:space="0"/>
        </w:tcBorders>
      </w:tcPr>
    </w:tblStylePr>
  </w:style>
  <w:style w:type="table" w:styleId="59">
    <w:name w:val="Medium Shading 1"/>
    <w:basedOn w:val="36"/>
    <w:uiPriority w:val="63"/>
    <w:rPr>
      <w:rFonts w:ascii="Times New Roman" w:hAnsi="Times New Roman" w:eastAsia="宋体" w:cs="Times New Roman"/>
    </w:r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60">
    <w:name w:val="Medium Shading 1 Accent 1"/>
    <w:basedOn w:val="36"/>
    <w:uiPriority w:val="63"/>
    <w:rPr>
      <w:rFonts w:ascii="Times New Roman" w:hAnsi="Times New Roman" w:eastAsia="宋体" w:cs="Times New Roman"/>
    </w:rPr>
    <w:tblPr>
      <w:tblBorders>
        <w:top w:val="single" w:color="7596D8" w:themeColor="accent1" w:themeTint="BF" w:sz="8" w:space="0"/>
        <w:left w:val="single" w:color="7596D8" w:themeColor="accent1" w:themeTint="BF" w:sz="8" w:space="0"/>
        <w:bottom w:val="single" w:color="7596D8" w:themeColor="accent1" w:themeTint="BF" w:sz="8" w:space="0"/>
        <w:right w:val="single" w:color="7596D8" w:themeColor="accent1" w:themeTint="BF" w:sz="8" w:space="0"/>
        <w:insideH w:val="single" w:color="7596D8" w:themeColor="accent1"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7596D8" w:themeColor="accent1" w:themeTint="BF" w:sz="8" w:space="0"/>
          <w:left w:val="single" w:color="7596D8" w:themeColor="accent1" w:themeTint="BF" w:sz="8" w:space="0"/>
          <w:bottom w:val="single" w:color="7596D8" w:themeColor="accent1" w:themeTint="BF" w:sz="8" w:space="0"/>
          <w:right w:val="single" w:color="7596D8" w:themeColor="accent1" w:themeTint="BF" w:sz="8" w:space="0"/>
          <w:insideH w:val="nil"/>
          <w:insideV w:val="nil"/>
        </w:tcBorders>
        <w:shd w:val="clear" w:color="auto" w:fill="4874CB" w:themeFill="accent1"/>
      </w:tcPr>
    </w:tblStylePr>
    <w:tblStylePr w:type="lastRow">
      <w:pPr>
        <w:spacing w:before="0" w:after="0" w:line="240" w:lineRule="auto"/>
      </w:pPr>
      <w:rPr>
        <w:b/>
        <w:bCs/>
      </w:rPr>
      <w:tblPr/>
      <w:tcPr>
        <w:tcBorders>
          <w:top w:val="double" w:color="7596D8" w:themeColor="accent1" w:themeTint="BF" w:sz="6" w:space="0"/>
          <w:left w:val="single" w:color="7596D8" w:themeColor="accent1" w:themeTint="BF" w:sz="8" w:space="0"/>
          <w:bottom w:val="single" w:color="7596D8" w:themeColor="accent1" w:themeTint="BF" w:sz="8" w:space="0"/>
          <w:right w:val="single" w:color="7596D8"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1DCF2" w:themeFill="accent1" w:themeFillTint="3F"/>
      </w:tcPr>
    </w:tblStylePr>
    <w:tblStylePr w:type="band1Horz">
      <w:tblPr/>
      <w:tcPr>
        <w:tcBorders>
          <w:insideH w:val="nil"/>
          <w:insideV w:val="nil"/>
        </w:tcBorders>
        <w:shd w:val="clear" w:color="auto" w:fill="D1DCF2" w:themeFill="accent1" w:themeFillTint="3F"/>
      </w:tcPr>
    </w:tblStylePr>
    <w:tblStylePr w:type="band2Horz">
      <w:tblPr/>
      <w:tcPr>
        <w:tcBorders>
          <w:insideH w:val="nil"/>
          <w:insideV w:val="nil"/>
        </w:tcBorders>
      </w:tcPr>
    </w:tblStylePr>
  </w:style>
  <w:style w:type="table" w:styleId="61">
    <w:name w:val="Medium Shading 1 Accent 2"/>
    <w:basedOn w:val="36"/>
    <w:uiPriority w:val="63"/>
    <w:rPr>
      <w:rFonts w:ascii="Times New Roman" w:hAnsi="Times New Roman" w:eastAsia="宋体" w:cs="Times New Roman"/>
    </w:rPr>
    <w:tblPr>
      <w:tblBorders>
        <w:top w:val="single" w:color="F2A163" w:themeColor="accent2" w:themeTint="BF" w:sz="8" w:space="0"/>
        <w:left w:val="single" w:color="F2A163" w:themeColor="accent2" w:themeTint="BF" w:sz="8" w:space="0"/>
        <w:bottom w:val="single" w:color="F2A163" w:themeColor="accent2" w:themeTint="BF" w:sz="8" w:space="0"/>
        <w:right w:val="single" w:color="F2A163" w:themeColor="accent2" w:themeTint="BF" w:sz="8" w:space="0"/>
        <w:insideH w:val="single" w:color="F2A163" w:themeColor="accent2"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F2A163" w:themeColor="accent2" w:themeTint="BF" w:sz="8" w:space="0"/>
          <w:left w:val="single" w:color="F2A163" w:themeColor="accent2" w:themeTint="BF" w:sz="8" w:space="0"/>
          <w:bottom w:val="single" w:color="F2A163" w:themeColor="accent2" w:themeTint="BF" w:sz="8" w:space="0"/>
          <w:right w:val="single" w:color="F2A163" w:themeColor="accent2" w:themeTint="BF" w:sz="8" w:space="0"/>
          <w:insideH w:val="nil"/>
          <w:insideV w:val="nil"/>
        </w:tcBorders>
        <w:shd w:val="clear" w:color="auto" w:fill="EE822F" w:themeFill="accent2"/>
      </w:tcPr>
    </w:tblStylePr>
    <w:tblStylePr w:type="lastRow">
      <w:pPr>
        <w:spacing w:before="0" w:after="0" w:line="240" w:lineRule="auto"/>
      </w:pPr>
      <w:rPr>
        <w:b/>
        <w:bCs/>
      </w:rPr>
      <w:tblPr/>
      <w:tcPr>
        <w:tcBorders>
          <w:top w:val="double" w:color="F2A163" w:themeColor="accent2" w:themeTint="BF" w:sz="6" w:space="0"/>
          <w:left w:val="single" w:color="F2A163" w:themeColor="accent2" w:themeTint="BF" w:sz="8" w:space="0"/>
          <w:bottom w:val="single" w:color="F2A163" w:themeColor="accent2" w:themeTint="BF" w:sz="8" w:space="0"/>
          <w:right w:val="single" w:color="F2A163"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AE0CB" w:themeFill="accent2" w:themeFillTint="3F"/>
      </w:tcPr>
    </w:tblStylePr>
    <w:tblStylePr w:type="band1Horz">
      <w:tblPr/>
      <w:tcPr>
        <w:tcBorders>
          <w:insideH w:val="nil"/>
          <w:insideV w:val="nil"/>
        </w:tcBorders>
        <w:shd w:val="clear" w:color="auto" w:fill="FAE0CB" w:themeFill="accent2" w:themeFillTint="3F"/>
      </w:tcPr>
    </w:tblStylePr>
    <w:tblStylePr w:type="band2Horz">
      <w:tblPr/>
      <w:tcPr>
        <w:tcBorders>
          <w:insideH w:val="nil"/>
          <w:insideV w:val="nil"/>
        </w:tcBorders>
      </w:tcPr>
    </w:tblStylePr>
  </w:style>
  <w:style w:type="table" w:styleId="62">
    <w:name w:val="Medium Shading 1 Accent 3"/>
    <w:basedOn w:val="36"/>
    <w:uiPriority w:val="63"/>
    <w:rPr>
      <w:rFonts w:ascii="Times New Roman" w:hAnsi="Times New Roman" w:eastAsia="宋体" w:cs="Times New Roman"/>
    </w:rPr>
    <w:tblPr>
      <w:tblBorders>
        <w:top w:val="single" w:color="FDCF39" w:themeColor="accent3" w:themeTint="BF" w:sz="8" w:space="0"/>
        <w:left w:val="single" w:color="FDCF39" w:themeColor="accent3" w:themeTint="BF" w:sz="8" w:space="0"/>
        <w:bottom w:val="single" w:color="FDCF39" w:themeColor="accent3" w:themeTint="BF" w:sz="8" w:space="0"/>
        <w:right w:val="single" w:color="FDCF39" w:themeColor="accent3" w:themeTint="BF" w:sz="8" w:space="0"/>
        <w:insideH w:val="single" w:color="FDCF39" w:themeColor="accent3"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FDCF39" w:themeColor="accent3" w:themeTint="BF" w:sz="8" w:space="0"/>
          <w:left w:val="single" w:color="FDCF39" w:themeColor="accent3" w:themeTint="BF" w:sz="8" w:space="0"/>
          <w:bottom w:val="single" w:color="FDCF39" w:themeColor="accent3" w:themeTint="BF" w:sz="8" w:space="0"/>
          <w:right w:val="single" w:color="FDCF39" w:themeColor="accent3" w:themeTint="BF" w:sz="8" w:space="0"/>
          <w:insideH w:val="nil"/>
          <w:insideV w:val="nil"/>
        </w:tcBorders>
        <w:shd w:val="clear" w:color="auto" w:fill="F2BA02" w:themeFill="accent3"/>
      </w:tcPr>
    </w:tblStylePr>
    <w:tblStylePr w:type="lastRow">
      <w:pPr>
        <w:spacing w:before="0" w:after="0" w:line="240" w:lineRule="auto"/>
      </w:pPr>
      <w:rPr>
        <w:b/>
        <w:bCs/>
      </w:rPr>
      <w:tblPr/>
      <w:tcPr>
        <w:tcBorders>
          <w:top w:val="double" w:color="FDCF39" w:themeColor="accent3" w:themeTint="BF" w:sz="6" w:space="0"/>
          <w:left w:val="single" w:color="FDCF39" w:themeColor="accent3" w:themeTint="BF" w:sz="8" w:space="0"/>
          <w:bottom w:val="single" w:color="FDCF39" w:themeColor="accent3" w:themeTint="BF" w:sz="8" w:space="0"/>
          <w:right w:val="single" w:color="FDCF39"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FEEFBD" w:themeFill="accent3" w:themeFillTint="3F"/>
      </w:tcPr>
    </w:tblStylePr>
    <w:tblStylePr w:type="band1Horz">
      <w:tblPr/>
      <w:tcPr>
        <w:tcBorders>
          <w:insideH w:val="nil"/>
          <w:insideV w:val="nil"/>
        </w:tcBorders>
        <w:shd w:val="clear" w:color="auto" w:fill="FEEFBD" w:themeFill="accent3" w:themeFillTint="3F"/>
      </w:tcPr>
    </w:tblStylePr>
    <w:tblStylePr w:type="band2Horz">
      <w:tblPr/>
      <w:tcPr>
        <w:tcBorders>
          <w:insideH w:val="nil"/>
          <w:insideV w:val="nil"/>
        </w:tcBorders>
      </w:tcPr>
    </w:tblStylePr>
  </w:style>
  <w:style w:type="table" w:styleId="63">
    <w:name w:val="Medium Shading 1 Accent 4"/>
    <w:basedOn w:val="36"/>
    <w:uiPriority w:val="63"/>
    <w:rPr>
      <w:rFonts w:ascii="Times New Roman" w:hAnsi="Times New Roman" w:eastAsia="宋体" w:cs="Times New Roman"/>
    </w:rPr>
    <w:tblPr>
      <w:tblBorders>
        <w:top w:val="single" w:color="97CD71" w:themeColor="accent4" w:themeTint="BF" w:sz="8" w:space="0"/>
        <w:left w:val="single" w:color="97CD71" w:themeColor="accent4" w:themeTint="BF" w:sz="8" w:space="0"/>
        <w:bottom w:val="single" w:color="97CD71" w:themeColor="accent4" w:themeTint="BF" w:sz="8" w:space="0"/>
        <w:right w:val="single" w:color="97CD71" w:themeColor="accent4" w:themeTint="BF" w:sz="8" w:space="0"/>
        <w:insideH w:val="single" w:color="97CD71" w:themeColor="accent4"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97CD71" w:themeColor="accent4" w:themeTint="BF" w:sz="8" w:space="0"/>
          <w:left w:val="single" w:color="97CD71" w:themeColor="accent4" w:themeTint="BF" w:sz="8" w:space="0"/>
          <w:bottom w:val="single" w:color="97CD71" w:themeColor="accent4" w:themeTint="BF" w:sz="8" w:space="0"/>
          <w:right w:val="single" w:color="97CD71" w:themeColor="accent4" w:themeTint="BF" w:sz="8" w:space="0"/>
          <w:insideH w:val="nil"/>
          <w:insideV w:val="nil"/>
        </w:tcBorders>
        <w:shd w:val="clear" w:color="auto" w:fill="75BD42" w:themeFill="accent4"/>
      </w:tcPr>
    </w:tblStylePr>
    <w:tblStylePr w:type="lastRow">
      <w:pPr>
        <w:spacing w:before="0" w:after="0" w:line="240" w:lineRule="auto"/>
      </w:pPr>
      <w:rPr>
        <w:b/>
        <w:bCs/>
      </w:rPr>
      <w:tblPr/>
      <w:tcPr>
        <w:tcBorders>
          <w:top w:val="double" w:color="97CD71" w:themeColor="accent4" w:themeTint="BF" w:sz="6" w:space="0"/>
          <w:left w:val="single" w:color="97CD71" w:themeColor="accent4" w:themeTint="BF" w:sz="8" w:space="0"/>
          <w:bottom w:val="single" w:color="97CD71" w:themeColor="accent4" w:themeTint="BF" w:sz="8" w:space="0"/>
          <w:right w:val="single" w:color="97CD71"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CEED0" w:themeFill="accent4" w:themeFillTint="3F"/>
      </w:tcPr>
    </w:tblStylePr>
    <w:tblStylePr w:type="band1Horz">
      <w:tblPr/>
      <w:tcPr>
        <w:tcBorders>
          <w:insideH w:val="nil"/>
          <w:insideV w:val="nil"/>
        </w:tcBorders>
        <w:shd w:val="clear" w:color="auto" w:fill="DCEED0" w:themeFill="accent4" w:themeFillTint="3F"/>
      </w:tcPr>
    </w:tblStylePr>
    <w:tblStylePr w:type="band2Horz">
      <w:tblPr/>
      <w:tcPr>
        <w:tcBorders>
          <w:insideH w:val="nil"/>
          <w:insideV w:val="nil"/>
        </w:tcBorders>
      </w:tcPr>
    </w:tblStylePr>
  </w:style>
  <w:style w:type="table" w:styleId="64">
    <w:name w:val="Medium Shading 1 Accent 5"/>
    <w:basedOn w:val="36"/>
    <w:uiPriority w:val="63"/>
    <w:rPr>
      <w:rFonts w:ascii="Times New Roman" w:hAnsi="Times New Roman" w:eastAsia="宋体" w:cs="Times New Roman"/>
    </w:rPr>
    <w:tblPr>
      <w:tblBorders>
        <w:top w:val="single" w:color="5DD6CC" w:themeColor="accent5" w:themeTint="BF" w:sz="8" w:space="0"/>
        <w:left w:val="single" w:color="5DD6CC" w:themeColor="accent5" w:themeTint="BF" w:sz="8" w:space="0"/>
        <w:bottom w:val="single" w:color="5DD6CC" w:themeColor="accent5" w:themeTint="BF" w:sz="8" w:space="0"/>
        <w:right w:val="single" w:color="5DD6CC" w:themeColor="accent5" w:themeTint="BF" w:sz="8" w:space="0"/>
        <w:insideH w:val="single" w:color="5DD6CC" w:themeColor="accent5"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5DD6CC" w:themeColor="accent5" w:themeTint="BF" w:sz="8" w:space="0"/>
          <w:left w:val="single" w:color="5DD6CC" w:themeColor="accent5" w:themeTint="BF" w:sz="8" w:space="0"/>
          <w:bottom w:val="single" w:color="5DD6CC" w:themeColor="accent5" w:themeTint="BF" w:sz="8" w:space="0"/>
          <w:right w:val="single" w:color="5DD6CC" w:themeColor="accent5" w:themeTint="BF" w:sz="8" w:space="0"/>
          <w:insideH w:val="nil"/>
          <w:insideV w:val="nil"/>
        </w:tcBorders>
        <w:shd w:val="clear" w:color="auto" w:fill="30C0B4" w:themeFill="accent5"/>
      </w:tcPr>
    </w:tblStylePr>
    <w:tblStylePr w:type="lastRow">
      <w:pPr>
        <w:spacing w:before="0" w:after="0" w:line="240" w:lineRule="auto"/>
      </w:pPr>
      <w:rPr>
        <w:b/>
        <w:bCs/>
      </w:rPr>
      <w:tblPr/>
      <w:tcPr>
        <w:tcBorders>
          <w:top w:val="double" w:color="5DD6CC" w:themeColor="accent5" w:themeTint="BF" w:sz="6" w:space="0"/>
          <w:left w:val="single" w:color="5DD6CC" w:themeColor="accent5" w:themeTint="BF" w:sz="8" w:space="0"/>
          <w:bottom w:val="single" w:color="5DD6CC" w:themeColor="accent5" w:themeTint="BF" w:sz="8" w:space="0"/>
          <w:right w:val="single" w:color="5DD6CC"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C9F1EE" w:themeFill="accent5" w:themeFillTint="3F"/>
      </w:tcPr>
    </w:tblStylePr>
    <w:tblStylePr w:type="band1Horz">
      <w:tblPr/>
      <w:tcPr>
        <w:tcBorders>
          <w:insideH w:val="nil"/>
          <w:insideV w:val="nil"/>
        </w:tcBorders>
        <w:shd w:val="clear" w:color="auto" w:fill="C9F1EE" w:themeFill="accent5" w:themeFillTint="3F"/>
      </w:tcPr>
    </w:tblStylePr>
    <w:tblStylePr w:type="band2Horz">
      <w:tblPr/>
      <w:tcPr>
        <w:tcBorders>
          <w:insideH w:val="nil"/>
          <w:insideV w:val="nil"/>
        </w:tcBorders>
      </w:tcPr>
    </w:tblStylePr>
  </w:style>
  <w:style w:type="table" w:styleId="65">
    <w:name w:val="Medium Shading 1 Accent 6"/>
    <w:basedOn w:val="36"/>
    <w:uiPriority w:val="63"/>
    <w:rPr>
      <w:rFonts w:ascii="Times New Roman" w:hAnsi="Times New Roman" w:eastAsia="宋体" w:cs="Times New Roman"/>
    </w:rPr>
    <w:tblPr>
      <w:tblBorders>
        <w:top w:val="single" w:color="EB7886" w:themeColor="accent6" w:themeTint="BF" w:sz="8" w:space="0"/>
        <w:left w:val="single" w:color="EB7886" w:themeColor="accent6" w:themeTint="BF" w:sz="8" w:space="0"/>
        <w:bottom w:val="single" w:color="EB7886" w:themeColor="accent6" w:themeTint="BF" w:sz="8" w:space="0"/>
        <w:right w:val="single" w:color="EB7886" w:themeColor="accent6" w:themeTint="BF" w:sz="8" w:space="0"/>
        <w:insideH w:val="single" w:color="EB7886" w:themeColor="accent6"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EB7886" w:themeColor="accent6" w:themeTint="BF" w:sz="8" w:space="0"/>
          <w:left w:val="single" w:color="EB7886" w:themeColor="accent6" w:themeTint="BF" w:sz="8" w:space="0"/>
          <w:bottom w:val="single" w:color="EB7886" w:themeColor="accent6" w:themeTint="BF" w:sz="8" w:space="0"/>
          <w:right w:val="single" w:color="EB7886" w:themeColor="accent6" w:themeTint="BF" w:sz="8" w:space="0"/>
          <w:insideH w:val="nil"/>
          <w:insideV w:val="nil"/>
        </w:tcBorders>
        <w:shd w:val="clear" w:color="auto" w:fill="E54C5E" w:themeFill="accent6"/>
      </w:tcPr>
    </w:tblStylePr>
    <w:tblStylePr w:type="lastRow">
      <w:pPr>
        <w:spacing w:before="0" w:after="0" w:line="240" w:lineRule="auto"/>
      </w:pPr>
      <w:rPr>
        <w:b/>
        <w:bCs/>
      </w:rPr>
      <w:tblPr/>
      <w:tcPr>
        <w:tcBorders>
          <w:top w:val="double" w:color="EB7886" w:themeColor="accent6" w:themeTint="BF" w:sz="6" w:space="0"/>
          <w:left w:val="single" w:color="EB7886" w:themeColor="accent6" w:themeTint="BF" w:sz="8" w:space="0"/>
          <w:bottom w:val="single" w:color="EB7886" w:themeColor="accent6" w:themeTint="BF" w:sz="8" w:space="0"/>
          <w:right w:val="single" w:color="EB7886"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8D2D7" w:themeFill="accent6" w:themeFillTint="3F"/>
      </w:tcPr>
    </w:tblStylePr>
    <w:tblStylePr w:type="band1Horz">
      <w:tblPr/>
      <w:tcPr>
        <w:tcBorders>
          <w:insideH w:val="nil"/>
          <w:insideV w:val="nil"/>
        </w:tcBorders>
        <w:shd w:val="clear" w:color="auto" w:fill="F8D2D7" w:themeFill="accent6" w:themeFillTint="3F"/>
      </w:tcPr>
    </w:tblStylePr>
    <w:tblStylePr w:type="band2Horz">
      <w:tblPr/>
      <w:tcPr>
        <w:tcBorders>
          <w:insideH w:val="nil"/>
          <w:insideV w:val="nil"/>
        </w:tcBorders>
      </w:tcPr>
    </w:tblStylePr>
  </w:style>
  <w:style w:type="table" w:styleId="66">
    <w:name w:val="Medium Shading 2"/>
    <w:basedOn w:val="36"/>
    <w:uiPriority w:val="64"/>
    <w:rPr>
      <w:rFonts w:ascii="Times New Roman" w:hAnsi="Times New Roman" w:eastAsia="宋体" w:cs="Times New Roman"/>
    </w:r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7">
    <w:name w:val="Medium Shading 2 Accent 1"/>
    <w:basedOn w:val="36"/>
    <w:uiPriority w:val="64"/>
    <w:rPr>
      <w:rFonts w:ascii="Times New Roman" w:hAnsi="Times New Roman" w:eastAsia="宋体" w:cs="Times New Roman"/>
    </w:r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874CB"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874CB"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874CB"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8">
    <w:name w:val="Medium Shading 2 Accent 2"/>
    <w:basedOn w:val="36"/>
    <w:uiPriority w:val="64"/>
    <w:rPr>
      <w:rFonts w:ascii="Times New Roman" w:hAnsi="Times New Roman" w:eastAsia="宋体" w:cs="Times New Roman"/>
    </w:r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EE822F"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EE822F"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EE822F"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Shading 2 Accent 3"/>
    <w:basedOn w:val="36"/>
    <w:uiPriority w:val="64"/>
    <w:rPr>
      <w:rFonts w:ascii="Times New Roman" w:hAnsi="Times New Roman" w:eastAsia="宋体" w:cs="Times New Roman"/>
    </w:r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2BA02"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2BA02"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2BA02"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0">
    <w:name w:val="Medium Shading 2 Accent 4"/>
    <w:basedOn w:val="36"/>
    <w:uiPriority w:val="64"/>
    <w:rPr>
      <w:rFonts w:ascii="Times New Roman" w:hAnsi="Times New Roman" w:eastAsia="宋体" w:cs="Times New Roman"/>
    </w:r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75BD4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75BD4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75BD4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1">
    <w:name w:val="Medium Shading 2 Accent 5"/>
    <w:basedOn w:val="36"/>
    <w:uiPriority w:val="64"/>
    <w:rPr>
      <w:rFonts w:ascii="Times New Roman" w:hAnsi="Times New Roman" w:eastAsia="宋体" w:cs="Times New Roman"/>
    </w:r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30C0B4"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30C0B4"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30C0B4"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2">
    <w:name w:val="Medium Shading 2 Accent 6"/>
    <w:basedOn w:val="36"/>
    <w:uiPriority w:val="64"/>
    <w:rPr>
      <w:rFonts w:ascii="Times New Roman" w:hAnsi="Times New Roman" w:eastAsia="宋体" w:cs="Times New Roman"/>
    </w:r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E54C5E"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E54C5E"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E54C5E"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3">
    <w:name w:val="Medium List 1"/>
    <w:basedOn w:val="36"/>
    <w:uiPriority w:val="65"/>
    <w:rPr>
      <w:rFonts w:ascii="Times New Roman" w:hAnsi="Times New Roman" w:eastAsia="宋体" w:cs="Times New Roman"/>
      <w:color w:val="000000" w:themeColor="text1"/>
      <w14:textFill>
        <w14:solidFill>
          <w14:schemeClr w14:val="tx1"/>
        </w14:solidFill>
      </w14:textFill>
    </w:rPr>
    <w:tblPr>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44546A"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4">
    <w:name w:val="Medium List 1 Accent 1"/>
    <w:basedOn w:val="36"/>
    <w:uiPriority w:val="65"/>
    <w:rPr>
      <w:rFonts w:ascii="Times New Roman" w:hAnsi="Times New Roman" w:eastAsia="宋体" w:cs="Times New Roman"/>
      <w:color w:val="000000" w:themeColor="text1"/>
      <w14:textFill>
        <w14:solidFill>
          <w14:schemeClr w14:val="tx1"/>
        </w14:solidFill>
      </w14:textFill>
    </w:rPr>
    <w:tblPr>
      <w:tblBorders>
        <w:top w:val="single" w:color="4874CB" w:themeColor="accent1" w:sz="8" w:space="0"/>
        <w:bottom w:val="single" w:color="4874CB" w:themeColor="accent1" w:sz="8" w:space="0"/>
      </w:tblBorders>
    </w:tblPr>
    <w:tblStylePr w:type="firstRow">
      <w:rPr>
        <w:rFonts w:asciiTheme="majorHAnsi" w:hAnsiTheme="majorHAnsi" w:eastAsiaTheme="majorEastAsia" w:cstheme="majorBidi"/>
      </w:rPr>
      <w:tblPr/>
      <w:tcPr>
        <w:tcBorders>
          <w:top w:val="nil"/>
          <w:bottom w:val="single" w:color="4874CB" w:themeColor="accent1" w:sz="8" w:space="0"/>
        </w:tcBorders>
      </w:tcPr>
    </w:tblStylePr>
    <w:tblStylePr w:type="lastRow">
      <w:rPr>
        <w:b/>
        <w:bCs/>
        <w:color w:val="44546A" w:themeColor="text2"/>
        <w14:textFill>
          <w14:solidFill>
            <w14:schemeClr w14:val="tx2"/>
          </w14:solidFill>
        </w14:textFill>
      </w:rPr>
      <w:tblPr/>
      <w:tcPr>
        <w:tcBorders>
          <w:top w:val="single" w:color="4874CB" w:themeColor="accent1" w:sz="8" w:space="0"/>
          <w:bottom w:val="single" w:color="4874CB" w:themeColor="accent1" w:sz="8" w:space="0"/>
        </w:tcBorders>
      </w:tcPr>
    </w:tblStylePr>
    <w:tblStylePr w:type="firstCol">
      <w:rPr>
        <w:b/>
        <w:bCs/>
      </w:rPr>
    </w:tblStylePr>
    <w:tblStylePr w:type="lastCol">
      <w:rPr>
        <w:b/>
        <w:bCs/>
      </w:rPr>
      <w:tblPr/>
      <w:tcPr>
        <w:tcBorders>
          <w:top w:val="single" w:color="4874CB" w:themeColor="accent1" w:sz="8" w:space="0"/>
          <w:bottom w:val="single" w:color="4874CB" w:themeColor="accent1" w:sz="8" w:space="0"/>
        </w:tcBorders>
      </w:tcPr>
    </w:tblStylePr>
    <w:tblStylePr w:type="band1Vert">
      <w:tblPr/>
      <w:tcPr>
        <w:shd w:val="clear" w:color="auto" w:fill="D1DCF2" w:themeFill="accent1" w:themeFillTint="3F"/>
      </w:tcPr>
    </w:tblStylePr>
    <w:tblStylePr w:type="band1Horz">
      <w:tblPr/>
      <w:tcPr>
        <w:shd w:val="clear" w:color="auto" w:fill="D1DCF2" w:themeFill="accent1" w:themeFillTint="3F"/>
      </w:tcPr>
    </w:tblStylePr>
  </w:style>
  <w:style w:type="table" w:styleId="75">
    <w:name w:val="Medium List 1 Accent 2"/>
    <w:basedOn w:val="36"/>
    <w:uiPriority w:val="65"/>
    <w:rPr>
      <w:rFonts w:ascii="Times New Roman" w:hAnsi="Times New Roman" w:eastAsia="宋体" w:cs="Times New Roman"/>
      <w:color w:val="000000" w:themeColor="text1"/>
      <w14:textFill>
        <w14:solidFill>
          <w14:schemeClr w14:val="tx1"/>
        </w14:solidFill>
      </w14:textFill>
    </w:rPr>
    <w:tblPr>
      <w:tblBorders>
        <w:top w:val="single" w:color="EE822F" w:themeColor="accent2" w:sz="8" w:space="0"/>
        <w:bottom w:val="single" w:color="EE822F" w:themeColor="accent2" w:sz="8" w:space="0"/>
      </w:tblBorders>
    </w:tblPr>
    <w:tblStylePr w:type="firstRow">
      <w:rPr>
        <w:rFonts w:asciiTheme="majorHAnsi" w:hAnsiTheme="majorHAnsi" w:eastAsiaTheme="majorEastAsia" w:cstheme="majorBidi"/>
      </w:rPr>
      <w:tblPr/>
      <w:tcPr>
        <w:tcBorders>
          <w:top w:val="nil"/>
          <w:bottom w:val="single" w:color="EE822F" w:themeColor="accent2" w:sz="8" w:space="0"/>
        </w:tcBorders>
      </w:tcPr>
    </w:tblStylePr>
    <w:tblStylePr w:type="lastRow">
      <w:rPr>
        <w:b/>
        <w:bCs/>
        <w:color w:val="44546A" w:themeColor="text2"/>
        <w14:textFill>
          <w14:solidFill>
            <w14:schemeClr w14:val="tx2"/>
          </w14:solidFill>
        </w14:textFill>
      </w:rPr>
      <w:tblPr/>
      <w:tcPr>
        <w:tcBorders>
          <w:top w:val="single" w:color="EE822F" w:themeColor="accent2" w:sz="8" w:space="0"/>
          <w:bottom w:val="single" w:color="EE822F" w:themeColor="accent2" w:sz="8" w:space="0"/>
        </w:tcBorders>
      </w:tcPr>
    </w:tblStylePr>
    <w:tblStylePr w:type="firstCol">
      <w:rPr>
        <w:b/>
        <w:bCs/>
      </w:rPr>
    </w:tblStylePr>
    <w:tblStylePr w:type="lastCol">
      <w:rPr>
        <w:b/>
        <w:bCs/>
      </w:rPr>
      <w:tblPr/>
      <w:tcPr>
        <w:tcBorders>
          <w:top w:val="single" w:color="EE822F" w:themeColor="accent2" w:sz="8" w:space="0"/>
          <w:bottom w:val="single" w:color="EE822F" w:themeColor="accent2" w:sz="8" w:space="0"/>
        </w:tcBorders>
      </w:tcPr>
    </w:tblStylePr>
    <w:tblStylePr w:type="band1Vert">
      <w:tblPr/>
      <w:tcPr>
        <w:shd w:val="clear" w:color="auto" w:fill="FAE0CB" w:themeFill="accent2" w:themeFillTint="3F"/>
      </w:tcPr>
    </w:tblStylePr>
    <w:tblStylePr w:type="band1Horz">
      <w:tblPr/>
      <w:tcPr>
        <w:shd w:val="clear" w:color="auto" w:fill="FAE0CB" w:themeFill="accent2" w:themeFillTint="3F"/>
      </w:tcPr>
    </w:tblStylePr>
  </w:style>
  <w:style w:type="table" w:styleId="76">
    <w:name w:val="Medium List 1 Accent 3"/>
    <w:basedOn w:val="36"/>
    <w:uiPriority w:val="65"/>
    <w:rPr>
      <w:rFonts w:ascii="Times New Roman" w:hAnsi="Times New Roman" w:eastAsia="宋体" w:cs="Times New Roman"/>
      <w:color w:val="000000" w:themeColor="text1"/>
      <w14:textFill>
        <w14:solidFill>
          <w14:schemeClr w14:val="tx1"/>
        </w14:solidFill>
      </w14:textFill>
    </w:rPr>
    <w:tblPr>
      <w:tblBorders>
        <w:top w:val="single" w:color="F2BA02" w:themeColor="accent3" w:sz="8" w:space="0"/>
        <w:bottom w:val="single" w:color="F2BA02" w:themeColor="accent3" w:sz="8" w:space="0"/>
      </w:tblBorders>
    </w:tblPr>
    <w:tblStylePr w:type="firstRow">
      <w:rPr>
        <w:rFonts w:asciiTheme="majorHAnsi" w:hAnsiTheme="majorHAnsi" w:eastAsiaTheme="majorEastAsia" w:cstheme="majorBidi"/>
      </w:rPr>
      <w:tblPr/>
      <w:tcPr>
        <w:tcBorders>
          <w:top w:val="nil"/>
          <w:bottom w:val="single" w:color="F2BA02" w:themeColor="accent3" w:sz="8" w:space="0"/>
        </w:tcBorders>
      </w:tcPr>
    </w:tblStylePr>
    <w:tblStylePr w:type="lastRow">
      <w:rPr>
        <w:b/>
        <w:bCs/>
        <w:color w:val="44546A" w:themeColor="text2"/>
        <w14:textFill>
          <w14:solidFill>
            <w14:schemeClr w14:val="tx2"/>
          </w14:solidFill>
        </w14:textFill>
      </w:rPr>
      <w:tblPr/>
      <w:tcPr>
        <w:tcBorders>
          <w:top w:val="single" w:color="F2BA02" w:themeColor="accent3" w:sz="8" w:space="0"/>
          <w:bottom w:val="single" w:color="F2BA02" w:themeColor="accent3" w:sz="8" w:space="0"/>
        </w:tcBorders>
      </w:tcPr>
    </w:tblStylePr>
    <w:tblStylePr w:type="firstCol">
      <w:rPr>
        <w:b/>
        <w:bCs/>
      </w:rPr>
    </w:tblStylePr>
    <w:tblStylePr w:type="lastCol">
      <w:rPr>
        <w:b/>
        <w:bCs/>
      </w:rPr>
      <w:tblPr/>
      <w:tcPr>
        <w:tcBorders>
          <w:top w:val="single" w:color="F2BA02" w:themeColor="accent3" w:sz="8" w:space="0"/>
          <w:bottom w:val="single" w:color="F2BA02" w:themeColor="accent3" w:sz="8" w:space="0"/>
        </w:tcBorders>
      </w:tcPr>
    </w:tblStylePr>
    <w:tblStylePr w:type="band1Vert">
      <w:tblPr/>
      <w:tcPr>
        <w:shd w:val="clear" w:color="auto" w:fill="FEEFBD" w:themeFill="accent3" w:themeFillTint="3F"/>
      </w:tcPr>
    </w:tblStylePr>
    <w:tblStylePr w:type="band1Horz">
      <w:tblPr/>
      <w:tcPr>
        <w:shd w:val="clear" w:color="auto" w:fill="FEEFBD" w:themeFill="accent3" w:themeFillTint="3F"/>
      </w:tcPr>
    </w:tblStylePr>
  </w:style>
  <w:style w:type="table" w:styleId="77">
    <w:name w:val="Medium List 1 Accent 4"/>
    <w:basedOn w:val="36"/>
    <w:uiPriority w:val="65"/>
    <w:rPr>
      <w:rFonts w:ascii="Times New Roman" w:hAnsi="Times New Roman" w:eastAsia="宋体" w:cs="Times New Roman"/>
      <w:color w:val="000000" w:themeColor="text1"/>
      <w14:textFill>
        <w14:solidFill>
          <w14:schemeClr w14:val="tx1"/>
        </w14:solidFill>
      </w14:textFill>
    </w:rPr>
    <w:tblPr>
      <w:tblBorders>
        <w:top w:val="single" w:color="75BD42" w:themeColor="accent4" w:sz="8" w:space="0"/>
        <w:bottom w:val="single" w:color="75BD42" w:themeColor="accent4" w:sz="8" w:space="0"/>
      </w:tblBorders>
    </w:tblPr>
    <w:tblStylePr w:type="firstRow">
      <w:rPr>
        <w:rFonts w:asciiTheme="majorHAnsi" w:hAnsiTheme="majorHAnsi" w:eastAsiaTheme="majorEastAsia" w:cstheme="majorBidi"/>
      </w:rPr>
      <w:tblPr/>
      <w:tcPr>
        <w:tcBorders>
          <w:top w:val="nil"/>
          <w:bottom w:val="single" w:color="75BD42" w:themeColor="accent4" w:sz="8" w:space="0"/>
        </w:tcBorders>
      </w:tcPr>
    </w:tblStylePr>
    <w:tblStylePr w:type="lastRow">
      <w:rPr>
        <w:b/>
        <w:bCs/>
        <w:color w:val="44546A" w:themeColor="text2"/>
        <w14:textFill>
          <w14:solidFill>
            <w14:schemeClr w14:val="tx2"/>
          </w14:solidFill>
        </w14:textFill>
      </w:rPr>
      <w:tblPr/>
      <w:tcPr>
        <w:tcBorders>
          <w:top w:val="single" w:color="75BD42" w:themeColor="accent4" w:sz="8" w:space="0"/>
          <w:bottom w:val="single" w:color="75BD42" w:themeColor="accent4" w:sz="8" w:space="0"/>
        </w:tcBorders>
      </w:tcPr>
    </w:tblStylePr>
    <w:tblStylePr w:type="firstCol">
      <w:rPr>
        <w:b/>
        <w:bCs/>
      </w:rPr>
    </w:tblStylePr>
    <w:tblStylePr w:type="lastCol">
      <w:rPr>
        <w:b/>
        <w:bCs/>
      </w:rPr>
      <w:tblPr/>
      <w:tcPr>
        <w:tcBorders>
          <w:top w:val="single" w:color="75BD42" w:themeColor="accent4" w:sz="8" w:space="0"/>
          <w:bottom w:val="single" w:color="75BD42" w:themeColor="accent4" w:sz="8" w:space="0"/>
        </w:tcBorders>
      </w:tcPr>
    </w:tblStylePr>
    <w:tblStylePr w:type="band1Vert">
      <w:tblPr/>
      <w:tcPr>
        <w:shd w:val="clear" w:color="auto" w:fill="DCEED0" w:themeFill="accent4" w:themeFillTint="3F"/>
      </w:tcPr>
    </w:tblStylePr>
    <w:tblStylePr w:type="band1Horz">
      <w:tblPr/>
      <w:tcPr>
        <w:shd w:val="clear" w:color="auto" w:fill="DCEED0" w:themeFill="accent4" w:themeFillTint="3F"/>
      </w:tcPr>
    </w:tblStylePr>
  </w:style>
  <w:style w:type="table" w:styleId="78">
    <w:name w:val="Medium List 1 Accent 5"/>
    <w:basedOn w:val="36"/>
    <w:uiPriority w:val="65"/>
    <w:rPr>
      <w:rFonts w:ascii="Times New Roman" w:hAnsi="Times New Roman" w:eastAsia="宋体" w:cs="Times New Roman"/>
      <w:color w:val="000000" w:themeColor="text1"/>
      <w14:textFill>
        <w14:solidFill>
          <w14:schemeClr w14:val="tx1"/>
        </w14:solidFill>
      </w14:textFill>
    </w:rPr>
    <w:tblPr>
      <w:tblBorders>
        <w:top w:val="single" w:color="30C0B4" w:themeColor="accent5" w:sz="8" w:space="0"/>
        <w:bottom w:val="single" w:color="30C0B4" w:themeColor="accent5" w:sz="8" w:space="0"/>
      </w:tblBorders>
    </w:tblPr>
    <w:tblStylePr w:type="firstRow">
      <w:rPr>
        <w:rFonts w:asciiTheme="majorHAnsi" w:hAnsiTheme="majorHAnsi" w:eastAsiaTheme="majorEastAsia" w:cstheme="majorBidi"/>
      </w:rPr>
      <w:tblPr/>
      <w:tcPr>
        <w:tcBorders>
          <w:top w:val="nil"/>
          <w:bottom w:val="single" w:color="30C0B4" w:themeColor="accent5" w:sz="8" w:space="0"/>
        </w:tcBorders>
      </w:tcPr>
    </w:tblStylePr>
    <w:tblStylePr w:type="lastRow">
      <w:rPr>
        <w:b/>
        <w:bCs/>
        <w:color w:val="44546A" w:themeColor="text2"/>
        <w14:textFill>
          <w14:solidFill>
            <w14:schemeClr w14:val="tx2"/>
          </w14:solidFill>
        </w14:textFill>
      </w:rPr>
      <w:tblPr/>
      <w:tcPr>
        <w:tcBorders>
          <w:top w:val="single" w:color="30C0B4" w:themeColor="accent5" w:sz="8" w:space="0"/>
          <w:bottom w:val="single" w:color="30C0B4" w:themeColor="accent5" w:sz="8" w:space="0"/>
        </w:tcBorders>
      </w:tcPr>
    </w:tblStylePr>
    <w:tblStylePr w:type="firstCol">
      <w:rPr>
        <w:b/>
        <w:bCs/>
      </w:rPr>
    </w:tblStylePr>
    <w:tblStylePr w:type="lastCol">
      <w:rPr>
        <w:b/>
        <w:bCs/>
      </w:rPr>
      <w:tblPr/>
      <w:tcPr>
        <w:tcBorders>
          <w:top w:val="single" w:color="30C0B4" w:themeColor="accent5" w:sz="8" w:space="0"/>
          <w:bottom w:val="single" w:color="30C0B4" w:themeColor="accent5" w:sz="8" w:space="0"/>
        </w:tcBorders>
      </w:tcPr>
    </w:tblStylePr>
    <w:tblStylePr w:type="band1Vert">
      <w:tblPr/>
      <w:tcPr>
        <w:shd w:val="clear" w:color="auto" w:fill="C9F1EE" w:themeFill="accent5" w:themeFillTint="3F"/>
      </w:tcPr>
    </w:tblStylePr>
    <w:tblStylePr w:type="band1Horz">
      <w:tblPr/>
      <w:tcPr>
        <w:shd w:val="clear" w:color="auto" w:fill="C9F1EE" w:themeFill="accent5" w:themeFillTint="3F"/>
      </w:tcPr>
    </w:tblStylePr>
  </w:style>
  <w:style w:type="table" w:styleId="79">
    <w:name w:val="Medium List 1 Accent 6"/>
    <w:basedOn w:val="36"/>
    <w:uiPriority w:val="65"/>
    <w:rPr>
      <w:rFonts w:ascii="Times New Roman" w:hAnsi="Times New Roman" w:eastAsia="宋体" w:cs="Times New Roman"/>
      <w:color w:val="000000" w:themeColor="text1"/>
      <w14:textFill>
        <w14:solidFill>
          <w14:schemeClr w14:val="tx1"/>
        </w14:solidFill>
      </w14:textFill>
    </w:rPr>
    <w:tblPr>
      <w:tblBorders>
        <w:top w:val="single" w:color="E54C5E" w:themeColor="accent6" w:sz="8" w:space="0"/>
        <w:bottom w:val="single" w:color="E54C5E" w:themeColor="accent6" w:sz="8" w:space="0"/>
      </w:tblBorders>
    </w:tblPr>
    <w:tblStylePr w:type="firstRow">
      <w:rPr>
        <w:rFonts w:asciiTheme="majorHAnsi" w:hAnsiTheme="majorHAnsi" w:eastAsiaTheme="majorEastAsia" w:cstheme="majorBidi"/>
      </w:rPr>
      <w:tblPr/>
      <w:tcPr>
        <w:tcBorders>
          <w:top w:val="nil"/>
          <w:bottom w:val="single" w:color="E54C5E" w:themeColor="accent6" w:sz="8" w:space="0"/>
        </w:tcBorders>
      </w:tcPr>
    </w:tblStylePr>
    <w:tblStylePr w:type="lastRow">
      <w:rPr>
        <w:b/>
        <w:bCs/>
        <w:color w:val="44546A" w:themeColor="text2"/>
        <w14:textFill>
          <w14:solidFill>
            <w14:schemeClr w14:val="tx2"/>
          </w14:solidFill>
        </w14:textFill>
      </w:rPr>
      <w:tblPr/>
      <w:tcPr>
        <w:tcBorders>
          <w:top w:val="single" w:color="E54C5E" w:themeColor="accent6" w:sz="8" w:space="0"/>
          <w:bottom w:val="single" w:color="E54C5E" w:themeColor="accent6" w:sz="8" w:space="0"/>
        </w:tcBorders>
      </w:tcPr>
    </w:tblStylePr>
    <w:tblStylePr w:type="firstCol">
      <w:rPr>
        <w:b/>
        <w:bCs/>
      </w:rPr>
    </w:tblStylePr>
    <w:tblStylePr w:type="lastCol">
      <w:rPr>
        <w:b/>
        <w:bCs/>
      </w:rPr>
      <w:tblPr/>
      <w:tcPr>
        <w:tcBorders>
          <w:top w:val="single" w:color="E54C5E" w:themeColor="accent6" w:sz="8" w:space="0"/>
          <w:bottom w:val="single" w:color="E54C5E" w:themeColor="accent6" w:sz="8" w:space="0"/>
        </w:tcBorders>
      </w:tcPr>
    </w:tblStylePr>
    <w:tblStylePr w:type="band1Vert">
      <w:tblPr/>
      <w:tcPr>
        <w:shd w:val="clear" w:color="auto" w:fill="F8D2D7" w:themeFill="accent6" w:themeFillTint="3F"/>
      </w:tcPr>
    </w:tblStylePr>
    <w:tblStylePr w:type="band1Horz">
      <w:tblPr/>
      <w:tcPr>
        <w:shd w:val="clear" w:color="auto" w:fill="F8D2D7" w:themeFill="accent6" w:themeFillTint="3F"/>
      </w:tcPr>
    </w:tblStylePr>
  </w:style>
  <w:style w:type="table" w:styleId="80">
    <w:name w:val="Medium List 2"/>
    <w:basedOn w:val="36"/>
    <w:uiPriority w:val="66"/>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81">
    <w:name w:val="Medium List 2 Accent 1"/>
    <w:basedOn w:val="36"/>
    <w:uiPriority w:val="66"/>
    <w:rPr>
      <w:rFonts w:asciiTheme="majorHAnsi" w:hAnsiTheme="majorHAnsi" w:eastAsiaTheme="majorEastAsia" w:cstheme="majorBidi"/>
      <w:color w:val="000000" w:themeColor="text1"/>
      <w14:textFill>
        <w14:solidFill>
          <w14:schemeClr w14:val="tx1"/>
        </w14:solidFill>
      </w14:textFill>
    </w:rPr>
    <w:tblPr>
      <w:tblBorders>
        <w:top w:val="single" w:color="4874CB" w:themeColor="accent1" w:sz="8" w:space="0"/>
        <w:left w:val="single" w:color="4874CB" w:themeColor="accent1" w:sz="8" w:space="0"/>
        <w:bottom w:val="single" w:color="4874CB" w:themeColor="accent1" w:sz="8" w:space="0"/>
        <w:right w:val="single" w:color="4874CB" w:themeColor="accent1" w:sz="8" w:space="0"/>
      </w:tblBorders>
    </w:tblPr>
    <w:tblStylePr w:type="firstRow">
      <w:rPr>
        <w:sz w:val="24"/>
        <w:szCs w:val="24"/>
      </w:rPr>
      <w:tblPr/>
      <w:tcPr>
        <w:tcBorders>
          <w:top w:val="nil"/>
          <w:left w:val="nil"/>
          <w:bottom w:val="single" w:color="4874CB" w:themeColor="accent1" w:sz="24" w:space="0"/>
          <w:right w:val="nil"/>
          <w:insideH w:val="nil"/>
          <w:insideV w:val="nil"/>
        </w:tcBorders>
        <w:shd w:val="clear" w:color="auto" w:fill="FFFFFF" w:themeFill="background1"/>
      </w:tcPr>
    </w:tblStylePr>
    <w:tblStylePr w:type="lastRow">
      <w:tblPr/>
      <w:tcPr>
        <w:tcBorders>
          <w:top w:val="single" w:color="4874CB"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874CB" w:themeColor="accent1" w:sz="8" w:space="0"/>
          <w:insideH w:val="nil"/>
          <w:insideV w:val="nil"/>
        </w:tcBorders>
        <w:shd w:val="clear" w:color="auto" w:fill="FFFFFF" w:themeFill="background1"/>
      </w:tcPr>
    </w:tblStylePr>
    <w:tblStylePr w:type="lastCol">
      <w:tblPr/>
      <w:tcPr>
        <w:tcBorders>
          <w:top w:val="nil"/>
          <w:left w:val="single" w:color="4874CB"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1DCF2" w:themeFill="accent1" w:themeFillTint="3F"/>
      </w:tcPr>
    </w:tblStylePr>
    <w:tblStylePr w:type="band1Horz">
      <w:tblPr/>
      <w:tcPr>
        <w:tcBorders>
          <w:top w:val="nil"/>
          <w:bottom w:val="nil"/>
          <w:insideH w:val="nil"/>
          <w:insideV w:val="nil"/>
        </w:tcBorders>
        <w:shd w:val="clear" w:color="auto" w:fill="D1DC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82">
    <w:name w:val="Medium List 2 Accent 2"/>
    <w:basedOn w:val="36"/>
    <w:uiPriority w:val="66"/>
    <w:rPr>
      <w:rFonts w:asciiTheme="majorHAnsi" w:hAnsiTheme="majorHAnsi" w:eastAsiaTheme="majorEastAsia" w:cstheme="majorBidi"/>
      <w:color w:val="000000" w:themeColor="text1"/>
      <w14:textFill>
        <w14:solidFill>
          <w14:schemeClr w14:val="tx1"/>
        </w14:solidFill>
      </w14:textFill>
    </w:rPr>
    <w:tblPr>
      <w:tblBorders>
        <w:top w:val="single" w:color="EE822F" w:themeColor="accent2" w:sz="8" w:space="0"/>
        <w:left w:val="single" w:color="EE822F" w:themeColor="accent2" w:sz="8" w:space="0"/>
        <w:bottom w:val="single" w:color="EE822F" w:themeColor="accent2" w:sz="8" w:space="0"/>
        <w:right w:val="single" w:color="EE822F" w:themeColor="accent2" w:sz="8" w:space="0"/>
      </w:tblBorders>
    </w:tblPr>
    <w:tblStylePr w:type="firstRow">
      <w:rPr>
        <w:sz w:val="24"/>
        <w:szCs w:val="24"/>
      </w:rPr>
      <w:tblPr/>
      <w:tcPr>
        <w:tcBorders>
          <w:top w:val="nil"/>
          <w:left w:val="nil"/>
          <w:bottom w:val="single" w:color="EE822F" w:themeColor="accent2" w:sz="24" w:space="0"/>
          <w:right w:val="nil"/>
          <w:insideH w:val="nil"/>
          <w:insideV w:val="nil"/>
        </w:tcBorders>
        <w:shd w:val="clear" w:color="auto" w:fill="FFFFFF" w:themeFill="background1"/>
      </w:tcPr>
    </w:tblStylePr>
    <w:tblStylePr w:type="lastRow">
      <w:tblPr/>
      <w:tcPr>
        <w:tcBorders>
          <w:top w:val="single" w:color="EE822F"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EE822F" w:themeColor="accent2" w:sz="8" w:space="0"/>
          <w:insideH w:val="nil"/>
          <w:insideV w:val="nil"/>
        </w:tcBorders>
        <w:shd w:val="clear" w:color="auto" w:fill="FFFFFF" w:themeFill="background1"/>
      </w:tcPr>
    </w:tblStylePr>
    <w:tblStylePr w:type="lastCol">
      <w:tblPr/>
      <w:tcPr>
        <w:tcBorders>
          <w:top w:val="nil"/>
          <w:left w:val="single" w:color="EE822F"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E0CB" w:themeFill="accent2" w:themeFillTint="3F"/>
      </w:tcPr>
    </w:tblStylePr>
    <w:tblStylePr w:type="band1Horz">
      <w:tblPr/>
      <w:tcPr>
        <w:tcBorders>
          <w:top w:val="nil"/>
          <w:bottom w:val="nil"/>
          <w:insideH w:val="nil"/>
          <w:insideV w:val="nil"/>
        </w:tcBorders>
        <w:shd w:val="clear" w:color="auto" w:fill="FAE0C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List 2 Accent 3"/>
    <w:basedOn w:val="36"/>
    <w:uiPriority w:val="66"/>
    <w:rPr>
      <w:rFonts w:asciiTheme="majorHAnsi" w:hAnsiTheme="majorHAnsi" w:eastAsiaTheme="majorEastAsia" w:cstheme="majorBidi"/>
      <w:color w:val="000000" w:themeColor="text1"/>
      <w14:textFill>
        <w14:solidFill>
          <w14:schemeClr w14:val="tx1"/>
        </w14:solidFill>
      </w14:textFill>
    </w:rPr>
    <w:tblPr>
      <w:tblBorders>
        <w:top w:val="single" w:color="F2BA02" w:themeColor="accent3" w:sz="8" w:space="0"/>
        <w:left w:val="single" w:color="F2BA02" w:themeColor="accent3" w:sz="8" w:space="0"/>
        <w:bottom w:val="single" w:color="F2BA02" w:themeColor="accent3" w:sz="8" w:space="0"/>
        <w:right w:val="single" w:color="F2BA02" w:themeColor="accent3" w:sz="8" w:space="0"/>
      </w:tblBorders>
    </w:tblPr>
    <w:tblStylePr w:type="firstRow">
      <w:rPr>
        <w:sz w:val="24"/>
        <w:szCs w:val="24"/>
      </w:rPr>
      <w:tblPr/>
      <w:tcPr>
        <w:tcBorders>
          <w:top w:val="nil"/>
          <w:left w:val="nil"/>
          <w:bottom w:val="single" w:color="F2BA02" w:themeColor="accent3" w:sz="24" w:space="0"/>
          <w:right w:val="nil"/>
          <w:insideH w:val="nil"/>
          <w:insideV w:val="nil"/>
        </w:tcBorders>
        <w:shd w:val="clear" w:color="auto" w:fill="FFFFFF" w:themeFill="background1"/>
      </w:tcPr>
    </w:tblStylePr>
    <w:tblStylePr w:type="lastRow">
      <w:tblPr/>
      <w:tcPr>
        <w:tcBorders>
          <w:top w:val="single" w:color="F2BA02"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2BA02" w:themeColor="accent3" w:sz="8" w:space="0"/>
          <w:insideH w:val="nil"/>
          <w:insideV w:val="nil"/>
        </w:tcBorders>
        <w:shd w:val="clear" w:color="auto" w:fill="FFFFFF" w:themeFill="background1"/>
      </w:tcPr>
    </w:tblStylePr>
    <w:tblStylePr w:type="lastCol">
      <w:tblPr/>
      <w:tcPr>
        <w:tcBorders>
          <w:top w:val="nil"/>
          <w:left w:val="single" w:color="F2BA02"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EEFBD" w:themeFill="accent3" w:themeFillTint="3F"/>
      </w:tcPr>
    </w:tblStylePr>
    <w:tblStylePr w:type="band1Horz">
      <w:tblPr/>
      <w:tcPr>
        <w:tcBorders>
          <w:top w:val="nil"/>
          <w:bottom w:val="nil"/>
          <w:insideH w:val="nil"/>
          <w:insideV w:val="nil"/>
        </w:tcBorders>
        <w:shd w:val="clear" w:color="auto" w:fill="FEEFBD"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4">
    <w:name w:val="Medium List 2 Accent 4"/>
    <w:basedOn w:val="36"/>
    <w:uiPriority w:val="66"/>
    <w:rPr>
      <w:rFonts w:asciiTheme="majorHAnsi" w:hAnsiTheme="majorHAnsi" w:eastAsiaTheme="majorEastAsia" w:cstheme="majorBidi"/>
      <w:color w:val="000000" w:themeColor="text1"/>
      <w14:textFill>
        <w14:solidFill>
          <w14:schemeClr w14:val="tx1"/>
        </w14:solidFill>
      </w14:textFill>
    </w:rPr>
    <w:tblPr>
      <w:tblBorders>
        <w:top w:val="single" w:color="75BD42" w:themeColor="accent4" w:sz="8" w:space="0"/>
        <w:left w:val="single" w:color="75BD42" w:themeColor="accent4" w:sz="8" w:space="0"/>
        <w:bottom w:val="single" w:color="75BD42" w:themeColor="accent4" w:sz="8" w:space="0"/>
        <w:right w:val="single" w:color="75BD42" w:themeColor="accent4" w:sz="8" w:space="0"/>
      </w:tblBorders>
    </w:tblPr>
    <w:tblStylePr w:type="firstRow">
      <w:rPr>
        <w:sz w:val="24"/>
        <w:szCs w:val="24"/>
      </w:rPr>
      <w:tblPr/>
      <w:tcPr>
        <w:tcBorders>
          <w:top w:val="nil"/>
          <w:left w:val="nil"/>
          <w:bottom w:val="single" w:color="75BD42" w:themeColor="accent4" w:sz="24" w:space="0"/>
          <w:right w:val="nil"/>
          <w:insideH w:val="nil"/>
          <w:insideV w:val="nil"/>
        </w:tcBorders>
        <w:shd w:val="clear" w:color="auto" w:fill="FFFFFF" w:themeFill="background1"/>
      </w:tcPr>
    </w:tblStylePr>
    <w:tblStylePr w:type="lastRow">
      <w:tblPr/>
      <w:tcPr>
        <w:tcBorders>
          <w:top w:val="single" w:color="75BD4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5BD42" w:themeColor="accent4" w:sz="8" w:space="0"/>
          <w:insideH w:val="nil"/>
          <w:insideV w:val="nil"/>
        </w:tcBorders>
        <w:shd w:val="clear" w:color="auto" w:fill="FFFFFF" w:themeFill="background1"/>
      </w:tcPr>
    </w:tblStylePr>
    <w:tblStylePr w:type="lastCol">
      <w:tblPr/>
      <w:tcPr>
        <w:tcBorders>
          <w:top w:val="nil"/>
          <w:left w:val="single" w:color="75BD4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CEED0" w:themeFill="accent4" w:themeFillTint="3F"/>
      </w:tcPr>
    </w:tblStylePr>
    <w:tblStylePr w:type="band1Horz">
      <w:tblPr/>
      <w:tcPr>
        <w:tcBorders>
          <w:top w:val="nil"/>
          <w:bottom w:val="nil"/>
          <w:insideH w:val="nil"/>
          <w:insideV w:val="nil"/>
        </w:tcBorders>
        <w:shd w:val="clear" w:color="auto" w:fill="DCEED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5">
    <w:name w:val="Medium List 2 Accent 5"/>
    <w:basedOn w:val="36"/>
    <w:uiPriority w:val="66"/>
    <w:rPr>
      <w:rFonts w:asciiTheme="majorHAnsi" w:hAnsiTheme="majorHAnsi" w:eastAsiaTheme="majorEastAsia" w:cstheme="majorBidi"/>
      <w:color w:val="000000" w:themeColor="text1"/>
      <w14:textFill>
        <w14:solidFill>
          <w14:schemeClr w14:val="tx1"/>
        </w14:solidFill>
      </w14:textFill>
    </w:rPr>
    <w:tblPr>
      <w:tblBorders>
        <w:top w:val="single" w:color="30C0B4" w:themeColor="accent5" w:sz="8" w:space="0"/>
        <w:left w:val="single" w:color="30C0B4" w:themeColor="accent5" w:sz="8" w:space="0"/>
        <w:bottom w:val="single" w:color="30C0B4" w:themeColor="accent5" w:sz="8" w:space="0"/>
        <w:right w:val="single" w:color="30C0B4" w:themeColor="accent5" w:sz="8" w:space="0"/>
      </w:tblBorders>
    </w:tblPr>
    <w:tblStylePr w:type="firstRow">
      <w:rPr>
        <w:sz w:val="24"/>
        <w:szCs w:val="24"/>
      </w:rPr>
      <w:tblPr/>
      <w:tcPr>
        <w:tcBorders>
          <w:top w:val="nil"/>
          <w:left w:val="nil"/>
          <w:bottom w:val="single" w:color="30C0B4" w:themeColor="accent5" w:sz="24" w:space="0"/>
          <w:right w:val="nil"/>
          <w:insideH w:val="nil"/>
          <w:insideV w:val="nil"/>
        </w:tcBorders>
        <w:shd w:val="clear" w:color="auto" w:fill="FFFFFF" w:themeFill="background1"/>
      </w:tcPr>
    </w:tblStylePr>
    <w:tblStylePr w:type="lastRow">
      <w:tblPr/>
      <w:tcPr>
        <w:tcBorders>
          <w:top w:val="single" w:color="30C0B4"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30C0B4" w:themeColor="accent5" w:sz="8" w:space="0"/>
          <w:insideH w:val="nil"/>
          <w:insideV w:val="nil"/>
        </w:tcBorders>
        <w:shd w:val="clear" w:color="auto" w:fill="FFFFFF" w:themeFill="background1"/>
      </w:tcPr>
    </w:tblStylePr>
    <w:tblStylePr w:type="lastCol">
      <w:tblPr/>
      <w:tcPr>
        <w:tcBorders>
          <w:top w:val="nil"/>
          <w:left w:val="single" w:color="30C0B4"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9F1EE" w:themeFill="accent5" w:themeFillTint="3F"/>
      </w:tcPr>
    </w:tblStylePr>
    <w:tblStylePr w:type="band1Horz">
      <w:tblPr/>
      <w:tcPr>
        <w:tcBorders>
          <w:top w:val="nil"/>
          <w:bottom w:val="nil"/>
          <w:insideH w:val="nil"/>
          <w:insideV w:val="nil"/>
        </w:tcBorders>
        <w:shd w:val="clear" w:color="auto" w:fill="C9F1EE"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6">
    <w:name w:val="Medium List 2 Accent 6"/>
    <w:basedOn w:val="36"/>
    <w:uiPriority w:val="66"/>
    <w:rPr>
      <w:rFonts w:asciiTheme="majorHAnsi" w:hAnsiTheme="majorHAnsi" w:eastAsiaTheme="majorEastAsia" w:cstheme="majorBidi"/>
      <w:color w:val="000000" w:themeColor="text1"/>
      <w14:textFill>
        <w14:solidFill>
          <w14:schemeClr w14:val="tx1"/>
        </w14:solidFill>
      </w14:textFill>
    </w:rPr>
    <w:tblPr>
      <w:tblBorders>
        <w:top w:val="single" w:color="E54C5E" w:themeColor="accent6" w:sz="8" w:space="0"/>
        <w:left w:val="single" w:color="E54C5E" w:themeColor="accent6" w:sz="8" w:space="0"/>
        <w:bottom w:val="single" w:color="E54C5E" w:themeColor="accent6" w:sz="8" w:space="0"/>
        <w:right w:val="single" w:color="E54C5E" w:themeColor="accent6" w:sz="8" w:space="0"/>
      </w:tblBorders>
    </w:tblPr>
    <w:tblStylePr w:type="firstRow">
      <w:rPr>
        <w:sz w:val="24"/>
        <w:szCs w:val="24"/>
      </w:rPr>
      <w:tblPr/>
      <w:tcPr>
        <w:tcBorders>
          <w:top w:val="nil"/>
          <w:left w:val="nil"/>
          <w:bottom w:val="single" w:color="E54C5E" w:themeColor="accent6" w:sz="24" w:space="0"/>
          <w:right w:val="nil"/>
          <w:insideH w:val="nil"/>
          <w:insideV w:val="nil"/>
        </w:tcBorders>
        <w:shd w:val="clear" w:color="auto" w:fill="FFFFFF" w:themeFill="background1"/>
      </w:tcPr>
    </w:tblStylePr>
    <w:tblStylePr w:type="lastRow">
      <w:tblPr/>
      <w:tcPr>
        <w:tcBorders>
          <w:top w:val="single" w:color="E54C5E"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E54C5E" w:themeColor="accent6" w:sz="8" w:space="0"/>
          <w:insideH w:val="nil"/>
          <w:insideV w:val="nil"/>
        </w:tcBorders>
        <w:shd w:val="clear" w:color="auto" w:fill="FFFFFF" w:themeFill="background1"/>
      </w:tcPr>
    </w:tblStylePr>
    <w:tblStylePr w:type="lastCol">
      <w:tblPr/>
      <w:tcPr>
        <w:tcBorders>
          <w:top w:val="nil"/>
          <w:left w:val="single" w:color="E54C5E"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8D2D7" w:themeFill="accent6" w:themeFillTint="3F"/>
      </w:tcPr>
    </w:tblStylePr>
    <w:tblStylePr w:type="band1Horz">
      <w:tblPr/>
      <w:tcPr>
        <w:tcBorders>
          <w:top w:val="nil"/>
          <w:bottom w:val="nil"/>
          <w:insideH w:val="nil"/>
          <w:insideV w:val="nil"/>
        </w:tcBorders>
        <w:shd w:val="clear" w:color="auto" w:fill="F8D2D7"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7">
    <w:name w:val="Medium Grid 1"/>
    <w:basedOn w:val="36"/>
    <w:uiPriority w:val="67"/>
    <w:rPr>
      <w:rFonts w:ascii="Times New Roman" w:hAnsi="Times New Roman" w:eastAsia="宋体" w:cs="Times New Roman"/>
    </w:r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88">
    <w:name w:val="Medium Grid 1 Accent 1"/>
    <w:basedOn w:val="36"/>
    <w:uiPriority w:val="67"/>
    <w:rPr>
      <w:rFonts w:ascii="Times New Roman" w:hAnsi="Times New Roman" w:eastAsia="宋体" w:cs="Times New Roman"/>
    </w:rPr>
    <w:tblPr>
      <w:tblBorders>
        <w:top w:val="single" w:color="7596D8" w:themeColor="accent1" w:themeTint="BF" w:sz="8" w:space="0"/>
        <w:left w:val="single" w:color="7596D8" w:themeColor="accent1" w:themeTint="BF" w:sz="8" w:space="0"/>
        <w:bottom w:val="single" w:color="7596D8" w:themeColor="accent1" w:themeTint="BF" w:sz="8" w:space="0"/>
        <w:right w:val="single" w:color="7596D8" w:themeColor="accent1" w:themeTint="BF" w:sz="8" w:space="0"/>
        <w:insideH w:val="single" w:color="7596D8" w:themeColor="accent1" w:themeTint="BF" w:sz="8" w:space="0"/>
        <w:insideV w:val="single" w:color="7596D8" w:themeColor="accent1" w:themeTint="BF" w:sz="8" w:space="0"/>
      </w:tblBorders>
    </w:tblPr>
    <w:tcPr>
      <w:shd w:val="clear" w:color="auto" w:fill="D1DCF2" w:themeFill="accent1" w:themeFillTint="3F"/>
    </w:tcPr>
    <w:tblStylePr w:type="firstRow">
      <w:rPr>
        <w:b/>
        <w:bCs/>
      </w:rPr>
    </w:tblStylePr>
    <w:tblStylePr w:type="lastRow">
      <w:rPr>
        <w:b/>
        <w:bCs/>
      </w:rPr>
      <w:tblPr/>
      <w:tcPr>
        <w:tcBorders>
          <w:top w:val="single" w:color="7596D8" w:themeColor="accent1" w:themeTint="BF" w:sz="18" w:space="0"/>
        </w:tcBorders>
      </w:tcPr>
    </w:tblStylePr>
    <w:tblStylePr w:type="firstCol">
      <w:rPr>
        <w:b/>
        <w:bCs/>
      </w:rPr>
    </w:tblStylePr>
    <w:tblStylePr w:type="lastCol">
      <w:rPr>
        <w:b/>
        <w:bCs/>
      </w:rPr>
    </w:tblStylePr>
    <w:tblStylePr w:type="band1Vert">
      <w:tblPr/>
      <w:tcPr>
        <w:shd w:val="clear" w:color="auto" w:fill="A3B9E5" w:themeFill="accent1" w:themeFillTint="7F"/>
      </w:tcPr>
    </w:tblStylePr>
    <w:tblStylePr w:type="band1Horz">
      <w:tblPr/>
      <w:tcPr>
        <w:shd w:val="clear" w:color="auto" w:fill="A3B9E5" w:themeFill="accent1" w:themeFillTint="7F"/>
      </w:tcPr>
    </w:tblStylePr>
  </w:style>
  <w:style w:type="table" w:styleId="89">
    <w:name w:val="Medium Grid 1 Accent 2"/>
    <w:basedOn w:val="36"/>
    <w:uiPriority w:val="67"/>
    <w:rPr>
      <w:rFonts w:ascii="Times New Roman" w:hAnsi="Times New Roman" w:eastAsia="宋体" w:cs="Times New Roman"/>
    </w:rPr>
    <w:tblPr>
      <w:tblBorders>
        <w:top w:val="single" w:color="F2A163" w:themeColor="accent2" w:themeTint="BF" w:sz="8" w:space="0"/>
        <w:left w:val="single" w:color="F2A163" w:themeColor="accent2" w:themeTint="BF" w:sz="8" w:space="0"/>
        <w:bottom w:val="single" w:color="F2A163" w:themeColor="accent2" w:themeTint="BF" w:sz="8" w:space="0"/>
        <w:right w:val="single" w:color="F2A163" w:themeColor="accent2" w:themeTint="BF" w:sz="8" w:space="0"/>
        <w:insideH w:val="single" w:color="F2A163" w:themeColor="accent2" w:themeTint="BF" w:sz="8" w:space="0"/>
        <w:insideV w:val="single" w:color="F2A163" w:themeColor="accent2" w:themeTint="BF" w:sz="8" w:space="0"/>
      </w:tblBorders>
    </w:tblPr>
    <w:tcPr>
      <w:shd w:val="clear" w:color="auto" w:fill="FAE0CB" w:themeFill="accent2" w:themeFillTint="3F"/>
    </w:tcPr>
    <w:tblStylePr w:type="firstRow">
      <w:rPr>
        <w:b/>
        <w:bCs/>
      </w:rPr>
    </w:tblStylePr>
    <w:tblStylePr w:type="lastRow">
      <w:rPr>
        <w:b/>
        <w:bCs/>
      </w:rPr>
      <w:tblPr/>
      <w:tcPr>
        <w:tcBorders>
          <w:top w:val="single" w:color="F2A163" w:themeColor="accent2" w:themeTint="BF" w:sz="18" w:space="0"/>
        </w:tcBorders>
      </w:tcPr>
    </w:tblStylePr>
    <w:tblStylePr w:type="firstCol">
      <w:rPr>
        <w:b/>
        <w:bCs/>
      </w:rPr>
    </w:tblStylePr>
    <w:tblStylePr w:type="lastCol">
      <w:rPr>
        <w:b/>
        <w:bCs/>
      </w:rPr>
    </w:tblStylePr>
    <w:tblStylePr w:type="band1Vert">
      <w:tblPr/>
      <w:tcPr>
        <w:shd w:val="clear" w:color="auto" w:fill="F6C097" w:themeFill="accent2" w:themeFillTint="7F"/>
      </w:tcPr>
    </w:tblStylePr>
    <w:tblStylePr w:type="band1Horz">
      <w:tblPr/>
      <w:tcPr>
        <w:shd w:val="clear" w:color="auto" w:fill="F6C097" w:themeFill="accent2" w:themeFillTint="7F"/>
      </w:tcPr>
    </w:tblStylePr>
  </w:style>
  <w:style w:type="table" w:styleId="90">
    <w:name w:val="Medium Grid 1 Accent 3"/>
    <w:basedOn w:val="36"/>
    <w:uiPriority w:val="67"/>
    <w:rPr>
      <w:rFonts w:ascii="Times New Roman" w:hAnsi="Times New Roman" w:eastAsia="宋体" w:cs="Times New Roman"/>
    </w:rPr>
    <w:tblPr>
      <w:tblBorders>
        <w:top w:val="single" w:color="FDCF39" w:themeColor="accent3" w:themeTint="BF" w:sz="8" w:space="0"/>
        <w:left w:val="single" w:color="FDCF39" w:themeColor="accent3" w:themeTint="BF" w:sz="8" w:space="0"/>
        <w:bottom w:val="single" w:color="FDCF39" w:themeColor="accent3" w:themeTint="BF" w:sz="8" w:space="0"/>
        <w:right w:val="single" w:color="FDCF39" w:themeColor="accent3" w:themeTint="BF" w:sz="8" w:space="0"/>
        <w:insideH w:val="single" w:color="FDCF39" w:themeColor="accent3" w:themeTint="BF" w:sz="8" w:space="0"/>
        <w:insideV w:val="single" w:color="FDCF39" w:themeColor="accent3" w:themeTint="BF" w:sz="8" w:space="0"/>
      </w:tblBorders>
    </w:tblPr>
    <w:tcPr>
      <w:shd w:val="clear" w:color="auto" w:fill="FEEFBD" w:themeFill="accent3" w:themeFillTint="3F"/>
    </w:tcPr>
    <w:tblStylePr w:type="firstRow">
      <w:rPr>
        <w:b/>
        <w:bCs/>
      </w:rPr>
    </w:tblStylePr>
    <w:tblStylePr w:type="lastRow">
      <w:rPr>
        <w:b/>
        <w:bCs/>
      </w:rPr>
      <w:tblPr/>
      <w:tcPr>
        <w:tcBorders>
          <w:top w:val="single" w:color="FDCF39" w:themeColor="accent3" w:themeTint="BF" w:sz="18" w:space="0"/>
        </w:tcBorders>
      </w:tcPr>
    </w:tblStylePr>
    <w:tblStylePr w:type="firstCol">
      <w:rPr>
        <w:b/>
        <w:bCs/>
      </w:rPr>
    </w:tblStylePr>
    <w:tblStylePr w:type="lastCol">
      <w:rPr>
        <w:b/>
        <w:bCs/>
      </w:rPr>
    </w:tblStylePr>
    <w:tblStylePr w:type="band1Vert">
      <w:tblPr/>
      <w:tcPr>
        <w:shd w:val="clear" w:color="auto" w:fill="FDDF7B" w:themeFill="accent3" w:themeFillTint="7F"/>
      </w:tcPr>
    </w:tblStylePr>
    <w:tblStylePr w:type="band1Horz">
      <w:tblPr/>
      <w:tcPr>
        <w:shd w:val="clear" w:color="auto" w:fill="FDDF7B" w:themeFill="accent3" w:themeFillTint="7F"/>
      </w:tcPr>
    </w:tblStylePr>
  </w:style>
  <w:style w:type="table" w:styleId="91">
    <w:name w:val="Medium Grid 1 Accent 4"/>
    <w:basedOn w:val="36"/>
    <w:uiPriority w:val="67"/>
    <w:rPr>
      <w:rFonts w:ascii="Times New Roman" w:hAnsi="Times New Roman" w:eastAsia="宋体" w:cs="Times New Roman"/>
    </w:rPr>
    <w:tblPr>
      <w:tblBorders>
        <w:top w:val="single" w:color="97CD71" w:themeColor="accent4" w:themeTint="BF" w:sz="8" w:space="0"/>
        <w:left w:val="single" w:color="97CD71" w:themeColor="accent4" w:themeTint="BF" w:sz="8" w:space="0"/>
        <w:bottom w:val="single" w:color="97CD71" w:themeColor="accent4" w:themeTint="BF" w:sz="8" w:space="0"/>
        <w:right w:val="single" w:color="97CD71" w:themeColor="accent4" w:themeTint="BF" w:sz="8" w:space="0"/>
        <w:insideH w:val="single" w:color="97CD71" w:themeColor="accent4" w:themeTint="BF" w:sz="8" w:space="0"/>
        <w:insideV w:val="single" w:color="97CD71" w:themeColor="accent4" w:themeTint="BF" w:sz="8" w:space="0"/>
      </w:tblBorders>
    </w:tblPr>
    <w:tcPr>
      <w:shd w:val="clear" w:color="auto" w:fill="DCEED0" w:themeFill="accent4" w:themeFillTint="3F"/>
    </w:tcPr>
    <w:tblStylePr w:type="firstRow">
      <w:rPr>
        <w:b/>
        <w:bCs/>
      </w:rPr>
    </w:tblStylePr>
    <w:tblStylePr w:type="lastRow">
      <w:rPr>
        <w:b/>
        <w:bCs/>
      </w:rPr>
      <w:tblPr/>
      <w:tcPr>
        <w:tcBorders>
          <w:top w:val="single" w:color="97CD71" w:themeColor="accent4" w:themeTint="BF" w:sz="18" w:space="0"/>
        </w:tcBorders>
      </w:tcPr>
    </w:tblStylePr>
    <w:tblStylePr w:type="firstCol">
      <w:rPr>
        <w:b/>
        <w:bCs/>
      </w:rPr>
    </w:tblStylePr>
    <w:tblStylePr w:type="lastCol">
      <w:rPr>
        <w:b/>
        <w:bCs/>
      </w:rPr>
    </w:tblStylePr>
    <w:tblStylePr w:type="band1Vert">
      <w:tblPr/>
      <w:tcPr>
        <w:shd w:val="clear" w:color="auto" w:fill="BADEA0" w:themeFill="accent4" w:themeFillTint="7F"/>
      </w:tcPr>
    </w:tblStylePr>
    <w:tblStylePr w:type="band1Horz">
      <w:tblPr/>
      <w:tcPr>
        <w:shd w:val="clear" w:color="auto" w:fill="BADEA0" w:themeFill="accent4" w:themeFillTint="7F"/>
      </w:tcPr>
    </w:tblStylePr>
  </w:style>
  <w:style w:type="table" w:styleId="92">
    <w:name w:val="Medium Grid 1 Accent 5"/>
    <w:basedOn w:val="36"/>
    <w:uiPriority w:val="67"/>
    <w:rPr>
      <w:rFonts w:ascii="Times New Roman" w:hAnsi="Times New Roman" w:eastAsia="宋体" w:cs="Times New Roman"/>
    </w:rPr>
    <w:tblPr>
      <w:tblBorders>
        <w:top w:val="single" w:color="5DD6CC" w:themeColor="accent5" w:themeTint="BF" w:sz="8" w:space="0"/>
        <w:left w:val="single" w:color="5DD6CC" w:themeColor="accent5" w:themeTint="BF" w:sz="8" w:space="0"/>
        <w:bottom w:val="single" w:color="5DD6CC" w:themeColor="accent5" w:themeTint="BF" w:sz="8" w:space="0"/>
        <w:right w:val="single" w:color="5DD6CC" w:themeColor="accent5" w:themeTint="BF" w:sz="8" w:space="0"/>
        <w:insideH w:val="single" w:color="5DD6CC" w:themeColor="accent5" w:themeTint="BF" w:sz="8" w:space="0"/>
        <w:insideV w:val="single" w:color="5DD6CC" w:themeColor="accent5" w:themeTint="BF" w:sz="8" w:space="0"/>
      </w:tblBorders>
    </w:tblPr>
    <w:tcPr>
      <w:shd w:val="clear" w:color="auto" w:fill="C9F1EE" w:themeFill="accent5" w:themeFillTint="3F"/>
    </w:tcPr>
    <w:tblStylePr w:type="firstRow">
      <w:rPr>
        <w:b/>
        <w:bCs/>
      </w:rPr>
    </w:tblStylePr>
    <w:tblStylePr w:type="lastRow">
      <w:rPr>
        <w:b/>
        <w:bCs/>
      </w:rPr>
      <w:tblPr/>
      <w:tcPr>
        <w:tcBorders>
          <w:top w:val="single" w:color="5DD6CC" w:themeColor="accent5" w:themeTint="BF" w:sz="18" w:space="0"/>
        </w:tcBorders>
      </w:tcPr>
    </w:tblStylePr>
    <w:tblStylePr w:type="firstCol">
      <w:rPr>
        <w:b/>
        <w:bCs/>
      </w:rPr>
    </w:tblStylePr>
    <w:tblStylePr w:type="lastCol">
      <w:rPr>
        <w:b/>
        <w:bCs/>
      </w:rPr>
    </w:tblStylePr>
    <w:tblStylePr w:type="band1Vert">
      <w:tblPr/>
      <w:tcPr>
        <w:shd w:val="clear" w:color="auto" w:fill="93E4DD" w:themeFill="accent5" w:themeFillTint="7F"/>
      </w:tcPr>
    </w:tblStylePr>
    <w:tblStylePr w:type="band1Horz">
      <w:tblPr/>
      <w:tcPr>
        <w:shd w:val="clear" w:color="auto" w:fill="93E4DD" w:themeFill="accent5" w:themeFillTint="7F"/>
      </w:tcPr>
    </w:tblStylePr>
  </w:style>
  <w:style w:type="table" w:styleId="93">
    <w:name w:val="Medium Grid 1 Accent 6"/>
    <w:basedOn w:val="36"/>
    <w:uiPriority w:val="67"/>
    <w:rPr>
      <w:rFonts w:ascii="Times New Roman" w:hAnsi="Times New Roman" w:eastAsia="宋体" w:cs="Times New Roman"/>
    </w:rPr>
    <w:tblPr>
      <w:tblBorders>
        <w:top w:val="single" w:color="EB7886" w:themeColor="accent6" w:themeTint="BF" w:sz="8" w:space="0"/>
        <w:left w:val="single" w:color="EB7886" w:themeColor="accent6" w:themeTint="BF" w:sz="8" w:space="0"/>
        <w:bottom w:val="single" w:color="EB7886" w:themeColor="accent6" w:themeTint="BF" w:sz="8" w:space="0"/>
        <w:right w:val="single" w:color="EB7886" w:themeColor="accent6" w:themeTint="BF" w:sz="8" w:space="0"/>
        <w:insideH w:val="single" w:color="EB7886" w:themeColor="accent6" w:themeTint="BF" w:sz="8" w:space="0"/>
        <w:insideV w:val="single" w:color="EB7886" w:themeColor="accent6" w:themeTint="BF" w:sz="8" w:space="0"/>
      </w:tblBorders>
    </w:tblPr>
    <w:tcPr>
      <w:shd w:val="clear" w:color="auto" w:fill="F8D2D7" w:themeFill="accent6" w:themeFillTint="3F"/>
    </w:tcPr>
    <w:tblStylePr w:type="firstRow">
      <w:rPr>
        <w:b/>
        <w:bCs/>
      </w:rPr>
    </w:tblStylePr>
    <w:tblStylePr w:type="lastRow">
      <w:rPr>
        <w:b/>
        <w:bCs/>
      </w:rPr>
      <w:tblPr/>
      <w:tcPr>
        <w:tcBorders>
          <w:top w:val="single" w:color="EB7886" w:themeColor="accent6" w:themeTint="BF" w:sz="18" w:space="0"/>
        </w:tcBorders>
      </w:tcPr>
    </w:tblStylePr>
    <w:tblStylePr w:type="firstCol">
      <w:rPr>
        <w:b/>
        <w:bCs/>
      </w:rPr>
    </w:tblStylePr>
    <w:tblStylePr w:type="lastCol">
      <w:rPr>
        <w:b/>
        <w:bCs/>
      </w:rPr>
    </w:tblStylePr>
    <w:tblStylePr w:type="band1Vert">
      <w:tblPr/>
      <w:tcPr>
        <w:shd w:val="clear" w:color="auto" w:fill="F2A5AE" w:themeFill="accent6" w:themeFillTint="7F"/>
      </w:tcPr>
    </w:tblStylePr>
    <w:tblStylePr w:type="band1Horz">
      <w:tblPr/>
      <w:tcPr>
        <w:shd w:val="clear" w:color="auto" w:fill="F2A5AE" w:themeFill="accent6" w:themeFillTint="7F"/>
      </w:tcPr>
    </w:tblStylePr>
  </w:style>
  <w:style w:type="table" w:styleId="94">
    <w:name w:val="Medium Grid 2"/>
    <w:basedOn w:val="36"/>
    <w:uiPriority w:val="68"/>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5">
    <w:name w:val="Medium Grid 2 Accent 1"/>
    <w:basedOn w:val="36"/>
    <w:uiPriority w:val="68"/>
    <w:rPr>
      <w:rFonts w:asciiTheme="majorHAnsi" w:hAnsiTheme="majorHAnsi" w:eastAsiaTheme="majorEastAsia" w:cstheme="majorBidi"/>
      <w:color w:val="000000" w:themeColor="text1"/>
      <w14:textFill>
        <w14:solidFill>
          <w14:schemeClr w14:val="tx1"/>
        </w14:solidFill>
      </w14:textFill>
    </w:rPr>
    <w:tblPr>
      <w:tblBorders>
        <w:top w:val="single" w:color="4874CB" w:themeColor="accent1" w:sz="8" w:space="0"/>
        <w:left w:val="single" w:color="4874CB" w:themeColor="accent1" w:sz="8" w:space="0"/>
        <w:bottom w:val="single" w:color="4874CB" w:themeColor="accent1" w:sz="8" w:space="0"/>
        <w:right w:val="single" w:color="4874CB" w:themeColor="accent1" w:sz="8" w:space="0"/>
        <w:insideH w:val="single" w:color="4874CB" w:themeColor="accent1" w:sz="8" w:space="0"/>
        <w:insideV w:val="single" w:color="4874CB" w:themeColor="accent1" w:sz="8" w:space="0"/>
      </w:tblBorders>
    </w:tblPr>
    <w:tcPr>
      <w:shd w:val="clear" w:color="auto" w:fill="D1DCF2" w:themeFill="accent1" w:themeFillTint="3F"/>
    </w:tcPr>
    <w:tblStylePr w:type="firstRow">
      <w:rPr>
        <w:b/>
        <w:bCs/>
        <w:color w:val="000000" w:themeColor="text1"/>
        <w14:textFill>
          <w14:solidFill>
            <w14:schemeClr w14:val="tx1"/>
          </w14:solidFill>
        </w14:textFill>
      </w:rPr>
      <w:tblPr/>
      <w:tcPr>
        <w:shd w:val="clear" w:color="auto" w:fill="EDF1F9"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3F4" w:themeFill="accent1" w:themeFillTint="33"/>
      </w:tcPr>
    </w:tblStylePr>
    <w:tblStylePr w:type="band1Vert">
      <w:tblPr/>
      <w:tcPr>
        <w:shd w:val="clear" w:color="auto" w:fill="A3B9E5" w:themeFill="accent1" w:themeFillTint="7F"/>
      </w:tcPr>
    </w:tblStylePr>
    <w:tblStylePr w:type="band1Horz">
      <w:tblPr/>
      <w:tcPr>
        <w:tcBorders>
          <w:insideH w:val="single" w:sz="6" w:space="0"/>
          <w:insideV w:val="single" w:sz="6" w:space="0"/>
        </w:tcBorders>
        <w:shd w:val="clear" w:color="auto" w:fill="A3B9E5" w:themeFill="accent1" w:themeFillTint="7F"/>
      </w:tcPr>
    </w:tblStylePr>
    <w:tblStylePr w:type="nwCell">
      <w:tblPr/>
      <w:tcPr>
        <w:shd w:val="clear" w:color="auto" w:fill="FFFFFF" w:themeFill="background1"/>
      </w:tcPr>
    </w:tblStylePr>
  </w:style>
  <w:style w:type="table" w:styleId="96">
    <w:name w:val="Medium Grid 2 Accent 2"/>
    <w:basedOn w:val="36"/>
    <w:uiPriority w:val="68"/>
    <w:rPr>
      <w:rFonts w:asciiTheme="majorHAnsi" w:hAnsiTheme="majorHAnsi" w:eastAsiaTheme="majorEastAsia" w:cstheme="majorBidi"/>
      <w:color w:val="000000" w:themeColor="text1"/>
      <w14:textFill>
        <w14:solidFill>
          <w14:schemeClr w14:val="tx1"/>
        </w14:solidFill>
      </w14:textFill>
    </w:rPr>
    <w:tblPr>
      <w:tblBorders>
        <w:top w:val="single" w:color="EE822F" w:themeColor="accent2" w:sz="8" w:space="0"/>
        <w:left w:val="single" w:color="EE822F" w:themeColor="accent2" w:sz="8" w:space="0"/>
        <w:bottom w:val="single" w:color="EE822F" w:themeColor="accent2" w:sz="8" w:space="0"/>
        <w:right w:val="single" w:color="EE822F" w:themeColor="accent2" w:sz="8" w:space="0"/>
        <w:insideH w:val="single" w:color="EE822F" w:themeColor="accent2" w:sz="8" w:space="0"/>
        <w:insideV w:val="single" w:color="EE822F" w:themeColor="accent2" w:sz="8" w:space="0"/>
      </w:tblBorders>
    </w:tblPr>
    <w:tcPr>
      <w:shd w:val="clear" w:color="auto" w:fill="FAE0CB" w:themeFill="accent2" w:themeFillTint="3F"/>
    </w:tcPr>
    <w:tblStylePr w:type="firstRow">
      <w:rPr>
        <w:b/>
        <w:bCs/>
        <w:color w:val="000000" w:themeColor="text1"/>
        <w14:textFill>
          <w14:solidFill>
            <w14:schemeClr w14:val="tx1"/>
          </w14:solidFill>
        </w14:textFill>
      </w:rPr>
      <w:tblPr/>
      <w:tcPr>
        <w:shd w:val="clear" w:color="auto" w:fill="FDF2EA"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BE5D5" w:themeFill="accent2" w:themeFillTint="33"/>
      </w:tcPr>
    </w:tblStylePr>
    <w:tblStylePr w:type="band1Vert">
      <w:tblPr/>
      <w:tcPr>
        <w:shd w:val="clear" w:color="auto" w:fill="F6C097" w:themeFill="accent2" w:themeFillTint="7F"/>
      </w:tcPr>
    </w:tblStylePr>
    <w:tblStylePr w:type="band1Horz">
      <w:tblPr/>
      <w:tcPr>
        <w:tcBorders>
          <w:insideH w:val="single" w:sz="6" w:space="0"/>
          <w:insideV w:val="single" w:sz="6" w:space="0"/>
        </w:tcBorders>
        <w:shd w:val="clear" w:color="auto" w:fill="F6C097" w:themeFill="accent2" w:themeFillTint="7F"/>
      </w:tcPr>
    </w:tblStylePr>
    <w:tblStylePr w:type="nwCell">
      <w:tblPr/>
      <w:tcPr>
        <w:shd w:val="clear" w:color="auto" w:fill="FFFFFF" w:themeFill="background1"/>
      </w:tcPr>
    </w:tblStylePr>
  </w:style>
  <w:style w:type="table" w:styleId="97">
    <w:name w:val="Medium Grid 2 Accent 3"/>
    <w:basedOn w:val="36"/>
    <w:uiPriority w:val="68"/>
    <w:rPr>
      <w:rFonts w:asciiTheme="majorHAnsi" w:hAnsiTheme="majorHAnsi" w:eastAsiaTheme="majorEastAsia" w:cstheme="majorBidi"/>
      <w:color w:val="000000" w:themeColor="text1"/>
      <w14:textFill>
        <w14:solidFill>
          <w14:schemeClr w14:val="tx1"/>
        </w14:solidFill>
      </w14:textFill>
    </w:rPr>
    <w:tblPr>
      <w:tblBorders>
        <w:top w:val="single" w:color="F2BA02" w:themeColor="accent3" w:sz="8" w:space="0"/>
        <w:left w:val="single" w:color="F2BA02" w:themeColor="accent3" w:sz="8" w:space="0"/>
        <w:bottom w:val="single" w:color="F2BA02" w:themeColor="accent3" w:sz="8" w:space="0"/>
        <w:right w:val="single" w:color="F2BA02" w:themeColor="accent3" w:sz="8" w:space="0"/>
        <w:insideH w:val="single" w:color="F2BA02" w:themeColor="accent3" w:sz="8" w:space="0"/>
        <w:insideV w:val="single" w:color="F2BA02" w:themeColor="accent3" w:sz="8" w:space="0"/>
      </w:tblBorders>
    </w:tblPr>
    <w:tcPr>
      <w:shd w:val="clear" w:color="auto" w:fill="FEEFBD" w:themeFill="accent3" w:themeFillTint="3F"/>
    </w:tcPr>
    <w:tblStylePr w:type="firstRow">
      <w:rPr>
        <w:b/>
        <w:bCs/>
        <w:color w:val="000000" w:themeColor="text1"/>
        <w14:textFill>
          <w14:solidFill>
            <w14:schemeClr w14:val="tx1"/>
          </w14:solidFill>
        </w14:textFill>
      </w:rPr>
      <w:tblPr/>
      <w:tcPr>
        <w:shd w:val="clear" w:color="auto" w:fill="FEF8E5"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EF2CA" w:themeFill="accent3" w:themeFillTint="33"/>
      </w:tcPr>
    </w:tblStylePr>
    <w:tblStylePr w:type="band1Vert">
      <w:tblPr/>
      <w:tcPr>
        <w:shd w:val="clear" w:color="auto" w:fill="FDDF7B" w:themeFill="accent3" w:themeFillTint="7F"/>
      </w:tcPr>
    </w:tblStylePr>
    <w:tblStylePr w:type="band1Horz">
      <w:tblPr/>
      <w:tcPr>
        <w:tcBorders>
          <w:insideH w:val="single" w:sz="6" w:space="0"/>
          <w:insideV w:val="single" w:sz="6" w:space="0"/>
        </w:tcBorders>
        <w:shd w:val="clear" w:color="auto" w:fill="FDDF7B" w:themeFill="accent3" w:themeFillTint="7F"/>
      </w:tcPr>
    </w:tblStylePr>
    <w:tblStylePr w:type="nwCell">
      <w:tblPr/>
      <w:tcPr>
        <w:shd w:val="clear" w:color="auto" w:fill="FFFFFF" w:themeFill="background1"/>
      </w:tcPr>
    </w:tblStylePr>
  </w:style>
  <w:style w:type="table" w:styleId="98">
    <w:name w:val="Medium Grid 2 Accent 4"/>
    <w:basedOn w:val="36"/>
    <w:uiPriority w:val="68"/>
    <w:rPr>
      <w:rFonts w:asciiTheme="majorHAnsi" w:hAnsiTheme="majorHAnsi" w:eastAsiaTheme="majorEastAsia" w:cstheme="majorBidi"/>
      <w:color w:val="000000" w:themeColor="text1"/>
      <w14:textFill>
        <w14:solidFill>
          <w14:schemeClr w14:val="tx1"/>
        </w14:solidFill>
      </w14:textFill>
    </w:rPr>
    <w:tblPr>
      <w:tblBorders>
        <w:top w:val="single" w:color="75BD42" w:themeColor="accent4" w:sz="8" w:space="0"/>
        <w:left w:val="single" w:color="75BD42" w:themeColor="accent4" w:sz="8" w:space="0"/>
        <w:bottom w:val="single" w:color="75BD42" w:themeColor="accent4" w:sz="8" w:space="0"/>
        <w:right w:val="single" w:color="75BD42" w:themeColor="accent4" w:sz="8" w:space="0"/>
        <w:insideH w:val="single" w:color="75BD42" w:themeColor="accent4" w:sz="8" w:space="0"/>
        <w:insideV w:val="single" w:color="75BD42" w:themeColor="accent4" w:sz="8" w:space="0"/>
      </w:tblBorders>
    </w:tblPr>
    <w:tcPr>
      <w:shd w:val="clear" w:color="auto" w:fill="DCEED0" w:themeFill="accent4" w:themeFillTint="3F"/>
    </w:tcPr>
    <w:tblStylePr w:type="firstRow">
      <w:rPr>
        <w:b/>
        <w:bCs/>
        <w:color w:val="000000" w:themeColor="text1"/>
        <w14:textFill>
          <w14:solidFill>
            <w14:schemeClr w14:val="tx1"/>
          </w14:solidFill>
        </w14:textFill>
      </w:rPr>
      <w:tblPr/>
      <w:tcPr>
        <w:shd w:val="clear" w:color="auto" w:fill="F1F8EC"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3F1D9" w:themeFill="accent4" w:themeFillTint="33"/>
      </w:tcPr>
    </w:tblStylePr>
    <w:tblStylePr w:type="band1Vert">
      <w:tblPr/>
      <w:tcPr>
        <w:shd w:val="clear" w:color="auto" w:fill="BADEA0" w:themeFill="accent4" w:themeFillTint="7F"/>
      </w:tcPr>
    </w:tblStylePr>
    <w:tblStylePr w:type="band1Horz">
      <w:tblPr/>
      <w:tcPr>
        <w:tcBorders>
          <w:insideH w:val="single" w:sz="6" w:space="0"/>
          <w:insideV w:val="single" w:sz="6" w:space="0"/>
        </w:tcBorders>
        <w:shd w:val="clear" w:color="auto" w:fill="BADEA0" w:themeFill="accent4" w:themeFillTint="7F"/>
      </w:tcPr>
    </w:tblStylePr>
    <w:tblStylePr w:type="nwCell">
      <w:tblPr/>
      <w:tcPr>
        <w:shd w:val="clear" w:color="auto" w:fill="FFFFFF" w:themeFill="background1"/>
      </w:tcPr>
    </w:tblStylePr>
  </w:style>
  <w:style w:type="table" w:styleId="99">
    <w:name w:val="Medium Grid 2 Accent 5"/>
    <w:basedOn w:val="36"/>
    <w:uiPriority w:val="68"/>
    <w:rPr>
      <w:rFonts w:asciiTheme="majorHAnsi" w:hAnsiTheme="majorHAnsi" w:eastAsiaTheme="majorEastAsia" w:cstheme="majorBidi"/>
      <w:color w:val="000000" w:themeColor="text1"/>
      <w14:textFill>
        <w14:solidFill>
          <w14:schemeClr w14:val="tx1"/>
        </w14:solidFill>
      </w14:textFill>
    </w:rPr>
    <w:tblPr>
      <w:tblBorders>
        <w:top w:val="single" w:color="30C0B4" w:themeColor="accent5" w:sz="8" w:space="0"/>
        <w:left w:val="single" w:color="30C0B4" w:themeColor="accent5" w:sz="8" w:space="0"/>
        <w:bottom w:val="single" w:color="30C0B4" w:themeColor="accent5" w:sz="8" w:space="0"/>
        <w:right w:val="single" w:color="30C0B4" w:themeColor="accent5" w:sz="8" w:space="0"/>
        <w:insideH w:val="single" w:color="30C0B4" w:themeColor="accent5" w:sz="8" w:space="0"/>
        <w:insideV w:val="single" w:color="30C0B4" w:themeColor="accent5" w:sz="8" w:space="0"/>
      </w:tblBorders>
    </w:tblPr>
    <w:tcPr>
      <w:shd w:val="clear" w:color="auto" w:fill="C9F1EE" w:themeFill="accent5" w:themeFillTint="3F"/>
    </w:tcPr>
    <w:tblStylePr w:type="firstRow">
      <w:rPr>
        <w:b/>
        <w:bCs/>
        <w:color w:val="000000" w:themeColor="text1"/>
        <w14:textFill>
          <w14:solidFill>
            <w14:schemeClr w14:val="tx1"/>
          </w14:solidFill>
        </w14:textFill>
      </w:rPr>
      <w:tblPr/>
      <w:tcPr>
        <w:shd w:val="clear" w:color="auto" w:fill="E9F9F8"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3F4F1" w:themeFill="accent5" w:themeFillTint="33"/>
      </w:tcPr>
    </w:tblStylePr>
    <w:tblStylePr w:type="band1Vert">
      <w:tblPr/>
      <w:tcPr>
        <w:shd w:val="clear" w:color="auto" w:fill="93E4DD" w:themeFill="accent5" w:themeFillTint="7F"/>
      </w:tcPr>
    </w:tblStylePr>
    <w:tblStylePr w:type="band1Horz">
      <w:tblPr/>
      <w:tcPr>
        <w:tcBorders>
          <w:insideH w:val="single" w:sz="6" w:space="0"/>
          <w:insideV w:val="single" w:sz="6" w:space="0"/>
        </w:tcBorders>
        <w:shd w:val="clear" w:color="auto" w:fill="93E4DD" w:themeFill="accent5" w:themeFillTint="7F"/>
      </w:tcPr>
    </w:tblStylePr>
    <w:tblStylePr w:type="nwCell">
      <w:tblPr/>
      <w:tcPr>
        <w:shd w:val="clear" w:color="auto" w:fill="FFFFFF" w:themeFill="background1"/>
      </w:tcPr>
    </w:tblStylePr>
  </w:style>
  <w:style w:type="table" w:styleId="100">
    <w:name w:val="Medium Grid 2 Accent 6"/>
    <w:basedOn w:val="36"/>
    <w:uiPriority w:val="68"/>
    <w:rPr>
      <w:rFonts w:asciiTheme="majorHAnsi" w:hAnsiTheme="majorHAnsi" w:eastAsiaTheme="majorEastAsia" w:cstheme="majorBidi"/>
      <w:color w:val="000000" w:themeColor="text1"/>
      <w14:textFill>
        <w14:solidFill>
          <w14:schemeClr w14:val="tx1"/>
        </w14:solidFill>
      </w14:textFill>
    </w:rPr>
    <w:tblPr>
      <w:tblBorders>
        <w:top w:val="single" w:color="E54C5E" w:themeColor="accent6" w:sz="8" w:space="0"/>
        <w:left w:val="single" w:color="E54C5E" w:themeColor="accent6" w:sz="8" w:space="0"/>
        <w:bottom w:val="single" w:color="E54C5E" w:themeColor="accent6" w:sz="8" w:space="0"/>
        <w:right w:val="single" w:color="E54C5E" w:themeColor="accent6" w:sz="8" w:space="0"/>
        <w:insideH w:val="single" w:color="E54C5E" w:themeColor="accent6" w:sz="8" w:space="0"/>
        <w:insideV w:val="single" w:color="E54C5E" w:themeColor="accent6" w:sz="8" w:space="0"/>
      </w:tblBorders>
    </w:tblPr>
    <w:tcPr>
      <w:shd w:val="clear" w:color="auto" w:fill="F8D2D7" w:themeFill="accent6" w:themeFillTint="3F"/>
    </w:tcPr>
    <w:tblStylePr w:type="firstRow">
      <w:rPr>
        <w:b/>
        <w:bCs/>
        <w:color w:val="000000" w:themeColor="text1"/>
        <w14:textFill>
          <w14:solidFill>
            <w14:schemeClr w14:val="tx1"/>
          </w14:solidFill>
        </w14:textFill>
      </w:rPr>
      <w:tblPr/>
      <w:tcPr>
        <w:shd w:val="clear" w:color="auto" w:fill="FCEDEF"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9DBDE" w:themeFill="accent6" w:themeFillTint="33"/>
      </w:tcPr>
    </w:tblStylePr>
    <w:tblStylePr w:type="band1Vert">
      <w:tblPr/>
      <w:tcPr>
        <w:shd w:val="clear" w:color="auto" w:fill="F2A5AE" w:themeFill="accent6" w:themeFillTint="7F"/>
      </w:tcPr>
    </w:tblStylePr>
    <w:tblStylePr w:type="band1Horz">
      <w:tblPr/>
      <w:tcPr>
        <w:tcBorders>
          <w:insideH w:val="single" w:sz="6" w:space="0"/>
          <w:insideV w:val="single" w:sz="6" w:space="0"/>
        </w:tcBorders>
        <w:shd w:val="clear" w:color="auto" w:fill="F2A5AE" w:themeFill="accent6" w:themeFillTint="7F"/>
      </w:tcPr>
    </w:tblStylePr>
    <w:tblStylePr w:type="nwCell">
      <w:tblPr/>
      <w:tcPr>
        <w:shd w:val="clear" w:color="auto" w:fill="FFFFFF" w:themeFill="background1"/>
      </w:tcPr>
    </w:tblStylePr>
  </w:style>
  <w:style w:type="table" w:styleId="101">
    <w:name w:val="Medium Grid 3"/>
    <w:basedOn w:val="36"/>
    <w:uiPriority w:val="69"/>
    <w:rPr>
      <w:rFonts w:ascii="Times New Roman" w:hAnsi="Times New Roman" w:eastAsia="宋体" w:cs="Times New Roman"/>
    </w:r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102">
    <w:name w:val="Medium Grid 3 Accent 1"/>
    <w:basedOn w:val="36"/>
    <w:uiPriority w:val="69"/>
    <w:rPr>
      <w:rFonts w:ascii="Times New Roman" w:hAnsi="Times New Roman" w:eastAsia="宋体" w:cs="Times New Roman"/>
    </w:r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1DCF2"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874CB"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874CB"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874CB"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874CB"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3B9E5"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3B9E5" w:themeFill="accent1" w:themeFillTint="7F"/>
      </w:tcPr>
    </w:tblStylePr>
  </w:style>
  <w:style w:type="table" w:styleId="103">
    <w:name w:val="Medium Grid 3 Accent 2"/>
    <w:basedOn w:val="36"/>
    <w:uiPriority w:val="69"/>
    <w:rPr>
      <w:rFonts w:ascii="Times New Roman" w:hAnsi="Times New Roman" w:eastAsia="宋体" w:cs="Times New Roman"/>
    </w:r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AE0CB"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EE822F"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EE822F"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EE822F"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EE822F"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6C097"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6C097" w:themeFill="accent2" w:themeFillTint="7F"/>
      </w:tcPr>
    </w:tblStylePr>
  </w:style>
  <w:style w:type="table" w:styleId="104">
    <w:name w:val="Medium Grid 3 Accent 3"/>
    <w:basedOn w:val="36"/>
    <w:uiPriority w:val="69"/>
    <w:rPr>
      <w:rFonts w:ascii="Times New Roman" w:hAnsi="Times New Roman" w:eastAsia="宋体" w:cs="Times New Roman"/>
    </w:r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EEFBD"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2BA02"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2BA02"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2BA02"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2BA02"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DDF7B"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DDF7B" w:themeFill="accent3" w:themeFillTint="7F"/>
      </w:tcPr>
    </w:tblStylePr>
  </w:style>
  <w:style w:type="table" w:styleId="105">
    <w:name w:val="Medium Grid 3 Accent 4"/>
    <w:basedOn w:val="36"/>
    <w:uiPriority w:val="69"/>
    <w:rPr>
      <w:rFonts w:ascii="Times New Roman" w:hAnsi="Times New Roman" w:eastAsia="宋体" w:cs="Times New Roman"/>
    </w:r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CEED0"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75BD4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75BD4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75BD4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75BD4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ADEA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ADEA0" w:themeFill="accent4" w:themeFillTint="7F"/>
      </w:tcPr>
    </w:tblStylePr>
  </w:style>
  <w:style w:type="table" w:styleId="106">
    <w:name w:val="Medium Grid 3 Accent 5"/>
    <w:basedOn w:val="36"/>
    <w:uiPriority w:val="69"/>
    <w:rPr>
      <w:rFonts w:ascii="Times New Roman" w:hAnsi="Times New Roman" w:eastAsia="宋体" w:cs="Times New Roman"/>
    </w:r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9F1EE"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30C0B4"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30C0B4"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30C0B4"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30C0B4"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93E4DD"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93E4DD" w:themeFill="accent5" w:themeFillTint="7F"/>
      </w:tcPr>
    </w:tblStylePr>
  </w:style>
  <w:style w:type="table" w:styleId="107">
    <w:name w:val="Medium Grid 3 Accent 6"/>
    <w:basedOn w:val="36"/>
    <w:uiPriority w:val="69"/>
    <w:rPr>
      <w:rFonts w:ascii="Times New Roman" w:hAnsi="Times New Roman" w:eastAsia="宋体" w:cs="Times New Roman"/>
    </w:r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8D2D7"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E54C5E"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E54C5E"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E54C5E"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E54C5E"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2A5AE"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2A5AE" w:themeFill="accent6" w:themeFillTint="7F"/>
      </w:tcPr>
    </w:tblStylePr>
  </w:style>
  <w:style w:type="table" w:styleId="108">
    <w:name w:val="Dark List"/>
    <w:basedOn w:val="36"/>
    <w:uiPriority w:val="70"/>
    <w:rPr>
      <w:rFonts w:ascii="Times New Roman" w:hAnsi="Times New Roman" w:eastAsia="宋体" w:cs="Times New Roman"/>
      <w:color w:val="FFFFFF" w:themeColor="background1"/>
      <w14:textFill>
        <w14:solidFill>
          <w14:schemeClr w14:val="bg1"/>
        </w14:solidFill>
      </w14:textFill>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09">
    <w:name w:val="Dark List Accent 1"/>
    <w:basedOn w:val="36"/>
    <w:uiPriority w:val="70"/>
    <w:rPr>
      <w:rFonts w:ascii="Times New Roman" w:hAnsi="Times New Roman" w:eastAsia="宋体" w:cs="Times New Roman"/>
      <w:color w:val="FFFFFF" w:themeColor="background1"/>
      <w14:textFill>
        <w14:solidFill>
          <w14:schemeClr w14:val="bg1"/>
        </w14:solidFill>
      </w14:textFill>
    </w:rPr>
    <w:tblPr>
      <w:tblStyleRowBandSize w:val="1"/>
      <w:tblStyleColBandSize w:val="1"/>
    </w:tblPr>
    <w:tcPr>
      <w:shd w:val="clear" w:color="auto" w:fill="4874CB"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E376A"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2D54A0"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2D54A0" w:themeFill="accent1" w:themeFillShade="BF"/>
      </w:tcPr>
    </w:tblStylePr>
    <w:tblStylePr w:type="band1Vert">
      <w:tblPr/>
      <w:tcPr>
        <w:tcBorders>
          <w:top w:val="nil"/>
          <w:left w:val="nil"/>
          <w:bottom w:val="nil"/>
          <w:right w:val="nil"/>
          <w:insideH w:val="nil"/>
          <w:insideV w:val="nil"/>
        </w:tcBorders>
        <w:shd w:val="clear" w:color="auto" w:fill="2D54A0" w:themeFill="accent1" w:themeFillShade="BF"/>
      </w:tcPr>
    </w:tblStylePr>
    <w:tblStylePr w:type="band1Horz">
      <w:tblPr/>
      <w:tcPr>
        <w:tcBorders>
          <w:top w:val="nil"/>
          <w:left w:val="nil"/>
          <w:bottom w:val="nil"/>
          <w:right w:val="nil"/>
          <w:insideH w:val="nil"/>
          <w:insideV w:val="nil"/>
        </w:tcBorders>
        <w:shd w:val="clear" w:color="auto" w:fill="2D54A0" w:themeFill="accent1" w:themeFillShade="BF"/>
      </w:tcPr>
    </w:tblStylePr>
  </w:style>
  <w:style w:type="table" w:styleId="110">
    <w:name w:val="Dark List Accent 2"/>
    <w:basedOn w:val="36"/>
    <w:uiPriority w:val="70"/>
    <w:rPr>
      <w:rFonts w:ascii="Times New Roman" w:hAnsi="Times New Roman" w:eastAsia="宋体" w:cs="Times New Roman"/>
      <w:color w:val="FFFFFF" w:themeColor="background1"/>
      <w14:textFill>
        <w14:solidFill>
          <w14:schemeClr w14:val="bg1"/>
        </w14:solidFill>
      </w14:textFill>
    </w:rPr>
    <w:tblPr>
      <w:tblStyleRowBandSize w:val="1"/>
      <w:tblStyleColBandSize w:val="1"/>
    </w:tblPr>
    <w:tcPr>
      <w:shd w:val="clear" w:color="auto" w:fill="EE822F"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833F0A"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C55E10"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C55E10" w:themeFill="accent2" w:themeFillShade="BF"/>
      </w:tcPr>
    </w:tblStylePr>
    <w:tblStylePr w:type="band1Vert">
      <w:tblPr/>
      <w:tcPr>
        <w:tcBorders>
          <w:top w:val="nil"/>
          <w:left w:val="nil"/>
          <w:bottom w:val="nil"/>
          <w:right w:val="nil"/>
          <w:insideH w:val="nil"/>
          <w:insideV w:val="nil"/>
        </w:tcBorders>
        <w:shd w:val="clear" w:color="auto" w:fill="C55E10" w:themeFill="accent2" w:themeFillShade="BF"/>
      </w:tcPr>
    </w:tblStylePr>
    <w:tblStylePr w:type="band1Horz">
      <w:tblPr/>
      <w:tcPr>
        <w:tcBorders>
          <w:top w:val="nil"/>
          <w:left w:val="nil"/>
          <w:bottom w:val="nil"/>
          <w:right w:val="nil"/>
          <w:insideH w:val="nil"/>
          <w:insideV w:val="nil"/>
        </w:tcBorders>
        <w:shd w:val="clear" w:color="auto" w:fill="C55E10" w:themeFill="accent2" w:themeFillShade="BF"/>
      </w:tcPr>
    </w:tblStylePr>
  </w:style>
  <w:style w:type="table" w:styleId="111">
    <w:name w:val="Dark List Accent 3"/>
    <w:basedOn w:val="36"/>
    <w:uiPriority w:val="70"/>
    <w:rPr>
      <w:rFonts w:ascii="Times New Roman" w:hAnsi="Times New Roman" w:eastAsia="宋体" w:cs="Times New Roman"/>
      <w:color w:val="FFFFFF" w:themeColor="background1"/>
      <w14:textFill>
        <w14:solidFill>
          <w14:schemeClr w14:val="bg1"/>
        </w14:solidFill>
      </w14:textFill>
    </w:rPr>
    <w:tblPr>
      <w:tblStyleRowBandSize w:val="1"/>
      <w:tblStyleColBandSize w:val="1"/>
    </w:tblPr>
    <w:tcPr>
      <w:shd w:val="clear" w:color="auto" w:fill="F2BA02"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85C00"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B58B01"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B58B01" w:themeFill="accent3" w:themeFillShade="BF"/>
      </w:tcPr>
    </w:tblStylePr>
    <w:tblStylePr w:type="band1Vert">
      <w:tblPr/>
      <w:tcPr>
        <w:tcBorders>
          <w:top w:val="nil"/>
          <w:left w:val="nil"/>
          <w:bottom w:val="nil"/>
          <w:right w:val="nil"/>
          <w:insideH w:val="nil"/>
          <w:insideV w:val="nil"/>
        </w:tcBorders>
        <w:shd w:val="clear" w:color="auto" w:fill="B58B01" w:themeFill="accent3" w:themeFillShade="BF"/>
      </w:tcPr>
    </w:tblStylePr>
    <w:tblStylePr w:type="band1Horz">
      <w:tblPr/>
      <w:tcPr>
        <w:tcBorders>
          <w:top w:val="nil"/>
          <w:left w:val="nil"/>
          <w:bottom w:val="nil"/>
          <w:right w:val="nil"/>
          <w:insideH w:val="nil"/>
          <w:insideV w:val="nil"/>
        </w:tcBorders>
        <w:shd w:val="clear" w:color="auto" w:fill="B58B01" w:themeFill="accent3" w:themeFillShade="BF"/>
      </w:tcPr>
    </w:tblStylePr>
  </w:style>
  <w:style w:type="table" w:styleId="112">
    <w:name w:val="Dark List Accent 4"/>
    <w:basedOn w:val="36"/>
    <w:uiPriority w:val="70"/>
    <w:rPr>
      <w:rFonts w:ascii="Times New Roman" w:hAnsi="Times New Roman" w:eastAsia="宋体" w:cs="Times New Roman"/>
      <w:color w:val="FFFFFF" w:themeColor="background1"/>
      <w14:textFill>
        <w14:solidFill>
          <w14:schemeClr w14:val="bg1"/>
        </w14:solidFill>
      </w14:textFill>
    </w:rPr>
    <w:tblPr>
      <w:tblStyleRowBandSize w:val="1"/>
      <w:tblStyleColBandSize w:val="1"/>
    </w:tblPr>
    <w:tcPr>
      <w:shd w:val="clear" w:color="auto" w:fill="75BD4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A5E20"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78D31"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78D31" w:themeFill="accent4" w:themeFillShade="BF"/>
      </w:tcPr>
    </w:tblStylePr>
    <w:tblStylePr w:type="band1Vert">
      <w:tblPr/>
      <w:tcPr>
        <w:tcBorders>
          <w:top w:val="nil"/>
          <w:left w:val="nil"/>
          <w:bottom w:val="nil"/>
          <w:right w:val="nil"/>
          <w:insideH w:val="nil"/>
          <w:insideV w:val="nil"/>
        </w:tcBorders>
        <w:shd w:val="clear" w:color="auto" w:fill="578D31" w:themeFill="accent4" w:themeFillShade="BF"/>
      </w:tcPr>
    </w:tblStylePr>
    <w:tblStylePr w:type="band1Horz">
      <w:tblPr/>
      <w:tcPr>
        <w:tcBorders>
          <w:top w:val="nil"/>
          <w:left w:val="nil"/>
          <w:bottom w:val="nil"/>
          <w:right w:val="nil"/>
          <w:insideH w:val="nil"/>
          <w:insideV w:val="nil"/>
        </w:tcBorders>
        <w:shd w:val="clear" w:color="auto" w:fill="578D31" w:themeFill="accent4" w:themeFillShade="BF"/>
      </w:tcPr>
    </w:tblStylePr>
  </w:style>
  <w:style w:type="table" w:styleId="113">
    <w:name w:val="Dark List Accent 5"/>
    <w:basedOn w:val="36"/>
    <w:uiPriority w:val="70"/>
    <w:rPr>
      <w:rFonts w:ascii="Times New Roman" w:hAnsi="Times New Roman" w:eastAsia="宋体" w:cs="Times New Roman"/>
      <w:color w:val="FFFFFF" w:themeColor="background1"/>
      <w14:textFill>
        <w14:solidFill>
          <w14:schemeClr w14:val="bg1"/>
        </w14:solidFill>
      </w14:textFill>
    </w:rPr>
    <w:tblPr>
      <w:tblStyleRowBandSize w:val="1"/>
      <w:tblStyleColBandSize w:val="1"/>
    </w:tblPr>
    <w:tcPr>
      <w:shd w:val="clear" w:color="auto" w:fill="30C0B4"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75F59"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238F86"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238F86" w:themeFill="accent5" w:themeFillShade="BF"/>
      </w:tcPr>
    </w:tblStylePr>
    <w:tblStylePr w:type="band1Vert">
      <w:tblPr/>
      <w:tcPr>
        <w:tcBorders>
          <w:top w:val="nil"/>
          <w:left w:val="nil"/>
          <w:bottom w:val="nil"/>
          <w:right w:val="nil"/>
          <w:insideH w:val="nil"/>
          <w:insideV w:val="nil"/>
        </w:tcBorders>
        <w:shd w:val="clear" w:color="auto" w:fill="238F86" w:themeFill="accent5" w:themeFillShade="BF"/>
      </w:tcPr>
    </w:tblStylePr>
    <w:tblStylePr w:type="band1Horz">
      <w:tblPr/>
      <w:tcPr>
        <w:tcBorders>
          <w:top w:val="nil"/>
          <w:left w:val="nil"/>
          <w:bottom w:val="nil"/>
          <w:right w:val="nil"/>
          <w:insideH w:val="nil"/>
          <w:insideV w:val="nil"/>
        </w:tcBorders>
        <w:shd w:val="clear" w:color="auto" w:fill="238F86" w:themeFill="accent5" w:themeFillShade="BF"/>
      </w:tcPr>
    </w:tblStylePr>
  </w:style>
  <w:style w:type="table" w:styleId="114">
    <w:name w:val="Dark List Accent 6"/>
    <w:basedOn w:val="36"/>
    <w:uiPriority w:val="70"/>
    <w:rPr>
      <w:rFonts w:ascii="Times New Roman" w:hAnsi="Times New Roman" w:eastAsia="宋体" w:cs="Times New Roman"/>
      <w:color w:val="FFFFFF" w:themeColor="background1"/>
      <w14:textFill>
        <w14:solidFill>
          <w14:schemeClr w14:val="bg1"/>
        </w14:solidFill>
      </w14:textFill>
    </w:rPr>
    <w:tblPr>
      <w:tblStyleRowBandSize w:val="1"/>
      <w:tblStyleColBandSize w:val="1"/>
    </w:tblPr>
    <w:tcPr>
      <w:shd w:val="clear" w:color="auto" w:fill="E54C5E"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841320"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C71C31"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C71C31" w:themeFill="accent6" w:themeFillShade="BF"/>
      </w:tcPr>
    </w:tblStylePr>
    <w:tblStylePr w:type="band1Vert">
      <w:tblPr/>
      <w:tcPr>
        <w:tcBorders>
          <w:top w:val="nil"/>
          <w:left w:val="nil"/>
          <w:bottom w:val="nil"/>
          <w:right w:val="nil"/>
          <w:insideH w:val="nil"/>
          <w:insideV w:val="nil"/>
        </w:tcBorders>
        <w:shd w:val="clear" w:color="auto" w:fill="C71C31" w:themeFill="accent6" w:themeFillShade="BF"/>
      </w:tcPr>
    </w:tblStylePr>
    <w:tblStylePr w:type="band1Horz">
      <w:tblPr/>
      <w:tcPr>
        <w:tcBorders>
          <w:top w:val="nil"/>
          <w:left w:val="nil"/>
          <w:bottom w:val="nil"/>
          <w:right w:val="nil"/>
          <w:insideH w:val="nil"/>
          <w:insideV w:val="nil"/>
        </w:tcBorders>
        <w:shd w:val="clear" w:color="auto" w:fill="C71C31" w:themeFill="accent6" w:themeFillShade="BF"/>
      </w:tcPr>
    </w:tblStylePr>
  </w:style>
  <w:style w:type="table" w:styleId="115">
    <w:name w:val="Colorful Shading"/>
    <w:basedOn w:val="36"/>
    <w:uiPriority w:val="71"/>
    <w:rPr>
      <w:rFonts w:ascii="Times New Roman" w:hAnsi="Times New Roman" w:eastAsia="宋体" w:cs="Times New Roman"/>
      <w:color w:val="000000" w:themeColor="text1"/>
      <w14:textFill>
        <w14:solidFill>
          <w14:schemeClr w14:val="tx1"/>
        </w14:solidFill>
      </w14:textFill>
    </w:rPr>
    <w:tblPr>
      <w:tblBorders>
        <w:top w:val="single" w:color="EE822F"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5E5E5" w:themeFill="text1" w:themeFillTint="19"/>
    </w:tcPr>
    <w:tblStylePr w:type="firstRow">
      <w:rPr>
        <w:b/>
        <w:bCs/>
      </w:rPr>
      <w:tblPr/>
      <w:tcPr>
        <w:tcBorders>
          <w:top w:val="nil"/>
          <w:left w:val="nil"/>
          <w:bottom w:val="single" w:color="EE822F"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6">
    <w:name w:val="Colorful Shading Accent 1"/>
    <w:basedOn w:val="36"/>
    <w:uiPriority w:val="71"/>
    <w:rPr>
      <w:rFonts w:ascii="Times New Roman" w:hAnsi="Times New Roman" w:eastAsia="宋体" w:cs="Times New Roman"/>
      <w:color w:val="000000" w:themeColor="text1"/>
      <w14:textFill>
        <w14:solidFill>
          <w14:schemeClr w14:val="tx1"/>
        </w14:solidFill>
      </w14:textFill>
    </w:rPr>
    <w:tblPr>
      <w:tblBorders>
        <w:top w:val="single" w:color="EE822F" w:themeColor="accent2" w:sz="24" w:space="0"/>
        <w:left w:val="single" w:color="4874CB" w:themeColor="accent1" w:sz="4" w:space="0"/>
        <w:bottom w:val="single" w:color="4874CB" w:themeColor="accent1" w:sz="4" w:space="0"/>
        <w:right w:val="single" w:color="4874CB" w:themeColor="accent1" w:sz="4" w:space="0"/>
        <w:insideH w:val="single" w:color="FFFFFF" w:themeColor="background1" w:sz="4" w:space="0"/>
        <w:insideV w:val="single" w:color="FFFFFF" w:themeColor="background1" w:sz="4" w:space="0"/>
      </w:tblBorders>
    </w:tblPr>
    <w:tcPr>
      <w:shd w:val="clear" w:color="auto" w:fill="EDF1F9" w:themeFill="accent1" w:themeFillTint="19"/>
    </w:tcPr>
    <w:tblStylePr w:type="firstRow">
      <w:rPr>
        <w:b/>
        <w:bCs/>
      </w:rPr>
      <w:tblPr/>
      <w:tcPr>
        <w:tcBorders>
          <w:top w:val="nil"/>
          <w:left w:val="nil"/>
          <w:bottom w:val="single" w:color="EE822F"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44380"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44380"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44380" w:themeFill="accent1" w:themeFillShade="99"/>
      </w:tcPr>
    </w:tblStylePr>
    <w:tblStylePr w:type="band1Vert">
      <w:tblPr/>
      <w:tcPr>
        <w:shd w:val="clear" w:color="auto" w:fill="B5C7EA" w:themeFill="accent1" w:themeFillTint="66"/>
      </w:tcPr>
    </w:tblStylePr>
    <w:tblStylePr w:type="band1Horz">
      <w:tblPr/>
      <w:tcPr>
        <w:shd w:val="clear" w:color="auto" w:fill="A3B9E5"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7">
    <w:name w:val="Colorful Shading Accent 2"/>
    <w:basedOn w:val="36"/>
    <w:uiPriority w:val="71"/>
    <w:rPr>
      <w:rFonts w:ascii="Times New Roman" w:hAnsi="Times New Roman" w:eastAsia="宋体" w:cs="Times New Roman"/>
      <w:color w:val="000000" w:themeColor="text1"/>
      <w14:textFill>
        <w14:solidFill>
          <w14:schemeClr w14:val="tx1"/>
        </w14:solidFill>
      </w14:textFill>
    </w:rPr>
    <w:tblPr>
      <w:tblBorders>
        <w:top w:val="single" w:color="EE822F" w:themeColor="accent2" w:sz="24" w:space="0"/>
        <w:left w:val="single" w:color="EE822F" w:themeColor="accent2" w:sz="4" w:space="0"/>
        <w:bottom w:val="single" w:color="EE822F" w:themeColor="accent2" w:sz="4" w:space="0"/>
        <w:right w:val="single" w:color="EE822F" w:themeColor="accent2" w:sz="4" w:space="0"/>
        <w:insideH w:val="single" w:color="FFFFFF" w:themeColor="background1" w:sz="4" w:space="0"/>
        <w:insideV w:val="single" w:color="FFFFFF" w:themeColor="background1" w:sz="4" w:space="0"/>
      </w:tblBorders>
    </w:tblPr>
    <w:tcPr>
      <w:shd w:val="clear" w:color="auto" w:fill="FDF2EA" w:themeFill="accent2" w:themeFillTint="19"/>
    </w:tcPr>
    <w:tblStylePr w:type="firstRow">
      <w:rPr>
        <w:b/>
        <w:bCs/>
      </w:rPr>
      <w:tblPr/>
      <w:tcPr>
        <w:tcBorders>
          <w:top w:val="nil"/>
          <w:left w:val="nil"/>
          <w:bottom w:val="single" w:color="EE822F"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9E4B0C"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9E4B0C"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9E4B0C" w:themeFill="accent2" w:themeFillShade="99"/>
      </w:tcPr>
    </w:tblStylePr>
    <w:tblStylePr w:type="band1Vert">
      <w:tblPr/>
      <w:tcPr>
        <w:shd w:val="clear" w:color="auto" w:fill="F8CCAB" w:themeFill="accent2" w:themeFillTint="66"/>
      </w:tcPr>
    </w:tblStylePr>
    <w:tblStylePr w:type="band1Horz">
      <w:tblPr/>
      <w:tcPr>
        <w:shd w:val="clear" w:color="auto" w:fill="F6C097"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8">
    <w:name w:val="Colorful Shading Accent 3"/>
    <w:basedOn w:val="36"/>
    <w:uiPriority w:val="71"/>
    <w:rPr>
      <w:rFonts w:ascii="Times New Roman" w:hAnsi="Times New Roman" w:eastAsia="宋体" w:cs="Times New Roman"/>
      <w:color w:val="000000" w:themeColor="text1"/>
      <w14:textFill>
        <w14:solidFill>
          <w14:schemeClr w14:val="tx1"/>
        </w14:solidFill>
      </w14:textFill>
    </w:rPr>
    <w:tblPr>
      <w:tblBorders>
        <w:top w:val="single" w:color="75BD42" w:themeColor="accent4" w:sz="24" w:space="0"/>
        <w:left w:val="single" w:color="F2BA02" w:themeColor="accent3" w:sz="4" w:space="0"/>
        <w:bottom w:val="single" w:color="F2BA02" w:themeColor="accent3" w:sz="4" w:space="0"/>
        <w:right w:val="single" w:color="F2BA02" w:themeColor="accent3" w:sz="4" w:space="0"/>
        <w:insideH w:val="single" w:color="FFFFFF" w:themeColor="background1" w:sz="4" w:space="0"/>
        <w:insideV w:val="single" w:color="FFFFFF" w:themeColor="background1" w:sz="4" w:space="0"/>
      </w:tblBorders>
    </w:tblPr>
    <w:tcPr>
      <w:shd w:val="clear" w:color="auto" w:fill="FEF8E5" w:themeFill="accent3" w:themeFillTint="19"/>
    </w:tcPr>
    <w:tblStylePr w:type="firstRow">
      <w:rPr>
        <w:b/>
        <w:bCs/>
      </w:rPr>
      <w:tblPr/>
      <w:tcPr>
        <w:tcBorders>
          <w:top w:val="nil"/>
          <w:left w:val="nil"/>
          <w:bottom w:val="single" w:color="75BD4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916F01"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916F01"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916F01" w:themeFill="accent3" w:themeFillShade="99"/>
      </w:tcPr>
    </w:tblStylePr>
    <w:tblStylePr w:type="band1Vert">
      <w:tblPr/>
      <w:tcPr>
        <w:shd w:val="clear" w:color="auto" w:fill="FEE595" w:themeFill="accent3" w:themeFillTint="66"/>
      </w:tcPr>
    </w:tblStylePr>
    <w:tblStylePr w:type="band1Horz">
      <w:tblPr/>
      <w:tcPr>
        <w:shd w:val="clear" w:color="auto" w:fill="FDDF7B" w:themeFill="accent3" w:themeFillTint="7F"/>
      </w:tcPr>
    </w:tblStylePr>
  </w:style>
  <w:style w:type="table" w:styleId="119">
    <w:name w:val="Colorful Shading Accent 4"/>
    <w:basedOn w:val="36"/>
    <w:uiPriority w:val="71"/>
    <w:rPr>
      <w:rFonts w:ascii="Times New Roman" w:hAnsi="Times New Roman" w:eastAsia="宋体" w:cs="Times New Roman"/>
      <w:color w:val="000000" w:themeColor="text1"/>
      <w14:textFill>
        <w14:solidFill>
          <w14:schemeClr w14:val="tx1"/>
        </w14:solidFill>
      </w14:textFill>
    </w:rPr>
    <w:tblPr>
      <w:tblBorders>
        <w:top w:val="single" w:color="F2BA02" w:themeColor="accent3" w:sz="24" w:space="0"/>
        <w:left w:val="single" w:color="75BD42" w:themeColor="accent4" w:sz="4" w:space="0"/>
        <w:bottom w:val="single" w:color="75BD42" w:themeColor="accent4" w:sz="4" w:space="0"/>
        <w:right w:val="single" w:color="75BD42" w:themeColor="accent4" w:sz="4" w:space="0"/>
        <w:insideH w:val="single" w:color="FFFFFF" w:themeColor="background1" w:sz="4" w:space="0"/>
        <w:insideV w:val="single" w:color="FFFFFF" w:themeColor="background1" w:sz="4" w:space="0"/>
      </w:tblBorders>
    </w:tblPr>
    <w:tcPr>
      <w:shd w:val="clear" w:color="auto" w:fill="F1F8EC" w:themeFill="accent4" w:themeFillTint="19"/>
    </w:tcPr>
    <w:tblStylePr w:type="firstRow">
      <w:rPr>
        <w:b/>
        <w:bCs/>
      </w:rPr>
      <w:tblPr/>
      <w:tcPr>
        <w:tcBorders>
          <w:top w:val="nil"/>
          <w:left w:val="nil"/>
          <w:bottom w:val="single" w:color="F2BA02"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67127"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67127"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67127" w:themeFill="accent4" w:themeFillShade="99"/>
      </w:tcPr>
    </w:tblStylePr>
    <w:tblStylePr w:type="band1Vert">
      <w:tblPr/>
      <w:tcPr>
        <w:shd w:val="clear" w:color="auto" w:fill="C7E4B3" w:themeFill="accent4" w:themeFillTint="66"/>
      </w:tcPr>
    </w:tblStylePr>
    <w:tblStylePr w:type="band1Horz">
      <w:tblPr/>
      <w:tcPr>
        <w:shd w:val="clear" w:color="auto" w:fill="BADEA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0">
    <w:name w:val="Colorful Shading Accent 5"/>
    <w:basedOn w:val="36"/>
    <w:uiPriority w:val="71"/>
    <w:rPr>
      <w:rFonts w:ascii="Times New Roman" w:hAnsi="Times New Roman" w:eastAsia="宋体" w:cs="Times New Roman"/>
      <w:color w:val="000000" w:themeColor="text1"/>
      <w14:textFill>
        <w14:solidFill>
          <w14:schemeClr w14:val="tx1"/>
        </w14:solidFill>
      </w14:textFill>
    </w:rPr>
    <w:tblPr>
      <w:tblBorders>
        <w:top w:val="single" w:color="E54C5E" w:themeColor="accent6" w:sz="24" w:space="0"/>
        <w:left w:val="single" w:color="30C0B4" w:themeColor="accent5" w:sz="4" w:space="0"/>
        <w:bottom w:val="single" w:color="30C0B4" w:themeColor="accent5" w:sz="4" w:space="0"/>
        <w:right w:val="single" w:color="30C0B4" w:themeColor="accent5" w:sz="4" w:space="0"/>
        <w:insideH w:val="single" w:color="FFFFFF" w:themeColor="background1" w:sz="4" w:space="0"/>
        <w:insideV w:val="single" w:color="FFFFFF" w:themeColor="background1" w:sz="4" w:space="0"/>
      </w:tblBorders>
    </w:tblPr>
    <w:tcPr>
      <w:shd w:val="clear" w:color="auto" w:fill="E9F9F8" w:themeFill="accent5" w:themeFillTint="19"/>
    </w:tcPr>
    <w:tblStylePr w:type="firstRow">
      <w:rPr>
        <w:b/>
        <w:bCs/>
      </w:rPr>
      <w:tblPr/>
      <w:tcPr>
        <w:tcBorders>
          <w:top w:val="nil"/>
          <w:left w:val="nil"/>
          <w:bottom w:val="single" w:color="E54C5E"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1C736B"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1C736B"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1C736B" w:themeFill="accent5" w:themeFillShade="99"/>
      </w:tcPr>
    </w:tblStylePr>
    <w:tblStylePr w:type="band1Vert">
      <w:tblPr/>
      <w:tcPr>
        <w:shd w:val="clear" w:color="auto" w:fill="A8E9E3" w:themeFill="accent5" w:themeFillTint="66"/>
      </w:tcPr>
    </w:tblStylePr>
    <w:tblStylePr w:type="band1Horz">
      <w:tblPr/>
      <w:tcPr>
        <w:shd w:val="clear" w:color="auto" w:fill="93E4DD"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1">
    <w:name w:val="Colorful Shading Accent 6"/>
    <w:basedOn w:val="36"/>
    <w:uiPriority w:val="71"/>
    <w:rPr>
      <w:rFonts w:ascii="Times New Roman" w:hAnsi="Times New Roman" w:eastAsia="宋体" w:cs="Times New Roman"/>
      <w:color w:val="000000" w:themeColor="text1"/>
      <w14:textFill>
        <w14:solidFill>
          <w14:schemeClr w14:val="tx1"/>
        </w14:solidFill>
      </w14:textFill>
    </w:rPr>
    <w:tblPr>
      <w:tblBorders>
        <w:top w:val="single" w:color="30C0B4" w:themeColor="accent5" w:sz="24" w:space="0"/>
        <w:left w:val="single" w:color="E54C5E" w:themeColor="accent6" w:sz="4" w:space="0"/>
        <w:bottom w:val="single" w:color="E54C5E" w:themeColor="accent6" w:sz="4" w:space="0"/>
        <w:right w:val="single" w:color="E54C5E" w:themeColor="accent6" w:sz="4" w:space="0"/>
        <w:insideH w:val="single" w:color="FFFFFF" w:themeColor="background1" w:sz="4" w:space="0"/>
        <w:insideV w:val="single" w:color="FFFFFF" w:themeColor="background1" w:sz="4" w:space="0"/>
      </w:tblBorders>
    </w:tblPr>
    <w:tcPr>
      <w:shd w:val="clear" w:color="auto" w:fill="FCEDEF" w:themeFill="accent6" w:themeFillTint="19"/>
    </w:tcPr>
    <w:tblStylePr w:type="firstRow">
      <w:rPr>
        <w:b/>
        <w:bCs/>
      </w:rPr>
      <w:tblPr/>
      <w:tcPr>
        <w:tcBorders>
          <w:top w:val="nil"/>
          <w:left w:val="nil"/>
          <w:bottom w:val="single" w:color="30C0B4"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9F172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9F172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9F1727" w:themeFill="accent6" w:themeFillShade="99"/>
      </w:tcPr>
    </w:tblStylePr>
    <w:tblStylePr w:type="band1Vert">
      <w:tblPr/>
      <w:tcPr>
        <w:shd w:val="clear" w:color="auto" w:fill="F4B7BE" w:themeFill="accent6" w:themeFillTint="66"/>
      </w:tcPr>
    </w:tblStylePr>
    <w:tblStylePr w:type="band1Horz">
      <w:tblPr/>
      <w:tcPr>
        <w:shd w:val="clear" w:color="auto" w:fill="F2A5AE"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2">
    <w:name w:val="Colorful List"/>
    <w:basedOn w:val="36"/>
    <w:uiPriority w:val="72"/>
    <w:rPr>
      <w:rFonts w:ascii="Times New Roman" w:hAnsi="Times New Roman" w:eastAsia="宋体" w:cs="Times New Roman"/>
      <w:color w:val="000000" w:themeColor="text1"/>
      <w14:textFill>
        <w14:solidFill>
          <w14:schemeClr w14:val="tx1"/>
        </w14:solidFill>
      </w14:textFill>
    </w:rPr>
    <w:tblPr>
      <w:tblStyleRowBandSize w:val="1"/>
      <w:tblStyleColBandSize w:val="1"/>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D26511" w:themeFill="accent2" w:themeFillShade="CC"/>
      </w:tcPr>
    </w:tblStylePr>
    <w:tblStylePr w:type="lastRow">
      <w:rPr>
        <w:b/>
        <w:bCs/>
        <w:color w:val="D36511"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23">
    <w:name w:val="Colorful List Accent 1"/>
    <w:basedOn w:val="36"/>
    <w:uiPriority w:val="72"/>
    <w:rPr>
      <w:rFonts w:ascii="Times New Roman" w:hAnsi="Times New Roman" w:eastAsia="宋体" w:cs="Times New Roman"/>
      <w:color w:val="000000" w:themeColor="text1"/>
      <w14:textFill>
        <w14:solidFill>
          <w14:schemeClr w14:val="tx1"/>
        </w14:solidFill>
      </w14:textFill>
    </w:rPr>
    <w:tblPr>
      <w:tblStyleRowBandSize w:val="1"/>
      <w:tblStyleColBandSize w:val="1"/>
    </w:tblPr>
    <w:tcPr>
      <w:shd w:val="clear" w:color="auto" w:fill="EDF1F9"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D26511" w:themeFill="accent2" w:themeFillShade="CC"/>
      </w:tcPr>
    </w:tblStylePr>
    <w:tblStylePr w:type="lastRow">
      <w:rPr>
        <w:b/>
        <w:bCs/>
        <w:color w:val="D36511"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1DCF2" w:themeFill="accent1" w:themeFillTint="3F"/>
      </w:tcPr>
    </w:tblStylePr>
    <w:tblStylePr w:type="band1Horz">
      <w:tblPr/>
      <w:tcPr>
        <w:shd w:val="clear" w:color="auto" w:fill="DAE3F4" w:themeFill="accent1" w:themeFillTint="33"/>
      </w:tcPr>
    </w:tblStylePr>
  </w:style>
  <w:style w:type="table" w:styleId="124">
    <w:name w:val="Colorful List Accent 2"/>
    <w:basedOn w:val="36"/>
    <w:uiPriority w:val="72"/>
    <w:rPr>
      <w:rFonts w:ascii="Times New Roman" w:hAnsi="Times New Roman" w:eastAsia="宋体" w:cs="Times New Roman"/>
      <w:color w:val="000000" w:themeColor="text1"/>
      <w14:textFill>
        <w14:solidFill>
          <w14:schemeClr w14:val="tx1"/>
        </w14:solidFill>
      </w14:textFill>
    </w:rPr>
    <w:tblPr>
      <w:tblStyleRowBandSize w:val="1"/>
      <w:tblStyleColBandSize w:val="1"/>
    </w:tblPr>
    <w:tcPr>
      <w:shd w:val="clear" w:color="auto" w:fill="FDF2EA"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D26511" w:themeFill="accent2" w:themeFillShade="CC"/>
      </w:tcPr>
    </w:tblStylePr>
    <w:tblStylePr w:type="lastRow">
      <w:rPr>
        <w:b/>
        <w:bCs/>
        <w:color w:val="D36511"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E0CB" w:themeFill="accent2" w:themeFillTint="3F"/>
      </w:tcPr>
    </w:tblStylePr>
    <w:tblStylePr w:type="band1Horz">
      <w:tblPr/>
      <w:tcPr>
        <w:shd w:val="clear" w:color="auto" w:fill="FBE5D5" w:themeFill="accent2" w:themeFillTint="33"/>
      </w:tcPr>
    </w:tblStylePr>
  </w:style>
  <w:style w:type="table" w:styleId="125">
    <w:name w:val="Colorful List Accent 3"/>
    <w:basedOn w:val="36"/>
    <w:uiPriority w:val="72"/>
    <w:rPr>
      <w:rFonts w:ascii="Times New Roman" w:hAnsi="Times New Roman" w:eastAsia="宋体" w:cs="Times New Roman"/>
      <w:color w:val="000000" w:themeColor="text1"/>
      <w14:textFill>
        <w14:solidFill>
          <w14:schemeClr w14:val="tx1"/>
        </w14:solidFill>
      </w14:textFill>
    </w:rPr>
    <w:tblPr>
      <w:tblStyleRowBandSize w:val="1"/>
      <w:tblStyleColBandSize w:val="1"/>
    </w:tblPr>
    <w:tcPr>
      <w:shd w:val="clear" w:color="auto" w:fill="FEF8E5"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5D9734" w:themeFill="accent4" w:themeFillShade="CC"/>
      </w:tcPr>
    </w:tblStylePr>
    <w:tblStylePr w:type="lastRow">
      <w:rPr>
        <w:b/>
        <w:bCs/>
        <w:color w:val="5E9735"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EEFBD" w:themeFill="accent3" w:themeFillTint="3F"/>
      </w:tcPr>
    </w:tblStylePr>
    <w:tblStylePr w:type="band1Horz">
      <w:tblPr/>
      <w:tcPr>
        <w:shd w:val="clear" w:color="auto" w:fill="FEF2CA" w:themeFill="accent3" w:themeFillTint="33"/>
      </w:tcPr>
    </w:tblStylePr>
  </w:style>
  <w:style w:type="table" w:styleId="126">
    <w:name w:val="Colorful List Accent 4"/>
    <w:basedOn w:val="36"/>
    <w:uiPriority w:val="72"/>
    <w:rPr>
      <w:rFonts w:ascii="Times New Roman" w:hAnsi="Times New Roman" w:eastAsia="宋体" w:cs="Times New Roman"/>
      <w:color w:val="000000" w:themeColor="text1"/>
      <w14:textFill>
        <w14:solidFill>
          <w14:schemeClr w14:val="tx1"/>
        </w14:solidFill>
      </w14:textFill>
    </w:rPr>
    <w:tblPr>
      <w:tblStyleRowBandSize w:val="1"/>
      <w:tblStyleColBandSize w:val="1"/>
    </w:tblPr>
    <w:tcPr>
      <w:shd w:val="clear" w:color="auto" w:fill="F1F8EC"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C19401" w:themeFill="accent3" w:themeFillShade="CC"/>
      </w:tcPr>
    </w:tblStylePr>
    <w:tblStylePr w:type="lastRow">
      <w:rPr>
        <w:b/>
        <w:bCs/>
        <w:color w:val="C29502"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CEED0" w:themeFill="accent4" w:themeFillTint="3F"/>
      </w:tcPr>
    </w:tblStylePr>
    <w:tblStylePr w:type="band1Horz">
      <w:tblPr/>
      <w:tcPr>
        <w:shd w:val="clear" w:color="auto" w:fill="E3F1D9" w:themeFill="accent4" w:themeFillTint="33"/>
      </w:tcPr>
    </w:tblStylePr>
  </w:style>
  <w:style w:type="table" w:styleId="127">
    <w:name w:val="Colorful List Accent 5"/>
    <w:basedOn w:val="36"/>
    <w:uiPriority w:val="72"/>
    <w:rPr>
      <w:rFonts w:ascii="Times New Roman" w:hAnsi="Times New Roman" w:eastAsia="宋体" w:cs="Times New Roman"/>
      <w:color w:val="000000" w:themeColor="text1"/>
      <w14:textFill>
        <w14:solidFill>
          <w14:schemeClr w14:val="tx1"/>
        </w14:solidFill>
      </w14:textFill>
    </w:rPr>
    <w:tblPr>
      <w:tblStyleRowBandSize w:val="1"/>
      <w:tblStyleColBandSize w:val="1"/>
    </w:tblPr>
    <w:tcPr>
      <w:shd w:val="clear" w:color="auto" w:fill="E9F9F8"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D51E34" w:themeFill="accent6" w:themeFillShade="CC"/>
      </w:tcPr>
    </w:tblStylePr>
    <w:tblStylePr w:type="lastRow">
      <w:rPr>
        <w:b/>
        <w:bCs/>
        <w:color w:val="D51F34"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9F1EE" w:themeFill="accent5" w:themeFillTint="3F"/>
      </w:tcPr>
    </w:tblStylePr>
    <w:tblStylePr w:type="band1Horz">
      <w:tblPr/>
      <w:tcPr>
        <w:shd w:val="clear" w:color="auto" w:fill="D3F4F1" w:themeFill="accent5" w:themeFillTint="33"/>
      </w:tcPr>
    </w:tblStylePr>
  </w:style>
  <w:style w:type="table" w:styleId="128">
    <w:name w:val="Colorful List Accent 6"/>
    <w:basedOn w:val="36"/>
    <w:uiPriority w:val="72"/>
    <w:rPr>
      <w:rFonts w:ascii="Times New Roman" w:hAnsi="Times New Roman" w:eastAsia="宋体" w:cs="Times New Roman"/>
      <w:color w:val="000000" w:themeColor="text1"/>
      <w14:textFill>
        <w14:solidFill>
          <w14:schemeClr w14:val="tx1"/>
        </w14:solidFill>
      </w14:textFill>
    </w:rPr>
    <w:tblPr>
      <w:tblStyleRowBandSize w:val="1"/>
      <w:tblStyleColBandSize w:val="1"/>
    </w:tblPr>
    <w:tcPr>
      <w:shd w:val="clear" w:color="auto" w:fill="FCEDEF"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26998F" w:themeFill="accent5" w:themeFillShade="CC"/>
      </w:tcPr>
    </w:tblStylePr>
    <w:tblStylePr w:type="lastRow">
      <w:rPr>
        <w:b/>
        <w:bCs/>
        <w:color w:val="269A90"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8D2D7" w:themeFill="accent6" w:themeFillTint="3F"/>
      </w:tcPr>
    </w:tblStylePr>
    <w:tblStylePr w:type="band1Horz">
      <w:tblPr/>
      <w:tcPr>
        <w:shd w:val="clear" w:color="auto" w:fill="F9DBDE" w:themeFill="accent6" w:themeFillTint="33"/>
      </w:tcPr>
    </w:tblStylePr>
  </w:style>
  <w:style w:type="table" w:styleId="129">
    <w:name w:val="Colorful Grid"/>
    <w:basedOn w:val="36"/>
    <w:uiPriority w:val="73"/>
    <w:rPr>
      <w:rFonts w:ascii="Times New Roman" w:hAnsi="Times New Roman" w:eastAsia="宋体" w:cs="Times New Roman"/>
      <w:color w:val="000000" w:themeColor="text1"/>
      <w14:textFill>
        <w14:solidFill>
          <w14:schemeClr w14:val="tx1"/>
        </w14:solidFill>
      </w14:textFill>
    </w:rPr>
    <w:tblPr>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30">
    <w:name w:val="Colorful Grid Accent 1"/>
    <w:basedOn w:val="36"/>
    <w:uiPriority w:val="73"/>
    <w:rPr>
      <w:rFonts w:ascii="Times New Roman" w:hAnsi="Times New Roman" w:eastAsia="宋体" w:cs="Times New Roman"/>
      <w:color w:val="000000" w:themeColor="text1"/>
      <w14:textFill>
        <w14:solidFill>
          <w14:schemeClr w14:val="tx1"/>
        </w14:solidFill>
      </w14:textFill>
    </w:rPr>
    <w:tblPr>
      <w:tblBorders>
        <w:insideH w:val="single" w:color="FFFFFF" w:themeColor="background1" w:sz="4" w:space="0"/>
      </w:tblBorders>
    </w:tblPr>
    <w:tcPr>
      <w:shd w:val="clear" w:color="auto" w:fill="DAE3F4" w:themeFill="accent1" w:themeFillTint="33"/>
    </w:tcPr>
    <w:tblStylePr w:type="firstRow">
      <w:rPr>
        <w:b/>
        <w:bCs/>
      </w:rPr>
      <w:tblPr/>
      <w:tcPr>
        <w:shd w:val="clear" w:color="auto" w:fill="B5C7EA" w:themeFill="accent1" w:themeFillTint="66"/>
      </w:tcPr>
    </w:tblStylePr>
    <w:tblStylePr w:type="lastRow">
      <w:rPr>
        <w:b/>
        <w:bCs/>
        <w:color w:val="000000" w:themeColor="text1"/>
        <w14:textFill>
          <w14:solidFill>
            <w14:schemeClr w14:val="tx1"/>
          </w14:solidFill>
        </w14:textFill>
      </w:rPr>
      <w:tblPr/>
      <w:tcPr>
        <w:shd w:val="clear" w:color="auto" w:fill="B5C7EA" w:themeFill="accent1" w:themeFillTint="66"/>
      </w:tcPr>
    </w:tblStylePr>
    <w:tblStylePr w:type="firstCol">
      <w:rPr>
        <w:color w:val="FFFFFF" w:themeColor="background1"/>
        <w14:textFill>
          <w14:solidFill>
            <w14:schemeClr w14:val="bg1"/>
          </w14:solidFill>
        </w14:textFill>
      </w:rPr>
      <w:tblPr/>
      <w:tcPr>
        <w:shd w:val="clear" w:color="auto" w:fill="2D54A0" w:themeFill="accent1" w:themeFillShade="BF"/>
      </w:tcPr>
    </w:tblStylePr>
    <w:tblStylePr w:type="lastCol">
      <w:rPr>
        <w:color w:val="FFFFFF" w:themeColor="background1"/>
        <w14:textFill>
          <w14:solidFill>
            <w14:schemeClr w14:val="bg1"/>
          </w14:solidFill>
        </w14:textFill>
      </w:rPr>
      <w:tblPr/>
      <w:tcPr>
        <w:shd w:val="clear" w:color="auto" w:fill="2D54A0" w:themeFill="accent1" w:themeFillShade="BF"/>
      </w:tcPr>
    </w:tblStylePr>
    <w:tblStylePr w:type="band1Vert">
      <w:tblPr/>
      <w:tcPr>
        <w:shd w:val="clear" w:color="auto" w:fill="A3B9E5" w:themeFill="accent1" w:themeFillTint="7F"/>
      </w:tcPr>
    </w:tblStylePr>
    <w:tblStylePr w:type="band1Horz">
      <w:tblPr/>
      <w:tcPr>
        <w:shd w:val="clear" w:color="auto" w:fill="A3B9E5" w:themeFill="accent1" w:themeFillTint="7F"/>
      </w:tcPr>
    </w:tblStylePr>
  </w:style>
  <w:style w:type="table" w:styleId="131">
    <w:name w:val="Colorful Grid Accent 2"/>
    <w:basedOn w:val="36"/>
    <w:uiPriority w:val="73"/>
    <w:rPr>
      <w:rFonts w:ascii="Times New Roman" w:hAnsi="Times New Roman" w:eastAsia="宋体" w:cs="Times New Roman"/>
      <w:color w:val="000000" w:themeColor="text1"/>
      <w14:textFill>
        <w14:solidFill>
          <w14:schemeClr w14:val="tx1"/>
        </w14:solidFill>
      </w14:textFill>
    </w:rPr>
    <w:tblPr>
      <w:tblBorders>
        <w:insideH w:val="single" w:color="FFFFFF" w:themeColor="background1" w:sz="4" w:space="0"/>
      </w:tblBorders>
    </w:tblPr>
    <w:tcPr>
      <w:shd w:val="clear" w:color="auto" w:fill="FBE5D5" w:themeFill="accent2" w:themeFillTint="33"/>
    </w:tcPr>
    <w:tblStylePr w:type="firstRow">
      <w:rPr>
        <w:b/>
        <w:bCs/>
      </w:rPr>
      <w:tblPr/>
      <w:tcPr>
        <w:shd w:val="clear" w:color="auto" w:fill="F8CCAB" w:themeFill="accent2" w:themeFillTint="66"/>
      </w:tcPr>
    </w:tblStylePr>
    <w:tblStylePr w:type="lastRow">
      <w:rPr>
        <w:b/>
        <w:bCs/>
        <w:color w:val="000000" w:themeColor="text1"/>
        <w14:textFill>
          <w14:solidFill>
            <w14:schemeClr w14:val="tx1"/>
          </w14:solidFill>
        </w14:textFill>
      </w:rPr>
      <w:tblPr/>
      <w:tcPr>
        <w:shd w:val="clear" w:color="auto" w:fill="F8CCAB" w:themeFill="accent2" w:themeFillTint="66"/>
      </w:tcPr>
    </w:tblStylePr>
    <w:tblStylePr w:type="firstCol">
      <w:rPr>
        <w:color w:val="FFFFFF" w:themeColor="background1"/>
        <w14:textFill>
          <w14:solidFill>
            <w14:schemeClr w14:val="bg1"/>
          </w14:solidFill>
        </w14:textFill>
      </w:rPr>
      <w:tblPr/>
      <w:tcPr>
        <w:shd w:val="clear" w:color="auto" w:fill="C55E10" w:themeFill="accent2" w:themeFillShade="BF"/>
      </w:tcPr>
    </w:tblStylePr>
    <w:tblStylePr w:type="lastCol">
      <w:rPr>
        <w:color w:val="FFFFFF" w:themeColor="background1"/>
        <w14:textFill>
          <w14:solidFill>
            <w14:schemeClr w14:val="bg1"/>
          </w14:solidFill>
        </w14:textFill>
      </w:rPr>
      <w:tblPr/>
      <w:tcPr>
        <w:shd w:val="clear" w:color="auto" w:fill="C55E10" w:themeFill="accent2" w:themeFillShade="BF"/>
      </w:tcPr>
    </w:tblStylePr>
    <w:tblStylePr w:type="band1Vert">
      <w:tblPr/>
      <w:tcPr>
        <w:shd w:val="clear" w:color="auto" w:fill="F6C097" w:themeFill="accent2" w:themeFillTint="7F"/>
      </w:tcPr>
    </w:tblStylePr>
    <w:tblStylePr w:type="band1Horz">
      <w:tblPr/>
      <w:tcPr>
        <w:shd w:val="clear" w:color="auto" w:fill="F6C097" w:themeFill="accent2" w:themeFillTint="7F"/>
      </w:tcPr>
    </w:tblStylePr>
  </w:style>
  <w:style w:type="table" w:styleId="132">
    <w:name w:val="Colorful Grid Accent 3"/>
    <w:basedOn w:val="36"/>
    <w:uiPriority w:val="73"/>
    <w:rPr>
      <w:rFonts w:ascii="Times New Roman" w:hAnsi="Times New Roman" w:eastAsia="宋体" w:cs="Times New Roman"/>
      <w:color w:val="000000" w:themeColor="text1"/>
      <w14:textFill>
        <w14:solidFill>
          <w14:schemeClr w14:val="tx1"/>
        </w14:solidFill>
      </w14:textFill>
    </w:rPr>
    <w:tblPr>
      <w:tblBorders>
        <w:insideH w:val="single" w:color="FFFFFF" w:themeColor="background1" w:sz="4" w:space="0"/>
      </w:tblBorders>
    </w:tblPr>
    <w:tcPr>
      <w:shd w:val="clear" w:color="auto" w:fill="FEF2CA" w:themeFill="accent3" w:themeFillTint="33"/>
    </w:tcPr>
    <w:tblStylePr w:type="firstRow">
      <w:rPr>
        <w:b/>
        <w:bCs/>
      </w:rPr>
      <w:tblPr/>
      <w:tcPr>
        <w:shd w:val="clear" w:color="auto" w:fill="FEE595" w:themeFill="accent3" w:themeFillTint="66"/>
      </w:tcPr>
    </w:tblStylePr>
    <w:tblStylePr w:type="lastRow">
      <w:rPr>
        <w:b/>
        <w:bCs/>
        <w:color w:val="000000" w:themeColor="text1"/>
        <w14:textFill>
          <w14:solidFill>
            <w14:schemeClr w14:val="tx1"/>
          </w14:solidFill>
        </w14:textFill>
      </w:rPr>
      <w:tblPr/>
      <w:tcPr>
        <w:shd w:val="clear" w:color="auto" w:fill="FEE595" w:themeFill="accent3" w:themeFillTint="66"/>
      </w:tcPr>
    </w:tblStylePr>
    <w:tblStylePr w:type="firstCol">
      <w:rPr>
        <w:color w:val="FFFFFF" w:themeColor="background1"/>
        <w14:textFill>
          <w14:solidFill>
            <w14:schemeClr w14:val="bg1"/>
          </w14:solidFill>
        </w14:textFill>
      </w:rPr>
      <w:tblPr/>
      <w:tcPr>
        <w:shd w:val="clear" w:color="auto" w:fill="B58B01" w:themeFill="accent3" w:themeFillShade="BF"/>
      </w:tcPr>
    </w:tblStylePr>
    <w:tblStylePr w:type="lastCol">
      <w:rPr>
        <w:color w:val="FFFFFF" w:themeColor="background1"/>
        <w14:textFill>
          <w14:solidFill>
            <w14:schemeClr w14:val="bg1"/>
          </w14:solidFill>
        </w14:textFill>
      </w:rPr>
      <w:tblPr/>
      <w:tcPr>
        <w:shd w:val="clear" w:color="auto" w:fill="B58B01" w:themeFill="accent3" w:themeFillShade="BF"/>
      </w:tcPr>
    </w:tblStylePr>
    <w:tblStylePr w:type="band1Vert">
      <w:tblPr/>
      <w:tcPr>
        <w:shd w:val="clear" w:color="auto" w:fill="FDDF7B" w:themeFill="accent3" w:themeFillTint="7F"/>
      </w:tcPr>
    </w:tblStylePr>
    <w:tblStylePr w:type="band1Horz">
      <w:tblPr/>
      <w:tcPr>
        <w:shd w:val="clear" w:color="auto" w:fill="FDDF7B" w:themeFill="accent3" w:themeFillTint="7F"/>
      </w:tcPr>
    </w:tblStylePr>
  </w:style>
  <w:style w:type="table" w:styleId="133">
    <w:name w:val="Colorful Grid Accent 4"/>
    <w:basedOn w:val="36"/>
    <w:uiPriority w:val="73"/>
    <w:rPr>
      <w:rFonts w:ascii="Times New Roman" w:hAnsi="Times New Roman" w:eastAsia="宋体" w:cs="Times New Roman"/>
      <w:color w:val="000000" w:themeColor="text1"/>
      <w14:textFill>
        <w14:solidFill>
          <w14:schemeClr w14:val="tx1"/>
        </w14:solidFill>
      </w14:textFill>
    </w:rPr>
    <w:tblPr>
      <w:tblBorders>
        <w:insideH w:val="single" w:color="FFFFFF" w:themeColor="background1" w:sz="4" w:space="0"/>
      </w:tblBorders>
    </w:tblPr>
    <w:tcPr>
      <w:shd w:val="clear" w:color="auto" w:fill="E3F1D9" w:themeFill="accent4" w:themeFillTint="33"/>
    </w:tcPr>
    <w:tblStylePr w:type="firstRow">
      <w:rPr>
        <w:b/>
        <w:bCs/>
      </w:rPr>
      <w:tblPr/>
      <w:tcPr>
        <w:shd w:val="clear" w:color="auto" w:fill="C7E4B3" w:themeFill="accent4" w:themeFillTint="66"/>
      </w:tcPr>
    </w:tblStylePr>
    <w:tblStylePr w:type="lastRow">
      <w:rPr>
        <w:b/>
        <w:bCs/>
        <w:color w:val="000000" w:themeColor="text1"/>
        <w14:textFill>
          <w14:solidFill>
            <w14:schemeClr w14:val="tx1"/>
          </w14:solidFill>
        </w14:textFill>
      </w:rPr>
      <w:tblPr/>
      <w:tcPr>
        <w:shd w:val="clear" w:color="auto" w:fill="C7E4B3" w:themeFill="accent4" w:themeFillTint="66"/>
      </w:tcPr>
    </w:tblStylePr>
    <w:tblStylePr w:type="firstCol">
      <w:rPr>
        <w:color w:val="FFFFFF" w:themeColor="background1"/>
        <w14:textFill>
          <w14:solidFill>
            <w14:schemeClr w14:val="bg1"/>
          </w14:solidFill>
        </w14:textFill>
      </w:rPr>
      <w:tblPr/>
      <w:tcPr>
        <w:shd w:val="clear" w:color="auto" w:fill="578D31" w:themeFill="accent4" w:themeFillShade="BF"/>
      </w:tcPr>
    </w:tblStylePr>
    <w:tblStylePr w:type="lastCol">
      <w:rPr>
        <w:color w:val="FFFFFF" w:themeColor="background1"/>
        <w14:textFill>
          <w14:solidFill>
            <w14:schemeClr w14:val="bg1"/>
          </w14:solidFill>
        </w14:textFill>
      </w:rPr>
      <w:tblPr/>
      <w:tcPr>
        <w:shd w:val="clear" w:color="auto" w:fill="578D31" w:themeFill="accent4" w:themeFillShade="BF"/>
      </w:tcPr>
    </w:tblStylePr>
    <w:tblStylePr w:type="band1Vert">
      <w:tblPr/>
      <w:tcPr>
        <w:shd w:val="clear" w:color="auto" w:fill="BADEA0" w:themeFill="accent4" w:themeFillTint="7F"/>
      </w:tcPr>
    </w:tblStylePr>
    <w:tblStylePr w:type="band1Horz">
      <w:tblPr/>
      <w:tcPr>
        <w:shd w:val="clear" w:color="auto" w:fill="BADEA0" w:themeFill="accent4" w:themeFillTint="7F"/>
      </w:tcPr>
    </w:tblStylePr>
  </w:style>
  <w:style w:type="table" w:styleId="134">
    <w:name w:val="Colorful Grid Accent 5"/>
    <w:basedOn w:val="36"/>
    <w:uiPriority w:val="73"/>
    <w:rPr>
      <w:rFonts w:ascii="Times New Roman" w:hAnsi="Times New Roman" w:eastAsia="宋体" w:cs="Times New Roman"/>
      <w:color w:val="000000" w:themeColor="text1"/>
      <w14:textFill>
        <w14:solidFill>
          <w14:schemeClr w14:val="tx1"/>
        </w14:solidFill>
      </w14:textFill>
    </w:rPr>
    <w:tblPr>
      <w:tblBorders>
        <w:insideH w:val="single" w:color="FFFFFF" w:themeColor="background1" w:sz="4" w:space="0"/>
      </w:tblBorders>
    </w:tblPr>
    <w:tcPr>
      <w:shd w:val="clear" w:color="auto" w:fill="D3F4F1" w:themeFill="accent5" w:themeFillTint="33"/>
    </w:tcPr>
    <w:tblStylePr w:type="firstRow">
      <w:rPr>
        <w:b/>
        <w:bCs/>
      </w:rPr>
      <w:tblPr/>
      <w:tcPr>
        <w:shd w:val="clear" w:color="auto" w:fill="A8E9E3" w:themeFill="accent5" w:themeFillTint="66"/>
      </w:tcPr>
    </w:tblStylePr>
    <w:tblStylePr w:type="lastRow">
      <w:rPr>
        <w:b/>
        <w:bCs/>
        <w:color w:val="000000" w:themeColor="text1"/>
        <w14:textFill>
          <w14:solidFill>
            <w14:schemeClr w14:val="tx1"/>
          </w14:solidFill>
        </w14:textFill>
      </w:rPr>
      <w:tblPr/>
      <w:tcPr>
        <w:shd w:val="clear" w:color="auto" w:fill="A8E9E3" w:themeFill="accent5" w:themeFillTint="66"/>
      </w:tcPr>
    </w:tblStylePr>
    <w:tblStylePr w:type="firstCol">
      <w:rPr>
        <w:color w:val="FFFFFF" w:themeColor="background1"/>
        <w14:textFill>
          <w14:solidFill>
            <w14:schemeClr w14:val="bg1"/>
          </w14:solidFill>
        </w14:textFill>
      </w:rPr>
      <w:tblPr/>
      <w:tcPr>
        <w:shd w:val="clear" w:color="auto" w:fill="238F86" w:themeFill="accent5" w:themeFillShade="BF"/>
      </w:tcPr>
    </w:tblStylePr>
    <w:tblStylePr w:type="lastCol">
      <w:rPr>
        <w:color w:val="FFFFFF" w:themeColor="background1"/>
        <w14:textFill>
          <w14:solidFill>
            <w14:schemeClr w14:val="bg1"/>
          </w14:solidFill>
        </w14:textFill>
      </w:rPr>
      <w:tblPr/>
      <w:tcPr>
        <w:shd w:val="clear" w:color="auto" w:fill="238F86" w:themeFill="accent5" w:themeFillShade="BF"/>
      </w:tcPr>
    </w:tblStylePr>
    <w:tblStylePr w:type="band1Vert">
      <w:tblPr/>
      <w:tcPr>
        <w:shd w:val="clear" w:color="auto" w:fill="93E4DD" w:themeFill="accent5" w:themeFillTint="7F"/>
      </w:tcPr>
    </w:tblStylePr>
    <w:tblStylePr w:type="band1Horz">
      <w:tblPr/>
      <w:tcPr>
        <w:shd w:val="clear" w:color="auto" w:fill="93E4DD" w:themeFill="accent5" w:themeFillTint="7F"/>
      </w:tcPr>
    </w:tblStylePr>
  </w:style>
  <w:style w:type="table" w:styleId="135">
    <w:name w:val="Colorful Grid Accent 6"/>
    <w:basedOn w:val="36"/>
    <w:uiPriority w:val="73"/>
    <w:rPr>
      <w:rFonts w:ascii="Times New Roman" w:hAnsi="Times New Roman" w:eastAsia="宋体" w:cs="Times New Roman"/>
      <w:color w:val="000000" w:themeColor="text1"/>
      <w14:textFill>
        <w14:solidFill>
          <w14:schemeClr w14:val="tx1"/>
        </w14:solidFill>
      </w14:textFill>
    </w:rPr>
    <w:tblPr>
      <w:tblBorders>
        <w:insideH w:val="single" w:color="FFFFFF" w:themeColor="background1" w:sz="4" w:space="0"/>
      </w:tblBorders>
    </w:tblPr>
    <w:tcPr>
      <w:shd w:val="clear" w:color="auto" w:fill="F9DBDE" w:themeFill="accent6" w:themeFillTint="33"/>
    </w:tcPr>
    <w:tblStylePr w:type="firstRow">
      <w:rPr>
        <w:b/>
        <w:bCs/>
      </w:rPr>
      <w:tblPr/>
      <w:tcPr>
        <w:shd w:val="clear" w:color="auto" w:fill="F4B7BE" w:themeFill="accent6" w:themeFillTint="66"/>
      </w:tcPr>
    </w:tblStylePr>
    <w:tblStylePr w:type="lastRow">
      <w:rPr>
        <w:b/>
        <w:bCs/>
        <w:color w:val="000000" w:themeColor="text1"/>
        <w14:textFill>
          <w14:solidFill>
            <w14:schemeClr w14:val="tx1"/>
          </w14:solidFill>
        </w14:textFill>
      </w:rPr>
      <w:tblPr/>
      <w:tcPr>
        <w:shd w:val="clear" w:color="auto" w:fill="F4B7BE" w:themeFill="accent6" w:themeFillTint="66"/>
      </w:tcPr>
    </w:tblStylePr>
    <w:tblStylePr w:type="firstCol">
      <w:rPr>
        <w:color w:val="FFFFFF" w:themeColor="background1"/>
        <w14:textFill>
          <w14:solidFill>
            <w14:schemeClr w14:val="bg1"/>
          </w14:solidFill>
        </w14:textFill>
      </w:rPr>
      <w:tblPr/>
      <w:tcPr>
        <w:shd w:val="clear" w:color="auto" w:fill="C71C31" w:themeFill="accent6" w:themeFillShade="BF"/>
      </w:tcPr>
    </w:tblStylePr>
    <w:tblStylePr w:type="lastCol">
      <w:rPr>
        <w:color w:val="FFFFFF" w:themeColor="background1"/>
        <w14:textFill>
          <w14:solidFill>
            <w14:schemeClr w14:val="bg1"/>
          </w14:solidFill>
        </w14:textFill>
      </w:rPr>
      <w:tblPr/>
      <w:tcPr>
        <w:shd w:val="clear" w:color="auto" w:fill="C71C31" w:themeFill="accent6" w:themeFillShade="BF"/>
      </w:tcPr>
    </w:tblStylePr>
    <w:tblStylePr w:type="band1Vert">
      <w:tblPr/>
      <w:tcPr>
        <w:shd w:val="clear" w:color="auto" w:fill="F2A5AE" w:themeFill="accent6" w:themeFillTint="7F"/>
      </w:tcPr>
    </w:tblStylePr>
    <w:tblStylePr w:type="band1Horz">
      <w:tblPr/>
      <w:tcPr>
        <w:shd w:val="clear" w:color="auto" w:fill="F2A5AE" w:themeFill="accent6" w:themeFillTint="7F"/>
      </w:tcPr>
    </w:tblStylePr>
  </w:style>
  <w:style w:type="character" w:styleId="137">
    <w:name w:val="Strong"/>
    <w:basedOn w:val="136"/>
    <w:qFormat/>
    <w:uiPriority w:val="22"/>
    <w:rPr>
      <w:b/>
      <w:bCs/>
    </w:rPr>
  </w:style>
  <w:style w:type="character" w:styleId="138">
    <w:name w:val="Emphasis"/>
    <w:basedOn w:val="136"/>
    <w:qFormat/>
    <w:uiPriority w:val="20"/>
    <w:rPr>
      <w:i/>
      <w:iCs/>
    </w:rPr>
  </w:style>
  <w:style w:type="character" w:styleId="139">
    <w:name w:val="Hyperlink"/>
    <w:basedOn w:val="136"/>
    <w:unhideWhenUsed/>
    <w:uiPriority w:val="99"/>
    <w:rPr>
      <w:color w:val="0026E5" w:themeColor="hyperlink"/>
      <w:u w:val="single"/>
      <w14:textFill>
        <w14:solidFill>
          <w14:schemeClr w14:val="hlink"/>
        </w14:solidFill>
      </w14:textFill>
    </w:rPr>
  </w:style>
  <w:style w:type="character" w:styleId="140">
    <w:name w:val="annotation reference"/>
    <w:basedOn w:val="136"/>
    <w:semiHidden/>
    <w:unhideWhenUsed/>
    <w:qFormat/>
    <w:uiPriority w:val="99"/>
    <w:rPr>
      <w:sz w:val="21"/>
      <w:szCs w:val="21"/>
    </w:rPr>
  </w:style>
  <w:style w:type="character" w:customStyle="1" w:styleId="141">
    <w:name w:val="标题 1 字符"/>
    <w:basedOn w:val="136"/>
    <w:link w:val="3"/>
    <w:qFormat/>
    <w:uiPriority w:val="9"/>
    <w:rPr>
      <w:rFonts w:asciiTheme="majorHAnsi" w:hAnsiTheme="majorHAnsi" w:eastAsiaTheme="majorEastAsia" w:cstheme="majorBidi"/>
      <w:b/>
      <w:bCs/>
      <w:color w:val="2E54A1" w:themeColor="accent1" w:themeShade="BF"/>
      <w:sz w:val="28"/>
      <w:szCs w:val="28"/>
      <w:lang w:eastAsia="en-US"/>
    </w:rPr>
  </w:style>
  <w:style w:type="character" w:customStyle="1" w:styleId="142">
    <w:name w:val="标题 2 字符"/>
    <w:basedOn w:val="136"/>
    <w:link w:val="4"/>
    <w:qFormat/>
    <w:uiPriority w:val="9"/>
    <w:rPr>
      <w:rFonts w:asciiTheme="majorHAnsi" w:hAnsiTheme="majorHAnsi" w:eastAsiaTheme="majorEastAsia" w:cstheme="majorBidi"/>
      <w:b/>
      <w:bCs/>
      <w:color w:val="4874CB" w:themeColor="accent1"/>
      <w:sz w:val="26"/>
      <w:szCs w:val="26"/>
      <w:lang w:eastAsia="en-US"/>
      <w14:textFill>
        <w14:solidFill>
          <w14:schemeClr w14:val="accent1"/>
        </w14:solidFill>
      </w14:textFill>
    </w:rPr>
  </w:style>
  <w:style w:type="character" w:customStyle="1" w:styleId="143">
    <w:name w:val="标题 3 字符"/>
    <w:basedOn w:val="136"/>
    <w:link w:val="5"/>
    <w:qFormat/>
    <w:uiPriority w:val="9"/>
    <w:rPr>
      <w:rFonts w:asciiTheme="majorHAnsi" w:hAnsiTheme="majorHAnsi" w:eastAsiaTheme="majorEastAsia" w:cstheme="majorBidi"/>
      <w:b/>
      <w:bCs/>
      <w:color w:val="4874CB" w:themeColor="accent1"/>
      <w:sz w:val="17"/>
      <w:szCs w:val="22"/>
      <w:lang w:eastAsia="en-US"/>
      <w14:textFill>
        <w14:solidFill>
          <w14:schemeClr w14:val="accent1"/>
        </w14:solidFill>
      </w14:textFill>
    </w:rPr>
  </w:style>
  <w:style w:type="character" w:customStyle="1" w:styleId="144">
    <w:name w:val="标题 4 字符"/>
    <w:basedOn w:val="136"/>
    <w:link w:val="6"/>
    <w:semiHidden/>
    <w:qFormat/>
    <w:uiPriority w:val="9"/>
    <w:rPr>
      <w:rFonts w:asciiTheme="majorHAnsi" w:hAnsiTheme="majorHAnsi" w:eastAsiaTheme="majorEastAsia" w:cstheme="majorBidi"/>
      <w:b/>
      <w:bCs/>
      <w:i/>
      <w:iCs/>
      <w:color w:val="4874CB" w:themeColor="accent1"/>
      <w:sz w:val="17"/>
      <w:szCs w:val="22"/>
      <w:lang w:eastAsia="en-US"/>
      <w14:textFill>
        <w14:solidFill>
          <w14:schemeClr w14:val="accent1"/>
        </w14:solidFill>
      </w14:textFill>
    </w:rPr>
  </w:style>
  <w:style w:type="character" w:customStyle="1" w:styleId="145">
    <w:name w:val="标题 5 字符"/>
    <w:basedOn w:val="136"/>
    <w:link w:val="7"/>
    <w:semiHidden/>
    <w:qFormat/>
    <w:uiPriority w:val="9"/>
    <w:rPr>
      <w:rFonts w:asciiTheme="majorHAnsi" w:hAnsiTheme="majorHAnsi" w:eastAsiaTheme="majorEastAsia" w:cstheme="majorBidi"/>
      <w:color w:val="1E386B" w:themeColor="accent1" w:themeShade="80"/>
      <w:sz w:val="17"/>
      <w:szCs w:val="22"/>
      <w:lang w:eastAsia="en-US"/>
    </w:rPr>
  </w:style>
  <w:style w:type="character" w:customStyle="1" w:styleId="146">
    <w:name w:val="标题 6 字符"/>
    <w:basedOn w:val="136"/>
    <w:link w:val="8"/>
    <w:semiHidden/>
    <w:qFormat/>
    <w:uiPriority w:val="9"/>
    <w:rPr>
      <w:rFonts w:asciiTheme="majorHAnsi" w:hAnsiTheme="majorHAnsi" w:eastAsiaTheme="majorEastAsia" w:cstheme="majorBidi"/>
      <w:i/>
      <w:iCs/>
      <w:color w:val="1E386B" w:themeColor="accent1" w:themeShade="80"/>
      <w:sz w:val="17"/>
      <w:szCs w:val="22"/>
      <w:lang w:eastAsia="en-US"/>
    </w:rPr>
  </w:style>
  <w:style w:type="character" w:customStyle="1" w:styleId="147">
    <w:name w:val="标题 7 字符"/>
    <w:basedOn w:val="136"/>
    <w:link w:val="9"/>
    <w:semiHidden/>
    <w:qFormat/>
    <w:uiPriority w:val="9"/>
    <w:rPr>
      <w:rFonts w:asciiTheme="majorHAnsi" w:hAnsiTheme="majorHAnsi" w:eastAsiaTheme="majorEastAsia" w:cstheme="majorBidi"/>
      <w:i/>
      <w:iCs/>
      <w:color w:val="404040" w:themeColor="text1" w:themeTint="BF"/>
      <w:sz w:val="17"/>
      <w:szCs w:val="22"/>
      <w:lang w:eastAsia="en-US"/>
      <w14:textFill>
        <w14:solidFill>
          <w14:schemeClr w14:val="tx1">
            <w14:lumMod w14:val="75000"/>
            <w14:lumOff w14:val="25000"/>
          </w14:schemeClr>
        </w14:solidFill>
      </w14:textFill>
    </w:rPr>
  </w:style>
  <w:style w:type="character" w:customStyle="1" w:styleId="148">
    <w:name w:val="标题 8 字符"/>
    <w:basedOn w:val="136"/>
    <w:link w:val="10"/>
    <w:semiHidden/>
    <w:qFormat/>
    <w:uiPriority w:val="9"/>
    <w:rPr>
      <w:rFonts w:asciiTheme="majorHAnsi" w:hAnsiTheme="majorHAnsi" w:eastAsiaTheme="majorEastAsia" w:cstheme="majorBidi"/>
      <w:color w:val="4874CB" w:themeColor="accent1"/>
      <w:lang w:eastAsia="en-US"/>
      <w14:textFill>
        <w14:solidFill>
          <w14:schemeClr w14:val="accent1"/>
        </w14:solidFill>
      </w14:textFill>
    </w:rPr>
  </w:style>
  <w:style w:type="character" w:customStyle="1" w:styleId="149">
    <w:name w:val="标题 9 字符"/>
    <w:basedOn w:val="136"/>
    <w:link w:val="11"/>
    <w:semiHidden/>
    <w:qFormat/>
    <w:uiPriority w:val="9"/>
    <w:rPr>
      <w:rFonts w:asciiTheme="majorHAnsi" w:hAnsiTheme="majorHAnsi" w:eastAsiaTheme="majorEastAsia" w:cstheme="majorBidi"/>
      <w:i/>
      <w:iCs/>
      <w:color w:val="404040" w:themeColor="text1" w:themeTint="BF"/>
      <w:lang w:eastAsia="en-US"/>
      <w14:textFill>
        <w14:solidFill>
          <w14:schemeClr w14:val="tx1">
            <w14:lumMod w14:val="75000"/>
            <w14:lumOff w14:val="25000"/>
          </w14:schemeClr>
        </w14:solidFill>
      </w14:textFill>
    </w:rPr>
  </w:style>
  <w:style w:type="character" w:customStyle="1" w:styleId="150">
    <w:name w:val="宏文本 字符"/>
    <w:basedOn w:val="136"/>
    <w:link w:val="2"/>
    <w:qFormat/>
    <w:uiPriority w:val="99"/>
    <w:rPr>
      <w:rFonts w:ascii="Courier" w:hAnsi="Courier"/>
      <w:lang w:eastAsia="en-US"/>
    </w:rPr>
  </w:style>
  <w:style w:type="character" w:customStyle="1" w:styleId="151">
    <w:name w:val="正文文本 3 字符"/>
    <w:basedOn w:val="136"/>
    <w:link w:val="18"/>
    <w:qFormat/>
    <w:uiPriority w:val="99"/>
    <w:rPr>
      <w:rFonts w:ascii="Arial" w:hAnsi="Arial"/>
      <w:sz w:val="16"/>
      <w:szCs w:val="16"/>
      <w:lang w:eastAsia="en-US"/>
    </w:rPr>
  </w:style>
  <w:style w:type="character" w:customStyle="1" w:styleId="152">
    <w:name w:val="正文文本 字符"/>
    <w:basedOn w:val="136"/>
    <w:link w:val="20"/>
    <w:uiPriority w:val="99"/>
    <w:rPr>
      <w:rFonts w:ascii="Arial" w:hAnsi="Arial"/>
      <w:sz w:val="17"/>
      <w:szCs w:val="22"/>
      <w:lang w:eastAsia="en-US"/>
    </w:rPr>
  </w:style>
  <w:style w:type="character" w:customStyle="1" w:styleId="153">
    <w:name w:val="页脚 字符"/>
    <w:basedOn w:val="136"/>
    <w:link w:val="26"/>
    <w:uiPriority w:val="99"/>
    <w:rPr>
      <w:kern w:val="2"/>
      <w:sz w:val="18"/>
      <w:szCs w:val="24"/>
      <w14:ligatures w14:val="standardContextual"/>
    </w:rPr>
  </w:style>
  <w:style w:type="character" w:customStyle="1" w:styleId="154">
    <w:name w:val="页眉 字符"/>
    <w:basedOn w:val="136"/>
    <w:link w:val="27"/>
    <w:qFormat/>
    <w:uiPriority w:val="99"/>
    <w:rPr>
      <w:kern w:val="2"/>
      <w:sz w:val="18"/>
      <w:szCs w:val="24"/>
      <w14:ligatures w14:val="standardContextual"/>
    </w:rPr>
  </w:style>
  <w:style w:type="character" w:customStyle="1" w:styleId="155">
    <w:name w:val="副标题 字符"/>
    <w:basedOn w:val="136"/>
    <w:link w:val="29"/>
    <w:uiPriority w:val="11"/>
    <w:rPr>
      <w:rFonts w:asciiTheme="majorHAnsi" w:hAnsiTheme="majorHAnsi" w:eastAsiaTheme="majorEastAsia" w:cstheme="majorBidi"/>
      <w:i/>
      <w:iCs/>
      <w:color w:val="4874CB" w:themeColor="accent1"/>
      <w:spacing w:val="15"/>
      <w:sz w:val="24"/>
      <w:szCs w:val="24"/>
      <w:lang w:eastAsia="en-US"/>
      <w14:textFill>
        <w14:solidFill>
          <w14:schemeClr w14:val="accent1"/>
        </w14:solidFill>
      </w14:textFill>
    </w:rPr>
  </w:style>
  <w:style w:type="character" w:customStyle="1" w:styleId="156">
    <w:name w:val="正文文本 2 字符"/>
    <w:basedOn w:val="136"/>
    <w:link w:val="32"/>
    <w:qFormat/>
    <w:uiPriority w:val="99"/>
    <w:rPr>
      <w:rFonts w:ascii="Arial" w:hAnsi="Arial"/>
      <w:sz w:val="17"/>
      <w:szCs w:val="22"/>
      <w:lang w:eastAsia="en-US"/>
    </w:rPr>
  </w:style>
  <w:style w:type="character" w:customStyle="1" w:styleId="157">
    <w:name w:val="标题 字符"/>
    <w:basedOn w:val="136"/>
    <w:link w:val="35"/>
    <w:qFormat/>
    <w:uiPriority w:val="10"/>
    <w:rPr>
      <w:rFonts w:asciiTheme="majorHAnsi" w:hAnsiTheme="majorHAnsi" w:eastAsiaTheme="majorEastAsia" w:cstheme="majorBidi"/>
      <w:color w:val="333F50" w:themeColor="text2" w:themeShade="BF"/>
      <w:spacing w:val="5"/>
      <w:kern w:val="28"/>
      <w:sz w:val="52"/>
      <w:szCs w:val="52"/>
      <w:lang w:eastAsia="en-US"/>
    </w:rPr>
  </w:style>
  <w:style w:type="paragraph" w:styleId="158">
    <w:name w:val="No Spacing"/>
    <w:qFormat/>
    <w:uiPriority w:val="1"/>
    <w:rPr>
      <w:rFonts w:asciiTheme="minorHAnsi" w:hAnsiTheme="minorHAnsi" w:eastAsiaTheme="minorEastAsia" w:cstheme="minorBidi"/>
      <w:sz w:val="22"/>
      <w:szCs w:val="22"/>
      <w:lang w:val="en-US" w:eastAsia="en-US" w:bidi="ar-SA"/>
    </w:rPr>
  </w:style>
  <w:style w:type="paragraph" w:styleId="159">
    <w:name w:val="List Paragraph"/>
    <w:basedOn w:val="1"/>
    <w:qFormat/>
    <w:uiPriority w:val="34"/>
    <w:pPr>
      <w:widowControl/>
      <w:spacing w:after="200" w:line="276" w:lineRule="auto"/>
      <w:ind w:left="720"/>
      <w:contextualSpacing/>
    </w:pPr>
    <w:rPr>
      <w:rFonts w:ascii="Arial" w:hAnsi="Arial"/>
      <w:kern w:val="0"/>
      <w:sz w:val="17"/>
      <w:szCs w:val="22"/>
      <w:lang w:eastAsia="en-US"/>
      <w14:ligatures w14:val="none"/>
    </w:rPr>
  </w:style>
  <w:style w:type="paragraph" w:styleId="160">
    <w:name w:val="Quote"/>
    <w:basedOn w:val="1"/>
    <w:next w:val="1"/>
    <w:link w:val="161"/>
    <w:qFormat/>
    <w:uiPriority w:val="29"/>
    <w:pPr>
      <w:widowControl/>
      <w:spacing w:after="200" w:line="276" w:lineRule="auto"/>
    </w:pPr>
    <w:rPr>
      <w:rFonts w:ascii="Arial" w:hAnsi="Arial"/>
      <w:i/>
      <w:iCs/>
      <w:color w:val="000000" w:themeColor="text1"/>
      <w:kern w:val="0"/>
      <w:sz w:val="17"/>
      <w:szCs w:val="22"/>
      <w:lang w:eastAsia="en-US"/>
      <w14:textFill>
        <w14:solidFill>
          <w14:schemeClr w14:val="tx1"/>
        </w14:solidFill>
      </w14:textFill>
      <w14:ligatures w14:val="none"/>
    </w:rPr>
  </w:style>
  <w:style w:type="character" w:customStyle="1" w:styleId="161">
    <w:name w:val="引用 字符"/>
    <w:basedOn w:val="136"/>
    <w:link w:val="160"/>
    <w:uiPriority w:val="29"/>
    <w:rPr>
      <w:rFonts w:ascii="Arial" w:hAnsi="Arial"/>
      <w:i/>
      <w:iCs/>
      <w:color w:val="000000" w:themeColor="text1"/>
      <w:sz w:val="17"/>
      <w:szCs w:val="22"/>
      <w:lang w:eastAsia="en-US"/>
      <w14:textFill>
        <w14:solidFill>
          <w14:schemeClr w14:val="tx1"/>
        </w14:solidFill>
      </w14:textFill>
    </w:rPr>
  </w:style>
  <w:style w:type="paragraph" w:styleId="162">
    <w:name w:val="Intense Quote"/>
    <w:basedOn w:val="1"/>
    <w:next w:val="1"/>
    <w:link w:val="163"/>
    <w:qFormat/>
    <w:uiPriority w:val="30"/>
    <w:pPr>
      <w:widowControl/>
      <w:pBdr>
        <w:bottom w:val="single" w:color="4874CB" w:themeColor="accent1" w:sz="4" w:space="4"/>
      </w:pBdr>
      <w:spacing w:before="200" w:after="280" w:line="276" w:lineRule="auto"/>
      <w:ind w:left="936" w:right="936"/>
    </w:pPr>
    <w:rPr>
      <w:rFonts w:ascii="Arial" w:hAnsi="Arial"/>
      <w:b/>
      <w:bCs/>
      <w:i/>
      <w:iCs/>
      <w:color w:val="4874CB" w:themeColor="accent1"/>
      <w:kern w:val="0"/>
      <w:sz w:val="17"/>
      <w:szCs w:val="22"/>
      <w:lang w:eastAsia="en-US"/>
      <w14:textFill>
        <w14:solidFill>
          <w14:schemeClr w14:val="accent1"/>
        </w14:solidFill>
      </w14:textFill>
      <w14:ligatures w14:val="none"/>
    </w:rPr>
  </w:style>
  <w:style w:type="character" w:customStyle="1" w:styleId="163">
    <w:name w:val="明显引用 字符"/>
    <w:basedOn w:val="136"/>
    <w:link w:val="162"/>
    <w:uiPriority w:val="30"/>
    <w:rPr>
      <w:rFonts w:ascii="Arial" w:hAnsi="Arial"/>
      <w:b/>
      <w:bCs/>
      <w:i/>
      <w:iCs/>
      <w:color w:val="4874CB" w:themeColor="accent1"/>
      <w:sz w:val="17"/>
      <w:szCs w:val="22"/>
      <w:lang w:eastAsia="en-US"/>
      <w14:textFill>
        <w14:solidFill>
          <w14:schemeClr w14:val="accent1"/>
        </w14:solidFill>
      </w14:textFill>
    </w:rPr>
  </w:style>
  <w:style w:type="character" w:customStyle="1" w:styleId="164">
    <w:name w:val="不明显强调1"/>
    <w:basedOn w:val="136"/>
    <w:qFormat/>
    <w:uiPriority w:val="19"/>
    <w:rPr>
      <w:i/>
      <w:iCs/>
      <w:color w:val="808080" w:themeColor="text1" w:themeTint="80"/>
      <w14:textFill>
        <w14:solidFill>
          <w14:schemeClr w14:val="tx1">
            <w14:lumMod w14:val="50000"/>
            <w14:lumOff w14:val="50000"/>
          </w14:schemeClr>
        </w14:solidFill>
      </w14:textFill>
    </w:rPr>
  </w:style>
  <w:style w:type="character" w:customStyle="1" w:styleId="165">
    <w:name w:val="明显强调1"/>
    <w:basedOn w:val="136"/>
    <w:qFormat/>
    <w:uiPriority w:val="21"/>
    <w:rPr>
      <w:b/>
      <w:bCs/>
      <w:i/>
      <w:iCs/>
      <w:color w:val="4874CB" w:themeColor="accent1"/>
      <w14:textFill>
        <w14:solidFill>
          <w14:schemeClr w14:val="accent1"/>
        </w14:solidFill>
      </w14:textFill>
    </w:rPr>
  </w:style>
  <w:style w:type="character" w:customStyle="1" w:styleId="166">
    <w:name w:val="不明显参考1"/>
    <w:basedOn w:val="136"/>
    <w:qFormat/>
    <w:uiPriority w:val="31"/>
    <w:rPr>
      <w:smallCaps/>
      <w:color w:val="EE822F" w:themeColor="accent2"/>
      <w:u w:val="single"/>
      <w14:textFill>
        <w14:solidFill>
          <w14:schemeClr w14:val="accent2"/>
        </w14:solidFill>
      </w14:textFill>
    </w:rPr>
  </w:style>
  <w:style w:type="character" w:customStyle="1" w:styleId="167">
    <w:name w:val="明显参考1"/>
    <w:basedOn w:val="136"/>
    <w:qFormat/>
    <w:uiPriority w:val="32"/>
    <w:rPr>
      <w:b/>
      <w:bCs/>
      <w:smallCaps/>
      <w:color w:val="EE822F" w:themeColor="accent2"/>
      <w:spacing w:val="5"/>
      <w:u w:val="single"/>
      <w14:textFill>
        <w14:solidFill>
          <w14:schemeClr w14:val="accent2"/>
        </w14:solidFill>
      </w14:textFill>
    </w:rPr>
  </w:style>
  <w:style w:type="character" w:customStyle="1" w:styleId="168">
    <w:name w:val="书籍标题1"/>
    <w:basedOn w:val="136"/>
    <w:qFormat/>
    <w:uiPriority w:val="33"/>
    <w:rPr>
      <w:b/>
      <w:bCs/>
      <w:smallCaps/>
      <w:spacing w:val="5"/>
    </w:rPr>
  </w:style>
  <w:style w:type="paragraph" w:customStyle="1" w:styleId="169">
    <w:name w:val="TOC 标题1"/>
    <w:basedOn w:val="3"/>
    <w:next w:val="1"/>
    <w:semiHidden/>
    <w:unhideWhenUsed/>
    <w:qFormat/>
    <w:uiPriority w:val="39"/>
    <w:pPr>
      <w:outlineLvl w:val="9"/>
    </w:pPr>
  </w:style>
  <w:style w:type="paragraph" w:customStyle="1" w:styleId="170">
    <w:name w:val="TOC Heading"/>
    <w:basedOn w:val="3"/>
    <w:next w:val="1"/>
    <w:unhideWhenUsed/>
    <w:qFormat/>
    <w:uiPriority w:val="39"/>
    <w:pPr>
      <w:spacing w:before="240" w:line="259" w:lineRule="auto"/>
      <w:outlineLvl w:val="9"/>
    </w:pPr>
    <w:rPr>
      <w:b w:val="0"/>
      <w:bCs w:val="0"/>
      <w:sz w:val="32"/>
      <w:szCs w:val="32"/>
      <w:lang w:eastAsia="zh-CN"/>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2.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B2DED39-1604-41C7-8143-5E12C30E8D52}">
  <ds:schemaRefs/>
</ds:datastoreItem>
</file>

<file path=docProps/app.xml><?xml version="1.0" encoding="utf-8"?>
<Properties xmlns="http://schemas.openxmlformats.org/officeDocument/2006/extended-properties" xmlns:vt="http://schemas.openxmlformats.org/officeDocument/2006/docPropsVTypes">
  <Template>Normal.dotm</Template>
  <Pages>52</Pages>
  <Words>4590</Words>
  <Characters>28773</Characters>
  <Lines>4316</Lines>
  <Paragraphs>1503</Paragraphs>
  <TotalTime>11</TotalTime>
  <ScaleCrop>false</ScaleCrop>
  <LinksUpToDate>false</LinksUpToDate>
  <CharactersWithSpaces>32684</CharactersWithSpaces>
  <Application>WPS Office_12.1.0.28505_F1E327BC-269C-435d-A152-05C5408002CA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2026-09-29T11:54:00Z</dcterms:created>
  <dc:creator>G.Guan</dc:creator>
  <cp:lastModifiedBy>G.Guan</cp:lastModifiedBy>
  <dcterms:modified xsi:type="dcterms:W3CDTF">2026-09-29T15:46:21Z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2052-12.1.0.28505</vt:lpwstr>
  </property>
  <property fmtid="{D5CDD505-2E9C-101B-9397-08002B2CF9AE}" pid="3" name="ICV">
    <vt:lpwstr>37315775CFAB47CDB0EBDA078CD0655A_13</vt:lpwstr>
  </property>
  <property fmtid="{D5CDD505-2E9C-101B-9397-08002B2CF9AE}" pid="4" name="KSOTemplateDocerSaveRecord">
    <vt:lpwstr>eyJoZGlkIjoiZDMyN2FlOTY4ODBkNmMzZTVhOWVlNzZhN2Q2YWY2NmMiLCJ1c2VySWQiOiIzMzM2OTk0NjAifQ==</vt:lpwstr>
  </property>
</Properties>
</file>