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D0F17" w14:textId="53A3DEE0" w:rsidR="00443E0C" w:rsidRDefault="00940BC0" w:rsidP="00013869">
      <w:pPr>
        <w:jc w:val="center"/>
        <w:rPr>
          <w:rFonts w:ascii="Cambria" w:hAnsi="Cambria"/>
          <w:b/>
          <w:sz w:val="32"/>
          <w:szCs w:val="32"/>
        </w:rPr>
      </w:pPr>
      <w:r>
        <w:rPr>
          <w:rFonts w:ascii="Cambria" w:hAnsi="Cambria"/>
          <w:b/>
          <w:sz w:val="32"/>
          <w:szCs w:val="32"/>
        </w:rPr>
        <w:t>Research Proposal: Validation of a Series Hybrid Powertrain Architecture for Motorcycles</w:t>
      </w:r>
    </w:p>
    <w:p w14:paraId="1EFCDF76" w14:textId="77777777" w:rsidR="00123624" w:rsidRPr="00843EDF" w:rsidRDefault="00123624" w:rsidP="00123624">
      <w:pPr>
        <w:spacing w:after="120"/>
        <w:jc w:val="center"/>
        <w:rPr>
          <w:rFonts w:ascii="Cambria" w:hAnsi="Cambria"/>
          <w:b/>
          <w:sz w:val="24"/>
          <w:szCs w:val="24"/>
          <w:vertAlign w:val="superscript"/>
        </w:rPr>
      </w:pPr>
      <w:r w:rsidRPr="00843EDF">
        <w:rPr>
          <w:rFonts w:ascii="Cambria" w:hAnsi="Cambria"/>
          <w:b/>
          <w:sz w:val="24"/>
          <w:szCs w:val="24"/>
        </w:rPr>
        <w:t>Maya Myer 1801800</w:t>
      </w:r>
    </w:p>
    <w:p w14:paraId="66156591" w14:textId="77777777" w:rsidR="00123624" w:rsidRPr="00843EDF" w:rsidRDefault="00123624" w:rsidP="00123624">
      <w:pPr>
        <w:pStyle w:val="IEEEAuthorAffiliation"/>
        <w:spacing w:after="0"/>
        <w:rPr>
          <w:rFonts w:ascii="Cambria" w:hAnsi="Cambria"/>
          <w:lang w:val="en-US"/>
        </w:rPr>
      </w:pPr>
      <w:r w:rsidRPr="00843EDF">
        <w:rPr>
          <w:rFonts w:ascii="Cambria" w:hAnsi="Cambria"/>
          <w:i w:val="0"/>
          <w:iCs/>
          <w:szCs w:val="20"/>
          <w:lang w:val="en-US"/>
        </w:rPr>
        <w:t xml:space="preserve">Maya Myer, Motorcycle </w:t>
      </w:r>
      <w:r w:rsidRPr="00843EDF">
        <w:rPr>
          <w:rFonts w:ascii="Cambria" w:hAnsi="Cambria"/>
          <w:i w:val="0"/>
          <w:szCs w:val="20"/>
          <w:lang w:val="en-US"/>
        </w:rPr>
        <w:t>Engineering, University of Wales Trinity Saint David, Swansea, SA1 8PH</w:t>
      </w:r>
      <w:r w:rsidRPr="00843EDF">
        <w:rPr>
          <w:rFonts w:ascii="Cambria" w:hAnsi="Cambria"/>
          <w:szCs w:val="20"/>
          <w:lang w:val="en-US"/>
        </w:rPr>
        <w:t xml:space="preserve"> </w:t>
      </w:r>
    </w:p>
    <w:p w14:paraId="380AAF3B" w14:textId="77777777" w:rsidR="009E298A" w:rsidRDefault="009E298A">
      <w:pPr>
        <w:pStyle w:val="NoSpacing"/>
        <w:jc w:val="center"/>
        <w:rPr>
          <w:rFonts w:ascii="Cambria" w:hAnsi="Cambria"/>
          <w:color w:val="FF0000"/>
        </w:rPr>
      </w:pPr>
    </w:p>
    <w:p w14:paraId="0CF1434D" w14:textId="65934C13" w:rsidR="00443E0C" w:rsidRDefault="00F6591B">
      <w:pPr>
        <w:pStyle w:val="NoSpacing"/>
        <w:jc w:val="center"/>
        <w:rPr>
          <w:rFonts w:ascii="Cambria" w:hAnsi="Cambria"/>
          <w:color w:val="FF0000"/>
        </w:rPr>
      </w:pPr>
      <w:r>
        <w:rPr>
          <w:rFonts w:ascii="Cambria" w:hAnsi="Cambria"/>
          <w:noProof/>
          <w:color w:val="FF0000"/>
          <w:lang w:val="en-GB" w:eastAsia="en-GB"/>
        </w:rPr>
        <mc:AlternateContent>
          <mc:Choice Requires="wps">
            <w:drawing>
              <wp:anchor distT="0" distB="0" distL="114300" distR="114300" simplePos="0" relativeHeight="251657728" behindDoc="0" locked="0" layoutInCell="1" allowOverlap="1" wp14:anchorId="49B26A87" wp14:editId="273CE113">
                <wp:simplePos x="0" y="0"/>
                <wp:positionH relativeFrom="column">
                  <wp:posOffset>31115</wp:posOffset>
                </wp:positionH>
                <wp:positionV relativeFrom="paragraph">
                  <wp:posOffset>6350</wp:posOffset>
                </wp:positionV>
                <wp:extent cx="6685280" cy="0"/>
                <wp:effectExtent l="2540" t="3175" r="8255" b="6350"/>
                <wp:wrapNone/>
                <wp:docPr id="10"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107555E" id="_x0000_t32" coordsize="21600,21600" o:spt="32" o:oned="t" path="m,l21600,21600e" filled="f">
                <v:path arrowok="t" fillok="f" o:connecttype="none"/>
                <o:lock v:ext="edit" shapetype="t"/>
              </v:shapetype>
              <v:shape id="AutoShape 1" o:spid="_x0000_s1026" type="#_x0000_t32" style="position:absolute;margin-left:2.45pt;margin-top:.5pt;width:526.4pt;height:0;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" strokecolor="gray"/>
            </w:pict>
          </mc:Fallback>
        </mc:AlternateContent>
      </w:r>
    </w:p>
    <w:p w14:paraId="1EAFA4C9" w14:textId="77777777" w:rsidR="009E298A" w:rsidRPr="009E298A" w:rsidRDefault="009E298A">
      <w:pPr>
        <w:pStyle w:val="NoSpacing"/>
        <w:jc w:val="center"/>
        <w:rPr>
          <w:rFonts w:ascii="Cambria" w:hAnsi="Cambria"/>
          <w:color w:val="FF0000"/>
        </w:rPr>
        <w:sectPr w:rsidR="009E298A" w:rsidRPr="009E298A" w:rsidSect="00405DB3">
          <w:headerReference w:type="default" r:id="rId11"/>
          <w:footerReference w:type="default" r:id="rId12"/>
          <w:pgSz w:w="11907" w:h="16840"/>
          <w:pgMar w:top="720" w:right="720" w:bottom="720" w:left="720" w:header="720" w:footer="720" w:gutter="0"/>
          <w:cols w:space="720"/>
          <w:docGrid w:linePitch="360"/>
        </w:sectPr>
      </w:pPr>
    </w:p>
    <w:p w14:paraId="1DB841EB" w14:textId="50D138F2" w:rsidR="00E477B3" w:rsidRDefault="00E477B3" w:rsidP="00E477B3">
      <w:pPr>
        <w:rPr>
          <w:rFonts w:ascii="Cambria" w:hAnsi="Cambria"/>
        </w:rPr>
      </w:pPr>
      <w:r>
        <w:rPr>
          <w:rFonts w:ascii="Cambria" w:hAnsi="Cambria"/>
        </w:rPr>
        <w:t>Abstract</w:t>
      </w:r>
    </w:p>
    <w:p w14:paraId="48337759" w14:textId="77777777" w:rsidR="00B42271" w:rsidRPr="00B42271" w:rsidRDefault="00B42271" w:rsidP="00B42271">
      <w:pPr>
        <w:spacing w:line="240" w:lineRule="auto"/>
        <w:ind w:left="1080" w:right="1107" w:firstLine="360"/>
        <w:jc w:val="both"/>
        <w:rPr>
          <w:rFonts w:ascii="Cambria" w:hAnsi="Cambria"/>
          <w:sz w:val="24"/>
          <w:szCs w:val="24"/>
        </w:rPr>
      </w:pPr>
      <w:r w:rsidRPr="00B42271">
        <w:rPr>
          <w:rFonts w:ascii="Cambria" w:hAnsi="Cambria"/>
          <w:sz w:val="24"/>
          <w:szCs w:val="24"/>
        </w:rPr>
        <w:t>A research project is proposed which would focus on the validation of a series hybrid motorcycle powertrain in a continuation of research carried out in 2010. The proposed research would use modern modelling techniques and current energy storage technology to re-evaluate the previous work’s conclusions regarding the viability of series hybrid motorcycles. To accomplish this, two independent models are proposed; an analytical model and a multiphysics model, to be used in tandem with a custom drive cycle created from real commute data and work from the related field of electric vehicle range extension to characterize the emissions profile of the proposed powertrain. Considering the promising results from similar studies conducted on parallel hybrid motorcycles, a great increase in efficiency and attendant decrease in emissions over equivalent petrol motorcycles is expected—within the range of 25% to 40%.</w:t>
      </w:r>
    </w:p>
    <w:p w14:paraId="38C60A93" w14:textId="6B90667A" w:rsidR="00AD1A00" w:rsidRDefault="00AC4B9F" w:rsidP="00204C8C">
      <w:pPr>
        <w:pStyle w:val="Heading1"/>
      </w:pPr>
      <w:r>
        <w:t xml:space="preserve">1 </w:t>
      </w:r>
      <w:r w:rsidR="00AD1A00">
        <w:t>Introduction</w:t>
      </w:r>
    </w:p>
    <w:p w14:paraId="0CEA7206" w14:textId="4534F917" w:rsidR="00AD1A00" w:rsidRDefault="00AD1A00" w:rsidP="00CA6DBA">
      <w:pPr>
        <w:spacing w:after="0" w:line="240" w:lineRule="auto"/>
        <w:ind w:firstLine="720"/>
        <w:rPr>
          <w:rFonts w:ascii="Cambria" w:hAnsi="Cambria"/>
          <w:sz w:val="24"/>
          <w:szCs w:val="24"/>
        </w:rPr>
      </w:pPr>
    </w:p>
    <w:p w14:paraId="71065355" w14:textId="492526EA" w:rsidR="00E8663B" w:rsidRDefault="00772B53" w:rsidP="00AD5EB2">
      <w:pPr>
        <w:spacing w:after="0" w:line="240" w:lineRule="auto"/>
        <w:ind w:firstLine="720"/>
        <w:jc w:val="both"/>
        <w:rPr>
          <w:rFonts w:ascii="Cambria" w:hAnsi="Cambria"/>
          <w:sz w:val="24"/>
          <w:szCs w:val="24"/>
        </w:rPr>
      </w:pPr>
      <w:r>
        <w:rPr>
          <w:rFonts w:ascii="Cambria" w:hAnsi="Cambria"/>
          <w:sz w:val="24"/>
          <w:szCs w:val="24"/>
        </w:rPr>
        <w:t>Small motorcycles with engine displacements under 400cc are expected</w:t>
      </w:r>
      <w:r w:rsidR="00315D9F">
        <w:rPr>
          <w:rFonts w:ascii="Cambria" w:hAnsi="Cambria"/>
          <w:sz w:val="24"/>
          <w:szCs w:val="24"/>
        </w:rPr>
        <w:t xml:space="preserve"> to have a compound annual growth rate of 4.7% in the 2022 – 2026 period, with a predicted 61 million units globally by 2026 (Research and Markets 2022). </w:t>
      </w:r>
      <w:r w:rsidR="00675FEB">
        <w:rPr>
          <w:rFonts w:ascii="Cambria" w:hAnsi="Cambria"/>
          <w:sz w:val="24"/>
          <w:szCs w:val="24"/>
        </w:rPr>
        <w:t>Paired with this</w:t>
      </w:r>
      <w:r w:rsidR="00315D9F">
        <w:rPr>
          <w:rFonts w:ascii="Cambria" w:hAnsi="Cambria"/>
          <w:sz w:val="24"/>
          <w:szCs w:val="24"/>
        </w:rPr>
        <w:t xml:space="preserve">, </w:t>
      </w:r>
      <w:r w:rsidR="00675FEB">
        <w:rPr>
          <w:rFonts w:ascii="Cambria" w:hAnsi="Cambria"/>
          <w:sz w:val="24"/>
          <w:szCs w:val="24"/>
        </w:rPr>
        <w:t>proposed bans of petrol and diesel vehicles are undergoing reconsideration both in Europe and the UK (Martin 2023), while emissions regulation nonetheless continues to become more stringent over time (TransportPolicy.net 2020). Given these developments, the motorcycle industry can reasonably expect to continue producing petrol powered motorcycles in the near and mid-term, albeit with tighter and tighter emissions targets.</w:t>
      </w:r>
    </w:p>
    <w:p w14:paraId="37763288" w14:textId="139B325F" w:rsidR="00675FEB" w:rsidRDefault="00675FEB" w:rsidP="00AD5EB2">
      <w:pPr>
        <w:spacing w:after="0" w:line="240" w:lineRule="auto"/>
        <w:ind w:firstLine="720"/>
        <w:jc w:val="both"/>
        <w:rPr>
          <w:rFonts w:ascii="Cambria" w:hAnsi="Cambria"/>
          <w:sz w:val="24"/>
          <w:szCs w:val="24"/>
        </w:rPr>
      </w:pPr>
      <w:r>
        <w:rPr>
          <w:rFonts w:ascii="Cambria" w:hAnsi="Cambria"/>
          <w:sz w:val="24"/>
          <w:szCs w:val="24"/>
        </w:rPr>
        <w:t>One way in which the automobile industry met emissions targets was with the development of hybrid vehicles, and though some research</w:t>
      </w:r>
      <w:r w:rsidR="00156EF8">
        <w:rPr>
          <w:rFonts w:ascii="Cambria" w:hAnsi="Cambria"/>
          <w:sz w:val="24"/>
          <w:szCs w:val="24"/>
        </w:rPr>
        <w:t xml:space="preserve"> and development in hybrid powertrains has been applied to motorcycles, they are nowhere near as prevalent as hybrid cars. Yuki Hosoi published a series of papers outlining designs for a Yamaha electric motorcycle over a decade previously (Hosoi 2011), and in 2021 Kawasaki announced its intention to sell only electric or hybrid electric vehicles </w:t>
      </w:r>
      <w:r w:rsidR="00B62914">
        <w:rPr>
          <w:rFonts w:ascii="Cambria" w:hAnsi="Cambria"/>
          <w:sz w:val="24"/>
          <w:szCs w:val="24"/>
        </w:rPr>
        <w:t>by 2035 (Purvis 2021). Despite these advancements and goals, as of 2023 neither Yamaha nor Kawasaki have yet included any hybrid motorcycles in their product lineups.</w:t>
      </w:r>
    </w:p>
    <w:p w14:paraId="599F60FA" w14:textId="08C23CD7" w:rsidR="00B62914" w:rsidRDefault="00B62914" w:rsidP="00AD5EB2">
      <w:pPr>
        <w:spacing w:after="0" w:line="240" w:lineRule="auto"/>
        <w:ind w:firstLine="720"/>
        <w:jc w:val="both"/>
        <w:rPr>
          <w:rFonts w:ascii="Cambria" w:hAnsi="Cambria"/>
          <w:sz w:val="24"/>
          <w:szCs w:val="24"/>
        </w:rPr>
      </w:pPr>
      <w:r>
        <w:rPr>
          <w:rFonts w:ascii="Cambria" w:hAnsi="Cambria"/>
          <w:sz w:val="24"/>
          <w:szCs w:val="24"/>
        </w:rPr>
        <w:t xml:space="preserve">Academically, </w:t>
      </w:r>
      <w:r w:rsidR="00B50920">
        <w:rPr>
          <w:rFonts w:ascii="Cambria" w:hAnsi="Cambria"/>
          <w:sz w:val="24"/>
          <w:szCs w:val="24"/>
        </w:rPr>
        <w:t xml:space="preserve">some research into hybrid motorcycles has been undertaken, such as </w:t>
      </w:r>
      <w:proofErr w:type="spellStart"/>
      <w:r w:rsidR="00B50920">
        <w:rPr>
          <w:rFonts w:ascii="Cambria" w:hAnsi="Cambria"/>
          <w:sz w:val="24"/>
          <w:szCs w:val="24"/>
        </w:rPr>
        <w:t>Iodice</w:t>
      </w:r>
      <w:proofErr w:type="spellEnd"/>
      <w:r w:rsidR="00B50920">
        <w:rPr>
          <w:rFonts w:ascii="Cambria" w:hAnsi="Cambria"/>
          <w:sz w:val="24"/>
          <w:szCs w:val="24"/>
        </w:rPr>
        <w:t xml:space="preserve">, </w:t>
      </w:r>
      <w:proofErr w:type="spellStart"/>
      <w:r w:rsidR="00B50920">
        <w:rPr>
          <w:rFonts w:ascii="Cambria" w:hAnsi="Cambria"/>
          <w:sz w:val="24"/>
          <w:szCs w:val="24"/>
        </w:rPr>
        <w:t>Fornaro</w:t>
      </w:r>
      <w:proofErr w:type="spellEnd"/>
      <w:r w:rsidR="00B50920">
        <w:rPr>
          <w:rFonts w:ascii="Cambria" w:hAnsi="Cambria"/>
          <w:sz w:val="24"/>
          <w:szCs w:val="24"/>
        </w:rPr>
        <w:t xml:space="preserve">, and Cardone’s conference paper </w:t>
      </w:r>
      <w:r w:rsidR="00BE4D85">
        <w:rPr>
          <w:rFonts w:ascii="Cambria" w:hAnsi="Cambria"/>
          <w:sz w:val="24"/>
          <w:szCs w:val="24"/>
        </w:rPr>
        <w:t xml:space="preserve">exploring the use of a small hub-mounted electric motor to reduce engine emissions during brief high-load periods such as acceleration from stops (2022). Additionally, </w:t>
      </w:r>
      <w:r w:rsidR="009F0223">
        <w:rPr>
          <w:rFonts w:ascii="Cambria" w:hAnsi="Cambria"/>
          <w:sz w:val="24"/>
          <w:szCs w:val="24"/>
        </w:rPr>
        <w:t xml:space="preserve">there has been work characterizing the behavior of a 2-wheel drive motorcycle in terms </w:t>
      </w:r>
      <w:r w:rsidR="009F0223">
        <w:rPr>
          <w:rFonts w:ascii="Cambria" w:hAnsi="Cambria"/>
          <w:sz w:val="24"/>
          <w:szCs w:val="24"/>
        </w:rPr>
        <w:lastRenderedPageBreak/>
        <w:t>of front wheel torque control, the easiest method for which would be an electric front wheel motor making such a vehicle be, necessarily, a kind of hybrid (</w:t>
      </w:r>
      <w:proofErr w:type="spellStart"/>
      <w:r w:rsidR="009F0223">
        <w:rPr>
          <w:rFonts w:ascii="Cambria" w:hAnsi="Cambria"/>
          <w:sz w:val="24"/>
          <w:szCs w:val="24"/>
        </w:rPr>
        <w:t>Bonci</w:t>
      </w:r>
      <w:proofErr w:type="spellEnd"/>
      <w:r w:rsidR="009F0223">
        <w:rPr>
          <w:rFonts w:ascii="Cambria" w:hAnsi="Cambria"/>
          <w:sz w:val="24"/>
          <w:szCs w:val="24"/>
        </w:rPr>
        <w:t xml:space="preserve">, </w:t>
      </w:r>
      <w:proofErr w:type="spellStart"/>
      <w:r w:rsidR="009F0223">
        <w:rPr>
          <w:rFonts w:ascii="Cambria" w:hAnsi="Cambria"/>
          <w:sz w:val="24"/>
          <w:szCs w:val="24"/>
        </w:rPr>
        <w:t>Longhi</w:t>
      </w:r>
      <w:proofErr w:type="spellEnd"/>
      <w:r w:rsidR="009F0223">
        <w:rPr>
          <w:rFonts w:ascii="Cambria" w:hAnsi="Cambria"/>
          <w:sz w:val="24"/>
          <w:szCs w:val="24"/>
        </w:rPr>
        <w:t xml:space="preserve">, and Scala 2020). However, most published work in this area focuses on parallel hybrid or else series-parallel hybrid powertrain architectures such as Hosoi's prototype, in which the petrol motor is still mechanically connected in some fashion to the driven wheel(s) (Hosoi 2011). Regarding strictly series hybrid powertrain motorcycles, there is substantially less </w:t>
      </w:r>
      <w:r w:rsidR="00403068">
        <w:rPr>
          <w:rFonts w:ascii="Cambria" w:hAnsi="Cambria"/>
          <w:sz w:val="24"/>
          <w:szCs w:val="24"/>
        </w:rPr>
        <w:t>available literature</w:t>
      </w:r>
      <w:r w:rsidR="009F0223">
        <w:rPr>
          <w:rFonts w:ascii="Cambria" w:hAnsi="Cambria"/>
          <w:sz w:val="24"/>
          <w:szCs w:val="24"/>
        </w:rPr>
        <w:t xml:space="preserve">—indeed, Harrington et </w:t>
      </w:r>
      <w:proofErr w:type="spellStart"/>
      <w:r w:rsidR="009F0223">
        <w:rPr>
          <w:rFonts w:ascii="Cambria" w:hAnsi="Cambria"/>
          <w:sz w:val="24"/>
          <w:szCs w:val="24"/>
        </w:rPr>
        <w:t>al’s</w:t>
      </w:r>
      <w:proofErr w:type="spellEnd"/>
      <w:r w:rsidR="009F0223">
        <w:rPr>
          <w:rFonts w:ascii="Cambria" w:hAnsi="Cambria"/>
          <w:sz w:val="24"/>
          <w:szCs w:val="24"/>
        </w:rPr>
        <w:t xml:space="preserve"> 2010 research paper “Low Cost Hybrid Motorcycle Optimization Model,” which</w:t>
      </w:r>
      <w:r w:rsidR="00403068">
        <w:rPr>
          <w:rFonts w:ascii="Cambria" w:hAnsi="Cambria"/>
          <w:sz w:val="24"/>
          <w:szCs w:val="24"/>
        </w:rPr>
        <w:t xml:space="preserve"> the</w:t>
      </w:r>
      <w:r w:rsidR="009F0223">
        <w:rPr>
          <w:rFonts w:ascii="Cambria" w:hAnsi="Cambria"/>
          <w:sz w:val="24"/>
          <w:szCs w:val="24"/>
        </w:rPr>
        <w:t xml:space="preserve"> research proposed here will seek to build upon, seems to be the </w:t>
      </w:r>
      <w:r w:rsidR="00403068">
        <w:rPr>
          <w:rFonts w:ascii="Cambria" w:hAnsi="Cambria"/>
          <w:sz w:val="24"/>
          <w:szCs w:val="24"/>
        </w:rPr>
        <w:t>central contribution. Even then, it should be noted that in that work, the authors survey a variety of powertrain formats and eventually discount series hybrid powertrains for motorcycles, mostly due to limitations of energy storage technologies at the time (Harrington et al, 2010).</w:t>
      </w:r>
    </w:p>
    <w:p w14:paraId="22F3A855" w14:textId="33348EFB" w:rsidR="00403068" w:rsidRDefault="00403068" w:rsidP="00AD5EB2">
      <w:pPr>
        <w:spacing w:after="0" w:line="240" w:lineRule="auto"/>
        <w:ind w:firstLine="720"/>
        <w:jc w:val="both"/>
        <w:rPr>
          <w:rFonts w:ascii="Cambria" w:hAnsi="Cambria"/>
          <w:sz w:val="24"/>
          <w:szCs w:val="24"/>
        </w:rPr>
      </w:pPr>
      <w:r>
        <w:rPr>
          <w:rFonts w:ascii="Cambria" w:hAnsi="Cambria"/>
          <w:sz w:val="24"/>
          <w:szCs w:val="24"/>
        </w:rPr>
        <w:t xml:space="preserve">It would seem ripe then, for an updated study to revisit Harrington et </w:t>
      </w:r>
      <w:proofErr w:type="spellStart"/>
      <w:r>
        <w:rPr>
          <w:rFonts w:ascii="Cambria" w:hAnsi="Cambria"/>
          <w:sz w:val="24"/>
          <w:szCs w:val="24"/>
        </w:rPr>
        <w:t>al’s</w:t>
      </w:r>
      <w:proofErr w:type="spellEnd"/>
      <w:r>
        <w:rPr>
          <w:rFonts w:ascii="Cambria" w:hAnsi="Cambria"/>
          <w:sz w:val="24"/>
          <w:szCs w:val="24"/>
        </w:rPr>
        <w:t xml:space="preserve"> results taking into account modern technology and with more complex modelling techniques, to determine whether a series hybrid powertrain is truly a non-viable option for motorcycles, or if it may successfully fill the particular niche left in the current literature. Can a series hybrid powered motorc</w:t>
      </w:r>
      <w:r w:rsidR="002277F8">
        <w:rPr>
          <w:rFonts w:ascii="Cambria" w:hAnsi="Cambria"/>
          <w:sz w:val="24"/>
          <w:szCs w:val="24"/>
        </w:rPr>
        <w:t>ycle exceed current emissions requirements with enough of a margin to proof it against near and mid-future regulatory revisions while still allowing for sustained motorway speed travel? The research proposed here will attempt to answer that question by building off the groundwork set by Harrington et al and incorporating works from related fields, such as electric vehicle range extender generators.</w:t>
      </w:r>
    </w:p>
    <w:p w14:paraId="025E0BFA" w14:textId="6CFE32A9" w:rsidR="002277F8" w:rsidRDefault="002277F8" w:rsidP="00AD5EB2">
      <w:pPr>
        <w:spacing w:after="0" w:line="240" w:lineRule="auto"/>
        <w:ind w:firstLine="720"/>
        <w:jc w:val="both"/>
        <w:rPr>
          <w:rFonts w:ascii="Cambria" w:hAnsi="Cambria"/>
          <w:sz w:val="24"/>
          <w:szCs w:val="24"/>
        </w:rPr>
      </w:pPr>
    </w:p>
    <w:p w14:paraId="6EEA6A1E" w14:textId="13B61543" w:rsidR="002277F8" w:rsidRDefault="002277F8" w:rsidP="002277F8">
      <w:pPr>
        <w:pStyle w:val="Heading1"/>
      </w:pPr>
      <w:r>
        <w:t>2 Literature Review</w:t>
      </w:r>
    </w:p>
    <w:p w14:paraId="38D472AC" w14:textId="493FFEDC" w:rsidR="002277F8" w:rsidRDefault="002277F8" w:rsidP="00AD5EB2">
      <w:pPr>
        <w:spacing w:after="0" w:line="240" w:lineRule="auto"/>
        <w:ind w:firstLine="720"/>
        <w:jc w:val="both"/>
        <w:rPr>
          <w:rFonts w:ascii="Cambria" w:hAnsi="Cambria"/>
          <w:sz w:val="24"/>
          <w:szCs w:val="24"/>
        </w:rPr>
      </w:pPr>
    </w:p>
    <w:p w14:paraId="3BB3964C" w14:textId="0BECF4FF" w:rsidR="007C3AB6" w:rsidRDefault="007C3AB6" w:rsidP="00AD5EB2">
      <w:pPr>
        <w:spacing w:after="0" w:line="240" w:lineRule="auto"/>
        <w:ind w:firstLine="720"/>
        <w:jc w:val="both"/>
        <w:rPr>
          <w:rFonts w:ascii="Cambria" w:hAnsi="Cambria"/>
          <w:sz w:val="24"/>
          <w:szCs w:val="24"/>
        </w:rPr>
      </w:pPr>
      <w:r>
        <w:rPr>
          <w:noProof/>
        </w:rPr>
        <mc:AlternateContent>
          <mc:Choice Requires="wps">
            <w:drawing>
              <wp:anchor distT="0" distB="0" distL="114300" distR="114300" simplePos="0" relativeHeight="251660800" behindDoc="0" locked="0" layoutInCell="1" allowOverlap="1" wp14:anchorId="40BD56E9" wp14:editId="278F4D95">
                <wp:simplePos x="0" y="0"/>
                <wp:positionH relativeFrom="margin">
                  <wp:align>right</wp:align>
                </wp:positionH>
                <wp:positionV relativeFrom="paragraph">
                  <wp:posOffset>715645</wp:posOffset>
                </wp:positionV>
                <wp:extent cx="6646545" cy="219075"/>
                <wp:effectExtent l="0" t="0" r="1905" b="9525"/>
                <wp:wrapSquare wrapText="bothSides"/>
                <wp:docPr id="12" name="Text Box 12"/>
                <wp:cNvGraphicFramePr/>
                <a:graphic xmlns:a="http://schemas.openxmlformats.org/drawingml/2006/main">
                  <a:graphicData uri="http://schemas.microsoft.com/office/word/2010/wordprocessingShape">
                    <wps:wsp>
                      <wps:cNvSpPr txBox="1"/>
                      <wps:spPr>
                        <a:xfrm>
                          <a:off x="0" y="0"/>
                          <a:ext cx="6646545" cy="219075"/>
                        </a:xfrm>
                        <a:prstGeom prst="rect">
                          <a:avLst/>
                        </a:prstGeom>
                        <a:solidFill>
                          <a:prstClr val="white"/>
                        </a:solidFill>
                        <a:ln>
                          <a:noFill/>
                        </a:ln>
                      </wps:spPr>
                      <wps:txbx>
                        <w:txbxContent>
                          <w:p w14:paraId="09E9DB31" w14:textId="6C0B2869" w:rsidR="007C3AB6" w:rsidRPr="00B93AFA" w:rsidRDefault="007C3AB6" w:rsidP="007C3AB6">
                            <w:pPr>
                              <w:pStyle w:val="Caption"/>
                              <w:rPr>
                                <w:rFonts w:ascii="Cambria" w:hAnsi="Cambria"/>
                                <w:noProof/>
                                <w:sz w:val="24"/>
                                <w:szCs w:val="24"/>
                              </w:rPr>
                            </w:pPr>
                            <w:r>
                              <w:t xml:space="preserve">Table </w:t>
                            </w:r>
                            <w:fldSimple w:instr=" SEQ Table \* ARABIC ">
                              <w:r w:rsidR="00780C21">
                                <w:rPr>
                                  <w:noProof/>
                                </w:rPr>
                                <w:t>1</w:t>
                              </w:r>
                            </w:fldSimple>
                            <w:r>
                              <w:t>: The specifications of different energy storage systems (Harrington et al 2010)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0BD56E9" id="_x0000_t202" coordsize="21600,21600" o:spt="202" path="m,l,21600r21600,l21600,xe">
                <v:stroke joinstyle="miter"/>
                <v:path gradientshapeok="t" o:connecttype="rect"/>
              </v:shapetype>
              <v:shape id="Text Box 12" o:spid="_x0000_s1026" type="#_x0000_t202" style="position:absolute;left:0;text-align:left;margin-left:472.15pt;margin-top:56.35pt;width:523.35pt;height:17.25pt;z-index:25166080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" stroked="f">
                <v:textbox inset="0,0,0,0">
                  <w:txbxContent>
                    <w:p w14:paraId="09E9DB31" w14:textId="6C0B2869" w:rsidR="007C3AB6" w:rsidRPr="00B93AFA" w:rsidRDefault="007C3AB6" w:rsidP="007C3AB6">
                      <w:pPr>
                        <w:pStyle w:val="Caption"/>
                        <w:rPr>
                          <w:rFonts w:ascii="Cambria" w:hAnsi="Cambria"/>
                          <w:noProof/>
                          <w:sz w:val="24"/>
                          <w:szCs w:val="24"/>
                        </w:rPr>
                      </w:pPr>
                      <w:r>
                        <w:t xml:space="preserve">Table </w:t>
                      </w:r>
                      <w:fldSimple w:instr=" SEQ Table \* ARABIC ">
                        <w:r w:rsidR="00780C21">
                          <w:rPr>
                            <w:noProof/>
                          </w:rPr>
                          <w:t>1</w:t>
                        </w:r>
                      </w:fldSimple>
                      <w:r>
                        <w:t>: The specifications of different energy storage systems (Harrington et al 2010)</w:t>
                      </w:r>
                    </w:p>
                  </w:txbxContent>
                </v:textbox>
                <w10:wrap type="square" anchorx="margin"/>
              </v:shape>
            </w:pict>
          </mc:Fallback>
        </mc:AlternateContent>
      </w:r>
      <w:r w:rsidRPr="007C3AB6">
        <w:rPr>
          <w:rFonts w:ascii="Cambria" w:hAnsi="Cambria"/>
          <w:noProof/>
          <w:sz w:val="24"/>
          <w:szCs w:val="24"/>
        </w:rPr>
        <w:drawing>
          <wp:anchor distT="0" distB="0" distL="114300" distR="114300" simplePos="0" relativeHeight="251658752" behindDoc="0" locked="0" layoutInCell="1" allowOverlap="1" wp14:anchorId="6EDABA3A" wp14:editId="4BA1B35F">
            <wp:simplePos x="0" y="0"/>
            <wp:positionH relativeFrom="margin">
              <wp:align>right</wp:align>
            </wp:positionH>
            <wp:positionV relativeFrom="paragraph">
              <wp:posOffset>971550</wp:posOffset>
            </wp:positionV>
            <wp:extent cx="6646545" cy="2444750"/>
            <wp:effectExtent l="0" t="0" r="190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646545" cy="2444750"/>
                    </a:xfrm>
                    <a:prstGeom prst="rect">
                      <a:avLst/>
                    </a:prstGeom>
                    <a:noFill/>
                    <a:ln>
                      <a:noFill/>
                    </a:ln>
                  </pic:spPr>
                </pic:pic>
              </a:graphicData>
            </a:graphic>
          </wp:anchor>
        </w:drawing>
      </w:r>
      <w:r w:rsidR="002277F8">
        <w:rPr>
          <w:rFonts w:ascii="Cambria" w:hAnsi="Cambria"/>
          <w:sz w:val="24"/>
          <w:szCs w:val="24"/>
        </w:rPr>
        <w:t>In “Low Cost Hybrid Optimization Model,” Harrington, Vaughan, Allen, Smither, and Farmer attempt to determine the possible configurations of a theorized hybrid motorcycle. As the title suggests, their chief judgement criteria was economical</w:t>
      </w:r>
      <w:r>
        <w:rPr>
          <w:rFonts w:ascii="Cambria" w:hAnsi="Cambria"/>
          <w:sz w:val="24"/>
          <w:szCs w:val="24"/>
        </w:rPr>
        <w:t>—although the authors never define exactly what “low cost” means in terms of a concrete budget, they do spend time comparing the costs of different energy storage solutions, which they must have assumed to be the greatest expense of the system</w:t>
      </w:r>
      <w:r w:rsidR="00023E55">
        <w:rPr>
          <w:rFonts w:ascii="Cambria" w:hAnsi="Cambria"/>
          <w:sz w:val="24"/>
          <w:szCs w:val="24"/>
        </w:rPr>
        <w:t xml:space="preserve"> as no other </w:t>
      </w:r>
      <w:r w:rsidR="00023E55">
        <w:rPr>
          <w:rFonts w:ascii="Cambria" w:hAnsi="Cambria"/>
          <w:sz w:val="24"/>
          <w:szCs w:val="24"/>
        </w:rPr>
        <w:lastRenderedPageBreak/>
        <w:t>cost comparisons are present</w:t>
      </w:r>
      <w:r>
        <w:rPr>
          <w:rFonts w:ascii="Cambria" w:hAnsi="Cambria"/>
          <w:sz w:val="24"/>
          <w:szCs w:val="24"/>
        </w:rPr>
        <w:t>. They input their results to a matrix which is displayed in table 1.</w:t>
      </w:r>
      <w:r w:rsidR="00023E55">
        <w:rPr>
          <w:rFonts w:ascii="Cambria" w:hAnsi="Cambria"/>
          <w:sz w:val="24"/>
          <w:szCs w:val="24"/>
        </w:rPr>
        <w:t xml:space="preserve"> Notable are the cost per kWh values for the supercapacitor and lithium ion options—in 2010 the price of such components was much higher than it is now. Modern lithium ion batteries cost a comparatively low </w:t>
      </w:r>
      <w:r w:rsidR="005E5B7B">
        <w:rPr>
          <w:rFonts w:ascii="Cambria" w:hAnsi="Cambria"/>
          <w:sz w:val="24"/>
          <w:szCs w:val="24"/>
        </w:rPr>
        <w:t>$137 per kWh (O’Dea 2023), while supercapacitors may be found in the range of $2400 – $6000 per kWh (</w:t>
      </w:r>
      <w:proofErr w:type="spellStart"/>
      <w:r w:rsidR="005E5B7B">
        <w:rPr>
          <w:rFonts w:ascii="Cambria" w:hAnsi="Cambria"/>
          <w:sz w:val="24"/>
          <w:szCs w:val="24"/>
        </w:rPr>
        <w:t>PowerUp</w:t>
      </w:r>
      <w:proofErr w:type="spellEnd"/>
      <w:r w:rsidR="005E5B7B">
        <w:rPr>
          <w:rFonts w:ascii="Cambria" w:hAnsi="Cambria"/>
          <w:sz w:val="24"/>
          <w:szCs w:val="24"/>
        </w:rPr>
        <w:t xml:space="preserve"> Tips 2021). Clearly, any determinations dependent upon the economic conditions of 2010 cannot be relied upon to remain true today.</w:t>
      </w:r>
    </w:p>
    <w:p w14:paraId="0502AEFA" w14:textId="4B50354A" w:rsidR="00773F86" w:rsidRDefault="005E5B7B" w:rsidP="00773F86">
      <w:pPr>
        <w:spacing w:after="0" w:line="240" w:lineRule="auto"/>
        <w:ind w:firstLine="720"/>
        <w:jc w:val="both"/>
        <w:rPr>
          <w:rFonts w:ascii="Cambria" w:hAnsi="Cambria"/>
          <w:sz w:val="24"/>
          <w:szCs w:val="24"/>
        </w:rPr>
      </w:pPr>
      <w:r>
        <w:rPr>
          <w:rFonts w:ascii="Cambria" w:hAnsi="Cambria"/>
          <w:sz w:val="24"/>
          <w:szCs w:val="24"/>
        </w:rPr>
        <w:t xml:space="preserve">Aside from energy storage systems, Harrington et al </w:t>
      </w:r>
      <w:r w:rsidR="00773F86">
        <w:rPr>
          <w:rFonts w:ascii="Cambria" w:hAnsi="Cambria"/>
          <w:sz w:val="24"/>
          <w:szCs w:val="24"/>
        </w:rPr>
        <w:t>compare the three different hybrid architectures, parallel, series, and series-parallel (which they refer to as ‘complex’), however they immediately discount the series-parallel configuration due to economic constraints:</w:t>
      </w:r>
    </w:p>
    <w:p w14:paraId="5F193039" w14:textId="77777777" w:rsidR="00D37B18" w:rsidRDefault="00D37B18" w:rsidP="00773F86">
      <w:pPr>
        <w:spacing w:after="0" w:line="240" w:lineRule="auto"/>
        <w:ind w:firstLine="720"/>
        <w:jc w:val="both"/>
        <w:rPr>
          <w:rFonts w:ascii="Cambria" w:hAnsi="Cambria"/>
          <w:sz w:val="24"/>
          <w:szCs w:val="24"/>
        </w:rPr>
      </w:pPr>
    </w:p>
    <w:p w14:paraId="1C7F9F0C" w14:textId="64D9EA45" w:rsidR="005E5B7B" w:rsidRDefault="00773F86" w:rsidP="00D37B18">
      <w:pPr>
        <w:spacing w:after="0" w:line="240" w:lineRule="auto"/>
        <w:ind w:left="720" w:right="747" w:firstLine="360"/>
        <w:jc w:val="both"/>
        <w:rPr>
          <w:rFonts w:ascii="Cambria" w:hAnsi="Cambria"/>
          <w:sz w:val="24"/>
          <w:szCs w:val="24"/>
        </w:rPr>
      </w:pPr>
      <w:r w:rsidRPr="00773F86">
        <w:rPr>
          <w:rFonts w:ascii="Cambria" w:hAnsi="Cambria"/>
          <w:sz w:val="24"/>
          <w:szCs w:val="24"/>
        </w:rPr>
        <w:t>Also as this project is aimed at existing legacy</w:t>
      </w:r>
      <w:r>
        <w:rPr>
          <w:rFonts w:ascii="Cambria" w:hAnsi="Cambria"/>
          <w:sz w:val="24"/>
          <w:szCs w:val="24"/>
        </w:rPr>
        <w:t xml:space="preserve"> </w:t>
      </w:r>
      <w:r w:rsidRPr="00773F86">
        <w:rPr>
          <w:rFonts w:ascii="Cambria" w:hAnsi="Cambria"/>
          <w:sz w:val="24"/>
          <w:szCs w:val="24"/>
        </w:rPr>
        <w:t xml:space="preserve">platforms, </w:t>
      </w:r>
      <w:proofErr w:type="spellStart"/>
      <w:r w:rsidRPr="00773F86">
        <w:rPr>
          <w:rFonts w:ascii="Cambria" w:hAnsi="Cambria"/>
          <w:sz w:val="24"/>
          <w:szCs w:val="24"/>
        </w:rPr>
        <w:t>minimising</w:t>
      </w:r>
      <w:proofErr w:type="spellEnd"/>
      <w:r w:rsidRPr="00773F86">
        <w:rPr>
          <w:rFonts w:ascii="Cambria" w:hAnsi="Cambria"/>
          <w:sz w:val="24"/>
          <w:szCs w:val="24"/>
        </w:rPr>
        <w:t xml:space="preserve"> integration is also a major factor in</w:t>
      </w:r>
      <w:r>
        <w:rPr>
          <w:rFonts w:ascii="Cambria" w:hAnsi="Cambria"/>
          <w:sz w:val="24"/>
          <w:szCs w:val="24"/>
        </w:rPr>
        <w:t xml:space="preserve"> </w:t>
      </w:r>
      <w:r w:rsidRPr="00773F86">
        <w:rPr>
          <w:rFonts w:ascii="Cambria" w:hAnsi="Cambria"/>
          <w:sz w:val="24"/>
          <w:szCs w:val="24"/>
        </w:rPr>
        <w:t>reducing cost. With this in mind, the complex compound</w:t>
      </w:r>
      <w:r>
        <w:rPr>
          <w:rFonts w:ascii="Cambria" w:hAnsi="Cambria"/>
          <w:sz w:val="24"/>
          <w:szCs w:val="24"/>
        </w:rPr>
        <w:t xml:space="preserve"> </w:t>
      </w:r>
      <w:r w:rsidRPr="00773F86">
        <w:rPr>
          <w:rFonts w:ascii="Cambria" w:hAnsi="Cambria"/>
          <w:sz w:val="24"/>
          <w:szCs w:val="24"/>
        </w:rPr>
        <w:t>hybrid platform will be discarded</w:t>
      </w:r>
      <w:r w:rsidR="00D37B18">
        <w:rPr>
          <w:rFonts w:ascii="Cambria" w:hAnsi="Cambria"/>
          <w:sz w:val="24"/>
          <w:szCs w:val="24"/>
        </w:rPr>
        <w:t xml:space="preserve"> (Harrington et al 2010).</w:t>
      </w:r>
    </w:p>
    <w:p w14:paraId="16FD3AC7" w14:textId="77777777" w:rsidR="00D37B18" w:rsidRDefault="00D37B18" w:rsidP="00773F86">
      <w:pPr>
        <w:spacing w:after="0" w:line="240" w:lineRule="auto"/>
        <w:ind w:firstLine="720"/>
        <w:jc w:val="both"/>
        <w:rPr>
          <w:rFonts w:ascii="Cambria" w:hAnsi="Cambria"/>
          <w:sz w:val="24"/>
          <w:szCs w:val="24"/>
        </w:rPr>
      </w:pPr>
    </w:p>
    <w:p w14:paraId="7783A493" w14:textId="77777777" w:rsidR="00D37B18" w:rsidRDefault="00D37B18" w:rsidP="00AD5EB2">
      <w:pPr>
        <w:spacing w:after="0" w:line="240" w:lineRule="auto"/>
        <w:ind w:firstLine="720"/>
        <w:jc w:val="both"/>
        <w:rPr>
          <w:rFonts w:ascii="Cambria" w:hAnsi="Cambria"/>
          <w:sz w:val="24"/>
          <w:szCs w:val="24"/>
        </w:rPr>
      </w:pPr>
      <w:r>
        <w:rPr>
          <w:rFonts w:ascii="Cambria" w:hAnsi="Cambria"/>
          <w:sz w:val="24"/>
          <w:szCs w:val="24"/>
        </w:rPr>
        <w:t>This leaves only parallel and series hybrid configurations, of which Harrington’s team then built models, shown below in figures 1 and 2:</w:t>
      </w:r>
    </w:p>
    <w:p w14:paraId="0B8FC385" w14:textId="77777777" w:rsidR="00D37B18" w:rsidRDefault="00D37B18" w:rsidP="00D37B18">
      <w:pPr>
        <w:keepNext/>
        <w:spacing w:after="0" w:line="240" w:lineRule="auto"/>
        <w:ind w:firstLine="720"/>
        <w:jc w:val="both"/>
      </w:pPr>
      <w:r w:rsidRPr="00D37B18">
        <w:rPr>
          <w:rFonts w:ascii="Cambria" w:hAnsi="Cambria"/>
          <w:noProof/>
          <w:sz w:val="24"/>
          <w:szCs w:val="24"/>
        </w:rPr>
        <w:drawing>
          <wp:inline distT="0" distB="0" distL="0" distR="0" wp14:anchorId="35D7F50E" wp14:editId="3AD58E37">
            <wp:extent cx="5391143" cy="1352550"/>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402410" cy="1355377"/>
                    </a:xfrm>
                    <a:prstGeom prst="rect">
                      <a:avLst/>
                    </a:prstGeom>
                    <a:noFill/>
                    <a:ln>
                      <a:noFill/>
                    </a:ln>
                  </pic:spPr>
                </pic:pic>
              </a:graphicData>
            </a:graphic>
          </wp:inline>
        </w:drawing>
      </w:r>
    </w:p>
    <w:p w14:paraId="254C889B" w14:textId="2580C2BA" w:rsidR="00D37B18" w:rsidRDefault="00D37B18" w:rsidP="00D37B18">
      <w:pPr>
        <w:pStyle w:val="Caption"/>
        <w:jc w:val="center"/>
      </w:pPr>
      <w:r>
        <w:t xml:space="preserve">Figure </w:t>
      </w:r>
      <w:fldSimple w:instr=" SEQ Figure \* ARABIC ">
        <w:r w:rsidR="008F694D">
          <w:rPr>
            <w:noProof/>
          </w:rPr>
          <w:t>1</w:t>
        </w:r>
      </w:fldSimple>
      <w:r>
        <w:t>: The Parallel conceptual model (Harrington et al 2010)</w:t>
      </w:r>
    </w:p>
    <w:p w14:paraId="3721179D" w14:textId="1D7E264B" w:rsidR="002277F8" w:rsidRDefault="007C3AB6" w:rsidP="00AD5EB2">
      <w:pPr>
        <w:spacing w:after="0" w:line="240" w:lineRule="auto"/>
        <w:ind w:firstLine="720"/>
        <w:jc w:val="both"/>
        <w:rPr>
          <w:rFonts w:ascii="Cambria" w:hAnsi="Cambria"/>
          <w:sz w:val="24"/>
          <w:szCs w:val="24"/>
        </w:rPr>
      </w:pPr>
      <w:r>
        <w:rPr>
          <w:rFonts w:ascii="Cambria" w:hAnsi="Cambria"/>
          <w:sz w:val="24"/>
          <w:szCs w:val="24"/>
        </w:rPr>
        <w:t xml:space="preserve"> </w:t>
      </w:r>
    </w:p>
    <w:p w14:paraId="33151754" w14:textId="77777777" w:rsidR="00D37B18" w:rsidRDefault="00D37B18" w:rsidP="00D37B18">
      <w:pPr>
        <w:keepNext/>
        <w:spacing w:after="0" w:line="240" w:lineRule="auto"/>
        <w:ind w:firstLine="720"/>
        <w:jc w:val="both"/>
      </w:pPr>
      <w:r w:rsidRPr="00D37B18">
        <w:rPr>
          <w:rFonts w:ascii="Cambria" w:hAnsi="Cambria"/>
          <w:noProof/>
          <w:sz w:val="24"/>
          <w:szCs w:val="24"/>
        </w:rPr>
        <w:drawing>
          <wp:inline distT="0" distB="0" distL="0" distR="0" wp14:anchorId="37B264CE" wp14:editId="69FDB79A">
            <wp:extent cx="5390515" cy="1352393"/>
            <wp:effectExtent l="0" t="0" r="635"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432992" cy="1363050"/>
                    </a:xfrm>
                    <a:prstGeom prst="rect">
                      <a:avLst/>
                    </a:prstGeom>
                    <a:noFill/>
                    <a:ln>
                      <a:noFill/>
                    </a:ln>
                  </pic:spPr>
                </pic:pic>
              </a:graphicData>
            </a:graphic>
          </wp:inline>
        </w:drawing>
      </w:r>
    </w:p>
    <w:p w14:paraId="5D97876E" w14:textId="71C1F2C9" w:rsidR="00D37B18" w:rsidRDefault="00D37B18" w:rsidP="00D37B18">
      <w:pPr>
        <w:pStyle w:val="Caption"/>
        <w:jc w:val="center"/>
        <w:rPr>
          <w:rFonts w:ascii="Cambria" w:hAnsi="Cambria"/>
          <w:sz w:val="24"/>
          <w:szCs w:val="24"/>
        </w:rPr>
      </w:pPr>
      <w:r>
        <w:t xml:space="preserve">Figure </w:t>
      </w:r>
      <w:fldSimple w:instr=" SEQ Figure \* ARABIC ">
        <w:r w:rsidR="008F694D">
          <w:rPr>
            <w:noProof/>
          </w:rPr>
          <w:t>2</w:t>
        </w:r>
      </w:fldSimple>
      <w:r>
        <w:t>: The Series conceptual model (Harrington et al 2010)</w:t>
      </w:r>
    </w:p>
    <w:p w14:paraId="5F06098F" w14:textId="0A1130B4" w:rsidR="00D37B18" w:rsidRDefault="00D37B18" w:rsidP="00AD5EB2">
      <w:pPr>
        <w:spacing w:after="0" w:line="240" w:lineRule="auto"/>
        <w:ind w:firstLine="720"/>
        <w:jc w:val="both"/>
        <w:rPr>
          <w:rFonts w:ascii="Cambria" w:hAnsi="Cambria"/>
          <w:sz w:val="24"/>
          <w:szCs w:val="24"/>
        </w:rPr>
      </w:pPr>
      <w:r>
        <w:rPr>
          <w:rFonts w:ascii="Cambria" w:hAnsi="Cambria"/>
          <w:sz w:val="24"/>
          <w:szCs w:val="24"/>
        </w:rPr>
        <w:t>As the authors point out, one issue with the parallel model is that the internal combustion engine</w:t>
      </w:r>
      <w:r w:rsidR="00576528">
        <w:rPr>
          <w:rFonts w:ascii="Cambria" w:hAnsi="Cambria"/>
          <w:sz w:val="24"/>
          <w:szCs w:val="24"/>
        </w:rPr>
        <w:t xml:space="preserve"> (ICE)</w:t>
      </w:r>
      <w:r>
        <w:rPr>
          <w:rFonts w:ascii="Cambria" w:hAnsi="Cambria"/>
          <w:sz w:val="24"/>
          <w:szCs w:val="24"/>
        </w:rPr>
        <w:t xml:space="preserve"> is mechanically coupled to the wheel speed (shown in figure 1 via the ‘T’ or torque connections) and thus its rotational speed is directly proportional to the vehicle speed—by contrast, a series hybrid has only electrical connections between the </w:t>
      </w:r>
      <w:r w:rsidR="00576528">
        <w:rPr>
          <w:rFonts w:ascii="Cambria" w:hAnsi="Cambria"/>
          <w:sz w:val="24"/>
          <w:szCs w:val="24"/>
        </w:rPr>
        <w:t>ICE</w:t>
      </w:r>
      <w:r>
        <w:rPr>
          <w:rFonts w:ascii="Cambria" w:hAnsi="Cambria"/>
          <w:sz w:val="24"/>
          <w:szCs w:val="24"/>
        </w:rPr>
        <w:t xml:space="preserve"> and the wheel, allowing the engine to be run at a constant RPM </w:t>
      </w:r>
      <w:r w:rsidR="00A55C7C">
        <w:rPr>
          <w:rFonts w:ascii="Cambria" w:hAnsi="Cambria"/>
          <w:sz w:val="24"/>
          <w:szCs w:val="24"/>
        </w:rPr>
        <w:t>which, ideally, would be its most efficient operating point (Harrington et al 2010). It is this point which has become the central justification for limiting the proposed research to series hybrid architecture only.</w:t>
      </w:r>
    </w:p>
    <w:p w14:paraId="54FF9737" w14:textId="01659718" w:rsidR="00A55C7C" w:rsidRDefault="00A55C7C" w:rsidP="00AD5EB2">
      <w:pPr>
        <w:spacing w:after="0" w:line="240" w:lineRule="auto"/>
        <w:ind w:firstLine="720"/>
        <w:jc w:val="both"/>
        <w:rPr>
          <w:rFonts w:ascii="Cambria" w:hAnsi="Cambria"/>
          <w:sz w:val="24"/>
          <w:szCs w:val="24"/>
        </w:rPr>
      </w:pPr>
      <w:r>
        <w:rPr>
          <w:rFonts w:ascii="Cambria" w:hAnsi="Cambria"/>
          <w:sz w:val="24"/>
          <w:szCs w:val="24"/>
        </w:rPr>
        <w:lastRenderedPageBreak/>
        <w:t xml:space="preserve">Harrington’s team then proceed to create four analytical models: a baseline mechanical model for comparison, a parallel hybrid model, a series hybrid model with a battery, and a series hybrid model with a capacitor. </w:t>
      </w:r>
      <w:r w:rsidR="00FC7C6E">
        <w:rPr>
          <w:rFonts w:ascii="Cambria" w:hAnsi="Cambria"/>
          <w:sz w:val="24"/>
          <w:szCs w:val="24"/>
        </w:rPr>
        <w:t>These models were run through a series of basic maneuvers and drive cycles specified by the user in order to assess their performance (Harrington et al 2010). While the results did not indicate any particularly impressive reduction in with the hybrid architectures over the mechanical model, the authors explain that</w:t>
      </w:r>
      <w:r w:rsidR="00192917">
        <w:rPr>
          <w:rFonts w:ascii="Cambria" w:hAnsi="Cambria"/>
          <w:sz w:val="24"/>
          <w:szCs w:val="24"/>
        </w:rPr>
        <w:t xml:space="preserve"> due to project constraints, only one engine could be characterized and so the mechanical model uses the same engine as the hybrid models do, making it underpowered and, thus, underreport its consumption values. In terms of model limitations, the authors also state that none of their models incorporated regenerative braking capabilities</w:t>
      </w:r>
      <w:r w:rsidR="0022005E">
        <w:rPr>
          <w:rFonts w:ascii="Cambria" w:hAnsi="Cambria"/>
          <w:sz w:val="24"/>
          <w:szCs w:val="24"/>
        </w:rPr>
        <w:t>, and that</w:t>
      </w:r>
    </w:p>
    <w:p w14:paraId="31622493" w14:textId="1D21DF5E" w:rsidR="0022005E" w:rsidRDefault="0022005E" w:rsidP="00AD5EB2">
      <w:pPr>
        <w:spacing w:after="0" w:line="240" w:lineRule="auto"/>
        <w:ind w:firstLine="720"/>
        <w:jc w:val="both"/>
        <w:rPr>
          <w:rFonts w:ascii="Cambria" w:hAnsi="Cambria"/>
          <w:sz w:val="24"/>
          <w:szCs w:val="24"/>
        </w:rPr>
      </w:pPr>
    </w:p>
    <w:p w14:paraId="3782CE76" w14:textId="76243A3E" w:rsidR="0022005E" w:rsidRDefault="0022005E" w:rsidP="0022005E">
      <w:pPr>
        <w:spacing w:after="0" w:line="240" w:lineRule="auto"/>
        <w:ind w:left="720" w:right="747" w:firstLine="360"/>
        <w:jc w:val="both"/>
        <w:rPr>
          <w:rFonts w:ascii="Cambria" w:hAnsi="Cambria"/>
          <w:sz w:val="24"/>
          <w:szCs w:val="24"/>
        </w:rPr>
      </w:pPr>
      <w:r w:rsidRPr="0022005E">
        <w:rPr>
          <w:rFonts w:ascii="Cambria" w:hAnsi="Cambria"/>
          <w:sz w:val="24"/>
          <w:szCs w:val="24"/>
        </w:rPr>
        <w:t>capacitors would</w:t>
      </w:r>
      <w:r>
        <w:rPr>
          <w:rFonts w:ascii="Cambria" w:hAnsi="Cambria"/>
          <w:sz w:val="24"/>
          <w:szCs w:val="24"/>
        </w:rPr>
        <w:t xml:space="preserve"> </w:t>
      </w:r>
      <w:r w:rsidRPr="0022005E">
        <w:rPr>
          <w:rFonts w:ascii="Cambria" w:hAnsi="Cambria"/>
          <w:sz w:val="24"/>
          <w:szCs w:val="24"/>
        </w:rPr>
        <w:t>be worthy of further examination if pure reduction in</w:t>
      </w:r>
      <w:r>
        <w:rPr>
          <w:rFonts w:ascii="Cambria" w:hAnsi="Cambria"/>
          <w:sz w:val="24"/>
          <w:szCs w:val="24"/>
        </w:rPr>
        <w:t xml:space="preserve"> </w:t>
      </w:r>
      <w:r w:rsidRPr="0022005E">
        <w:rPr>
          <w:rFonts w:ascii="Cambria" w:hAnsi="Cambria"/>
          <w:sz w:val="24"/>
          <w:szCs w:val="24"/>
        </w:rPr>
        <w:t>consumption is the target with no PHEV functionality and</w:t>
      </w:r>
      <w:r>
        <w:rPr>
          <w:rFonts w:ascii="Cambria" w:hAnsi="Cambria"/>
          <w:sz w:val="24"/>
          <w:szCs w:val="24"/>
        </w:rPr>
        <w:t xml:space="preserve"> </w:t>
      </w:r>
      <w:r w:rsidRPr="0022005E">
        <w:rPr>
          <w:rFonts w:ascii="Cambria" w:hAnsi="Cambria"/>
          <w:sz w:val="24"/>
          <w:szCs w:val="24"/>
        </w:rPr>
        <w:t>regenerative braking were available. It should also be noted</w:t>
      </w:r>
      <w:r>
        <w:rPr>
          <w:rFonts w:ascii="Cambria" w:hAnsi="Cambria"/>
          <w:sz w:val="24"/>
          <w:szCs w:val="24"/>
        </w:rPr>
        <w:t xml:space="preserve"> </w:t>
      </w:r>
      <w:r w:rsidRPr="0022005E">
        <w:rPr>
          <w:rFonts w:ascii="Cambria" w:hAnsi="Cambria"/>
          <w:sz w:val="24"/>
          <w:szCs w:val="24"/>
        </w:rPr>
        <w:t>that no availability of regenerative braking energy</w:t>
      </w:r>
      <w:r>
        <w:rPr>
          <w:rFonts w:ascii="Cambria" w:hAnsi="Cambria"/>
          <w:sz w:val="24"/>
          <w:szCs w:val="24"/>
        </w:rPr>
        <w:t xml:space="preserve"> </w:t>
      </w:r>
      <w:r w:rsidRPr="0022005E">
        <w:rPr>
          <w:rFonts w:ascii="Cambria" w:hAnsi="Cambria"/>
          <w:sz w:val="24"/>
          <w:szCs w:val="24"/>
        </w:rPr>
        <w:t xml:space="preserve">disproportionally </w:t>
      </w:r>
      <w:proofErr w:type="spellStart"/>
      <w:r w:rsidRPr="0022005E">
        <w:rPr>
          <w:rFonts w:ascii="Cambria" w:hAnsi="Cambria"/>
          <w:sz w:val="24"/>
          <w:szCs w:val="24"/>
        </w:rPr>
        <w:t>penalises</w:t>
      </w:r>
      <w:proofErr w:type="spellEnd"/>
      <w:r w:rsidRPr="0022005E">
        <w:rPr>
          <w:rFonts w:ascii="Cambria" w:hAnsi="Cambria"/>
          <w:sz w:val="24"/>
          <w:szCs w:val="24"/>
        </w:rPr>
        <w:t xml:space="preserve"> capacitors, as they have no</w:t>
      </w:r>
      <w:r>
        <w:rPr>
          <w:rFonts w:ascii="Cambria" w:hAnsi="Cambria"/>
          <w:sz w:val="24"/>
          <w:szCs w:val="24"/>
        </w:rPr>
        <w:t xml:space="preserve"> </w:t>
      </w:r>
      <w:r w:rsidRPr="0022005E">
        <w:rPr>
          <w:rFonts w:ascii="Cambria" w:hAnsi="Cambria"/>
          <w:sz w:val="24"/>
          <w:szCs w:val="24"/>
        </w:rPr>
        <w:t>regenerative power limits and the efficiency loss is less than</w:t>
      </w:r>
      <w:r>
        <w:rPr>
          <w:rFonts w:ascii="Cambria" w:hAnsi="Cambria"/>
          <w:sz w:val="24"/>
          <w:szCs w:val="24"/>
        </w:rPr>
        <w:t xml:space="preserve"> </w:t>
      </w:r>
      <w:r w:rsidRPr="0022005E">
        <w:rPr>
          <w:rFonts w:ascii="Cambria" w:hAnsi="Cambria"/>
          <w:sz w:val="24"/>
          <w:szCs w:val="24"/>
        </w:rPr>
        <w:t>battery technologies</w:t>
      </w:r>
      <w:r>
        <w:rPr>
          <w:rFonts w:ascii="Cambria" w:hAnsi="Cambria"/>
          <w:sz w:val="24"/>
          <w:szCs w:val="24"/>
        </w:rPr>
        <w:t xml:space="preserve"> (Harrington et al 2010).</w:t>
      </w:r>
    </w:p>
    <w:p w14:paraId="66DB608C" w14:textId="0913B6CD" w:rsidR="0022005E" w:rsidRDefault="0022005E" w:rsidP="0022005E">
      <w:pPr>
        <w:spacing w:after="0" w:line="240" w:lineRule="auto"/>
        <w:ind w:firstLine="720"/>
        <w:jc w:val="both"/>
        <w:rPr>
          <w:rFonts w:ascii="Cambria" w:hAnsi="Cambria"/>
          <w:sz w:val="24"/>
          <w:szCs w:val="24"/>
        </w:rPr>
      </w:pPr>
    </w:p>
    <w:p w14:paraId="54588514" w14:textId="3933B09F" w:rsidR="0022005E" w:rsidRDefault="0022005E" w:rsidP="0022005E">
      <w:pPr>
        <w:spacing w:after="0" w:line="240" w:lineRule="auto"/>
        <w:ind w:firstLine="720"/>
        <w:jc w:val="both"/>
        <w:rPr>
          <w:rFonts w:ascii="Cambria" w:hAnsi="Cambria"/>
          <w:sz w:val="24"/>
          <w:szCs w:val="24"/>
        </w:rPr>
      </w:pPr>
      <w:r>
        <w:rPr>
          <w:rFonts w:ascii="Cambria" w:hAnsi="Cambria"/>
          <w:sz w:val="24"/>
          <w:szCs w:val="24"/>
        </w:rPr>
        <w:t>So while Harrington’s team ultimately determine lithium-based parallel hybrid systems as the optimal configuration for their requirements, they do acknowledge their decision comes with certain qualifiers. Given the reduction in cost of energy storage systems and the recent political climate regarding petrol powered vehicles, even Harrington et al might now reconsider their earlier conclusions, especially considering that pure reduction in consumption is precisely what the research proposed here will attempt to quantify.</w:t>
      </w:r>
    </w:p>
    <w:p w14:paraId="0F0B8F72" w14:textId="336C5748" w:rsidR="00190342" w:rsidRDefault="00190342" w:rsidP="0022005E">
      <w:pPr>
        <w:spacing w:after="0" w:line="240" w:lineRule="auto"/>
        <w:ind w:firstLine="720"/>
        <w:jc w:val="both"/>
        <w:rPr>
          <w:rFonts w:ascii="Cambria" w:hAnsi="Cambria"/>
          <w:sz w:val="24"/>
          <w:szCs w:val="24"/>
        </w:rPr>
      </w:pPr>
      <w:r>
        <w:rPr>
          <w:rFonts w:ascii="Cambria" w:hAnsi="Cambria"/>
          <w:sz w:val="24"/>
          <w:szCs w:val="24"/>
        </w:rPr>
        <w:t xml:space="preserve">Reduction in brake specific fuel consumption (BSFC) is also what </w:t>
      </w:r>
      <w:proofErr w:type="spellStart"/>
      <w:r>
        <w:rPr>
          <w:rFonts w:ascii="Cambria" w:hAnsi="Cambria"/>
          <w:sz w:val="24"/>
          <w:szCs w:val="24"/>
        </w:rPr>
        <w:t>Iodice</w:t>
      </w:r>
      <w:proofErr w:type="spellEnd"/>
      <w:r>
        <w:rPr>
          <w:rFonts w:ascii="Cambria" w:hAnsi="Cambria"/>
          <w:sz w:val="24"/>
          <w:szCs w:val="24"/>
        </w:rPr>
        <w:t xml:space="preserve">, </w:t>
      </w:r>
      <w:proofErr w:type="spellStart"/>
      <w:r>
        <w:rPr>
          <w:rFonts w:ascii="Cambria" w:hAnsi="Cambria"/>
          <w:sz w:val="24"/>
          <w:szCs w:val="24"/>
        </w:rPr>
        <w:t>Fornaro</w:t>
      </w:r>
      <w:proofErr w:type="spellEnd"/>
      <w:r>
        <w:rPr>
          <w:rFonts w:ascii="Cambria" w:hAnsi="Cambria"/>
          <w:sz w:val="24"/>
          <w:szCs w:val="24"/>
        </w:rPr>
        <w:t>, and Cardone were concerned with in their 2022 paper “</w:t>
      </w:r>
      <w:r w:rsidRPr="00756E67">
        <w:rPr>
          <w:rFonts w:ascii="Cambria" w:hAnsi="Cambria"/>
          <w:sz w:val="24"/>
          <w:szCs w:val="24"/>
        </w:rPr>
        <w:t>Hybrid Propulsion for Motorcycle Application to Reduce Engine-out Emissions</w:t>
      </w:r>
      <w:r>
        <w:rPr>
          <w:rFonts w:ascii="Cambria" w:hAnsi="Cambria"/>
          <w:sz w:val="24"/>
          <w:szCs w:val="24"/>
        </w:rPr>
        <w:t xml:space="preserve">.” Their research focused on the comparison of a previously tested motorcycle to a simulated model of the same vehicle with an added rear-wheel electric hub motor. In their experimental results, part of which are shown in figure 3,  the authors discovered that high transient loads, such as those encountered when accelerating from a stop, corresponded to spikes in carbon monoxide and hydrocarbon emissions; they </w:t>
      </w:r>
      <w:r w:rsidR="00846D24">
        <w:rPr>
          <w:rFonts w:ascii="Cambria" w:hAnsi="Cambria"/>
          <w:sz w:val="24"/>
          <w:szCs w:val="24"/>
        </w:rPr>
        <w:t>explain that during these times the engine is forced to run rich by the engine control unit (ECU) in order to provide the torque requested, and that this rich mixture can overwhelm the capacity of the attached catalytic converter (</w:t>
      </w:r>
      <w:proofErr w:type="spellStart"/>
      <w:r w:rsidR="00846D24">
        <w:rPr>
          <w:rFonts w:ascii="Cambria" w:hAnsi="Cambria"/>
          <w:sz w:val="24"/>
          <w:szCs w:val="24"/>
        </w:rPr>
        <w:t>Iodice</w:t>
      </w:r>
      <w:proofErr w:type="spellEnd"/>
      <w:r w:rsidR="00846D24">
        <w:rPr>
          <w:rFonts w:ascii="Cambria" w:hAnsi="Cambria"/>
          <w:sz w:val="24"/>
          <w:szCs w:val="24"/>
        </w:rPr>
        <w:t xml:space="preserve">, </w:t>
      </w:r>
      <w:proofErr w:type="spellStart"/>
      <w:r w:rsidR="00846D24">
        <w:rPr>
          <w:rFonts w:ascii="Cambria" w:hAnsi="Cambria"/>
          <w:sz w:val="24"/>
          <w:szCs w:val="24"/>
        </w:rPr>
        <w:t>Fornaro</w:t>
      </w:r>
      <w:proofErr w:type="spellEnd"/>
      <w:r w:rsidR="00846D24">
        <w:rPr>
          <w:rFonts w:ascii="Cambria" w:hAnsi="Cambria"/>
          <w:sz w:val="24"/>
          <w:szCs w:val="24"/>
        </w:rPr>
        <w:t>, and Cardone 2022 pp3).</w:t>
      </w:r>
    </w:p>
    <w:p w14:paraId="5E5D34CE" w14:textId="321AF8B6" w:rsidR="00846D24" w:rsidRDefault="00846D24" w:rsidP="0022005E">
      <w:pPr>
        <w:spacing w:after="0" w:line="240" w:lineRule="auto"/>
        <w:ind w:firstLine="720"/>
        <w:jc w:val="both"/>
        <w:rPr>
          <w:rFonts w:ascii="Cambria" w:hAnsi="Cambria"/>
          <w:sz w:val="24"/>
          <w:szCs w:val="24"/>
        </w:rPr>
      </w:pPr>
      <w:r>
        <w:rPr>
          <w:rFonts w:ascii="Cambria" w:hAnsi="Cambria"/>
          <w:sz w:val="24"/>
          <w:szCs w:val="24"/>
        </w:rPr>
        <w:t xml:space="preserve">The authors then propose a model of a parallel hybrid motorcycle wherein a small hub motor is mounted to the rear wheel to assist with these high-load transients and thus reduce the need for the </w:t>
      </w:r>
      <w:r w:rsidR="00576528">
        <w:rPr>
          <w:rFonts w:ascii="Cambria" w:hAnsi="Cambria"/>
          <w:sz w:val="24"/>
          <w:szCs w:val="24"/>
        </w:rPr>
        <w:t>ICE</w:t>
      </w:r>
      <w:r>
        <w:rPr>
          <w:rFonts w:ascii="Cambria" w:hAnsi="Cambria"/>
          <w:sz w:val="24"/>
          <w:szCs w:val="24"/>
        </w:rPr>
        <w:t xml:space="preserve"> to run such a rich mixture. The model they propose is, like Harrington et al, an analytical model based on summing up various forces to arrive at a total demanded load on the powertrain, however the equation used by </w:t>
      </w:r>
      <w:proofErr w:type="spellStart"/>
      <w:r>
        <w:rPr>
          <w:rFonts w:ascii="Cambria" w:hAnsi="Cambria"/>
          <w:sz w:val="24"/>
          <w:szCs w:val="24"/>
        </w:rPr>
        <w:t>Iodice’s</w:t>
      </w:r>
      <w:proofErr w:type="spellEnd"/>
      <w:r>
        <w:rPr>
          <w:rFonts w:ascii="Cambria" w:hAnsi="Cambria"/>
          <w:sz w:val="24"/>
          <w:szCs w:val="24"/>
        </w:rPr>
        <w:t xml:space="preserve"> team for aerodynamic resistance may be incorrect: it is written as</w:t>
      </w:r>
    </w:p>
    <w:p w14:paraId="22E24EC8" w14:textId="5EF50EF1" w:rsidR="00846D24" w:rsidRDefault="00846D24" w:rsidP="0022005E">
      <w:pPr>
        <w:spacing w:after="0" w:line="240" w:lineRule="auto"/>
        <w:ind w:firstLine="720"/>
        <w:jc w:val="both"/>
        <w:rPr>
          <w:rFonts w:ascii="Cambria" w:hAnsi="Cambria"/>
          <w:sz w:val="24"/>
          <w:szCs w:val="24"/>
        </w:rPr>
      </w:pPr>
    </w:p>
    <w:p w14:paraId="7A4B2DE8" w14:textId="22B8DC7E" w:rsidR="00846D24" w:rsidRDefault="00C574CB" w:rsidP="0022005E">
      <w:pPr>
        <w:spacing w:after="0" w:line="240" w:lineRule="auto"/>
        <w:ind w:firstLine="720"/>
        <w:jc w:val="both"/>
        <w:rPr>
          <w:rFonts w:ascii="Cambria" w:hAnsi="Cambria"/>
          <w:sz w:val="24"/>
          <w:szCs w:val="24"/>
        </w:rPr>
      </w:pPr>
      <m:oMath>
        <m:sSub>
          <m:sSubPr>
            <m:ctrlPr>
              <w:rPr>
                <w:rFonts w:ascii="Cambria Math" w:hAnsi="Cambria Math"/>
                <w:i/>
                <w:sz w:val="24"/>
                <w:szCs w:val="24"/>
              </w:rPr>
            </m:ctrlPr>
          </m:sSubPr>
          <m:e>
            <m:r>
              <w:rPr>
                <w:rFonts w:ascii="Cambria Math" w:hAnsi="Cambria Math"/>
                <w:sz w:val="24"/>
                <w:szCs w:val="24"/>
              </w:rPr>
              <m:t>P</m:t>
            </m:r>
          </m:e>
          <m:sub>
            <m:r>
              <w:rPr>
                <w:rFonts w:ascii="Cambria Math" w:hAnsi="Cambria Math"/>
                <w:sz w:val="24"/>
                <w:szCs w:val="24"/>
              </w:rPr>
              <m:t>drag</m:t>
            </m:r>
          </m:sub>
        </m:sSub>
        <m:r>
          <w:rPr>
            <w:rFonts w:ascii="Cambria Math" w:hAnsi="Cambria Math"/>
            <w:sz w:val="24"/>
            <w:szCs w:val="24"/>
          </w:rPr>
          <m:t>=</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d</m:t>
            </m:r>
          </m:sub>
        </m:sSub>
        <m:r>
          <w:rPr>
            <w:rFonts w:ascii="Cambria Math" w:hAnsi="Cambria Math"/>
            <w:sz w:val="24"/>
            <w:szCs w:val="24"/>
          </w:rPr>
          <m:t>∙δ∙A∙</m:t>
        </m:r>
        <m:f>
          <m:fPr>
            <m:ctrlPr>
              <w:rPr>
                <w:rFonts w:ascii="Cambria Math" w:hAnsi="Cambria Math"/>
                <w:i/>
                <w:sz w:val="24"/>
                <w:szCs w:val="24"/>
              </w:rPr>
            </m:ctrlPr>
          </m:fPr>
          <m:num>
            <m:sSup>
              <m:sSupPr>
                <m:ctrlPr>
                  <w:rPr>
                    <w:rFonts w:ascii="Cambria Math" w:hAnsi="Cambria Math"/>
                    <w:i/>
                    <w:sz w:val="24"/>
                    <w:szCs w:val="24"/>
                  </w:rPr>
                </m:ctrlPr>
              </m:sSupPr>
              <m:e>
                <m:r>
                  <w:rPr>
                    <w:rFonts w:ascii="Cambria Math" w:hAnsi="Cambria Math"/>
                    <w:sz w:val="24"/>
                    <w:szCs w:val="24"/>
                  </w:rPr>
                  <m:t>v</m:t>
                </m:r>
              </m:e>
              <m:sup>
                <m:r>
                  <w:rPr>
                    <w:rFonts w:ascii="Cambria Math" w:hAnsi="Cambria Math"/>
                    <w:sz w:val="24"/>
                    <w:szCs w:val="24"/>
                  </w:rPr>
                  <m:t>8</m:t>
                </m:r>
              </m:sup>
            </m:sSup>
          </m:num>
          <m:den>
            <m:r>
              <w:rPr>
                <w:rFonts w:ascii="Cambria Math" w:hAnsi="Cambria Math"/>
                <w:sz w:val="24"/>
                <w:szCs w:val="24"/>
              </w:rPr>
              <m:t>2</m:t>
            </m:r>
          </m:den>
        </m:f>
      </m:oMath>
      <w:r>
        <w:rPr>
          <w:rFonts w:ascii="Cambria" w:hAnsi="Cambria"/>
          <w:sz w:val="24"/>
          <w:szCs w:val="24"/>
        </w:rPr>
        <w:t xml:space="preserve">   (</w:t>
      </w:r>
      <w:proofErr w:type="spellStart"/>
      <w:r>
        <w:rPr>
          <w:rFonts w:ascii="Cambria" w:hAnsi="Cambria"/>
          <w:sz w:val="24"/>
          <w:szCs w:val="24"/>
        </w:rPr>
        <w:t>Iodice</w:t>
      </w:r>
      <w:proofErr w:type="spellEnd"/>
      <w:r>
        <w:rPr>
          <w:rFonts w:ascii="Cambria" w:hAnsi="Cambria"/>
          <w:sz w:val="24"/>
          <w:szCs w:val="24"/>
        </w:rPr>
        <w:t xml:space="preserve">, </w:t>
      </w:r>
      <w:proofErr w:type="spellStart"/>
      <w:r>
        <w:rPr>
          <w:rFonts w:ascii="Cambria" w:hAnsi="Cambria"/>
          <w:sz w:val="24"/>
          <w:szCs w:val="24"/>
        </w:rPr>
        <w:t>Fornaro</w:t>
      </w:r>
      <w:proofErr w:type="spellEnd"/>
      <w:r>
        <w:rPr>
          <w:rFonts w:ascii="Cambria" w:hAnsi="Cambria"/>
          <w:sz w:val="24"/>
          <w:szCs w:val="24"/>
        </w:rPr>
        <w:t>, and Cardone 2022 pp5)</w:t>
      </w:r>
      <w:r>
        <w:rPr>
          <w:rFonts w:ascii="Cambria" w:hAnsi="Cambria"/>
          <w:sz w:val="24"/>
          <w:szCs w:val="24"/>
        </w:rPr>
        <w:tab/>
      </w:r>
      <w:r>
        <w:rPr>
          <w:rFonts w:ascii="Cambria" w:hAnsi="Cambria"/>
          <w:sz w:val="24"/>
          <w:szCs w:val="24"/>
        </w:rPr>
        <w:tab/>
      </w:r>
      <w:r>
        <w:rPr>
          <w:rFonts w:ascii="Cambria" w:hAnsi="Cambria"/>
          <w:sz w:val="24"/>
          <w:szCs w:val="24"/>
        </w:rPr>
        <w:tab/>
        <w:t>[1]</w:t>
      </w:r>
    </w:p>
    <w:p w14:paraId="28EF97F4" w14:textId="0AA53EBD" w:rsidR="00C574CB" w:rsidRDefault="00C574CB" w:rsidP="0022005E">
      <w:pPr>
        <w:spacing w:after="0" w:line="240" w:lineRule="auto"/>
        <w:ind w:firstLine="720"/>
        <w:jc w:val="both"/>
        <w:rPr>
          <w:rFonts w:ascii="Cambria" w:hAnsi="Cambria"/>
          <w:sz w:val="24"/>
          <w:szCs w:val="24"/>
        </w:rPr>
      </w:pPr>
    </w:p>
    <w:p w14:paraId="00649D00" w14:textId="4D194A81" w:rsidR="00C574CB" w:rsidRDefault="00C574CB" w:rsidP="009126A5">
      <w:pPr>
        <w:spacing w:after="0" w:line="240" w:lineRule="auto"/>
        <w:jc w:val="both"/>
        <w:rPr>
          <w:rFonts w:ascii="Cambria" w:hAnsi="Cambria"/>
          <w:sz w:val="24"/>
          <w:szCs w:val="24"/>
        </w:rPr>
      </w:pPr>
      <w:r>
        <w:rPr>
          <w:rFonts w:ascii="Cambria" w:hAnsi="Cambria"/>
          <w:sz w:val="24"/>
          <w:szCs w:val="24"/>
        </w:rPr>
        <w:t>whereas the standard equation for aerodynamic drag is more commonly annotated as</w:t>
      </w:r>
    </w:p>
    <w:p w14:paraId="5E4C0A2F" w14:textId="262F8651" w:rsidR="00C574CB" w:rsidRDefault="00C574CB" w:rsidP="0022005E">
      <w:pPr>
        <w:spacing w:after="0" w:line="240" w:lineRule="auto"/>
        <w:ind w:firstLine="720"/>
        <w:jc w:val="both"/>
        <w:rPr>
          <w:rFonts w:ascii="Cambria" w:hAnsi="Cambria"/>
          <w:sz w:val="24"/>
          <w:szCs w:val="24"/>
        </w:rPr>
      </w:pPr>
    </w:p>
    <w:p w14:paraId="084091B8" w14:textId="0E98A7F3" w:rsidR="00C574CB" w:rsidRDefault="00C574CB" w:rsidP="0022005E">
      <w:pPr>
        <w:spacing w:after="0" w:line="240" w:lineRule="auto"/>
        <w:ind w:firstLine="720"/>
        <w:jc w:val="both"/>
        <w:rPr>
          <w:rFonts w:ascii="Cambria" w:hAnsi="Cambria"/>
          <w:sz w:val="24"/>
          <w:szCs w:val="24"/>
        </w:rPr>
      </w:pPr>
      <m:oMath>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D</m:t>
            </m:r>
          </m:sub>
        </m:sSub>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m:t>
            </m:r>
          </m:den>
        </m:f>
        <m:r>
          <w:rPr>
            <w:rFonts w:ascii="Cambria Math" w:hAnsi="Cambria Math"/>
            <w:sz w:val="24"/>
            <w:szCs w:val="24"/>
          </w:rPr>
          <m:t>ρ∙</m:t>
        </m:r>
        <m:sSub>
          <m:sSubPr>
            <m:ctrlPr>
              <w:rPr>
                <w:rFonts w:ascii="Cambria Math" w:hAnsi="Cambria Math"/>
                <w:i/>
                <w:sz w:val="24"/>
                <w:szCs w:val="24"/>
              </w:rPr>
            </m:ctrlPr>
          </m:sSubPr>
          <m:e>
            <m:r>
              <w:rPr>
                <w:rFonts w:ascii="Cambria Math" w:hAnsi="Cambria Math"/>
                <w:sz w:val="24"/>
                <w:szCs w:val="24"/>
              </w:rPr>
              <m:t>C</m:t>
            </m:r>
          </m:e>
          <m:sub>
            <m:r>
              <w:rPr>
                <w:rFonts w:ascii="Cambria Math" w:hAnsi="Cambria Math"/>
                <w:sz w:val="24"/>
                <w:szCs w:val="24"/>
              </w:rPr>
              <m:t>D</m:t>
            </m:r>
          </m:sub>
        </m:sSub>
        <m:r>
          <w:rPr>
            <w:rFonts w:ascii="Cambria Math" w:hAnsi="Cambria Math"/>
            <w:sz w:val="24"/>
            <w:szCs w:val="24"/>
          </w:rPr>
          <m:t>∙A∙</m:t>
        </m:r>
        <m:sSup>
          <m:sSupPr>
            <m:ctrlPr>
              <w:rPr>
                <w:rFonts w:ascii="Cambria Math" w:hAnsi="Cambria Math"/>
                <w:i/>
                <w:sz w:val="24"/>
                <w:szCs w:val="24"/>
              </w:rPr>
            </m:ctrlPr>
          </m:sSupPr>
          <m:e>
            <m:r>
              <w:rPr>
                <w:rFonts w:ascii="Cambria Math" w:hAnsi="Cambria Math"/>
                <w:sz w:val="24"/>
                <w:szCs w:val="24"/>
              </w:rPr>
              <m:t>v</m:t>
            </m:r>
          </m:e>
          <m:sup>
            <m:r>
              <w:rPr>
                <w:rFonts w:ascii="Cambria Math" w:hAnsi="Cambria Math"/>
                <w:sz w:val="24"/>
                <w:szCs w:val="24"/>
              </w:rPr>
              <m:t>2</m:t>
            </m:r>
          </m:sup>
        </m:sSup>
      </m:oMath>
      <w:r>
        <w:rPr>
          <w:rFonts w:ascii="Cambria" w:hAnsi="Cambria"/>
          <w:sz w:val="24"/>
          <w:szCs w:val="24"/>
        </w:rPr>
        <w:t xml:space="preserve"> (</w:t>
      </w:r>
      <w:proofErr w:type="spellStart"/>
      <w:r>
        <w:rPr>
          <w:rFonts w:ascii="Cambria" w:hAnsi="Cambria"/>
          <w:sz w:val="24"/>
          <w:szCs w:val="24"/>
        </w:rPr>
        <w:t>Cossalter</w:t>
      </w:r>
      <w:proofErr w:type="spellEnd"/>
      <w:r>
        <w:rPr>
          <w:rFonts w:ascii="Cambria" w:hAnsi="Cambria"/>
          <w:sz w:val="24"/>
          <w:szCs w:val="24"/>
        </w:rPr>
        <w:t xml:space="preserve"> 2006 pp</w:t>
      </w:r>
      <w:r w:rsidR="009126A5">
        <w:rPr>
          <w:rFonts w:ascii="Cambria" w:hAnsi="Cambria"/>
          <w:sz w:val="24"/>
          <w:szCs w:val="24"/>
        </w:rPr>
        <w:t>74)</w:t>
      </w:r>
      <w:r w:rsidR="009126A5">
        <w:rPr>
          <w:rFonts w:ascii="Cambria" w:hAnsi="Cambria"/>
          <w:sz w:val="24"/>
          <w:szCs w:val="24"/>
        </w:rPr>
        <w:tab/>
      </w:r>
      <w:r w:rsidR="009126A5">
        <w:rPr>
          <w:rFonts w:ascii="Cambria" w:hAnsi="Cambria"/>
          <w:sz w:val="24"/>
          <w:szCs w:val="24"/>
        </w:rPr>
        <w:tab/>
      </w:r>
      <w:r w:rsidR="009126A5">
        <w:rPr>
          <w:rFonts w:ascii="Cambria" w:hAnsi="Cambria"/>
          <w:sz w:val="24"/>
          <w:szCs w:val="24"/>
        </w:rPr>
        <w:tab/>
      </w:r>
      <w:r w:rsidR="009126A5">
        <w:rPr>
          <w:rFonts w:ascii="Cambria" w:hAnsi="Cambria"/>
          <w:sz w:val="24"/>
          <w:szCs w:val="24"/>
        </w:rPr>
        <w:tab/>
      </w:r>
      <w:r w:rsidR="009126A5">
        <w:rPr>
          <w:rFonts w:ascii="Cambria" w:hAnsi="Cambria"/>
          <w:sz w:val="24"/>
          <w:szCs w:val="24"/>
        </w:rPr>
        <w:tab/>
        <w:t>[2]</w:t>
      </w:r>
    </w:p>
    <w:p w14:paraId="116FCB87" w14:textId="08DFC101" w:rsidR="009126A5" w:rsidRDefault="009126A5" w:rsidP="0022005E">
      <w:pPr>
        <w:spacing w:after="0" w:line="240" w:lineRule="auto"/>
        <w:ind w:firstLine="720"/>
        <w:jc w:val="both"/>
        <w:rPr>
          <w:rFonts w:ascii="Cambria" w:hAnsi="Cambria"/>
          <w:sz w:val="24"/>
          <w:szCs w:val="24"/>
        </w:rPr>
      </w:pPr>
    </w:p>
    <w:p w14:paraId="0AFBF75E" w14:textId="62361938" w:rsidR="009126A5" w:rsidRDefault="009126A5" w:rsidP="0022005E">
      <w:pPr>
        <w:spacing w:after="0" w:line="240" w:lineRule="auto"/>
        <w:ind w:firstLine="720"/>
        <w:jc w:val="both"/>
        <w:rPr>
          <w:rFonts w:ascii="Cambria" w:hAnsi="Cambria"/>
          <w:sz w:val="24"/>
          <w:szCs w:val="24"/>
        </w:rPr>
      </w:pPr>
      <w:r>
        <w:rPr>
          <w:rFonts w:ascii="Cambria" w:hAnsi="Cambria"/>
          <w:sz w:val="24"/>
          <w:szCs w:val="24"/>
        </w:rPr>
        <w:t xml:space="preserve">While most of </w:t>
      </w:r>
      <w:proofErr w:type="spellStart"/>
      <w:r>
        <w:rPr>
          <w:rFonts w:ascii="Cambria" w:hAnsi="Cambria"/>
          <w:sz w:val="24"/>
          <w:szCs w:val="24"/>
        </w:rPr>
        <w:t>Iodice’s</w:t>
      </w:r>
      <w:proofErr w:type="spellEnd"/>
      <w:r>
        <w:rPr>
          <w:rFonts w:ascii="Cambria" w:hAnsi="Cambria"/>
          <w:sz w:val="24"/>
          <w:szCs w:val="24"/>
        </w:rPr>
        <w:t xml:space="preserve"> equation is simply rearranged (the authors state that the Greek letter delta represents the density of air, so it is identical to </w:t>
      </w:r>
      <w:proofErr w:type="spellStart"/>
      <w:r>
        <w:rPr>
          <w:rFonts w:ascii="Cambria" w:hAnsi="Cambria"/>
          <w:sz w:val="24"/>
          <w:szCs w:val="24"/>
        </w:rPr>
        <w:t>Cossalter’s</w:t>
      </w:r>
      <w:proofErr w:type="spellEnd"/>
      <w:r>
        <w:rPr>
          <w:rFonts w:ascii="Cambria" w:hAnsi="Cambria"/>
          <w:sz w:val="24"/>
          <w:szCs w:val="24"/>
        </w:rPr>
        <w:t xml:space="preserve"> rho in equation 2), the velocity is raised to the power of 8 instead of squared.</w:t>
      </w:r>
      <w:r w:rsidR="00024BED">
        <w:rPr>
          <w:rFonts w:ascii="Cambria" w:hAnsi="Cambria"/>
          <w:sz w:val="24"/>
          <w:szCs w:val="24"/>
        </w:rPr>
        <w:t xml:space="preserve"> T</w:t>
      </w:r>
      <w:r>
        <w:rPr>
          <w:rFonts w:ascii="Cambria" w:hAnsi="Cambria"/>
          <w:sz w:val="24"/>
          <w:szCs w:val="24"/>
        </w:rPr>
        <w:t>his could be nothing more than a transcription error,</w:t>
      </w:r>
      <w:r w:rsidR="00024BED">
        <w:rPr>
          <w:rFonts w:ascii="Cambria" w:hAnsi="Cambria"/>
          <w:sz w:val="24"/>
          <w:szCs w:val="24"/>
        </w:rPr>
        <w:t xml:space="preserve"> but</w:t>
      </w:r>
      <w:r>
        <w:rPr>
          <w:rFonts w:ascii="Cambria" w:hAnsi="Cambria"/>
          <w:sz w:val="24"/>
          <w:szCs w:val="24"/>
        </w:rPr>
        <w:t xml:space="preserve"> it does introduce doubt as to whether or not </w:t>
      </w:r>
      <w:proofErr w:type="spellStart"/>
      <w:r>
        <w:rPr>
          <w:rFonts w:ascii="Cambria" w:hAnsi="Cambria"/>
          <w:sz w:val="24"/>
          <w:szCs w:val="24"/>
        </w:rPr>
        <w:t>Iodice</w:t>
      </w:r>
      <w:proofErr w:type="spellEnd"/>
      <w:r>
        <w:rPr>
          <w:rFonts w:ascii="Cambria" w:hAnsi="Cambria"/>
          <w:sz w:val="24"/>
          <w:szCs w:val="24"/>
        </w:rPr>
        <w:t xml:space="preserve">, </w:t>
      </w:r>
      <w:proofErr w:type="spellStart"/>
      <w:r>
        <w:rPr>
          <w:rFonts w:ascii="Cambria" w:hAnsi="Cambria"/>
          <w:sz w:val="24"/>
          <w:szCs w:val="24"/>
        </w:rPr>
        <w:t>Fornaro</w:t>
      </w:r>
      <w:proofErr w:type="spellEnd"/>
      <w:r>
        <w:rPr>
          <w:rFonts w:ascii="Cambria" w:hAnsi="Cambria"/>
          <w:sz w:val="24"/>
          <w:szCs w:val="24"/>
        </w:rPr>
        <w:t xml:space="preserve">, and Cardone’s model was properly calculating the vehicle load. Despite this doubt, there are two reasons </w:t>
      </w:r>
      <w:r w:rsidR="00024BED">
        <w:rPr>
          <w:rFonts w:ascii="Cambria" w:hAnsi="Cambria"/>
          <w:sz w:val="24"/>
          <w:szCs w:val="24"/>
        </w:rPr>
        <w:t xml:space="preserve">their work may still be of merit: the first is that as can be seen in figure 3, the drive cycle used to compare the model to the experimental data does not exceed 50km/h, which generally is not fast enough to incur significant drag forces, and secondly, even if the error seen in equation 1 accurately reflects the behavior of </w:t>
      </w:r>
      <w:proofErr w:type="spellStart"/>
      <w:r w:rsidR="00024BED">
        <w:rPr>
          <w:rFonts w:ascii="Cambria" w:hAnsi="Cambria"/>
          <w:sz w:val="24"/>
          <w:szCs w:val="24"/>
        </w:rPr>
        <w:t>Iodice’s</w:t>
      </w:r>
      <w:proofErr w:type="spellEnd"/>
      <w:r w:rsidR="00024BED">
        <w:rPr>
          <w:rFonts w:ascii="Cambria" w:hAnsi="Cambria"/>
          <w:sz w:val="24"/>
          <w:szCs w:val="24"/>
        </w:rPr>
        <w:t xml:space="preserve"> model, it would result in an overestimation of drag forces, consequently underestimating the model’s consumption reduction.</w:t>
      </w:r>
    </w:p>
    <w:p w14:paraId="0445CC3E" w14:textId="04B90E3D" w:rsidR="00024BED" w:rsidRDefault="00024BED" w:rsidP="0022005E">
      <w:pPr>
        <w:spacing w:after="0" w:line="240" w:lineRule="auto"/>
        <w:ind w:firstLine="720"/>
        <w:jc w:val="both"/>
        <w:rPr>
          <w:rFonts w:ascii="Cambria" w:hAnsi="Cambria"/>
          <w:sz w:val="24"/>
          <w:szCs w:val="24"/>
        </w:rPr>
      </w:pPr>
    </w:p>
    <w:p w14:paraId="40008C67" w14:textId="77777777" w:rsidR="00024BED" w:rsidRDefault="00024BED" w:rsidP="00024BED">
      <w:pPr>
        <w:keepNext/>
        <w:spacing w:after="0" w:line="240" w:lineRule="auto"/>
        <w:ind w:firstLine="720"/>
        <w:jc w:val="both"/>
      </w:pPr>
      <w:r>
        <w:rPr>
          <w:noProof/>
        </w:rPr>
        <w:drawing>
          <wp:inline distT="0" distB="0" distL="0" distR="0" wp14:anchorId="2FBA6DF7" wp14:editId="1E196C3B">
            <wp:extent cx="5991225" cy="3533775"/>
            <wp:effectExtent l="0" t="0" r="9525" b="9525"/>
            <wp:docPr id="17" name="Picture 17"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histogram&#10;&#10;Description automatically generated"/>
                    <pic:cNvPicPr/>
                  </pic:nvPicPr>
                  <pic:blipFill>
                    <a:blip r:embed="rId16"/>
                    <a:stretch>
                      <a:fillRect/>
                    </a:stretch>
                  </pic:blipFill>
                  <pic:spPr>
                    <a:xfrm>
                      <a:off x="0" y="0"/>
                      <a:ext cx="5991225" cy="3533775"/>
                    </a:xfrm>
                    <a:prstGeom prst="rect">
                      <a:avLst/>
                    </a:prstGeom>
                  </pic:spPr>
                </pic:pic>
              </a:graphicData>
            </a:graphic>
          </wp:inline>
        </w:drawing>
      </w:r>
    </w:p>
    <w:p w14:paraId="4A63F7FA" w14:textId="5F6EFE02" w:rsidR="00024BED" w:rsidRPr="0059366C" w:rsidRDefault="00024BED" w:rsidP="00024BED">
      <w:pPr>
        <w:pStyle w:val="Caption"/>
        <w:jc w:val="center"/>
        <w:rPr>
          <w:rFonts w:ascii="Cambria" w:hAnsi="Cambria"/>
          <w:sz w:val="24"/>
          <w:szCs w:val="24"/>
        </w:rPr>
      </w:pPr>
      <w:r>
        <w:t xml:space="preserve">Figure </w:t>
      </w:r>
      <w:fldSimple w:instr=" SEQ Figure \* ARABIC ">
        <w:r w:rsidR="008F694D">
          <w:rPr>
            <w:noProof/>
          </w:rPr>
          <w:t>3</w:t>
        </w:r>
      </w:fldSimple>
      <w:r>
        <w:t>: Experimental emissions results (</w:t>
      </w:r>
      <w:proofErr w:type="spellStart"/>
      <w:r>
        <w:t>Iodice</w:t>
      </w:r>
      <w:proofErr w:type="spellEnd"/>
      <w:r>
        <w:t xml:space="preserve">, </w:t>
      </w:r>
      <w:proofErr w:type="spellStart"/>
      <w:r>
        <w:t>Fornaro</w:t>
      </w:r>
      <w:proofErr w:type="spellEnd"/>
      <w:r>
        <w:t>, and Cardone 2022 pp3)</w:t>
      </w:r>
    </w:p>
    <w:p w14:paraId="3EA17689" w14:textId="5912B11F" w:rsidR="00901BE3" w:rsidRDefault="00024BED" w:rsidP="002135C8">
      <w:pPr>
        <w:spacing w:after="0" w:line="240" w:lineRule="auto"/>
        <w:ind w:firstLine="720"/>
        <w:jc w:val="both"/>
        <w:rPr>
          <w:rFonts w:ascii="Cambria" w:hAnsi="Cambria"/>
          <w:sz w:val="24"/>
          <w:szCs w:val="24"/>
        </w:rPr>
      </w:pPr>
      <w:r>
        <w:rPr>
          <w:rFonts w:ascii="Cambria" w:hAnsi="Cambria"/>
          <w:sz w:val="24"/>
          <w:szCs w:val="24"/>
        </w:rPr>
        <w:t xml:space="preserve">And regarding the model’s reduction in consumption, the results are very promising. </w:t>
      </w:r>
      <w:proofErr w:type="spellStart"/>
      <w:r>
        <w:rPr>
          <w:rFonts w:ascii="Cambria" w:hAnsi="Cambria"/>
          <w:sz w:val="24"/>
          <w:szCs w:val="24"/>
        </w:rPr>
        <w:t>Iodice</w:t>
      </w:r>
      <w:proofErr w:type="spellEnd"/>
      <w:r>
        <w:rPr>
          <w:rFonts w:ascii="Cambria" w:hAnsi="Cambria"/>
          <w:sz w:val="24"/>
          <w:szCs w:val="24"/>
        </w:rPr>
        <w:t xml:space="preserve">, </w:t>
      </w:r>
      <w:proofErr w:type="spellStart"/>
      <w:r>
        <w:rPr>
          <w:rFonts w:ascii="Cambria" w:hAnsi="Cambria"/>
          <w:sz w:val="24"/>
          <w:szCs w:val="24"/>
        </w:rPr>
        <w:t>Fornaro</w:t>
      </w:r>
      <w:proofErr w:type="spellEnd"/>
      <w:r>
        <w:rPr>
          <w:rFonts w:ascii="Cambria" w:hAnsi="Cambria"/>
          <w:sz w:val="24"/>
          <w:szCs w:val="24"/>
        </w:rPr>
        <w:t>, and Cardone found that their model boasted a 40% reduction in carbon monoxide emissions and a 25% reduction in hydrocarbon emissions from the experimental results</w:t>
      </w:r>
      <w:r w:rsidR="00025EEA">
        <w:rPr>
          <w:rFonts w:ascii="Cambria" w:hAnsi="Cambria"/>
          <w:sz w:val="24"/>
          <w:szCs w:val="24"/>
        </w:rPr>
        <w:t>—including a brief environmental study estimating the emissions that would be produced generating the electricity to charge the model’s batteries when plugged in</w:t>
      </w:r>
      <w:r>
        <w:rPr>
          <w:rFonts w:ascii="Cambria" w:hAnsi="Cambria"/>
          <w:sz w:val="24"/>
          <w:szCs w:val="24"/>
        </w:rPr>
        <w:t xml:space="preserve"> (</w:t>
      </w:r>
      <w:proofErr w:type="spellStart"/>
      <w:r>
        <w:rPr>
          <w:rFonts w:ascii="Cambria" w:hAnsi="Cambria"/>
          <w:sz w:val="24"/>
          <w:szCs w:val="24"/>
        </w:rPr>
        <w:t>Iodice</w:t>
      </w:r>
      <w:proofErr w:type="spellEnd"/>
      <w:r>
        <w:rPr>
          <w:rFonts w:ascii="Cambria" w:hAnsi="Cambria"/>
          <w:sz w:val="24"/>
          <w:szCs w:val="24"/>
        </w:rPr>
        <w:t xml:space="preserve">, </w:t>
      </w:r>
      <w:proofErr w:type="spellStart"/>
      <w:r>
        <w:rPr>
          <w:rFonts w:ascii="Cambria" w:hAnsi="Cambria"/>
          <w:sz w:val="24"/>
          <w:szCs w:val="24"/>
        </w:rPr>
        <w:t>Fornaro</w:t>
      </w:r>
      <w:proofErr w:type="spellEnd"/>
      <w:r>
        <w:rPr>
          <w:rFonts w:ascii="Cambria" w:hAnsi="Cambria"/>
          <w:sz w:val="24"/>
          <w:szCs w:val="24"/>
        </w:rPr>
        <w:t>, and Cardone 2022 pp10).</w:t>
      </w:r>
    </w:p>
    <w:p w14:paraId="3D21E5F4" w14:textId="6861B336" w:rsidR="00025EEA" w:rsidRDefault="00025EEA" w:rsidP="002135C8">
      <w:pPr>
        <w:spacing w:after="0" w:line="240" w:lineRule="auto"/>
        <w:ind w:firstLine="720"/>
        <w:jc w:val="both"/>
        <w:rPr>
          <w:rFonts w:ascii="Cambria" w:hAnsi="Cambria"/>
          <w:sz w:val="24"/>
          <w:szCs w:val="24"/>
        </w:rPr>
      </w:pPr>
      <w:proofErr w:type="spellStart"/>
      <w:r>
        <w:rPr>
          <w:rFonts w:ascii="Cambria" w:hAnsi="Cambria"/>
          <w:sz w:val="24"/>
          <w:szCs w:val="24"/>
        </w:rPr>
        <w:t>Yukiharu</w:t>
      </w:r>
      <w:proofErr w:type="spellEnd"/>
      <w:r>
        <w:rPr>
          <w:rFonts w:ascii="Cambria" w:hAnsi="Cambria"/>
          <w:sz w:val="24"/>
          <w:szCs w:val="24"/>
        </w:rPr>
        <w:t xml:space="preserve"> Hosoi found similar albeit less drastic gains </w:t>
      </w:r>
      <w:r w:rsidR="007334AB">
        <w:rPr>
          <w:rFonts w:ascii="Cambria" w:hAnsi="Cambria"/>
          <w:sz w:val="24"/>
          <w:szCs w:val="24"/>
        </w:rPr>
        <w:t xml:space="preserve">in the physical testing of his prototype hybrid motorcycle. Hosoi’s prototype employed a central planetary gearset linkage to create a series-parallel hybrid powertrain for a motorcycle. As illustrated in figure 4, the planetary gearset linked a </w:t>
      </w:r>
      <w:r w:rsidR="007334AB">
        <w:rPr>
          <w:rFonts w:ascii="Cambria" w:hAnsi="Cambria"/>
          <w:sz w:val="24"/>
          <w:szCs w:val="24"/>
        </w:rPr>
        <w:lastRenderedPageBreak/>
        <w:t>conventional ICE  both directly to the rear wheel and also to an assemblage of two motors and a battery, with the engine torque split between them at a set percentage</w:t>
      </w:r>
      <w:r w:rsidR="00576528">
        <w:rPr>
          <w:rFonts w:ascii="Cambria" w:hAnsi="Cambria"/>
          <w:sz w:val="24"/>
          <w:szCs w:val="24"/>
        </w:rPr>
        <w:t xml:space="preserve"> (Hosoi 2011)</w:t>
      </w:r>
      <w:r w:rsidR="007334AB">
        <w:rPr>
          <w:rFonts w:ascii="Cambria" w:hAnsi="Cambria"/>
          <w:sz w:val="24"/>
          <w:szCs w:val="24"/>
        </w:rPr>
        <w:t>.</w:t>
      </w:r>
    </w:p>
    <w:p w14:paraId="4DBE10BD" w14:textId="77777777" w:rsidR="00B823FA" w:rsidRDefault="00576528" w:rsidP="00B823FA">
      <w:pPr>
        <w:keepNext/>
        <w:spacing w:after="0" w:line="240" w:lineRule="auto"/>
        <w:ind w:firstLine="720"/>
        <w:jc w:val="both"/>
      </w:pPr>
      <w:r>
        <w:rPr>
          <w:noProof/>
        </w:rPr>
        <w:drawing>
          <wp:inline distT="0" distB="0" distL="0" distR="0" wp14:anchorId="383C09FE" wp14:editId="35161DC6">
            <wp:extent cx="5715000" cy="1484579"/>
            <wp:effectExtent l="0" t="0" r="0" b="1905"/>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a:blip r:embed="rId17"/>
                    <a:stretch>
                      <a:fillRect/>
                    </a:stretch>
                  </pic:blipFill>
                  <pic:spPr>
                    <a:xfrm>
                      <a:off x="0" y="0"/>
                      <a:ext cx="5743995" cy="1492111"/>
                    </a:xfrm>
                    <a:prstGeom prst="rect">
                      <a:avLst/>
                    </a:prstGeom>
                  </pic:spPr>
                </pic:pic>
              </a:graphicData>
            </a:graphic>
          </wp:inline>
        </w:drawing>
      </w:r>
    </w:p>
    <w:p w14:paraId="6B408E58" w14:textId="7029AF7B" w:rsidR="00576528" w:rsidRDefault="00B823FA" w:rsidP="00B823FA">
      <w:pPr>
        <w:pStyle w:val="Caption"/>
        <w:jc w:val="center"/>
        <w:rPr>
          <w:rFonts w:ascii="Cambria" w:hAnsi="Cambria"/>
          <w:sz w:val="24"/>
          <w:szCs w:val="24"/>
        </w:rPr>
      </w:pPr>
      <w:r>
        <w:t xml:space="preserve">Figure </w:t>
      </w:r>
      <w:fldSimple w:instr=" SEQ Figure \* ARABIC ">
        <w:r w:rsidR="008F694D">
          <w:rPr>
            <w:noProof/>
          </w:rPr>
          <w:t>4</w:t>
        </w:r>
      </w:fldSimple>
      <w:r>
        <w:t>: Hosoi's prototype drivetrain schematic (Hosoi 2011)</w:t>
      </w:r>
    </w:p>
    <w:p w14:paraId="244B399E" w14:textId="24FF7569" w:rsidR="00576528" w:rsidRDefault="0009519B" w:rsidP="00F74732">
      <w:pPr>
        <w:spacing w:after="0" w:line="240" w:lineRule="auto"/>
        <w:ind w:firstLine="720"/>
        <w:jc w:val="both"/>
        <w:rPr>
          <w:rFonts w:ascii="Cambria" w:hAnsi="Cambria"/>
          <w:sz w:val="24"/>
          <w:szCs w:val="24"/>
        </w:rPr>
      </w:pPr>
      <w:r>
        <w:rPr>
          <w:noProof/>
        </w:rPr>
        <mc:AlternateContent>
          <mc:Choice Requires="wps">
            <w:drawing>
              <wp:anchor distT="0" distB="0" distL="114300" distR="114300" simplePos="0" relativeHeight="251663872" behindDoc="0" locked="0" layoutInCell="1" allowOverlap="1" wp14:anchorId="7748139C" wp14:editId="44EF04B8">
                <wp:simplePos x="0" y="0"/>
                <wp:positionH relativeFrom="column">
                  <wp:posOffset>3388995</wp:posOffset>
                </wp:positionH>
                <wp:positionV relativeFrom="paragraph">
                  <wp:posOffset>3778250</wp:posOffset>
                </wp:positionV>
                <wp:extent cx="3257550" cy="635"/>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3257550" cy="635"/>
                        </a:xfrm>
                        <a:prstGeom prst="rect">
                          <a:avLst/>
                        </a:prstGeom>
                        <a:solidFill>
                          <a:prstClr val="white"/>
                        </a:solidFill>
                        <a:ln>
                          <a:noFill/>
                        </a:ln>
                      </wps:spPr>
                      <wps:txbx>
                        <w:txbxContent>
                          <w:p w14:paraId="514A2878" w14:textId="453E7F83" w:rsidR="0009519B" w:rsidRPr="00363554" w:rsidRDefault="0009519B" w:rsidP="0009519B">
                            <w:pPr>
                              <w:pStyle w:val="Caption"/>
                              <w:rPr>
                                <w:noProof/>
                              </w:rPr>
                            </w:pPr>
                            <w:r>
                              <w:t xml:space="preserve">Figure </w:t>
                            </w:r>
                            <w:fldSimple w:instr=" SEQ Figure \* ARABIC ">
                              <w:r w:rsidR="008F694D">
                                <w:rPr>
                                  <w:noProof/>
                                </w:rPr>
                                <w:t>5</w:t>
                              </w:r>
                            </w:fldSimple>
                            <w:r>
                              <w:t>: Hosoi's prototype compared to a control vehicle across three drive cycle tests (Hosoi 2012)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48139C" id="Text Box 21" o:spid="_x0000_s1027" type="#_x0000_t202" style="position:absolute;left:0;text-align:left;margin-left:266.85pt;margin-top:297.5pt;width:256.5pt;height:.05pt;z-index:251663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" stroked="f">
                <v:textbox style="mso-fit-shape-to-text:t" inset="0,0,0,0">
                  <w:txbxContent>
                    <w:p w14:paraId="514A2878" w14:textId="453E7F83" w:rsidR="0009519B" w:rsidRPr="00363554" w:rsidRDefault="0009519B" w:rsidP="0009519B">
                      <w:pPr>
                        <w:pStyle w:val="Caption"/>
                        <w:rPr>
                          <w:noProof/>
                        </w:rPr>
                      </w:pPr>
                      <w:r>
                        <w:t xml:space="preserve">Figure </w:t>
                      </w:r>
                      <w:fldSimple w:instr=" SEQ Figure \* ARABIC ">
                        <w:r w:rsidR="008F694D">
                          <w:rPr>
                            <w:noProof/>
                          </w:rPr>
                          <w:t>5</w:t>
                        </w:r>
                      </w:fldSimple>
                      <w:r>
                        <w:t>: Hosoi's prototype compared to a control vehicle across three drive cycle tests (Hosoi 2012)</w:t>
                      </w:r>
                    </w:p>
                  </w:txbxContent>
                </v:textbox>
                <w10:wrap type="square"/>
              </v:shape>
            </w:pict>
          </mc:Fallback>
        </mc:AlternateContent>
      </w:r>
      <w:r>
        <w:rPr>
          <w:noProof/>
        </w:rPr>
        <w:drawing>
          <wp:anchor distT="0" distB="0" distL="114300" distR="114300" simplePos="0" relativeHeight="251661824" behindDoc="0" locked="0" layoutInCell="1" allowOverlap="1" wp14:anchorId="3D766EFF" wp14:editId="14092783">
            <wp:simplePos x="0" y="0"/>
            <wp:positionH relativeFrom="margin">
              <wp:align>right</wp:align>
            </wp:positionH>
            <wp:positionV relativeFrom="paragraph">
              <wp:posOffset>1467485</wp:posOffset>
            </wp:positionV>
            <wp:extent cx="3257550" cy="2253615"/>
            <wp:effectExtent l="0" t="0" r="0" b="0"/>
            <wp:wrapSquare wrapText="bothSides"/>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257550" cy="2253615"/>
                    </a:xfrm>
                    <a:prstGeom prst="rect">
                      <a:avLst/>
                    </a:prstGeom>
                  </pic:spPr>
                </pic:pic>
              </a:graphicData>
            </a:graphic>
          </wp:anchor>
        </w:drawing>
      </w:r>
      <w:r w:rsidR="00576528">
        <w:rPr>
          <w:rFonts w:ascii="Cambria" w:hAnsi="Cambria"/>
          <w:sz w:val="24"/>
          <w:szCs w:val="24"/>
        </w:rPr>
        <w:t xml:space="preserve">In this configuration, the engine could drive the wheel either alone or assisted by the battery and motor 2, or charge the battery via motor 1, or drive the wheel while charging the battery. In testing, Hosoi found this configuration to have a 40-100% improvement in fuel consumption compared to </w:t>
      </w:r>
      <w:r w:rsidR="00B823FA">
        <w:rPr>
          <w:rFonts w:ascii="Cambria" w:hAnsi="Cambria"/>
          <w:sz w:val="24"/>
          <w:szCs w:val="24"/>
        </w:rPr>
        <w:t>a 250cc scooter upon which the prototype chassis was based (Hosoi 2011). The 100% improvement is likely due to the fact that the hybrid powertrain was capable of running in a purely electric mode, so the lower value of 40% may be more reflective of typical use.</w:t>
      </w:r>
      <w:r w:rsidR="00A057C8">
        <w:rPr>
          <w:rFonts w:ascii="Cambria" w:hAnsi="Cambria"/>
          <w:sz w:val="24"/>
          <w:szCs w:val="24"/>
        </w:rPr>
        <w:t xml:space="preserve"> In a later paper in the series, Hosoi further improves this consumption to the values seen in figure 5 by introducing additional fuel saving control strategies such as better fuel-air mixtures and fuel cuts when the engine state and throttle position meet certain parameters (Hosoi 2012). While the hybrid prototype does indeed </w:t>
      </w:r>
      <w:r w:rsidR="00F74732">
        <w:rPr>
          <w:rFonts w:ascii="Cambria" w:hAnsi="Cambria"/>
          <w:sz w:val="24"/>
          <w:szCs w:val="24"/>
        </w:rPr>
        <w:t>display a significant efficiency increase (from which it can be assumed emissions of the vehicle drop in proportion), it is worth noting that throughout the prototype’s development, Hosoi was primarily concerned with eliminating any loss of performance compared to similarly sized petrol motorcycles: “</w:t>
      </w:r>
      <w:r w:rsidR="00F74732" w:rsidRPr="00F74732">
        <w:rPr>
          <w:rFonts w:ascii="Cambria" w:hAnsi="Cambria"/>
          <w:sz w:val="24"/>
          <w:szCs w:val="24"/>
        </w:rPr>
        <w:t>the stoichiometric air fuel mixture adaptation of the</w:t>
      </w:r>
      <w:r w:rsidR="00F74732">
        <w:rPr>
          <w:rFonts w:ascii="Cambria" w:hAnsi="Cambria"/>
          <w:sz w:val="24"/>
          <w:szCs w:val="24"/>
        </w:rPr>
        <w:t xml:space="preserve"> </w:t>
      </w:r>
      <w:r w:rsidR="00F74732" w:rsidRPr="00F74732">
        <w:rPr>
          <w:rFonts w:ascii="Cambria" w:hAnsi="Cambria"/>
          <w:sz w:val="24"/>
          <w:szCs w:val="24"/>
        </w:rPr>
        <w:t>engine with the strong hybrid system has attained to reduce</w:t>
      </w:r>
      <w:r w:rsidR="00F74732">
        <w:rPr>
          <w:rFonts w:ascii="Cambria" w:hAnsi="Cambria"/>
          <w:sz w:val="24"/>
          <w:szCs w:val="24"/>
        </w:rPr>
        <w:t xml:space="preserve"> </w:t>
      </w:r>
      <w:r w:rsidR="00F74732" w:rsidRPr="00F74732">
        <w:rPr>
          <w:rFonts w:ascii="Cambria" w:hAnsi="Cambria"/>
          <w:sz w:val="24"/>
          <w:szCs w:val="24"/>
        </w:rPr>
        <w:t>fuel consumption without any degradations of the driving</w:t>
      </w:r>
      <w:r w:rsidR="00F74732">
        <w:rPr>
          <w:rFonts w:ascii="Cambria" w:hAnsi="Cambria"/>
          <w:sz w:val="24"/>
          <w:szCs w:val="24"/>
        </w:rPr>
        <w:t xml:space="preserve"> </w:t>
      </w:r>
      <w:r w:rsidR="00F74732" w:rsidRPr="00F74732">
        <w:rPr>
          <w:rFonts w:ascii="Cambria" w:hAnsi="Cambria"/>
          <w:sz w:val="24"/>
          <w:szCs w:val="24"/>
        </w:rPr>
        <w:t>performance</w:t>
      </w:r>
      <w:r w:rsidR="00F74732">
        <w:rPr>
          <w:rFonts w:ascii="Cambria" w:hAnsi="Cambria"/>
          <w:sz w:val="24"/>
          <w:szCs w:val="24"/>
        </w:rPr>
        <w:t>” (Hosoi 2012). Considering the increases Hosoi was able to make while binding himself to such strict requirements, one wonders what might be possible should a similar hybrid powertrain be developed without concern for performance beyond a predetermined baseline level.</w:t>
      </w:r>
      <w:r w:rsidRPr="0009519B">
        <w:rPr>
          <w:noProof/>
        </w:rPr>
        <w:t xml:space="preserve"> </w:t>
      </w:r>
    </w:p>
    <w:p w14:paraId="2320879E" w14:textId="14F50A15" w:rsidR="00F74732" w:rsidRDefault="00F74732" w:rsidP="00F74732">
      <w:pPr>
        <w:spacing w:after="0" w:line="240" w:lineRule="auto"/>
        <w:ind w:firstLine="720"/>
        <w:jc w:val="both"/>
        <w:rPr>
          <w:rFonts w:ascii="Cambria" w:hAnsi="Cambria"/>
          <w:sz w:val="24"/>
          <w:szCs w:val="24"/>
        </w:rPr>
      </w:pPr>
      <w:r>
        <w:rPr>
          <w:rFonts w:ascii="Cambria" w:hAnsi="Cambria"/>
          <w:sz w:val="24"/>
          <w:szCs w:val="24"/>
        </w:rPr>
        <w:t xml:space="preserve">Regardless, both Hosoi’s and </w:t>
      </w:r>
      <w:proofErr w:type="spellStart"/>
      <w:r>
        <w:rPr>
          <w:rFonts w:ascii="Cambria" w:hAnsi="Cambria"/>
          <w:sz w:val="24"/>
          <w:szCs w:val="24"/>
        </w:rPr>
        <w:t>Iodice</w:t>
      </w:r>
      <w:proofErr w:type="spellEnd"/>
      <w:r>
        <w:rPr>
          <w:rFonts w:ascii="Cambria" w:hAnsi="Cambria"/>
          <w:sz w:val="24"/>
          <w:szCs w:val="24"/>
        </w:rPr>
        <w:t xml:space="preserve">, </w:t>
      </w:r>
      <w:proofErr w:type="spellStart"/>
      <w:r>
        <w:rPr>
          <w:rFonts w:ascii="Cambria" w:hAnsi="Cambria"/>
          <w:sz w:val="24"/>
          <w:szCs w:val="24"/>
        </w:rPr>
        <w:t>Fornaro</w:t>
      </w:r>
      <w:proofErr w:type="spellEnd"/>
      <w:r>
        <w:rPr>
          <w:rFonts w:ascii="Cambria" w:hAnsi="Cambria"/>
          <w:sz w:val="24"/>
          <w:szCs w:val="24"/>
        </w:rPr>
        <w:t>, and Cardone’s works illustrate the immense gains possible with regards to emissions and efficiency in the hybridization of motorcycles.</w:t>
      </w:r>
      <w:r w:rsidR="0009519B">
        <w:rPr>
          <w:rFonts w:ascii="Cambria" w:hAnsi="Cambria"/>
          <w:sz w:val="24"/>
          <w:szCs w:val="24"/>
        </w:rPr>
        <w:t xml:space="preserve"> Despite this, </w:t>
      </w:r>
      <w:proofErr w:type="spellStart"/>
      <w:r w:rsidR="0009519B">
        <w:rPr>
          <w:rFonts w:ascii="Cambria" w:hAnsi="Cambria"/>
          <w:sz w:val="24"/>
          <w:szCs w:val="24"/>
        </w:rPr>
        <w:t>Iodice</w:t>
      </w:r>
      <w:proofErr w:type="spellEnd"/>
      <w:r w:rsidR="0009519B">
        <w:rPr>
          <w:rFonts w:ascii="Cambria" w:hAnsi="Cambria"/>
          <w:sz w:val="24"/>
          <w:szCs w:val="24"/>
        </w:rPr>
        <w:t xml:space="preserve">, </w:t>
      </w:r>
      <w:proofErr w:type="spellStart"/>
      <w:r w:rsidR="0009519B">
        <w:rPr>
          <w:rFonts w:ascii="Cambria" w:hAnsi="Cambria"/>
          <w:sz w:val="24"/>
          <w:szCs w:val="24"/>
        </w:rPr>
        <w:t>Fornaro</w:t>
      </w:r>
      <w:proofErr w:type="spellEnd"/>
      <w:r w:rsidR="0009519B">
        <w:rPr>
          <w:rFonts w:ascii="Cambria" w:hAnsi="Cambria"/>
          <w:sz w:val="24"/>
          <w:szCs w:val="24"/>
        </w:rPr>
        <w:t xml:space="preserve">, and Cardone’s model and Hosoi’s prototype are still limited by their hybrid architecture: both are parallel hybrids which mechanically link the engine speed to the rear wheel speed, meaning that at low or high velocities, the ICE might still be running out of its most efficient range. The strong point of a series hybrid architecture is, as Harrington et al pointed out, that it does </w:t>
      </w:r>
      <w:r w:rsidR="0009519B">
        <w:rPr>
          <w:rFonts w:ascii="Cambria" w:hAnsi="Cambria"/>
          <w:sz w:val="24"/>
          <w:szCs w:val="24"/>
        </w:rPr>
        <w:lastRenderedPageBreak/>
        <w:t xml:space="preserve">not link the ICE to the rear wheel as parallel hybrids do. Given the gains observed by </w:t>
      </w:r>
      <w:proofErr w:type="spellStart"/>
      <w:r w:rsidR="0009519B">
        <w:rPr>
          <w:rFonts w:ascii="Cambria" w:hAnsi="Cambria"/>
          <w:sz w:val="24"/>
          <w:szCs w:val="24"/>
        </w:rPr>
        <w:t>Iodice’s</w:t>
      </w:r>
      <w:proofErr w:type="spellEnd"/>
      <w:r w:rsidR="0009519B">
        <w:rPr>
          <w:rFonts w:ascii="Cambria" w:hAnsi="Cambria"/>
          <w:sz w:val="24"/>
          <w:szCs w:val="24"/>
        </w:rPr>
        <w:t xml:space="preserve"> team and Hosoi despite this disadvantage, and Harrington et </w:t>
      </w:r>
      <w:proofErr w:type="spellStart"/>
      <w:r w:rsidR="0009519B">
        <w:rPr>
          <w:rFonts w:ascii="Cambria" w:hAnsi="Cambria"/>
          <w:sz w:val="24"/>
          <w:szCs w:val="24"/>
        </w:rPr>
        <w:t>al’s</w:t>
      </w:r>
      <w:proofErr w:type="spellEnd"/>
      <w:r w:rsidR="0009519B">
        <w:rPr>
          <w:rFonts w:ascii="Cambria" w:hAnsi="Cambria"/>
          <w:sz w:val="24"/>
          <w:szCs w:val="24"/>
        </w:rPr>
        <w:t xml:space="preserve"> own admission that a series hybrid powertrain might be worth further investigation despite discounting it for their own research, the next logical step—and perhaps a valuable contribution to the modern literature—would seem to be obvious.</w:t>
      </w:r>
    </w:p>
    <w:p w14:paraId="1790793C" w14:textId="1C87AFB7" w:rsidR="0009519B" w:rsidRDefault="0009519B" w:rsidP="00F74732">
      <w:pPr>
        <w:spacing w:after="0" w:line="240" w:lineRule="auto"/>
        <w:ind w:firstLine="720"/>
        <w:jc w:val="both"/>
        <w:rPr>
          <w:rFonts w:ascii="Cambria" w:hAnsi="Cambria"/>
          <w:sz w:val="24"/>
          <w:szCs w:val="24"/>
        </w:rPr>
      </w:pPr>
    </w:p>
    <w:p w14:paraId="1C6CCCCF" w14:textId="33E3D3C9" w:rsidR="0009519B" w:rsidRDefault="0009519B" w:rsidP="00A170E0">
      <w:pPr>
        <w:pStyle w:val="Heading1"/>
      </w:pPr>
      <w:r>
        <w:t xml:space="preserve">3 </w:t>
      </w:r>
      <w:r w:rsidR="00A170E0">
        <w:t>Research Methods</w:t>
      </w:r>
    </w:p>
    <w:p w14:paraId="4640948B" w14:textId="368F801F" w:rsidR="00A170E0" w:rsidRDefault="00A170E0" w:rsidP="00F74732">
      <w:pPr>
        <w:spacing w:after="0" w:line="240" w:lineRule="auto"/>
        <w:ind w:firstLine="720"/>
        <w:jc w:val="both"/>
        <w:rPr>
          <w:rFonts w:ascii="Cambria" w:hAnsi="Cambria"/>
          <w:sz w:val="24"/>
          <w:szCs w:val="24"/>
        </w:rPr>
      </w:pPr>
    </w:p>
    <w:p w14:paraId="3A33071E" w14:textId="50446B77" w:rsidR="00A170E0" w:rsidRDefault="00A170E0" w:rsidP="00F74732">
      <w:pPr>
        <w:spacing w:after="0" w:line="240" w:lineRule="auto"/>
        <w:ind w:firstLine="720"/>
        <w:jc w:val="both"/>
        <w:rPr>
          <w:rFonts w:ascii="Cambria" w:hAnsi="Cambria"/>
          <w:sz w:val="24"/>
          <w:szCs w:val="24"/>
        </w:rPr>
      </w:pPr>
      <w:r>
        <w:rPr>
          <w:rFonts w:ascii="Cambria" w:hAnsi="Cambria"/>
          <w:sz w:val="24"/>
          <w:szCs w:val="24"/>
        </w:rPr>
        <w:t xml:space="preserve">The research proposed here would consist mainly of three distinct activities: construction of a drive cycle and construction of two independent motorcycle models. First, riding data of a real commute will be collected—some preliminary data already has—and used to create the drive cycle. With a timestamped record of GPS locations, it is possible to not only recreate the distance </w:t>
      </w:r>
      <w:r w:rsidR="002E176B">
        <w:rPr>
          <w:rFonts w:ascii="Cambria" w:hAnsi="Cambria"/>
          <w:sz w:val="24"/>
          <w:szCs w:val="24"/>
        </w:rPr>
        <w:t>ridden but also the speed and, by extension, the acceleration along the recorded route. This record of velocity and distance traveled then becomes the drive cycle, and depending on the capability of the recording device, elevation changes might also be recorded such that a gradient profile at each point along the route can be reconstructed as well in order to more accurately define the tractive loads during the trip.</w:t>
      </w:r>
    </w:p>
    <w:p w14:paraId="6BDB8839" w14:textId="3E7C3E66" w:rsidR="002E176B" w:rsidRDefault="002E176B" w:rsidP="00F74732">
      <w:pPr>
        <w:spacing w:after="0" w:line="240" w:lineRule="auto"/>
        <w:ind w:firstLine="720"/>
        <w:jc w:val="both"/>
        <w:rPr>
          <w:rFonts w:ascii="Cambria" w:hAnsi="Cambria"/>
          <w:sz w:val="24"/>
          <w:szCs w:val="24"/>
        </w:rPr>
      </w:pPr>
      <w:r>
        <w:rPr>
          <w:rFonts w:ascii="Cambria" w:hAnsi="Cambria"/>
          <w:sz w:val="24"/>
          <w:szCs w:val="24"/>
        </w:rPr>
        <w:t xml:space="preserve">The first model would be an analytical one much like those seen in Harrington’s and </w:t>
      </w:r>
      <w:proofErr w:type="spellStart"/>
      <w:r>
        <w:rPr>
          <w:rFonts w:ascii="Cambria" w:hAnsi="Cambria"/>
          <w:sz w:val="24"/>
          <w:szCs w:val="24"/>
        </w:rPr>
        <w:t>Iodice’s</w:t>
      </w:r>
      <w:proofErr w:type="spellEnd"/>
      <w:r>
        <w:rPr>
          <w:rFonts w:ascii="Cambria" w:hAnsi="Cambria"/>
          <w:sz w:val="24"/>
          <w:szCs w:val="24"/>
        </w:rPr>
        <w:t xml:space="preserve"> teams’ projects. It will be developed in </w:t>
      </w:r>
      <w:proofErr w:type="spellStart"/>
      <w:r>
        <w:rPr>
          <w:rFonts w:ascii="Cambria" w:hAnsi="Cambria"/>
          <w:sz w:val="24"/>
          <w:szCs w:val="24"/>
        </w:rPr>
        <w:t>Matlab</w:t>
      </w:r>
      <w:proofErr w:type="spellEnd"/>
      <w:r>
        <w:rPr>
          <w:rFonts w:ascii="Cambria" w:hAnsi="Cambria"/>
          <w:sz w:val="24"/>
          <w:szCs w:val="24"/>
        </w:rPr>
        <w:t xml:space="preserve"> according to first principles and at its most basic will sum up inertial, aerodynamic, and gradient forces to determine the total tractive load the model must satisfy. Since such a model is essentially a straight-line simulator, the complexity of the model will likely be increased to include such inputs as </w:t>
      </w:r>
      <w:r w:rsidR="00393567">
        <w:rPr>
          <w:rFonts w:ascii="Cambria" w:hAnsi="Cambria"/>
          <w:sz w:val="24"/>
          <w:szCs w:val="24"/>
        </w:rPr>
        <w:t>maximum lean angle and leaning moment of inertia as well as gyroscopic effect from the wheels. It is important to keep in mind, however, that these are all physical properties and at no point in the proposed research is a physical prototype planned to exist. Therefore, the values for these properties will necessarily need to be estimations adapted from measurements taken of bikes of similar dimensions and mass to the proposed model—and with each estimation comes more opportunity for inaccuracy. It will be important, then, to define the point at which minimum input provides maximum accuracy—this can be done by validating the model against the machine used to collect the drive cycle data first before it is modified to the proposed hybrid architecture.</w:t>
      </w:r>
    </w:p>
    <w:p w14:paraId="3F7297E3" w14:textId="056B106D" w:rsidR="00393567" w:rsidRDefault="00393567" w:rsidP="00F74732">
      <w:pPr>
        <w:spacing w:after="0" w:line="240" w:lineRule="auto"/>
        <w:ind w:firstLine="720"/>
        <w:jc w:val="both"/>
        <w:rPr>
          <w:rFonts w:ascii="Cambria" w:hAnsi="Cambria"/>
          <w:sz w:val="24"/>
          <w:szCs w:val="24"/>
        </w:rPr>
      </w:pPr>
      <w:r>
        <w:rPr>
          <w:rFonts w:ascii="Cambria" w:hAnsi="Cambria"/>
          <w:sz w:val="24"/>
          <w:szCs w:val="24"/>
        </w:rPr>
        <w:t>The second model will be a multiphysics model built in VI Grade or a similar multiphysics simulation environment. The VI Grade package offers generic motorcycle models which can then be modified according to the user’s requirements—modifying one of these models into the proposed series hybrid motorcycle in incremental steps will likely be the easiest way to arrive at functional simulation, according to past experiences with the software. Fortunately, VI Grade also supports the importation of custom tracks, and a utility program to convert GPS data to data readable by VI Grade software has already been built</w:t>
      </w:r>
      <w:r w:rsidR="00CE4652">
        <w:rPr>
          <w:rFonts w:ascii="Cambria" w:hAnsi="Cambria"/>
          <w:sz w:val="24"/>
          <w:szCs w:val="24"/>
        </w:rPr>
        <w:t>, making it trivial to bring the developed drive cycle into the simulation environment.</w:t>
      </w:r>
    </w:p>
    <w:p w14:paraId="7761D2A0" w14:textId="144B4243" w:rsidR="00CE4652" w:rsidRDefault="00CE4652" w:rsidP="00F74732">
      <w:pPr>
        <w:spacing w:after="0" w:line="240" w:lineRule="auto"/>
        <w:ind w:firstLine="720"/>
        <w:jc w:val="both"/>
        <w:rPr>
          <w:rFonts w:ascii="Cambria" w:hAnsi="Cambria"/>
          <w:sz w:val="24"/>
          <w:szCs w:val="24"/>
        </w:rPr>
      </w:pPr>
      <w:r>
        <w:rPr>
          <w:rFonts w:ascii="Cambria" w:hAnsi="Cambria"/>
          <w:sz w:val="24"/>
          <w:szCs w:val="24"/>
        </w:rPr>
        <w:t xml:space="preserve">However, neither of these models can intrinsically calculate ICE emissions. Therefore a final ‘post processing’ step will be necessary to arrive at the project’s judgement metrics—emissions data—from the models’ raw output. This post processing may be done in two ways: the first uses reference data from similarly-sized ICE to what will be in the proposed hybrid powertrain to create a look-up table which will return BSFC figures based on instantaneous demand generated by the models. Fortunately, there exists a ready body of knowledge from which these sorts of tables may be derived: the range extender unit proposed by Capaldi, </w:t>
      </w:r>
      <w:proofErr w:type="spellStart"/>
      <w:r>
        <w:rPr>
          <w:rFonts w:ascii="Cambria" w:hAnsi="Cambria"/>
          <w:sz w:val="24"/>
          <w:szCs w:val="24"/>
        </w:rPr>
        <w:t>Dannier</w:t>
      </w:r>
      <w:proofErr w:type="spellEnd"/>
      <w:r>
        <w:rPr>
          <w:rFonts w:ascii="Cambria" w:hAnsi="Cambria"/>
          <w:sz w:val="24"/>
          <w:szCs w:val="24"/>
        </w:rPr>
        <w:t xml:space="preserve">, and Spina (2012) is, though intended for electric vehicles, conceptually nearly identical to the series hybrid architecture proposed here, and this and </w:t>
      </w:r>
      <w:r>
        <w:rPr>
          <w:rFonts w:ascii="Cambria" w:hAnsi="Cambria"/>
          <w:sz w:val="24"/>
          <w:szCs w:val="24"/>
        </w:rPr>
        <w:lastRenderedPageBreak/>
        <w:t xml:space="preserve">similar works can provide useful insight both when sizing </w:t>
      </w:r>
      <w:r w:rsidR="008F694D">
        <w:rPr>
          <w:rFonts w:ascii="Cambria" w:hAnsi="Cambria"/>
          <w:sz w:val="24"/>
          <w:szCs w:val="24"/>
        </w:rPr>
        <w:t xml:space="preserve">the ICE as well as when determining </w:t>
      </w:r>
      <w:r w:rsidR="008F694D">
        <w:rPr>
          <w:noProof/>
        </w:rPr>
        <mc:AlternateContent>
          <mc:Choice Requires="wps">
            <w:drawing>
              <wp:anchor distT="0" distB="0" distL="114300" distR="114300" simplePos="0" relativeHeight="251666944" behindDoc="0" locked="0" layoutInCell="1" allowOverlap="1" wp14:anchorId="2639C29B" wp14:editId="43819C76">
                <wp:simplePos x="0" y="0"/>
                <wp:positionH relativeFrom="column">
                  <wp:posOffset>4208145</wp:posOffset>
                </wp:positionH>
                <wp:positionV relativeFrom="paragraph">
                  <wp:posOffset>3212465</wp:posOffset>
                </wp:positionV>
                <wp:extent cx="2428875" cy="635"/>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2428875" cy="635"/>
                        </a:xfrm>
                        <a:prstGeom prst="rect">
                          <a:avLst/>
                        </a:prstGeom>
                        <a:solidFill>
                          <a:prstClr val="white"/>
                        </a:solidFill>
                        <a:ln>
                          <a:noFill/>
                        </a:ln>
                      </wps:spPr>
                      <wps:txbx>
                        <w:txbxContent>
                          <w:p w14:paraId="205C6995" w14:textId="32275B4A" w:rsidR="008F694D" w:rsidRPr="00B31BC1" w:rsidRDefault="008F694D" w:rsidP="008F694D">
                            <w:pPr>
                              <w:pStyle w:val="Caption"/>
                              <w:rPr>
                                <w:rFonts w:ascii="Cambria" w:hAnsi="Cambria"/>
                                <w:sz w:val="24"/>
                                <w:szCs w:val="24"/>
                              </w:rPr>
                            </w:pPr>
                            <w:r>
                              <w:t xml:space="preserve">Figure </w:t>
                            </w:r>
                            <w:fldSimple w:instr=" SEQ Figure \* ARABIC ">
                              <w:r>
                                <w:rPr>
                                  <w:noProof/>
                                </w:rPr>
                                <w:t>6</w:t>
                              </w:r>
                            </w:fldSimple>
                            <w:r>
                              <w:t>: Reiteration process of the proposed research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39C29B" id="Text Box 26" o:spid="_x0000_s1028" type="#_x0000_t202" style="position:absolute;left:0;text-align:left;margin-left:331.35pt;margin-top:252.95pt;width:191.25pt;height:.05pt;z-index:251666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" stroked="f">
                <v:textbox style="mso-fit-shape-to-text:t" inset="0,0,0,0">
                  <w:txbxContent>
                    <w:p w14:paraId="205C6995" w14:textId="32275B4A" w:rsidR="008F694D" w:rsidRPr="00B31BC1" w:rsidRDefault="008F694D" w:rsidP="008F694D">
                      <w:pPr>
                        <w:pStyle w:val="Caption"/>
                        <w:rPr>
                          <w:rFonts w:ascii="Cambria" w:hAnsi="Cambria"/>
                          <w:sz w:val="24"/>
                          <w:szCs w:val="24"/>
                        </w:rPr>
                      </w:pPr>
                      <w:r>
                        <w:t xml:space="preserve">Figure </w:t>
                      </w:r>
                      <w:fldSimple w:instr=" SEQ Figure \* ARABIC ">
                        <w:r>
                          <w:rPr>
                            <w:noProof/>
                          </w:rPr>
                          <w:t>6</w:t>
                        </w:r>
                      </w:fldSimple>
                      <w:r>
                        <w:t>: Reiteration process of the proposed research</w:t>
                      </w:r>
                    </w:p>
                  </w:txbxContent>
                </v:textbox>
                <w10:wrap type="square"/>
              </v:shape>
            </w:pict>
          </mc:Fallback>
        </mc:AlternateContent>
      </w:r>
      <w:r w:rsidR="008F694D">
        <w:rPr>
          <w:noProof/>
        </w:rPr>
        <w:drawing>
          <wp:anchor distT="0" distB="0" distL="114300" distR="114300" simplePos="0" relativeHeight="251664896" behindDoc="0" locked="0" layoutInCell="1" allowOverlap="1" wp14:anchorId="11AED07A" wp14:editId="4B84605D">
            <wp:simplePos x="0" y="0"/>
            <wp:positionH relativeFrom="margin">
              <wp:align>right</wp:align>
            </wp:positionH>
            <wp:positionV relativeFrom="paragraph">
              <wp:posOffset>272415</wp:posOffset>
            </wp:positionV>
            <wp:extent cx="2428875" cy="2882900"/>
            <wp:effectExtent l="0" t="0" r="9525" b="0"/>
            <wp:wrapSquare wrapText="bothSides"/>
            <wp:docPr id="25" name="Picture 2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428875" cy="2882900"/>
                    </a:xfrm>
                    <a:prstGeom prst="rect">
                      <a:avLst/>
                    </a:prstGeom>
                  </pic:spPr>
                </pic:pic>
              </a:graphicData>
            </a:graphic>
          </wp:anchor>
        </w:drawing>
      </w:r>
      <w:r w:rsidR="008F694D">
        <w:rPr>
          <w:rFonts w:ascii="Cambria" w:hAnsi="Cambria"/>
          <w:sz w:val="24"/>
          <w:szCs w:val="24"/>
        </w:rPr>
        <w:t>characteristic BSFC maps. The second method employs ANSYS Forte software to create a computational fluid dynamics combustion model of the ICE component of the proposed hybrid motorcycle and use a series of simulations at differing loads and RPM to generate the tables needed by the analytical and multiphysics models.</w:t>
      </w:r>
    </w:p>
    <w:p w14:paraId="217259A2" w14:textId="6A0AE65B" w:rsidR="008F694D" w:rsidRDefault="008F694D" w:rsidP="00F74732">
      <w:pPr>
        <w:spacing w:after="0" w:line="240" w:lineRule="auto"/>
        <w:ind w:firstLine="720"/>
        <w:jc w:val="both"/>
        <w:rPr>
          <w:rFonts w:ascii="Cambria" w:hAnsi="Cambria"/>
          <w:sz w:val="24"/>
          <w:szCs w:val="24"/>
        </w:rPr>
      </w:pPr>
      <w:r>
        <w:rPr>
          <w:rFonts w:ascii="Cambria" w:hAnsi="Cambria"/>
          <w:sz w:val="24"/>
          <w:szCs w:val="24"/>
        </w:rPr>
        <w:t>In concert, the research will proceed as detailed in figure 6. Once the drive cycle is created, it will be used to create an initial sizing of the series hybrid motorcycle powertrain components, which will in turn enable an exploratory simulation run on the two models. Then, using the previous results, powertrain components can be resized and the models simulated again until they meet the desired criteria or they are determined incapable of doing so.</w:t>
      </w:r>
      <w:r w:rsidRPr="008F694D">
        <w:rPr>
          <w:noProof/>
        </w:rPr>
        <w:t xml:space="preserve"> </w:t>
      </w:r>
    </w:p>
    <w:p w14:paraId="1C094C97" w14:textId="2BCC0CCE" w:rsidR="00A170E0" w:rsidRDefault="00A170E0" w:rsidP="00F74732">
      <w:pPr>
        <w:spacing w:after="0" w:line="240" w:lineRule="auto"/>
        <w:ind w:firstLine="720"/>
        <w:jc w:val="both"/>
        <w:rPr>
          <w:rFonts w:ascii="Cambria" w:hAnsi="Cambria"/>
          <w:sz w:val="24"/>
          <w:szCs w:val="24"/>
        </w:rPr>
      </w:pPr>
    </w:p>
    <w:p w14:paraId="4E140D68" w14:textId="45038ED4" w:rsidR="00A170E0" w:rsidRDefault="00A170E0" w:rsidP="008F694D">
      <w:pPr>
        <w:pStyle w:val="Heading1"/>
      </w:pPr>
      <w:r>
        <w:t>4 Research Results</w:t>
      </w:r>
    </w:p>
    <w:p w14:paraId="348B2DAA" w14:textId="5A6393A5" w:rsidR="00A170E0" w:rsidRDefault="00A170E0" w:rsidP="00F74732">
      <w:pPr>
        <w:spacing w:after="0" w:line="240" w:lineRule="auto"/>
        <w:ind w:firstLine="720"/>
        <w:jc w:val="both"/>
        <w:rPr>
          <w:rFonts w:ascii="Cambria" w:hAnsi="Cambria"/>
          <w:sz w:val="24"/>
          <w:szCs w:val="24"/>
        </w:rPr>
      </w:pPr>
    </w:p>
    <w:p w14:paraId="39240652" w14:textId="1A8D0FFE" w:rsidR="00A170E0" w:rsidRDefault="008F694D" w:rsidP="00F74732">
      <w:pPr>
        <w:spacing w:after="0" w:line="240" w:lineRule="auto"/>
        <w:ind w:firstLine="720"/>
        <w:jc w:val="both"/>
        <w:rPr>
          <w:rFonts w:ascii="Cambria" w:hAnsi="Cambria"/>
          <w:sz w:val="24"/>
          <w:szCs w:val="24"/>
        </w:rPr>
      </w:pPr>
      <w:r>
        <w:rPr>
          <w:rFonts w:ascii="Cambria" w:hAnsi="Cambria"/>
          <w:sz w:val="24"/>
          <w:szCs w:val="24"/>
        </w:rPr>
        <w:t>The proposed series hybrid architecture will be considered successful if it can satisfy two criteria:</w:t>
      </w:r>
    </w:p>
    <w:p w14:paraId="30AB3E65" w14:textId="4A4BAB33" w:rsidR="0093763F" w:rsidRDefault="0093763F" w:rsidP="0093763F">
      <w:pPr>
        <w:pStyle w:val="ListParagraph"/>
        <w:numPr>
          <w:ilvl w:val="0"/>
          <w:numId w:val="6"/>
        </w:numPr>
        <w:spacing w:after="0" w:line="240" w:lineRule="auto"/>
        <w:jc w:val="both"/>
        <w:rPr>
          <w:rFonts w:ascii="Cambria" w:hAnsi="Cambria"/>
          <w:sz w:val="24"/>
          <w:szCs w:val="24"/>
        </w:rPr>
      </w:pPr>
      <w:r>
        <w:rPr>
          <w:rFonts w:ascii="Cambria" w:hAnsi="Cambria"/>
          <w:sz w:val="24"/>
          <w:szCs w:val="24"/>
        </w:rPr>
        <w:t>It can travel at sustained motorway speeds (70 mph)</w:t>
      </w:r>
    </w:p>
    <w:p w14:paraId="53F3AF59" w14:textId="220E05CE" w:rsidR="0093763F" w:rsidRDefault="0093763F" w:rsidP="0093763F">
      <w:pPr>
        <w:pStyle w:val="ListParagraph"/>
        <w:numPr>
          <w:ilvl w:val="0"/>
          <w:numId w:val="6"/>
        </w:numPr>
        <w:spacing w:after="0" w:line="240" w:lineRule="auto"/>
        <w:jc w:val="both"/>
        <w:rPr>
          <w:rFonts w:ascii="Cambria" w:hAnsi="Cambria"/>
          <w:sz w:val="24"/>
          <w:szCs w:val="24"/>
        </w:rPr>
      </w:pPr>
      <w:r>
        <w:rPr>
          <w:rFonts w:ascii="Cambria" w:hAnsi="Cambria"/>
          <w:sz w:val="24"/>
          <w:szCs w:val="24"/>
        </w:rPr>
        <w:t>It exceeds current emissions requirements to such a degree that it can be expected to meet future emissions requirements as well.</w:t>
      </w:r>
    </w:p>
    <w:p w14:paraId="47ABD3E4" w14:textId="536DB18E" w:rsidR="0093763F" w:rsidRPr="0093763F" w:rsidRDefault="0093763F" w:rsidP="0093763F">
      <w:pPr>
        <w:spacing w:after="0" w:line="240" w:lineRule="auto"/>
        <w:jc w:val="both"/>
        <w:rPr>
          <w:rFonts w:ascii="Cambria" w:hAnsi="Cambria"/>
          <w:sz w:val="24"/>
          <w:szCs w:val="24"/>
        </w:rPr>
      </w:pPr>
      <w:r>
        <w:rPr>
          <w:rFonts w:ascii="Cambria" w:hAnsi="Cambria"/>
          <w:sz w:val="24"/>
          <w:szCs w:val="24"/>
        </w:rPr>
        <w:t>The first criterium is absolute, and is more of a performance lower limit. Assessment of the proposed hybrid vehicle in regards to this criterium is therefore straightforward: if the onboard ICE is found to be incapable of sustaining a constant motorway velocity plus a safety margin of perhaps 5-15%, it will be considered a failure. The second criterium is more difficult to judge since it depends on legislation and regulation which has not yet been proposed or drafted. However, by line or curve fitting past trends, it should be possible to generate a reasonable guess as to what future emissions regulation may be, provided the hard 0 emissions limits are indeed repealed as suggested by recent politics (Martin 2023). These projections may then be used to set the emissions limits which the simulated hybrid motorcycle must meet to be considered successful. If one model meets the requirements and the other does not and the two cannot be brought into agreement, then the one which most closely matched the commuting vehicle used to create the drive cycle will be favored over the other</w:t>
      </w:r>
      <w:r w:rsidR="00820848">
        <w:rPr>
          <w:rFonts w:ascii="Cambria" w:hAnsi="Cambria"/>
          <w:sz w:val="24"/>
          <w:szCs w:val="24"/>
        </w:rPr>
        <w:t>, though the project will not at that point be considered a complete success even if the favored model does meet the criteria.</w:t>
      </w:r>
    </w:p>
    <w:p w14:paraId="1CCDCF12" w14:textId="5D91AC1D" w:rsidR="00A170E0" w:rsidRDefault="00A170E0" w:rsidP="00F74732">
      <w:pPr>
        <w:spacing w:after="0" w:line="240" w:lineRule="auto"/>
        <w:ind w:firstLine="720"/>
        <w:jc w:val="both"/>
        <w:rPr>
          <w:rFonts w:ascii="Cambria" w:hAnsi="Cambria"/>
          <w:sz w:val="24"/>
          <w:szCs w:val="24"/>
        </w:rPr>
      </w:pPr>
    </w:p>
    <w:p w14:paraId="3884B44B" w14:textId="56058054" w:rsidR="00B42271" w:rsidRDefault="00B42271" w:rsidP="00F74732">
      <w:pPr>
        <w:spacing w:after="0" w:line="240" w:lineRule="auto"/>
        <w:ind w:firstLine="720"/>
        <w:jc w:val="both"/>
        <w:rPr>
          <w:rFonts w:ascii="Cambria" w:hAnsi="Cambria"/>
          <w:sz w:val="24"/>
          <w:szCs w:val="24"/>
        </w:rPr>
      </w:pPr>
    </w:p>
    <w:p w14:paraId="2C19039D" w14:textId="56AC637E" w:rsidR="00B42271" w:rsidRDefault="00B42271" w:rsidP="00F74732">
      <w:pPr>
        <w:spacing w:after="0" w:line="240" w:lineRule="auto"/>
        <w:ind w:firstLine="720"/>
        <w:jc w:val="both"/>
        <w:rPr>
          <w:rFonts w:ascii="Cambria" w:hAnsi="Cambria"/>
          <w:sz w:val="24"/>
          <w:szCs w:val="24"/>
        </w:rPr>
      </w:pPr>
    </w:p>
    <w:p w14:paraId="2E71C13A" w14:textId="77777777" w:rsidR="00B42271" w:rsidRDefault="00B42271" w:rsidP="00F74732">
      <w:pPr>
        <w:spacing w:after="0" w:line="240" w:lineRule="auto"/>
        <w:ind w:firstLine="720"/>
        <w:jc w:val="both"/>
        <w:rPr>
          <w:rFonts w:ascii="Cambria" w:hAnsi="Cambria"/>
          <w:sz w:val="24"/>
          <w:szCs w:val="24"/>
        </w:rPr>
      </w:pPr>
    </w:p>
    <w:p w14:paraId="3A5C12CE" w14:textId="175F480A" w:rsidR="00A170E0" w:rsidRDefault="00A170E0" w:rsidP="00820848">
      <w:pPr>
        <w:pStyle w:val="Heading1"/>
      </w:pPr>
      <w:r>
        <w:lastRenderedPageBreak/>
        <w:t>5 Research Evaluation</w:t>
      </w:r>
    </w:p>
    <w:p w14:paraId="3D5B6EF7" w14:textId="77BCD092" w:rsidR="00A170E0" w:rsidRDefault="00A170E0" w:rsidP="00F74732">
      <w:pPr>
        <w:spacing w:after="0" w:line="240" w:lineRule="auto"/>
        <w:ind w:firstLine="720"/>
        <w:jc w:val="both"/>
        <w:rPr>
          <w:rFonts w:ascii="Cambria" w:hAnsi="Cambria"/>
          <w:sz w:val="24"/>
          <w:szCs w:val="24"/>
        </w:rPr>
      </w:pPr>
    </w:p>
    <w:p w14:paraId="219A5EE3" w14:textId="449BE7B1" w:rsidR="00A170E0" w:rsidRDefault="00820848" w:rsidP="00F74732">
      <w:pPr>
        <w:spacing w:after="0" w:line="240" w:lineRule="auto"/>
        <w:ind w:firstLine="720"/>
        <w:jc w:val="both"/>
        <w:rPr>
          <w:rFonts w:ascii="Cambria" w:hAnsi="Cambria"/>
          <w:sz w:val="24"/>
          <w:szCs w:val="24"/>
        </w:rPr>
      </w:pPr>
      <w:r>
        <w:rPr>
          <w:rFonts w:ascii="Cambria" w:hAnsi="Cambria"/>
          <w:sz w:val="24"/>
          <w:szCs w:val="24"/>
        </w:rPr>
        <w:t>While this author is confident the proposed methods and judgement criteria can produce clear and significant results, there are nonetheless several limiting factors which may influence the success of the project.</w:t>
      </w:r>
    </w:p>
    <w:p w14:paraId="2C1448AB" w14:textId="6CDE6AED" w:rsidR="00820848" w:rsidRDefault="00820848" w:rsidP="00F74732">
      <w:pPr>
        <w:spacing w:after="0" w:line="240" w:lineRule="auto"/>
        <w:ind w:firstLine="720"/>
        <w:jc w:val="both"/>
        <w:rPr>
          <w:rFonts w:ascii="Cambria" w:hAnsi="Cambria"/>
          <w:sz w:val="24"/>
          <w:szCs w:val="24"/>
        </w:rPr>
      </w:pPr>
      <w:r>
        <w:rPr>
          <w:rFonts w:ascii="Cambria" w:hAnsi="Cambria"/>
          <w:sz w:val="24"/>
          <w:szCs w:val="24"/>
        </w:rPr>
        <w:t xml:space="preserve">The first is primarily budgetary. Neither the researcher nor the university possess ready capital which can be used to create a working prototype of the proposed hybrid motorcycle. As such, the scope of the research is limited to only what can be accomplished in digital space—the simulation of models. Since no such hybrid vehicle yet exists, the validation of these models is also suspect, as it will have to be done with standard petrol motorcycles deemed ‘similar enough’ to the proposed models to allow fair comparison. Here too—if no such motorcycles are available to the researcher or the university, a less </w:t>
      </w:r>
      <w:r w:rsidR="001D45A7">
        <w:rPr>
          <w:rFonts w:ascii="Cambria" w:hAnsi="Cambria"/>
          <w:sz w:val="24"/>
          <w:szCs w:val="24"/>
        </w:rPr>
        <w:t>similar model will have to be used, further compromising the models’ validation. It is for this reason that, unlike the other literature surveyed in this proposal, the research here will use two independent models of separate types—if the models do not agree on any one simulation, that may serve as indication of problems within one or both of the models themselves.</w:t>
      </w:r>
    </w:p>
    <w:p w14:paraId="03DE67D3" w14:textId="77777777" w:rsidR="001D45A7" w:rsidRDefault="001D45A7" w:rsidP="00F74732">
      <w:pPr>
        <w:spacing w:after="0" w:line="240" w:lineRule="auto"/>
        <w:ind w:firstLine="720"/>
        <w:jc w:val="both"/>
        <w:rPr>
          <w:rFonts w:ascii="Cambria" w:hAnsi="Cambria"/>
          <w:sz w:val="24"/>
          <w:szCs w:val="24"/>
        </w:rPr>
      </w:pPr>
      <w:r>
        <w:rPr>
          <w:rFonts w:ascii="Cambria" w:hAnsi="Cambria"/>
          <w:sz w:val="24"/>
          <w:szCs w:val="24"/>
        </w:rPr>
        <w:t>The second limitation is one of over-specialization. As currently proposed, the research will be based off a single drive cycle recorded by one rider over several sessions. It is thus possible—indeed, likely—that this one rider’s commute may not be wholly reflective of the vehicle’s performance in a more general sense. Therefore, it may become necessary in the course of the research to include standardized drive cycles such as the World Harmonized Light Vehicle Test Procedures (WLTP) and/or request different commuting routes from the rider in order to have a more varied and hence more generally applicable dataset upon which to evaluate the models.</w:t>
      </w:r>
    </w:p>
    <w:p w14:paraId="78653750" w14:textId="033064D2" w:rsidR="00A170E0" w:rsidRDefault="001D45A7" w:rsidP="001D45A7">
      <w:pPr>
        <w:spacing w:after="0" w:line="240" w:lineRule="auto"/>
        <w:ind w:firstLine="720"/>
        <w:jc w:val="both"/>
        <w:rPr>
          <w:rFonts w:ascii="Cambria" w:hAnsi="Cambria"/>
          <w:sz w:val="24"/>
          <w:szCs w:val="24"/>
        </w:rPr>
      </w:pPr>
      <w:r>
        <w:rPr>
          <w:rFonts w:ascii="Cambria" w:hAnsi="Cambria"/>
          <w:sz w:val="24"/>
          <w:szCs w:val="24"/>
        </w:rPr>
        <w:t xml:space="preserve">The third is a time limitation. In order to meet the project submission deadline, this research which cannot be started before </w:t>
      </w:r>
      <w:r w:rsidR="00E95E83">
        <w:rPr>
          <w:rFonts w:ascii="Cambria" w:hAnsi="Cambria"/>
          <w:sz w:val="24"/>
          <w:szCs w:val="24"/>
        </w:rPr>
        <w:t>April 24</w:t>
      </w:r>
      <w:r w:rsidR="00E95E83" w:rsidRPr="00E95E83">
        <w:rPr>
          <w:rFonts w:ascii="Cambria" w:hAnsi="Cambria"/>
          <w:sz w:val="24"/>
          <w:szCs w:val="24"/>
          <w:vertAlign w:val="superscript"/>
        </w:rPr>
        <w:t>th</w:t>
      </w:r>
      <w:r w:rsidR="00E95E83">
        <w:rPr>
          <w:rFonts w:ascii="Cambria" w:hAnsi="Cambria"/>
          <w:sz w:val="24"/>
          <w:szCs w:val="24"/>
        </w:rPr>
        <w:t xml:space="preserve"> must also be completed by August 13</w:t>
      </w:r>
      <w:r w:rsidR="00E95E83" w:rsidRPr="00E95E83">
        <w:rPr>
          <w:rFonts w:ascii="Cambria" w:hAnsi="Cambria"/>
          <w:sz w:val="24"/>
          <w:szCs w:val="24"/>
          <w:vertAlign w:val="superscript"/>
        </w:rPr>
        <w:t>th</w:t>
      </w:r>
      <w:r w:rsidR="00E95E83">
        <w:rPr>
          <w:rFonts w:ascii="Cambria" w:hAnsi="Cambria"/>
          <w:sz w:val="24"/>
          <w:szCs w:val="24"/>
        </w:rPr>
        <w:t>, which leaves roughly three and a half months for the entirety of the endeavor. Unforeseen issues, particularly in the development of one or both models, may cause delays which at best will sacrifice time to evaluate and reiterate the models and at the worst case might push the project completion past the submission date. As such, a schedule of  milestones has been created in table 2 which is built on the researcher’s past experience with analytical models of this type and with VI Grade software. Of note is the increasing time intervals between later milestones—these are built in as precautions against delays in earlier stages. The final deadline milestone is also set one week previous to the official deadline in order to add some extra time as a contingency. Fortunately, main tasks of the proposed research may be undertaken sequentially, so the scheduling of the project is not as complicated as it might otherwise have been.</w:t>
      </w:r>
    </w:p>
    <w:p w14:paraId="7298708D" w14:textId="77777777" w:rsidR="00780C21" w:rsidRDefault="00780C21" w:rsidP="001D45A7">
      <w:pPr>
        <w:spacing w:after="0" w:line="240" w:lineRule="auto"/>
        <w:ind w:firstLine="720"/>
        <w:jc w:val="both"/>
        <w:rPr>
          <w:rFonts w:ascii="Cambria" w:hAnsi="Cambria"/>
          <w:sz w:val="24"/>
          <w:szCs w:val="24"/>
        </w:rPr>
      </w:pPr>
    </w:p>
    <w:p w14:paraId="0F219FB0" w14:textId="600B601A" w:rsidR="00780C21" w:rsidRDefault="00780C21" w:rsidP="00780C21">
      <w:pPr>
        <w:pStyle w:val="Caption"/>
        <w:keepNext/>
        <w:jc w:val="center"/>
      </w:pPr>
      <w:r>
        <w:t xml:space="preserve">Table </w:t>
      </w:r>
      <w:fldSimple w:instr=" SEQ Table \* ARABIC ">
        <w:r>
          <w:rPr>
            <w:noProof/>
          </w:rPr>
          <w:t>2</w:t>
        </w:r>
      </w:fldSimple>
      <w:r>
        <w:t>: Research Project Milestones</w:t>
      </w:r>
    </w:p>
    <w:tbl>
      <w:tblPr>
        <w:tblStyle w:val="TableGrid"/>
        <w:tblW w:w="0" w:type="auto"/>
        <w:tblInd w:w="2155" w:type="dxa"/>
        <w:tblLook w:val="04A0" w:firstRow="1" w:lastRow="0" w:firstColumn="1" w:lastColumn="0" w:noHBand="0" w:noVBand="1"/>
      </w:tblPr>
      <w:tblGrid>
        <w:gridCol w:w="4500"/>
        <w:gridCol w:w="1517"/>
      </w:tblGrid>
      <w:tr w:rsidR="00E95E83" w14:paraId="2E621878" w14:textId="77777777" w:rsidTr="00780C21">
        <w:tc>
          <w:tcPr>
            <w:tcW w:w="4500" w:type="dxa"/>
          </w:tcPr>
          <w:p w14:paraId="3AF839EA" w14:textId="3766128D" w:rsidR="00E95E83" w:rsidRPr="00E95E83" w:rsidRDefault="00E95E83" w:rsidP="00E95E83">
            <w:pPr>
              <w:spacing w:after="0" w:line="240" w:lineRule="auto"/>
              <w:jc w:val="center"/>
              <w:rPr>
                <w:rFonts w:ascii="Cambria" w:hAnsi="Cambria"/>
                <w:b/>
                <w:bCs/>
                <w:sz w:val="24"/>
                <w:szCs w:val="24"/>
              </w:rPr>
            </w:pPr>
            <w:r>
              <w:rPr>
                <w:rFonts w:ascii="Cambria" w:hAnsi="Cambria"/>
                <w:b/>
                <w:bCs/>
                <w:sz w:val="24"/>
                <w:szCs w:val="24"/>
              </w:rPr>
              <w:t>Research Milestone</w:t>
            </w:r>
          </w:p>
        </w:tc>
        <w:tc>
          <w:tcPr>
            <w:tcW w:w="1517" w:type="dxa"/>
          </w:tcPr>
          <w:p w14:paraId="5FD2A072" w14:textId="1DB40BB6" w:rsidR="00E95E83" w:rsidRPr="00E95E83" w:rsidRDefault="00E95E83" w:rsidP="00E95E83">
            <w:pPr>
              <w:spacing w:after="0" w:line="240" w:lineRule="auto"/>
              <w:jc w:val="center"/>
              <w:rPr>
                <w:rFonts w:ascii="Cambria" w:hAnsi="Cambria"/>
                <w:b/>
                <w:bCs/>
                <w:sz w:val="24"/>
                <w:szCs w:val="24"/>
              </w:rPr>
            </w:pPr>
            <w:r>
              <w:rPr>
                <w:rFonts w:ascii="Cambria" w:hAnsi="Cambria"/>
                <w:b/>
                <w:bCs/>
                <w:sz w:val="24"/>
                <w:szCs w:val="24"/>
              </w:rPr>
              <w:t>Proposed Deadline</w:t>
            </w:r>
          </w:p>
        </w:tc>
      </w:tr>
      <w:tr w:rsidR="00E95E83" w14:paraId="0E3FD8D0" w14:textId="77777777" w:rsidTr="00780C21">
        <w:tc>
          <w:tcPr>
            <w:tcW w:w="4500" w:type="dxa"/>
          </w:tcPr>
          <w:p w14:paraId="04519262" w14:textId="777A84F3" w:rsidR="00E95E83" w:rsidRDefault="00E95E83" w:rsidP="001D45A7">
            <w:pPr>
              <w:spacing w:after="0" w:line="240" w:lineRule="auto"/>
              <w:jc w:val="both"/>
              <w:rPr>
                <w:rFonts w:ascii="Cambria" w:hAnsi="Cambria"/>
                <w:sz w:val="24"/>
                <w:szCs w:val="24"/>
              </w:rPr>
            </w:pPr>
            <w:r>
              <w:rPr>
                <w:rFonts w:ascii="Cambria" w:hAnsi="Cambria"/>
                <w:sz w:val="24"/>
                <w:szCs w:val="24"/>
              </w:rPr>
              <w:t>Drive Cycle Developed</w:t>
            </w:r>
          </w:p>
        </w:tc>
        <w:tc>
          <w:tcPr>
            <w:tcW w:w="1517" w:type="dxa"/>
          </w:tcPr>
          <w:p w14:paraId="48696476" w14:textId="1B58B998" w:rsidR="00E95E83" w:rsidRDefault="00780C21" w:rsidP="001D45A7">
            <w:pPr>
              <w:spacing w:after="0" w:line="240" w:lineRule="auto"/>
              <w:jc w:val="both"/>
              <w:rPr>
                <w:rFonts w:ascii="Cambria" w:hAnsi="Cambria"/>
                <w:sz w:val="24"/>
                <w:szCs w:val="24"/>
              </w:rPr>
            </w:pPr>
            <w:r>
              <w:rPr>
                <w:rFonts w:ascii="Cambria" w:hAnsi="Cambria"/>
                <w:sz w:val="24"/>
                <w:szCs w:val="24"/>
              </w:rPr>
              <w:t>1 May</w:t>
            </w:r>
          </w:p>
        </w:tc>
      </w:tr>
      <w:tr w:rsidR="00E95E83" w14:paraId="3B88A898" w14:textId="77777777" w:rsidTr="00780C21">
        <w:tc>
          <w:tcPr>
            <w:tcW w:w="4500" w:type="dxa"/>
          </w:tcPr>
          <w:p w14:paraId="426D6427" w14:textId="439768AE" w:rsidR="00E95E83" w:rsidRDefault="00780C21" w:rsidP="001D45A7">
            <w:pPr>
              <w:spacing w:after="0" w:line="240" w:lineRule="auto"/>
              <w:jc w:val="both"/>
              <w:rPr>
                <w:rFonts w:ascii="Cambria" w:hAnsi="Cambria"/>
                <w:sz w:val="24"/>
                <w:szCs w:val="24"/>
              </w:rPr>
            </w:pPr>
            <w:r>
              <w:rPr>
                <w:rFonts w:ascii="Cambria" w:hAnsi="Cambria"/>
                <w:sz w:val="24"/>
                <w:szCs w:val="24"/>
              </w:rPr>
              <w:t>Powertrain Initial Sizing &amp; Specification</w:t>
            </w:r>
          </w:p>
        </w:tc>
        <w:tc>
          <w:tcPr>
            <w:tcW w:w="1517" w:type="dxa"/>
          </w:tcPr>
          <w:p w14:paraId="79A7F5AB" w14:textId="2339A46B" w:rsidR="00E95E83" w:rsidRDefault="00780C21" w:rsidP="001D45A7">
            <w:pPr>
              <w:spacing w:after="0" w:line="240" w:lineRule="auto"/>
              <w:jc w:val="both"/>
              <w:rPr>
                <w:rFonts w:ascii="Cambria" w:hAnsi="Cambria"/>
                <w:sz w:val="24"/>
                <w:szCs w:val="24"/>
              </w:rPr>
            </w:pPr>
            <w:r>
              <w:rPr>
                <w:rFonts w:ascii="Cambria" w:hAnsi="Cambria"/>
                <w:sz w:val="24"/>
                <w:szCs w:val="24"/>
              </w:rPr>
              <w:t>19 May</w:t>
            </w:r>
          </w:p>
        </w:tc>
      </w:tr>
      <w:tr w:rsidR="00E95E83" w14:paraId="59349DE3" w14:textId="77777777" w:rsidTr="00780C21">
        <w:tc>
          <w:tcPr>
            <w:tcW w:w="4500" w:type="dxa"/>
          </w:tcPr>
          <w:p w14:paraId="04B89249" w14:textId="0D4BBEFC" w:rsidR="00E95E83" w:rsidRDefault="00780C21" w:rsidP="001D45A7">
            <w:pPr>
              <w:spacing w:after="0" w:line="240" w:lineRule="auto"/>
              <w:jc w:val="both"/>
              <w:rPr>
                <w:rFonts w:ascii="Cambria" w:hAnsi="Cambria"/>
                <w:sz w:val="24"/>
                <w:szCs w:val="24"/>
              </w:rPr>
            </w:pPr>
            <w:r>
              <w:rPr>
                <w:rFonts w:ascii="Cambria" w:hAnsi="Cambria"/>
                <w:sz w:val="24"/>
                <w:szCs w:val="24"/>
              </w:rPr>
              <w:t>Analytical Model Developed</w:t>
            </w:r>
          </w:p>
        </w:tc>
        <w:tc>
          <w:tcPr>
            <w:tcW w:w="1517" w:type="dxa"/>
          </w:tcPr>
          <w:p w14:paraId="37D09D70" w14:textId="018D171F" w:rsidR="00E95E83" w:rsidRDefault="00780C21" w:rsidP="001D45A7">
            <w:pPr>
              <w:spacing w:after="0" w:line="240" w:lineRule="auto"/>
              <w:jc w:val="both"/>
              <w:rPr>
                <w:rFonts w:ascii="Cambria" w:hAnsi="Cambria"/>
                <w:sz w:val="24"/>
                <w:szCs w:val="24"/>
              </w:rPr>
            </w:pPr>
            <w:r>
              <w:rPr>
                <w:rFonts w:ascii="Cambria" w:hAnsi="Cambria"/>
                <w:sz w:val="24"/>
                <w:szCs w:val="24"/>
              </w:rPr>
              <w:t>26 May</w:t>
            </w:r>
          </w:p>
        </w:tc>
      </w:tr>
      <w:tr w:rsidR="00E95E83" w14:paraId="163A0856" w14:textId="77777777" w:rsidTr="00780C21">
        <w:tc>
          <w:tcPr>
            <w:tcW w:w="4500" w:type="dxa"/>
          </w:tcPr>
          <w:p w14:paraId="529A0340" w14:textId="2BD255EF" w:rsidR="00E95E83" w:rsidRDefault="00780C21" w:rsidP="001D45A7">
            <w:pPr>
              <w:spacing w:after="0" w:line="240" w:lineRule="auto"/>
              <w:jc w:val="both"/>
              <w:rPr>
                <w:rFonts w:ascii="Cambria" w:hAnsi="Cambria"/>
                <w:sz w:val="24"/>
                <w:szCs w:val="24"/>
              </w:rPr>
            </w:pPr>
            <w:r>
              <w:rPr>
                <w:rFonts w:ascii="Cambria" w:hAnsi="Cambria"/>
                <w:sz w:val="24"/>
                <w:szCs w:val="24"/>
              </w:rPr>
              <w:t>Multiphysics Model Developed</w:t>
            </w:r>
          </w:p>
        </w:tc>
        <w:tc>
          <w:tcPr>
            <w:tcW w:w="1517" w:type="dxa"/>
          </w:tcPr>
          <w:p w14:paraId="797B9CC4" w14:textId="2B9E3E50" w:rsidR="00E95E83" w:rsidRDefault="00780C21" w:rsidP="001D45A7">
            <w:pPr>
              <w:spacing w:after="0" w:line="240" w:lineRule="auto"/>
              <w:jc w:val="both"/>
              <w:rPr>
                <w:rFonts w:ascii="Cambria" w:hAnsi="Cambria"/>
                <w:sz w:val="24"/>
                <w:szCs w:val="24"/>
              </w:rPr>
            </w:pPr>
            <w:r>
              <w:rPr>
                <w:rFonts w:ascii="Cambria" w:hAnsi="Cambria"/>
                <w:sz w:val="24"/>
                <w:szCs w:val="24"/>
              </w:rPr>
              <w:t>15 June</w:t>
            </w:r>
          </w:p>
        </w:tc>
      </w:tr>
      <w:tr w:rsidR="00E95E83" w14:paraId="3A44B01A" w14:textId="77777777" w:rsidTr="00780C21">
        <w:tc>
          <w:tcPr>
            <w:tcW w:w="4500" w:type="dxa"/>
          </w:tcPr>
          <w:p w14:paraId="4B5E8BE8" w14:textId="6828F141" w:rsidR="00E95E83" w:rsidRDefault="00780C21" w:rsidP="001D45A7">
            <w:pPr>
              <w:spacing w:after="0" w:line="240" w:lineRule="auto"/>
              <w:jc w:val="both"/>
              <w:rPr>
                <w:rFonts w:ascii="Cambria" w:hAnsi="Cambria"/>
                <w:sz w:val="24"/>
                <w:szCs w:val="24"/>
              </w:rPr>
            </w:pPr>
            <w:r>
              <w:rPr>
                <w:rFonts w:ascii="Cambria" w:hAnsi="Cambria"/>
                <w:sz w:val="24"/>
                <w:szCs w:val="24"/>
              </w:rPr>
              <w:t>Re-Simulation</w:t>
            </w:r>
          </w:p>
        </w:tc>
        <w:tc>
          <w:tcPr>
            <w:tcW w:w="1517" w:type="dxa"/>
          </w:tcPr>
          <w:p w14:paraId="052A13C2" w14:textId="631D8C09" w:rsidR="00E95E83" w:rsidRDefault="00780C21" w:rsidP="001D45A7">
            <w:pPr>
              <w:spacing w:after="0" w:line="240" w:lineRule="auto"/>
              <w:jc w:val="both"/>
              <w:rPr>
                <w:rFonts w:ascii="Cambria" w:hAnsi="Cambria"/>
                <w:sz w:val="24"/>
                <w:szCs w:val="24"/>
              </w:rPr>
            </w:pPr>
            <w:r>
              <w:rPr>
                <w:rFonts w:ascii="Cambria" w:hAnsi="Cambria"/>
                <w:sz w:val="24"/>
                <w:szCs w:val="24"/>
              </w:rPr>
              <w:t>30 June</w:t>
            </w:r>
          </w:p>
        </w:tc>
      </w:tr>
      <w:tr w:rsidR="00E95E83" w14:paraId="284464F5" w14:textId="77777777" w:rsidTr="00780C21">
        <w:tc>
          <w:tcPr>
            <w:tcW w:w="4500" w:type="dxa"/>
          </w:tcPr>
          <w:p w14:paraId="782498E1" w14:textId="47C09B96" w:rsidR="00E95E83" w:rsidRDefault="00780C21" w:rsidP="001D45A7">
            <w:pPr>
              <w:spacing w:after="0" w:line="240" w:lineRule="auto"/>
              <w:jc w:val="both"/>
              <w:rPr>
                <w:rFonts w:ascii="Cambria" w:hAnsi="Cambria"/>
                <w:sz w:val="24"/>
                <w:szCs w:val="24"/>
              </w:rPr>
            </w:pPr>
            <w:r>
              <w:rPr>
                <w:rFonts w:ascii="Cambria" w:hAnsi="Cambria"/>
                <w:sz w:val="24"/>
                <w:szCs w:val="24"/>
              </w:rPr>
              <w:lastRenderedPageBreak/>
              <w:t>Research Report 1</w:t>
            </w:r>
            <w:r w:rsidRPr="00780C21">
              <w:rPr>
                <w:rFonts w:ascii="Cambria" w:hAnsi="Cambria"/>
                <w:sz w:val="24"/>
                <w:szCs w:val="24"/>
                <w:vertAlign w:val="superscript"/>
              </w:rPr>
              <w:t>st</w:t>
            </w:r>
            <w:r>
              <w:rPr>
                <w:rFonts w:ascii="Cambria" w:hAnsi="Cambria"/>
                <w:sz w:val="24"/>
                <w:szCs w:val="24"/>
              </w:rPr>
              <w:t xml:space="preserve"> Draft Complete</w:t>
            </w:r>
          </w:p>
        </w:tc>
        <w:tc>
          <w:tcPr>
            <w:tcW w:w="1517" w:type="dxa"/>
          </w:tcPr>
          <w:p w14:paraId="2F09DBDC" w14:textId="389FD25B" w:rsidR="00E95E83" w:rsidRDefault="00780C21" w:rsidP="001D45A7">
            <w:pPr>
              <w:spacing w:after="0" w:line="240" w:lineRule="auto"/>
              <w:jc w:val="both"/>
              <w:rPr>
                <w:rFonts w:ascii="Cambria" w:hAnsi="Cambria"/>
                <w:sz w:val="24"/>
                <w:szCs w:val="24"/>
              </w:rPr>
            </w:pPr>
            <w:r>
              <w:rPr>
                <w:rFonts w:ascii="Cambria" w:hAnsi="Cambria"/>
                <w:sz w:val="24"/>
                <w:szCs w:val="24"/>
              </w:rPr>
              <w:t>14 July</w:t>
            </w:r>
          </w:p>
        </w:tc>
      </w:tr>
      <w:tr w:rsidR="00E95E83" w14:paraId="288602C4" w14:textId="77777777" w:rsidTr="00780C21">
        <w:tc>
          <w:tcPr>
            <w:tcW w:w="4500" w:type="dxa"/>
          </w:tcPr>
          <w:p w14:paraId="62E1E345" w14:textId="27157745" w:rsidR="00E95E83" w:rsidRDefault="00780C21" w:rsidP="001D45A7">
            <w:pPr>
              <w:spacing w:after="0" w:line="240" w:lineRule="auto"/>
              <w:jc w:val="both"/>
              <w:rPr>
                <w:rFonts w:ascii="Cambria" w:hAnsi="Cambria"/>
                <w:sz w:val="24"/>
                <w:szCs w:val="24"/>
              </w:rPr>
            </w:pPr>
            <w:r>
              <w:rPr>
                <w:rFonts w:ascii="Cambria" w:hAnsi="Cambria"/>
                <w:sz w:val="24"/>
                <w:szCs w:val="24"/>
              </w:rPr>
              <w:t>Research Report Submitted</w:t>
            </w:r>
          </w:p>
        </w:tc>
        <w:tc>
          <w:tcPr>
            <w:tcW w:w="1517" w:type="dxa"/>
          </w:tcPr>
          <w:p w14:paraId="0ED8A6DC" w14:textId="7BE28506" w:rsidR="00E95E83" w:rsidRDefault="00780C21" w:rsidP="001D45A7">
            <w:pPr>
              <w:spacing w:after="0" w:line="240" w:lineRule="auto"/>
              <w:jc w:val="both"/>
              <w:rPr>
                <w:rFonts w:ascii="Cambria" w:hAnsi="Cambria"/>
                <w:sz w:val="24"/>
                <w:szCs w:val="24"/>
              </w:rPr>
            </w:pPr>
            <w:r>
              <w:rPr>
                <w:rFonts w:ascii="Cambria" w:hAnsi="Cambria"/>
                <w:sz w:val="24"/>
                <w:szCs w:val="24"/>
              </w:rPr>
              <w:t>7 August</w:t>
            </w:r>
          </w:p>
        </w:tc>
      </w:tr>
    </w:tbl>
    <w:p w14:paraId="08D2068C" w14:textId="14967F11" w:rsidR="00E95E83" w:rsidRDefault="00780C21" w:rsidP="00780C21">
      <w:pPr>
        <w:pStyle w:val="Heading1"/>
      </w:pPr>
      <w:r>
        <w:t>6 Conclusion</w:t>
      </w:r>
    </w:p>
    <w:p w14:paraId="336C3846" w14:textId="6C9576BB" w:rsidR="00A00D29" w:rsidRDefault="00A00D29" w:rsidP="002135C8">
      <w:pPr>
        <w:spacing w:after="0" w:line="240" w:lineRule="auto"/>
        <w:ind w:firstLine="720"/>
        <w:jc w:val="both"/>
        <w:rPr>
          <w:rFonts w:ascii="Cambria" w:hAnsi="Cambria"/>
          <w:sz w:val="24"/>
          <w:szCs w:val="24"/>
        </w:rPr>
      </w:pPr>
    </w:p>
    <w:p w14:paraId="3CF8CFAE" w14:textId="6DFC17E6" w:rsidR="00780C21" w:rsidRDefault="00780C21" w:rsidP="002135C8">
      <w:pPr>
        <w:spacing w:after="0" w:line="240" w:lineRule="auto"/>
        <w:ind w:firstLine="720"/>
        <w:jc w:val="both"/>
        <w:rPr>
          <w:rFonts w:ascii="Cambria" w:hAnsi="Cambria"/>
          <w:sz w:val="24"/>
          <w:szCs w:val="24"/>
        </w:rPr>
      </w:pPr>
      <w:r>
        <w:rPr>
          <w:rFonts w:ascii="Cambria" w:hAnsi="Cambria"/>
          <w:sz w:val="24"/>
          <w:szCs w:val="24"/>
        </w:rPr>
        <w:t xml:space="preserve">A research project has been proposed which would seek to build upon the previous work presented in Harrington et al “Low Cost Hybrid Motorcycle Optimization Model” (2011) and re-evaluate a series hybrid motorcycle powertrain taking full advantage of over a decade’s worth of technological advancement in the field of energy storage and modeling ability. In the proposed research, two specific criteria will be used to evaluate the powertrain instead of cost: the ability to sustain motorway speeds and </w:t>
      </w:r>
      <w:r w:rsidR="00597942">
        <w:rPr>
          <w:rFonts w:ascii="Cambria" w:hAnsi="Cambria"/>
          <w:sz w:val="24"/>
          <w:szCs w:val="24"/>
        </w:rPr>
        <w:t xml:space="preserve">emissions falling well under current regulated levels. To accomplish this, data from a real world commute will be used to create a drive cycle, which in turn will be used to evaluate two independent hybrid motorcycle models. The analytical model will be built in </w:t>
      </w:r>
      <w:proofErr w:type="spellStart"/>
      <w:r w:rsidR="00597942">
        <w:rPr>
          <w:rFonts w:ascii="Cambria" w:hAnsi="Cambria"/>
          <w:sz w:val="24"/>
          <w:szCs w:val="24"/>
        </w:rPr>
        <w:t>Matlab</w:t>
      </w:r>
      <w:proofErr w:type="spellEnd"/>
      <w:r w:rsidR="00597942">
        <w:rPr>
          <w:rFonts w:ascii="Cambria" w:hAnsi="Cambria"/>
          <w:sz w:val="24"/>
          <w:szCs w:val="24"/>
        </w:rPr>
        <w:t xml:space="preserve"> and will be similar to models employed in previous works. The multiphysics model will be built in VI Grade and will make use of the generalized model skeletons already extant in the software to ease the construction process. Both models will be used to iteratively refine the proposed hybrid motorcycle until it either meets the judgement criteria or is determined incapable of doing so. To aid in the evaluation process, work from related fields such as electric vehicle range extenders will be employed to better characterize the emissions profile of the simulated models. Judging from results obtained by similar research regarding parallel hybrid motorcycles, a significant decrease in emissions from same-size petrol bikes can be expected in the proposed series hybrid vehicle.</w:t>
      </w:r>
    </w:p>
    <w:p w14:paraId="7719583E" w14:textId="0B92275B" w:rsidR="00A00D29" w:rsidRDefault="00A00D29" w:rsidP="002135C8">
      <w:pPr>
        <w:spacing w:after="0" w:line="240" w:lineRule="auto"/>
        <w:ind w:firstLine="720"/>
        <w:jc w:val="both"/>
        <w:rPr>
          <w:rFonts w:ascii="Cambria" w:hAnsi="Cambria"/>
          <w:sz w:val="24"/>
          <w:szCs w:val="24"/>
        </w:rPr>
      </w:pPr>
    </w:p>
    <w:p w14:paraId="6607458E" w14:textId="0C80CB77" w:rsidR="00E14A5A" w:rsidRPr="00081488" w:rsidRDefault="00E14A5A" w:rsidP="00081488">
      <w:pPr>
        <w:pStyle w:val="Heading2"/>
      </w:pPr>
      <w:r>
        <w:t>References</w:t>
      </w:r>
    </w:p>
    <w:p w14:paraId="30629023" w14:textId="2ADD2FD2" w:rsidR="00E14A5A" w:rsidRDefault="00E14A5A" w:rsidP="006754D1">
      <w:pPr>
        <w:spacing w:after="0" w:line="240" w:lineRule="auto"/>
        <w:ind w:firstLine="720"/>
        <w:jc w:val="both"/>
        <w:rPr>
          <w:rFonts w:ascii="Cambria" w:hAnsi="Cambria"/>
          <w:sz w:val="24"/>
          <w:szCs w:val="24"/>
        </w:rPr>
      </w:pPr>
    </w:p>
    <w:p w14:paraId="19C758E4" w14:textId="395B579D" w:rsidR="00BE4D85" w:rsidRPr="00BE4D85" w:rsidRDefault="00BE4D85" w:rsidP="00BE4D85">
      <w:pPr>
        <w:spacing w:after="0" w:line="240" w:lineRule="auto"/>
        <w:ind w:left="360" w:hanging="360"/>
        <w:rPr>
          <w:rFonts w:ascii="Cambria" w:hAnsi="Cambria"/>
          <w:sz w:val="24"/>
          <w:szCs w:val="24"/>
        </w:rPr>
      </w:pPr>
      <w:proofErr w:type="spellStart"/>
      <w:r>
        <w:rPr>
          <w:rFonts w:ascii="Cambria" w:hAnsi="Cambria"/>
          <w:sz w:val="24"/>
          <w:szCs w:val="24"/>
        </w:rPr>
        <w:t>Bonci</w:t>
      </w:r>
      <w:proofErr w:type="spellEnd"/>
      <w:r>
        <w:rPr>
          <w:rFonts w:ascii="Cambria" w:hAnsi="Cambria"/>
          <w:sz w:val="24"/>
          <w:szCs w:val="24"/>
        </w:rPr>
        <w:t xml:space="preserve"> A, </w:t>
      </w:r>
      <w:proofErr w:type="spellStart"/>
      <w:r>
        <w:rPr>
          <w:rFonts w:ascii="Cambria" w:hAnsi="Cambria"/>
          <w:sz w:val="24"/>
          <w:szCs w:val="24"/>
        </w:rPr>
        <w:t>Longhi</w:t>
      </w:r>
      <w:proofErr w:type="spellEnd"/>
      <w:r>
        <w:rPr>
          <w:rFonts w:ascii="Cambria" w:hAnsi="Cambria"/>
          <w:sz w:val="24"/>
          <w:szCs w:val="24"/>
        </w:rPr>
        <w:t xml:space="preserve"> S, Scala G A. (2020) ‘</w:t>
      </w:r>
      <w:r w:rsidRPr="00BE4D85">
        <w:rPr>
          <w:rFonts w:ascii="Cambria" w:hAnsi="Cambria"/>
          <w:sz w:val="24"/>
          <w:szCs w:val="24"/>
        </w:rPr>
        <w:t>Towards an All-Wheel Drive Motorcycle:</w:t>
      </w:r>
      <w:r>
        <w:rPr>
          <w:rFonts w:ascii="Cambria" w:hAnsi="Cambria"/>
          <w:sz w:val="24"/>
          <w:szCs w:val="24"/>
        </w:rPr>
        <w:t xml:space="preserve"> </w:t>
      </w:r>
      <w:r w:rsidRPr="00BE4D85">
        <w:rPr>
          <w:rFonts w:ascii="Cambria" w:hAnsi="Cambria"/>
          <w:sz w:val="24"/>
          <w:szCs w:val="24"/>
        </w:rPr>
        <w:t>Dynamic Modeling and Simulation</w:t>
      </w:r>
      <w:r>
        <w:rPr>
          <w:rFonts w:ascii="Cambria" w:hAnsi="Cambria"/>
          <w:sz w:val="24"/>
          <w:szCs w:val="24"/>
        </w:rPr>
        <w:t xml:space="preserve">’, </w:t>
      </w:r>
      <w:r>
        <w:rPr>
          <w:rFonts w:ascii="Cambria" w:hAnsi="Cambria"/>
          <w:i/>
          <w:iCs/>
          <w:sz w:val="24"/>
          <w:szCs w:val="24"/>
        </w:rPr>
        <w:t>IEEE Access</w:t>
      </w:r>
      <w:r>
        <w:rPr>
          <w:rFonts w:ascii="Cambria" w:hAnsi="Cambria"/>
          <w:sz w:val="24"/>
          <w:szCs w:val="24"/>
        </w:rPr>
        <w:t xml:space="preserve">, </w:t>
      </w:r>
      <w:r w:rsidRPr="00BE4D85">
        <w:rPr>
          <w:rFonts w:ascii="Cambria" w:hAnsi="Cambria"/>
          <w:sz w:val="24"/>
          <w:szCs w:val="24"/>
        </w:rPr>
        <w:t>10.1109/ACCESS.2020.3002685</w:t>
      </w:r>
    </w:p>
    <w:p w14:paraId="03DF655F" w14:textId="77777777" w:rsidR="00BE4D85" w:rsidRDefault="00BE4D85" w:rsidP="00FB038E">
      <w:pPr>
        <w:spacing w:after="0" w:line="240" w:lineRule="auto"/>
        <w:ind w:left="360" w:hanging="360"/>
        <w:rPr>
          <w:rFonts w:ascii="Cambria" w:hAnsi="Cambria"/>
          <w:sz w:val="24"/>
          <w:szCs w:val="24"/>
        </w:rPr>
      </w:pPr>
    </w:p>
    <w:p w14:paraId="11B198A3" w14:textId="7AE995F6" w:rsidR="00FB038E" w:rsidRDefault="00FB038E" w:rsidP="00FB038E">
      <w:pPr>
        <w:spacing w:after="0" w:line="240" w:lineRule="auto"/>
        <w:ind w:left="360" w:hanging="360"/>
        <w:rPr>
          <w:rFonts w:ascii="Cambria" w:hAnsi="Cambria"/>
          <w:sz w:val="24"/>
          <w:szCs w:val="24"/>
        </w:rPr>
      </w:pPr>
      <w:r w:rsidRPr="00756E67">
        <w:rPr>
          <w:rFonts w:ascii="Cambria" w:hAnsi="Cambria"/>
          <w:sz w:val="24"/>
          <w:szCs w:val="24"/>
        </w:rPr>
        <w:t>Capaldi</w:t>
      </w:r>
      <w:r>
        <w:rPr>
          <w:rFonts w:ascii="Cambria" w:hAnsi="Cambria"/>
          <w:sz w:val="24"/>
          <w:szCs w:val="24"/>
        </w:rPr>
        <w:t xml:space="preserve"> P</w:t>
      </w:r>
      <w:r w:rsidRPr="00756E67">
        <w:rPr>
          <w:rFonts w:ascii="Cambria" w:hAnsi="Cambria"/>
          <w:sz w:val="24"/>
          <w:szCs w:val="24"/>
        </w:rPr>
        <w:t xml:space="preserve">, </w:t>
      </w:r>
      <w:proofErr w:type="spellStart"/>
      <w:r w:rsidRPr="00756E67">
        <w:rPr>
          <w:rFonts w:ascii="Cambria" w:hAnsi="Cambria"/>
          <w:sz w:val="24"/>
          <w:szCs w:val="24"/>
        </w:rPr>
        <w:t>Dannier</w:t>
      </w:r>
      <w:proofErr w:type="spellEnd"/>
      <w:r>
        <w:rPr>
          <w:rFonts w:ascii="Cambria" w:hAnsi="Cambria"/>
          <w:sz w:val="24"/>
          <w:szCs w:val="24"/>
        </w:rPr>
        <w:t xml:space="preserve"> A</w:t>
      </w:r>
      <w:r w:rsidRPr="00756E67">
        <w:rPr>
          <w:rFonts w:ascii="Cambria" w:hAnsi="Cambria"/>
          <w:sz w:val="24"/>
          <w:szCs w:val="24"/>
        </w:rPr>
        <w:t>, Spina</w:t>
      </w:r>
      <w:r>
        <w:rPr>
          <w:rFonts w:ascii="Cambria" w:hAnsi="Cambria"/>
          <w:sz w:val="24"/>
          <w:szCs w:val="24"/>
        </w:rPr>
        <w:t xml:space="preserve"> I. (2012)</w:t>
      </w:r>
      <w:r w:rsidRPr="00756E67">
        <w:rPr>
          <w:rFonts w:ascii="Cambria" w:hAnsi="Cambria"/>
          <w:sz w:val="24"/>
          <w:szCs w:val="24"/>
        </w:rPr>
        <w:t xml:space="preserve"> </w:t>
      </w:r>
      <w:r>
        <w:rPr>
          <w:rFonts w:ascii="Cambria" w:hAnsi="Cambria"/>
          <w:sz w:val="24"/>
          <w:szCs w:val="24"/>
        </w:rPr>
        <w:t>‘</w:t>
      </w:r>
      <w:r w:rsidRPr="00756E67">
        <w:rPr>
          <w:rFonts w:ascii="Cambria" w:hAnsi="Cambria"/>
          <w:sz w:val="24"/>
          <w:szCs w:val="24"/>
        </w:rPr>
        <w:t>A simple on-board electric generator for road electric vehicles based on single-cylinder engine and PM-brushless generator</w:t>
      </w:r>
      <w:r>
        <w:rPr>
          <w:rFonts w:ascii="Cambria" w:hAnsi="Cambria"/>
          <w:sz w:val="24"/>
          <w:szCs w:val="24"/>
        </w:rPr>
        <w:t>’</w:t>
      </w:r>
      <w:r w:rsidRPr="00756E67">
        <w:rPr>
          <w:rFonts w:ascii="Cambria" w:hAnsi="Cambria"/>
          <w:sz w:val="24"/>
          <w:szCs w:val="24"/>
        </w:rPr>
        <w:t xml:space="preserve">, </w:t>
      </w:r>
      <w:r w:rsidRPr="00811189">
        <w:rPr>
          <w:rFonts w:ascii="Cambria" w:hAnsi="Cambria"/>
          <w:i/>
          <w:iCs/>
          <w:sz w:val="24"/>
          <w:szCs w:val="24"/>
        </w:rPr>
        <w:t>International Symposium on Power Electronics, Electrical Drives, Automation and Motion</w:t>
      </w:r>
      <w:r>
        <w:rPr>
          <w:rFonts w:ascii="Cambria" w:hAnsi="Cambria"/>
          <w:sz w:val="24"/>
          <w:szCs w:val="24"/>
        </w:rPr>
        <w:t>.</w:t>
      </w:r>
    </w:p>
    <w:p w14:paraId="6E2B084F" w14:textId="03EAA7FA" w:rsidR="00C574CB" w:rsidRDefault="00C574CB" w:rsidP="00FB038E">
      <w:pPr>
        <w:spacing w:after="0" w:line="240" w:lineRule="auto"/>
        <w:ind w:left="360" w:hanging="360"/>
        <w:rPr>
          <w:rFonts w:ascii="Cambria" w:hAnsi="Cambria"/>
          <w:sz w:val="24"/>
          <w:szCs w:val="24"/>
        </w:rPr>
      </w:pPr>
    </w:p>
    <w:p w14:paraId="5C3ADD3D" w14:textId="10CB38EA" w:rsidR="00C574CB" w:rsidRDefault="00C574CB" w:rsidP="00FB038E">
      <w:pPr>
        <w:spacing w:after="0" w:line="240" w:lineRule="auto"/>
        <w:ind w:left="360" w:hanging="360"/>
        <w:rPr>
          <w:rFonts w:ascii="Cambria" w:hAnsi="Cambria"/>
          <w:sz w:val="24"/>
          <w:szCs w:val="24"/>
        </w:rPr>
      </w:pPr>
      <w:proofErr w:type="spellStart"/>
      <w:r w:rsidRPr="00C574CB">
        <w:rPr>
          <w:rFonts w:ascii="Cambria" w:hAnsi="Cambria"/>
          <w:sz w:val="24"/>
          <w:szCs w:val="24"/>
        </w:rPr>
        <w:t>Cossalter</w:t>
      </w:r>
      <w:proofErr w:type="spellEnd"/>
      <w:r w:rsidRPr="00C574CB">
        <w:rPr>
          <w:rFonts w:ascii="Cambria" w:hAnsi="Cambria"/>
          <w:sz w:val="24"/>
          <w:szCs w:val="24"/>
        </w:rPr>
        <w:t>, V. (2006). Motorcycle Dynamics. 2nd ed. San Bernardino: Lulu press.</w:t>
      </w:r>
    </w:p>
    <w:p w14:paraId="671D0CAA" w14:textId="77777777" w:rsidR="00FB038E" w:rsidRDefault="00FB038E" w:rsidP="00FB038E">
      <w:pPr>
        <w:spacing w:after="0" w:line="240" w:lineRule="auto"/>
        <w:ind w:left="360" w:hanging="360"/>
        <w:rPr>
          <w:rFonts w:ascii="Cambria" w:hAnsi="Cambria"/>
          <w:sz w:val="24"/>
          <w:szCs w:val="24"/>
        </w:rPr>
      </w:pPr>
    </w:p>
    <w:p w14:paraId="7D366B77" w14:textId="77777777" w:rsidR="00FB038E" w:rsidRDefault="00FB038E" w:rsidP="00FB038E">
      <w:pPr>
        <w:spacing w:after="0" w:line="240" w:lineRule="auto"/>
        <w:ind w:left="360" w:hanging="360"/>
        <w:rPr>
          <w:rFonts w:ascii="Cambria" w:hAnsi="Cambria"/>
          <w:sz w:val="24"/>
          <w:szCs w:val="24"/>
        </w:rPr>
      </w:pPr>
      <w:r>
        <w:rPr>
          <w:rFonts w:ascii="Cambria" w:hAnsi="Cambria"/>
          <w:sz w:val="24"/>
          <w:szCs w:val="24"/>
        </w:rPr>
        <w:t xml:space="preserve">Harrington C, Vaughan N, </w:t>
      </w:r>
      <w:r w:rsidRPr="00811189">
        <w:rPr>
          <w:rFonts w:ascii="Cambria" w:hAnsi="Cambria"/>
          <w:sz w:val="24"/>
          <w:szCs w:val="24"/>
        </w:rPr>
        <w:t>Allen</w:t>
      </w:r>
      <w:r>
        <w:rPr>
          <w:rFonts w:ascii="Cambria" w:hAnsi="Cambria"/>
          <w:sz w:val="24"/>
          <w:szCs w:val="24"/>
        </w:rPr>
        <w:t xml:space="preserve"> J</w:t>
      </w:r>
      <w:r w:rsidRPr="00811189">
        <w:rPr>
          <w:rFonts w:ascii="Cambria" w:hAnsi="Cambria"/>
          <w:sz w:val="24"/>
          <w:szCs w:val="24"/>
        </w:rPr>
        <w:t>,</w:t>
      </w:r>
      <w:r>
        <w:rPr>
          <w:rFonts w:ascii="Cambria" w:hAnsi="Cambria"/>
          <w:sz w:val="24"/>
          <w:szCs w:val="24"/>
        </w:rPr>
        <w:t xml:space="preserve"> </w:t>
      </w:r>
      <w:r w:rsidRPr="00811189">
        <w:rPr>
          <w:rFonts w:ascii="Cambria" w:hAnsi="Cambria"/>
          <w:sz w:val="24"/>
          <w:szCs w:val="24"/>
        </w:rPr>
        <w:t>Smither</w:t>
      </w:r>
      <w:r>
        <w:rPr>
          <w:rFonts w:ascii="Cambria" w:hAnsi="Cambria"/>
          <w:sz w:val="24"/>
          <w:szCs w:val="24"/>
        </w:rPr>
        <w:t xml:space="preserve"> B D,</w:t>
      </w:r>
      <w:r w:rsidRPr="00811189">
        <w:rPr>
          <w:rFonts w:ascii="Cambria" w:hAnsi="Cambria"/>
          <w:sz w:val="24"/>
          <w:szCs w:val="24"/>
        </w:rPr>
        <w:t xml:space="preserve"> and Farmer</w:t>
      </w:r>
      <w:r>
        <w:rPr>
          <w:rFonts w:ascii="Cambria" w:hAnsi="Cambria"/>
          <w:sz w:val="24"/>
          <w:szCs w:val="24"/>
        </w:rPr>
        <w:t xml:space="preserve"> G. (2010)</w:t>
      </w:r>
      <w:r w:rsidRPr="00756E67">
        <w:rPr>
          <w:rFonts w:ascii="Cambria" w:hAnsi="Cambria"/>
          <w:sz w:val="24"/>
          <w:szCs w:val="24"/>
        </w:rPr>
        <w:t xml:space="preserve"> </w:t>
      </w:r>
      <w:r>
        <w:rPr>
          <w:rFonts w:ascii="Cambria" w:hAnsi="Cambria"/>
          <w:sz w:val="24"/>
          <w:szCs w:val="24"/>
        </w:rPr>
        <w:t>‘</w:t>
      </w:r>
      <w:r w:rsidRPr="00756E67">
        <w:rPr>
          <w:rFonts w:ascii="Cambria" w:hAnsi="Cambria"/>
          <w:sz w:val="24"/>
          <w:szCs w:val="24"/>
        </w:rPr>
        <w:t>Low Cost Hybrid Motorcycle Optimization Model</w:t>
      </w:r>
      <w:r>
        <w:rPr>
          <w:rFonts w:ascii="Cambria" w:hAnsi="Cambria"/>
          <w:sz w:val="24"/>
          <w:szCs w:val="24"/>
        </w:rPr>
        <w:t>’</w:t>
      </w:r>
      <w:r w:rsidRPr="00756E67">
        <w:rPr>
          <w:rFonts w:ascii="Cambria" w:hAnsi="Cambria"/>
          <w:sz w:val="24"/>
          <w:szCs w:val="24"/>
        </w:rPr>
        <w:t xml:space="preserve">, </w:t>
      </w:r>
      <w:r w:rsidRPr="00811189">
        <w:rPr>
          <w:rFonts w:ascii="Cambria" w:hAnsi="Cambria"/>
          <w:i/>
          <w:iCs/>
          <w:sz w:val="24"/>
          <w:szCs w:val="24"/>
        </w:rPr>
        <w:t>SAE International</w:t>
      </w:r>
      <w:r w:rsidRPr="00756E67">
        <w:rPr>
          <w:rFonts w:ascii="Cambria" w:hAnsi="Cambria"/>
          <w:sz w:val="24"/>
          <w:szCs w:val="24"/>
        </w:rPr>
        <w:t>, 2010-32-0131</w:t>
      </w:r>
    </w:p>
    <w:p w14:paraId="2BC5AC31" w14:textId="77777777" w:rsidR="00FB038E" w:rsidRDefault="00FB038E" w:rsidP="00FB038E">
      <w:pPr>
        <w:spacing w:after="0" w:line="240" w:lineRule="auto"/>
        <w:ind w:left="360" w:hanging="360"/>
        <w:rPr>
          <w:rFonts w:ascii="Cambria" w:hAnsi="Cambria"/>
          <w:sz w:val="24"/>
          <w:szCs w:val="24"/>
        </w:rPr>
      </w:pPr>
    </w:p>
    <w:p w14:paraId="596BA64C" w14:textId="76938B76" w:rsidR="00FB038E" w:rsidRDefault="00FB038E" w:rsidP="00FB038E">
      <w:pPr>
        <w:spacing w:after="0" w:line="240" w:lineRule="auto"/>
        <w:ind w:left="360" w:hanging="360"/>
        <w:rPr>
          <w:rFonts w:ascii="Cambria" w:hAnsi="Cambria"/>
          <w:sz w:val="24"/>
          <w:szCs w:val="24"/>
        </w:rPr>
      </w:pPr>
      <w:r w:rsidRPr="00756E67">
        <w:rPr>
          <w:rFonts w:ascii="Cambria" w:hAnsi="Cambria"/>
          <w:sz w:val="24"/>
          <w:szCs w:val="24"/>
        </w:rPr>
        <w:t>Hosoi</w:t>
      </w:r>
      <w:r>
        <w:rPr>
          <w:rFonts w:ascii="Cambria" w:hAnsi="Cambria"/>
          <w:sz w:val="24"/>
          <w:szCs w:val="24"/>
        </w:rPr>
        <w:t xml:space="preserve"> Y. (2011)</w:t>
      </w:r>
      <w:r w:rsidRPr="00756E67">
        <w:rPr>
          <w:rFonts w:ascii="Cambria" w:hAnsi="Cambria"/>
          <w:sz w:val="24"/>
          <w:szCs w:val="24"/>
        </w:rPr>
        <w:t xml:space="preserve"> </w:t>
      </w:r>
      <w:r>
        <w:rPr>
          <w:rFonts w:ascii="Cambria" w:hAnsi="Cambria"/>
          <w:sz w:val="24"/>
          <w:szCs w:val="24"/>
        </w:rPr>
        <w:t>‘</w:t>
      </w:r>
      <w:r w:rsidRPr="00756E67">
        <w:rPr>
          <w:rFonts w:ascii="Cambria" w:hAnsi="Cambria"/>
          <w:sz w:val="24"/>
          <w:szCs w:val="24"/>
        </w:rPr>
        <w:t>The Power Unit with Strong Hybrid System for Motorcycles</w:t>
      </w:r>
      <w:r>
        <w:rPr>
          <w:rFonts w:ascii="Cambria" w:hAnsi="Cambria"/>
          <w:sz w:val="24"/>
          <w:szCs w:val="24"/>
        </w:rPr>
        <w:t>’</w:t>
      </w:r>
      <w:r w:rsidRPr="00756E67">
        <w:rPr>
          <w:rFonts w:ascii="Cambria" w:hAnsi="Cambria"/>
          <w:sz w:val="24"/>
          <w:szCs w:val="24"/>
        </w:rPr>
        <w:t xml:space="preserve">, </w:t>
      </w:r>
      <w:r w:rsidRPr="00811189">
        <w:rPr>
          <w:rFonts w:ascii="Cambria" w:hAnsi="Cambria"/>
          <w:i/>
          <w:iCs/>
          <w:sz w:val="24"/>
          <w:szCs w:val="24"/>
        </w:rPr>
        <w:t>SAE International</w:t>
      </w:r>
      <w:r w:rsidRPr="00756E67">
        <w:rPr>
          <w:rFonts w:ascii="Cambria" w:hAnsi="Cambria"/>
          <w:sz w:val="24"/>
          <w:szCs w:val="24"/>
        </w:rPr>
        <w:t>, 2011-01-1745</w:t>
      </w:r>
    </w:p>
    <w:p w14:paraId="155A381D" w14:textId="412768F5" w:rsidR="00025EEA" w:rsidRDefault="00025EEA" w:rsidP="00FB038E">
      <w:pPr>
        <w:spacing w:after="0" w:line="240" w:lineRule="auto"/>
        <w:ind w:left="360" w:hanging="360"/>
        <w:rPr>
          <w:rFonts w:ascii="Cambria" w:hAnsi="Cambria"/>
          <w:sz w:val="24"/>
          <w:szCs w:val="24"/>
        </w:rPr>
      </w:pPr>
    </w:p>
    <w:p w14:paraId="1FF2503A" w14:textId="68E53FA7" w:rsidR="00025EEA" w:rsidRPr="007334AB" w:rsidRDefault="00025EEA" w:rsidP="00025EEA">
      <w:pPr>
        <w:spacing w:after="0" w:line="240" w:lineRule="auto"/>
        <w:ind w:left="360" w:hanging="360"/>
        <w:rPr>
          <w:rFonts w:ascii="Cambria" w:hAnsi="Cambria"/>
          <w:sz w:val="24"/>
          <w:szCs w:val="24"/>
        </w:rPr>
      </w:pPr>
      <w:r w:rsidRPr="00025EEA">
        <w:rPr>
          <w:rFonts w:ascii="Cambria" w:hAnsi="Cambria"/>
          <w:sz w:val="24"/>
          <w:szCs w:val="24"/>
        </w:rPr>
        <w:t>Hosoi Y.</w:t>
      </w:r>
      <w:r>
        <w:rPr>
          <w:rFonts w:ascii="Cambria" w:hAnsi="Cambria"/>
          <w:sz w:val="24"/>
          <w:szCs w:val="24"/>
        </w:rPr>
        <w:t xml:space="preserve"> (2012)</w:t>
      </w:r>
      <w:r w:rsidRPr="00025EEA">
        <w:rPr>
          <w:rFonts w:ascii="Cambria" w:hAnsi="Cambria"/>
          <w:sz w:val="24"/>
          <w:szCs w:val="24"/>
        </w:rPr>
        <w:t xml:space="preserve"> </w:t>
      </w:r>
      <w:r>
        <w:rPr>
          <w:rFonts w:ascii="Cambria" w:hAnsi="Cambria"/>
          <w:sz w:val="24"/>
          <w:szCs w:val="24"/>
        </w:rPr>
        <w:t>‘Effect by Fuel Cut with the Strong Hybrid Motorcycle to Improve the Fuel Consumption’</w:t>
      </w:r>
      <w:r w:rsidR="007334AB">
        <w:rPr>
          <w:rFonts w:ascii="Cambria" w:hAnsi="Cambria"/>
          <w:sz w:val="24"/>
          <w:szCs w:val="24"/>
        </w:rPr>
        <w:t xml:space="preserve">, </w:t>
      </w:r>
      <w:r w:rsidR="007334AB">
        <w:rPr>
          <w:rFonts w:ascii="Cambria" w:hAnsi="Cambria"/>
          <w:i/>
          <w:iCs/>
          <w:sz w:val="24"/>
          <w:szCs w:val="24"/>
        </w:rPr>
        <w:t>SAE International</w:t>
      </w:r>
      <w:r w:rsidR="007334AB">
        <w:rPr>
          <w:rFonts w:ascii="Cambria" w:hAnsi="Cambria"/>
          <w:sz w:val="24"/>
          <w:szCs w:val="24"/>
        </w:rPr>
        <w:t>, 2012-32-0086</w:t>
      </w:r>
    </w:p>
    <w:p w14:paraId="11D78AED" w14:textId="77777777" w:rsidR="00FB038E" w:rsidRDefault="00FB038E" w:rsidP="00FB038E">
      <w:pPr>
        <w:spacing w:after="0" w:line="240" w:lineRule="auto"/>
        <w:ind w:left="360" w:hanging="360"/>
        <w:rPr>
          <w:rFonts w:ascii="Cambria" w:hAnsi="Cambria"/>
          <w:sz w:val="24"/>
          <w:szCs w:val="24"/>
        </w:rPr>
      </w:pPr>
    </w:p>
    <w:p w14:paraId="14F96D5B" w14:textId="1B903B05" w:rsidR="00FB038E" w:rsidRDefault="00FB038E" w:rsidP="00FB038E">
      <w:pPr>
        <w:spacing w:after="0" w:line="240" w:lineRule="auto"/>
        <w:ind w:left="360" w:hanging="360"/>
        <w:rPr>
          <w:rFonts w:ascii="Cambria" w:hAnsi="Cambria"/>
          <w:sz w:val="24"/>
          <w:szCs w:val="24"/>
        </w:rPr>
      </w:pPr>
      <w:proofErr w:type="spellStart"/>
      <w:r w:rsidRPr="00756E67">
        <w:rPr>
          <w:rFonts w:ascii="Cambria" w:hAnsi="Cambria"/>
          <w:sz w:val="24"/>
          <w:szCs w:val="24"/>
        </w:rPr>
        <w:lastRenderedPageBreak/>
        <w:t>Iodice</w:t>
      </w:r>
      <w:proofErr w:type="spellEnd"/>
      <w:r>
        <w:rPr>
          <w:rFonts w:ascii="Cambria" w:hAnsi="Cambria"/>
          <w:sz w:val="24"/>
          <w:szCs w:val="24"/>
        </w:rPr>
        <w:t xml:space="preserve"> P</w:t>
      </w:r>
      <w:r w:rsidRPr="00756E67">
        <w:rPr>
          <w:rFonts w:ascii="Cambria" w:hAnsi="Cambria"/>
          <w:sz w:val="24"/>
          <w:szCs w:val="24"/>
        </w:rPr>
        <w:t xml:space="preserve">, </w:t>
      </w:r>
      <w:proofErr w:type="spellStart"/>
      <w:r w:rsidRPr="00756E67">
        <w:rPr>
          <w:rFonts w:ascii="Cambria" w:hAnsi="Cambria"/>
          <w:sz w:val="24"/>
          <w:szCs w:val="24"/>
        </w:rPr>
        <w:t>Fornaro</w:t>
      </w:r>
      <w:proofErr w:type="spellEnd"/>
      <w:r>
        <w:rPr>
          <w:rFonts w:ascii="Cambria" w:hAnsi="Cambria"/>
          <w:sz w:val="24"/>
          <w:szCs w:val="24"/>
        </w:rPr>
        <w:t xml:space="preserve"> E</w:t>
      </w:r>
      <w:r w:rsidRPr="00756E67">
        <w:rPr>
          <w:rFonts w:ascii="Cambria" w:hAnsi="Cambria"/>
          <w:sz w:val="24"/>
          <w:szCs w:val="24"/>
        </w:rPr>
        <w:t>, Cardone</w:t>
      </w:r>
      <w:r>
        <w:rPr>
          <w:rFonts w:ascii="Cambria" w:hAnsi="Cambria"/>
          <w:sz w:val="24"/>
          <w:szCs w:val="24"/>
        </w:rPr>
        <w:t xml:space="preserve"> M. (2022)</w:t>
      </w:r>
      <w:r w:rsidRPr="00756E67">
        <w:rPr>
          <w:rFonts w:ascii="Cambria" w:hAnsi="Cambria"/>
          <w:sz w:val="24"/>
          <w:szCs w:val="24"/>
        </w:rPr>
        <w:t xml:space="preserve"> </w:t>
      </w:r>
      <w:r>
        <w:rPr>
          <w:rFonts w:ascii="Cambria" w:hAnsi="Cambria"/>
          <w:sz w:val="24"/>
          <w:szCs w:val="24"/>
        </w:rPr>
        <w:t>‘</w:t>
      </w:r>
      <w:r w:rsidRPr="00756E67">
        <w:rPr>
          <w:rFonts w:ascii="Cambria" w:hAnsi="Cambria"/>
          <w:sz w:val="24"/>
          <w:szCs w:val="24"/>
        </w:rPr>
        <w:t>Hybrid Propulsion for Motorcycle Application to Reduce Engine-out Emissions: An Analytical-Experimental Investigation</w:t>
      </w:r>
      <w:r>
        <w:rPr>
          <w:rFonts w:ascii="Cambria" w:hAnsi="Cambria"/>
          <w:sz w:val="24"/>
          <w:szCs w:val="24"/>
        </w:rPr>
        <w:t>’</w:t>
      </w:r>
      <w:r w:rsidRPr="00756E67">
        <w:rPr>
          <w:rFonts w:ascii="Cambria" w:hAnsi="Cambria"/>
          <w:sz w:val="24"/>
          <w:szCs w:val="24"/>
        </w:rPr>
        <w:t xml:space="preserve">, </w:t>
      </w:r>
      <w:r w:rsidRPr="00756E67">
        <w:rPr>
          <w:rFonts w:ascii="Cambria" w:hAnsi="Cambria"/>
          <w:i/>
          <w:iCs/>
          <w:sz w:val="24"/>
          <w:szCs w:val="24"/>
        </w:rPr>
        <w:t>Journal of Physics: Conference Series</w:t>
      </w:r>
      <w:r w:rsidRPr="00756E67">
        <w:rPr>
          <w:rFonts w:ascii="Cambria" w:hAnsi="Cambria"/>
          <w:sz w:val="24"/>
          <w:szCs w:val="24"/>
        </w:rPr>
        <w:t xml:space="preserve">, </w:t>
      </w:r>
      <w:r w:rsidR="00B62914">
        <w:rPr>
          <w:rFonts w:ascii="Cambria" w:hAnsi="Cambria"/>
          <w:sz w:val="24"/>
          <w:szCs w:val="24"/>
        </w:rPr>
        <w:t xml:space="preserve">ATI Annual Conference, </w:t>
      </w:r>
      <w:r w:rsidRPr="00756E67">
        <w:rPr>
          <w:rFonts w:ascii="Cambria" w:hAnsi="Cambria"/>
          <w:sz w:val="24"/>
          <w:szCs w:val="24"/>
        </w:rPr>
        <w:t>238</w:t>
      </w:r>
      <w:r>
        <w:rPr>
          <w:rFonts w:ascii="Cambria" w:hAnsi="Cambria"/>
          <w:sz w:val="24"/>
          <w:szCs w:val="24"/>
        </w:rPr>
        <w:t>5</w:t>
      </w:r>
    </w:p>
    <w:p w14:paraId="6C5D0BC4" w14:textId="4899417C" w:rsidR="00675FEB" w:rsidRDefault="00675FEB" w:rsidP="00FB038E">
      <w:pPr>
        <w:spacing w:after="0" w:line="240" w:lineRule="auto"/>
        <w:ind w:left="360" w:hanging="360"/>
        <w:rPr>
          <w:rFonts w:ascii="Cambria" w:hAnsi="Cambria"/>
          <w:sz w:val="24"/>
          <w:szCs w:val="24"/>
        </w:rPr>
      </w:pPr>
    </w:p>
    <w:p w14:paraId="3A71FF73" w14:textId="2C0FF6D2" w:rsidR="00675FEB" w:rsidRDefault="00675FEB" w:rsidP="00FB038E">
      <w:pPr>
        <w:spacing w:after="0" w:line="240" w:lineRule="auto"/>
        <w:ind w:left="360" w:hanging="360"/>
        <w:rPr>
          <w:rFonts w:ascii="Cambria" w:hAnsi="Cambria"/>
          <w:sz w:val="24"/>
          <w:szCs w:val="24"/>
        </w:rPr>
      </w:pPr>
      <w:r>
        <w:rPr>
          <w:rFonts w:ascii="Cambria" w:hAnsi="Cambria"/>
          <w:sz w:val="24"/>
          <w:szCs w:val="24"/>
        </w:rPr>
        <w:t>Martin D. (2023) ‘</w:t>
      </w:r>
      <w:r w:rsidRPr="00675FEB">
        <w:rPr>
          <w:rFonts w:ascii="Cambria" w:hAnsi="Cambria"/>
          <w:sz w:val="24"/>
          <w:szCs w:val="24"/>
        </w:rPr>
        <w:t xml:space="preserve">Net zero ban on </w:t>
      </w:r>
      <w:proofErr w:type="spellStart"/>
      <w:r w:rsidRPr="00675FEB">
        <w:rPr>
          <w:rFonts w:ascii="Cambria" w:hAnsi="Cambria"/>
          <w:sz w:val="24"/>
          <w:szCs w:val="24"/>
        </w:rPr>
        <w:t>petrol</w:t>
      </w:r>
      <w:proofErr w:type="spellEnd"/>
      <w:r w:rsidRPr="00675FEB">
        <w:rPr>
          <w:rFonts w:ascii="Cambria" w:hAnsi="Cambria"/>
          <w:sz w:val="24"/>
          <w:szCs w:val="24"/>
        </w:rPr>
        <w:t xml:space="preserve"> cars in chaos after Brussels climbdown</w:t>
      </w:r>
      <w:r>
        <w:rPr>
          <w:rFonts w:ascii="Cambria" w:hAnsi="Cambria"/>
          <w:sz w:val="24"/>
          <w:szCs w:val="24"/>
        </w:rPr>
        <w:t xml:space="preserve">’, </w:t>
      </w:r>
      <w:r>
        <w:rPr>
          <w:rFonts w:ascii="Cambria" w:hAnsi="Cambria"/>
          <w:i/>
          <w:iCs/>
          <w:sz w:val="24"/>
          <w:szCs w:val="24"/>
        </w:rPr>
        <w:t>The Telegraph</w:t>
      </w:r>
      <w:r>
        <w:rPr>
          <w:rFonts w:ascii="Cambria" w:hAnsi="Cambria"/>
          <w:sz w:val="24"/>
          <w:szCs w:val="24"/>
        </w:rPr>
        <w:t>, 28 March</w:t>
      </w:r>
    </w:p>
    <w:p w14:paraId="7B7CB2D2" w14:textId="79E52F00" w:rsidR="00023E55" w:rsidRDefault="00023E55" w:rsidP="00FB038E">
      <w:pPr>
        <w:spacing w:after="0" w:line="240" w:lineRule="auto"/>
        <w:ind w:left="360" w:hanging="360"/>
        <w:rPr>
          <w:rFonts w:ascii="Cambria" w:hAnsi="Cambria"/>
          <w:sz w:val="24"/>
          <w:szCs w:val="24"/>
        </w:rPr>
      </w:pPr>
    </w:p>
    <w:p w14:paraId="684917FF" w14:textId="4199C726" w:rsidR="00023E55" w:rsidRPr="00023E55" w:rsidRDefault="00023E55" w:rsidP="00FB038E">
      <w:pPr>
        <w:spacing w:after="0" w:line="240" w:lineRule="auto"/>
        <w:ind w:left="360" w:hanging="360"/>
        <w:rPr>
          <w:rFonts w:ascii="Cambria" w:hAnsi="Cambria"/>
          <w:sz w:val="24"/>
          <w:szCs w:val="24"/>
        </w:rPr>
      </w:pPr>
      <w:r>
        <w:rPr>
          <w:rFonts w:ascii="Cambria" w:hAnsi="Cambria"/>
          <w:sz w:val="24"/>
          <w:szCs w:val="24"/>
        </w:rPr>
        <w:t xml:space="preserve">O’Dea S. (2023) </w:t>
      </w:r>
      <w:r w:rsidRPr="00023E55">
        <w:rPr>
          <w:rFonts w:ascii="Cambria" w:hAnsi="Cambria"/>
          <w:i/>
          <w:iCs/>
          <w:sz w:val="24"/>
          <w:szCs w:val="24"/>
        </w:rPr>
        <w:t>Electric Vehicles – global lithium-ion battery pack costs 2011-2030</w:t>
      </w:r>
      <w:r>
        <w:rPr>
          <w:rFonts w:ascii="Cambria" w:hAnsi="Cambria"/>
          <w:sz w:val="24"/>
          <w:szCs w:val="24"/>
        </w:rPr>
        <w:t xml:space="preserve">. Available: </w:t>
      </w:r>
      <w:r w:rsidRPr="00023E55">
        <w:rPr>
          <w:rFonts w:ascii="Cambria" w:hAnsi="Cambria"/>
          <w:sz w:val="24"/>
          <w:szCs w:val="24"/>
        </w:rPr>
        <w:t>https://www.statista.com/statistics/883118/global-lithium-ion-battery-pack-costs/</w:t>
      </w:r>
      <w:r>
        <w:rPr>
          <w:rFonts w:ascii="Cambria" w:hAnsi="Cambria"/>
          <w:sz w:val="24"/>
          <w:szCs w:val="24"/>
        </w:rPr>
        <w:t xml:space="preserve"> (Accessed </w:t>
      </w:r>
      <w:r w:rsidR="005E5B7B">
        <w:rPr>
          <w:rFonts w:ascii="Cambria" w:hAnsi="Cambria"/>
          <w:sz w:val="24"/>
          <w:szCs w:val="24"/>
        </w:rPr>
        <w:t xml:space="preserve">30 </w:t>
      </w:r>
      <w:r>
        <w:rPr>
          <w:rFonts w:ascii="Cambria" w:hAnsi="Cambria"/>
          <w:sz w:val="24"/>
          <w:szCs w:val="24"/>
        </w:rPr>
        <w:t>March 2023)</w:t>
      </w:r>
    </w:p>
    <w:p w14:paraId="7704EB30" w14:textId="12BF924B" w:rsidR="00156EF8" w:rsidRDefault="00156EF8" w:rsidP="00FB038E">
      <w:pPr>
        <w:spacing w:after="0" w:line="240" w:lineRule="auto"/>
        <w:ind w:left="360" w:hanging="360"/>
        <w:rPr>
          <w:rFonts w:ascii="Cambria" w:hAnsi="Cambria"/>
          <w:sz w:val="24"/>
          <w:szCs w:val="24"/>
        </w:rPr>
      </w:pPr>
    </w:p>
    <w:p w14:paraId="5A5BF27A" w14:textId="35E46F1D" w:rsidR="00156EF8" w:rsidRDefault="00156EF8" w:rsidP="00FB038E">
      <w:pPr>
        <w:spacing w:after="0" w:line="240" w:lineRule="auto"/>
        <w:ind w:left="360" w:hanging="360"/>
        <w:rPr>
          <w:rFonts w:ascii="Cambria" w:hAnsi="Cambria"/>
          <w:sz w:val="24"/>
          <w:szCs w:val="24"/>
        </w:rPr>
      </w:pPr>
      <w:r>
        <w:rPr>
          <w:rFonts w:ascii="Cambria" w:hAnsi="Cambria"/>
          <w:sz w:val="24"/>
          <w:szCs w:val="24"/>
        </w:rPr>
        <w:t>Purvis B. (2021) ‘</w:t>
      </w:r>
      <w:r w:rsidRPr="00156EF8">
        <w:rPr>
          <w:rFonts w:ascii="Cambria" w:hAnsi="Cambria"/>
          <w:sz w:val="24"/>
          <w:szCs w:val="24"/>
        </w:rPr>
        <w:t>Kawasaki Goes Electric With Ambitious New Model Plans</w:t>
      </w:r>
      <w:r>
        <w:rPr>
          <w:rFonts w:ascii="Cambria" w:hAnsi="Cambria"/>
          <w:sz w:val="24"/>
          <w:szCs w:val="24"/>
        </w:rPr>
        <w:t xml:space="preserve">’, </w:t>
      </w:r>
      <w:r>
        <w:rPr>
          <w:rFonts w:ascii="Cambria" w:hAnsi="Cambria"/>
          <w:i/>
          <w:iCs/>
          <w:sz w:val="24"/>
          <w:szCs w:val="24"/>
        </w:rPr>
        <w:t>Cycle World</w:t>
      </w:r>
      <w:r>
        <w:rPr>
          <w:rFonts w:ascii="Cambria" w:hAnsi="Cambria"/>
          <w:sz w:val="24"/>
          <w:szCs w:val="24"/>
        </w:rPr>
        <w:t>, 15 October</w:t>
      </w:r>
    </w:p>
    <w:p w14:paraId="1787860D" w14:textId="452E6462" w:rsidR="005E5B7B" w:rsidRDefault="005E5B7B" w:rsidP="00FB038E">
      <w:pPr>
        <w:spacing w:after="0" w:line="240" w:lineRule="auto"/>
        <w:ind w:left="360" w:hanging="360"/>
        <w:rPr>
          <w:rFonts w:ascii="Cambria" w:hAnsi="Cambria"/>
          <w:sz w:val="24"/>
          <w:szCs w:val="24"/>
        </w:rPr>
      </w:pPr>
    </w:p>
    <w:p w14:paraId="1FCDDE44" w14:textId="338E30BA" w:rsidR="005E5B7B" w:rsidRPr="005E5B7B" w:rsidRDefault="005E5B7B" w:rsidP="00FB038E">
      <w:pPr>
        <w:spacing w:after="0" w:line="240" w:lineRule="auto"/>
        <w:ind w:left="360" w:hanging="360"/>
        <w:rPr>
          <w:rFonts w:ascii="Cambria" w:hAnsi="Cambria"/>
          <w:sz w:val="24"/>
          <w:szCs w:val="24"/>
        </w:rPr>
      </w:pPr>
      <w:proofErr w:type="spellStart"/>
      <w:r>
        <w:rPr>
          <w:rFonts w:ascii="Cambria" w:hAnsi="Cambria"/>
          <w:sz w:val="24"/>
          <w:szCs w:val="24"/>
        </w:rPr>
        <w:t>PowerUp</w:t>
      </w:r>
      <w:proofErr w:type="spellEnd"/>
      <w:r>
        <w:rPr>
          <w:rFonts w:ascii="Cambria" w:hAnsi="Cambria"/>
          <w:sz w:val="24"/>
          <w:szCs w:val="24"/>
        </w:rPr>
        <w:t xml:space="preserve"> Tips (2021). ‘</w:t>
      </w:r>
      <w:r w:rsidRPr="005E5B7B">
        <w:rPr>
          <w:rFonts w:ascii="Cambria" w:hAnsi="Cambria"/>
          <w:sz w:val="24"/>
          <w:szCs w:val="24"/>
        </w:rPr>
        <w:t>Lithium Battery vs. Supercapacitor</w:t>
      </w:r>
      <w:r>
        <w:rPr>
          <w:rFonts w:ascii="Cambria" w:hAnsi="Cambria"/>
          <w:sz w:val="24"/>
          <w:szCs w:val="24"/>
        </w:rPr>
        <w:t xml:space="preserve">’, </w:t>
      </w:r>
      <w:proofErr w:type="spellStart"/>
      <w:r w:rsidRPr="005E5B7B">
        <w:rPr>
          <w:rFonts w:ascii="Cambria" w:hAnsi="Cambria"/>
          <w:i/>
          <w:iCs/>
          <w:sz w:val="24"/>
          <w:szCs w:val="24"/>
        </w:rPr>
        <w:t>PowerUptips</w:t>
      </w:r>
      <w:proofErr w:type="spellEnd"/>
      <w:r>
        <w:rPr>
          <w:rFonts w:ascii="Cambria" w:hAnsi="Cambria"/>
          <w:sz w:val="24"/>
          <w:szCs w:val="24"/>
        </w:rPr>
        <w:t xml:space="preserve"> [blog] 1 December. Available: </w:t>
      </w:r>
      <w:r w:rsidRPr="005E5B7B">
        <w:rPr>
          <w:rFonts w:ascii="Cambria" w:hAnsi="Cambria"/>
          <w:sz w:val="24"/>
          <w:szCs w:val="24"/>
        </w:rPr>
        <w:t>https://poweruptips.com/lithium-battery-vs-supercapacitor/</w:t>
      </w:r>
      <w:r>
        <w:rPr>
          <w:rFonts w:ascii="Cambria" w:hAnsi="Cambria"/>
          <w:sz w:val="24"/>
          <w:szCs w:val="24"/>
        </w:rPr>
        <w:t xml:space="preserve"> (Accessed 30 March 2023)</w:t>
      </w:r>
    </w:p>
    <w:p w14:paraId="00F49F42" w14:textId="77777777" w:rsidR="00FB038E" w:rsidRPr="00756E67" w:rsidRDefault="00FB038E" w:rsidP="00FB038E">
      <w:pPr>
        <w:spacing w:after="0" w:line="240" w:lineRule="auto"/>
        <w:ind w:left="360" w:hanging="360"/>
        <w:rPr>
          <w:rFonts w:ascii="Cambria" w:hAnsi="Cambria"/>
          <w:sz w:val="24"/>
          <w:szCs w:val="24"/>
        </w:rPr>
      </w:pPr>
    </w:p>
    <w:p w14:paraId="706ED63C" w14:textId="48C353B5" w:rsidR="00756E67" w:rsidRPr="00756E67" w:rsidRDefault="00756E67" w:rsidP="00756E67">
      <w:pPr>
        <w:spacing w:after="0" w:line="240" w:lineRule="auto"/>
        <w:ind w:left="360" w:hanging="360"/>
        <w:rPr>
          <w:rFonts w:ascii="Cambria" w:hAnsi="Cambria"/>
          <w:sz w:val="24"/>
          <w:szCs w:val="24"/>
        </w:rPr>
      </w:pPr>
      <w:r w:rsidRPr="00756E67">
        <w:rPr>
          <w:rFonts w:ascii="Cambria" w:hAnsi="Cambria"/>
          <w:sz w:val="24"/>
          <w:szCs w:val="24"/>
        </w:rPr>
        <w:t>Research and Markets</w:t>
      </w:r>
      <w:r>
        <w:rPr>
          <w:rFonts w:ascii="Cambria" w:hAnsi="Cambria"/>
          <w:sz w:val="24"/>
          <w:szCs w:val="24"/>
        </w:rPr>
        <w:t xml:space="preserve"> (2022) </w:t>
      </w:r>
      <w:r w:rsidRPr="00756E67">
        <w:rPr>
          <w:rFonts w:ascii="Cambria" w:hAnsi="Cambria"/>
          <w:i/>
          <w:iCs/>
          <w:sz w:val="24"/>
          <w:szCs w:val="24"/>
        </w:rPr>
        <w:t>Global Motorcycles, Scooters and Mopeds Markets Report 2022-2026 - Motorcycle Makers Target Electric Bicycles as Bridge Product for Future Sales</w:t>
      </w:r>
      <w:r>
        <w:rPr>
          <w:rFonts w:ascii="Cambria" w:hAnsi="Cambria"/>
          <w:sz w:val="24"/>
          <w:szCs w:val="24"/>
        </w:rPr>
        <w:t xml:space="preserve">. </w:t>
      </w:r>
      <w:r w:rsidRPr="00756E67">
        <w:rPr>
          <w:rFonts w:ascii="Cambria" w:hAnsi="Cambria"/>
          <w:sz w:val="24"/>
          <w:szCs w:val="24"/>
        </w:rPr>
        <w:t>Available: https://www.globenewswire.com/news-release/2022/09/09/2513077/28124/en/Global-Motorcycles-Scooters-and-Mopeds-Markets-Report-2022-2026-Motorcycle-Makers-Target-Electric-Bicycles-as-Bridge-Product-for-Future-Sales.html</w:t>
      </w:r>
      <w:r>
        <w:rPr>
          <w:rFonts w:ascii="Cambria" w:hAnsi="Cambria"/>
          <w:sz w:val="24"/>
          <w:szCs w:val="24"/>
        </w:rPr>
        <w:t xml:space="preserve"> (Accessed March 1 2023)</w:t>
      </w:r>
    </w:p>
    <w:p w14:paraId="671DB10F" w14:textId="77777777" w:rsidR="00756E67" w:rsidRPr="00756E67" w:rsidRDefault="00756E67" w:rsidP="00756E67">
      <w:pPr>
        <w:spacing w:after="0" w:line="240" w:lineRule="auto"/>
        <w:ind w:left="360" w:hanging="360"/>
        <w:rPr>
          <w:rFonts w:ascii="Cambria" w:hAnsi="Cambria"/>
          <w:sz w:val="24"/>
          <w:szCs w:val="24"/>
        </w:rPr>
      </w:pPr>
    </w:p>
    <w:p w14:paraId="2568F7B7" w14:textId="2BAF4878" w:rsidR="00756E67" w:rsidRPr="00837329" w:rsidRDefault="00756E67" w:rsidP="00FB038E">
      <w:pPr>
        <w:spacing w:after="0" w:line="240" w:lineRule="auto"/>
        <w:ind w:left="360" w:hanging="360"/>
        <w:rPr>
          <w:rFonts w:ascii="Cambria" w:hAnsi="Cambria"/>
          <w:sz w:val="24"/>
          <w:szCs w:val="24"/>
        </w:rPr>
      </w:pPr>
      <w:r w:rsidRPr="00756E67">
        <w:rPr>
          <w:rFonts w:ascii="Cambria" w:hAnsi="Cambria"/>
          <w:sz w:val="24"/>
          <w:szCs w:val="24"/>
        </w:rPr>
        <w:t xml:space="preserve">TransportPolicy.net </w:t>
      </w:r>
      <w:r>
        <w:rPr>
          <w:rFonts w:ascii="Cambria" w:hAnsi="Cambria"/>
          <w:sz w:val="24"/>
          <w:szCs w:val="24"/>
        </w:rPr>
        <w:t xml:space="preserve">(2020) </w:t>
      </w:r>
      <w:r w:rsidRPr="00756E67">
        <w:rPr>
          <w:rFonts w:ascii="Cambria" w:hAnsi="Cambria"/>
          <w:i/>
          <w:iCs/>
          <w:sz w:val="24"/>
          <w:szCs w:val="24"/>
        </w:rPr>
        <w:t>EU: Motorcycles: Emissions</w:t>
      </w:r>
      <w:r>
        <w:rPr>
          <w:rFonts w:ascii="Cambria" w:hAnsi="Cambria"/>
          <w:sz w:val="24"/>
          <w:szCs w:val="24"/>
        </w:rPr>
        <w:t>.</w:t>
      </w:r>
      <w:r w:rsidRPr="00756E67">
        <w:rPr>
          <w:rFonts w:ascii="Cambria" w:hAnsi="Cambria"/>
          <w:sz w:val="24"/>
          <w:szCs w:val="24"/>
        </w:rPr>
        <w:t xml:space="preserve"> Available: https://www.transportpolicy.net/standard/eu-motorcycles-emissions/</w:t>
      </w:r>
      <w:r>
        <w:rPr>
          <w:rFonts w:ascii="Cambria" w:hAnsi="Cambria"/>
          <w:sz w:val="24"/>
          <w:szCs w:val="24"/>
        </w:rPr>
        <w:t xml:space="preserve"> (Accessed 1 March 2023)</w:t>
      </w:r>
    </w:p>
    <w:sectPr w:rsidR="00756E67" w:rsidRPr="00837329" w:rsidSect="00CA6DBA">
      <w:headerReference w:type="default" r:id="rId20"/>
      <w:type w:val="continuous"/>
      <w:pgSz w:w="11907" w:h="16840"/>
      <w:pgMar w:top="720" w:right="720" w:bottom="720" w:left="720" w:header="720" w:footer="720" w:gutter="0"/>
      <w:cols w:space="432"/>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B5D806" w14:textId="77777777" w:rsidR="004173E4" w:rsidRDefault="004173E4">
      <w:pPr>
        <w:spacing w:after="0" w:line="240" w:lineRule="auto"/>
      </w:pPr>
      <w:r>
        <w:separator/>
      </w:r>
    </w:p>
  </w:endnote>
  <w:endnote w:type="continuationSeparator" w:id="0">
    <w:p w14:paraId="6604BDEB" w14:textId="77777777" w:rsidR="004173E4" w:rsidRDefault="004173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Times">
    <w:panose1 w:val="02020603050405020304"/>
    <w:charset w:val="00"/>
    <w:family w:val="roman"/>
    <w:pitch w:val="variable"/>
    <w:sig w:usb0="E0002EFF" w:usb1="C000785B" w:usb2="00000009" w:usb3="00000000" w:csb0="000001FF" w:csb1="00000000"/>
  </w:font>
  <w:font w:name="BatangChe">
    <w:altName w:val="Malgun Gothic Semilight"/>
    <w:charset w:val="81"/>
    <w:family w:val="modern"/>
    <w:pitch w:val="fixed"/>
    <w:sig w:usb0="B00002AF" w:usb1="69D77CFB" w:usb2="00000030" w:usb3="00000000" w:csb0="0008009F" w:csb1="00000000"/>
  </w:font>
  <w:font w:name="Cambria Math">
    <w:panose1 w:val="02040503050406030204"/>
    <w:charset w:val="00"/>
    <w:family w:val="roman"/>
    <w:pitch w:val="variable"/>
    <w:sig w:usb0="E00006FF" w:usb1="420024FF" w:usb2="02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BD1CAA" w14:textId="03018DC7" w:rsidR="00405DB3" w:rsidRDefault="00F6591B" w:rsidP="00405DB3">
    <w:pPr>
      <w:pStyle w:val="Footer"/>
      <w:rPr>
        <w:rFonts w:ascii="Cambria" w:hAnsi="Cambria" w:cs="Cambria"/>
        <w:b/>
        <w:bCs/>
        <w:color w:val="585858"/>
      </w:rPr>
    </w:pPr>
    <w:r>
      <w:rPr>
        <w:rFonts w:ascii="Cambria" w:hAnsi="Cambria" w:cs="Cambria"/>
        <w:b/>
        <w:bCs/>
        <w:noProof/>
        <w:color w:val="585858"/>
        <w:lang w:val="en-GB" w:eastAsia="en-GB"/>
      </w:rPr>
      <mc:AlternateContent>
        <mc:Choice Requires="wps">
          <w:drawing>
            <wp:anchor distT="0" distB="0" distL="114300" distR="114300" simplePos="0" relativeHeight="251659776" behindDoc="0" locked="0" layoutInCell="1" allowOverlap="1" wp14:anchorId="4FBA3D2B" wp14:editId="68403A18">
              <wp:simplePos x="0" y="0"/>
              <wp:positionH relativeFrom="column">
                <wp:posOffset>5715</wp:posOffset>
              </wp:positionH>
              <wp:positionV relativeFrom="paragraph">
                <wp:posOffset>67310</wp:posOffset>
              </wp:positionV>
              <wp:extent cx="6685280" cy="0"/>
              <wp:effectExtent l="5715" t="8890" r="5080" b="635"/>
              <wp:wrapNone/>
              <wp:docPr id="6"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7788DE5" id="_x0000_t32" coordsize="21600,21600" o:spt="32" o:oned="t" path="m,l21600,21600e" filled="f">
              <v:path arrowok="t" fillok="f" o:connecttype="none"/>
              <o:lock v:ext="edit" shapetype="t"/>
            </v:shapetype>
            <v:shape id="AutoShape 1" o:spid="_x0000_s1026" type="#_x0000_t32" style="position:absolute;margin-left:.45pt;margin-top:5.3pt;width:526.4pt;height:0;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" strokecolor="gray"/>
          </w:pict>
        </mc:Fallback>
      </mc:AlternateContent>
    </w:r>
    <w:r>
      <w:rPr>
        <w:rFonts w:ascii="Cambria" w:hAnsi="Cambria" w:cs="Cambria"/>
        <w:b/>
        <w:bCs/>
        <w:noProof/>
        <w:color w:val="585858"/>
        <w:lang w:val="en-GB" w:eastAsia="en-GB"/>
      </w:rPr>
      <mc:AlternateContent>
        <mc:Choice Requires="wps">
          <w:drawing>
            <wp:anchor distT="0" distB="0" distL="114300" distR="114300" simplePos="0" relativeHeight="251658752" behindDoc="0" locked="0" layoutInCell="1" allowOverlap="1" wp14:anchorId="36C9786F" wp14:editId="427B9E20">
              <wp:simplePos x="0" y="0"/>
              <wp:positionH relativeFrom="column">
                <wp:posOffset>5715</wp:posOffset>
              </wp:positionH>
              <wp:positionV relativeFrom="paragraph">
                <wp:posOffset>99060</wp:posOffset>
              </wp:positionV>
              <wp:extent cx="6685280" cy="0"/>
              <wp:effectExtent l="5715" t="2540" r="5080" b="6985"/>
              <wp:wrapNone/>
              <wp:docPr id="5"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6A4664E" id="AutoShape 1" o:spid="_x0000_s1026" type="#_x0000_t32" style="position:absolute;margin-left:.45pt;margin-top:7.8pt;width:526.4pt;height:0;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" strokecolor="gray"/>
          </w:pict>
        </mc:Fallback>
      </mc:AlternateContent>
    </w:r>
  </w:p>
  <w:p w14:paraId="27017602" w14:textId="77777777" w:rsidR="00443E0C" w:rsidRPr="00AA4767" w:rsidRDefault="00405DB3" w:rsidP="00405DB3">
    <w:pPr>
      <w:pStyle w:val="Footer"/>
      <w:rPr>
        <w:rFonts w:ascii="Cambria" w:hAnsi="Cambria"/>
        <w:sz w:val="20"/>
      </w:rPr>
    </w:pPr>
    <w:r w:rsidRPr="00AA4767">
      <w:rPr>
        <w:rFonts w:ascii="Cambria" w:hAnsi="Cambria" w:cs="Cambria"/>
        <w:b/>
        <w:bCs/>
        <w:color w:val="585858"/>
        <w:sz w:val="20"/>
      </w:rPr>
      <w:t>©</w:t>
    </w:r>
    <w:r w:rsidRPr="00AA4767">
      <w:rPr>
        <w:rFonts w:ascii="Cambria" w:hAnsi="Cambria" w:cs="Cambria"/>
        <w:b/>
        <w:bCs/>
        <w:color w:val="585858"/>
        <w:spacing w:val="1"/>
        <w:sz w:val="20"/>
      </w:rPr>
      <w:t xml:space="preserve"> 20</w:t>
    </w:r>
    <w:r w:rsidRPr="00AA4767">
      <w:rPr>
        <w:rFonts w:ascii="Cambria" w:hAnsi="Cambria" w:cs="Cambria"/>
        <w:b/>
        <w:bCs/>
        <w:color w:val="585858"/>
        <w:spacing w:val="-4"/>
        <w:sz w:val="20"/>
      </w:rPr>
      <w:t>20</w:t>
    </w:r>
    <w:r w:rsidRPr="00AA4767">
      <w:rPr>
        <w:rFonts w:ascii="Cambria" w:hAnsi="Cambria" w:cs="Cambria"/>
        <w:b/>
        <w:bCs/>
        <w:color w:val="585858"/>
        <w:sz w:val="20"/>
      </w:rPr>
      <w:t>,</w:t>
    </w:r>
    <w:r w:rsidRPr="00AA4767">
      <w:rPr>
        <w:rFonts w:ascii="Cambria" w:hAnsi="Cambria" w:cs="Cambria"/>
        <w:b/>
        <w:bCs/>
        <w:color w:val="585858"/>
        <w:spacing w:val="1"/>
        <w:sz w:val="20"/>
      </w:rPr>
      <w:t xml:space="preserve"> UWTSD-</w:t>
    </w:r>
    <w:r w:rsidR="00B13FA1" w:rsidRPr="00AA4767">
      <w:rPr>
        <w:rFonts w:ascii="Cambria" w:hAnsi="Cambria" w:cs="Cambria"/>
        <w:b/>
        <w:bCs/>
        <w:color w:val="585858"/>
        <w:spacing w:val="1"/>
        <w:sz w:val="20"/>
      </w:rPr>
      <w:t>SAE</w:t>
    </w:r>
    <w:r w:rsidRPr="00AA4767">
      <w:rPr>
        <w:rFonts w:ascii="Cambria" w:hAnsi="Cambria" w:cs="Cambria"/>
        <w:b/>
        <w:bCs/>
        <w:color w:val="585858"/>
        <w:spacing w:val="-1"/>
        <w:sz w:val="20"/>
      </w:rPr>
      <w:t xml:space="preserve">   |</w:t>
    </w:r>
    <w:r w:rsidRPr="00AA4767">
      <w:rPr>
        <w:rFonts w:ascii="Cambria" w:hAnsi="Cambria" w:cs="Cambria"/>
        <w:b/>
        <w:bCs/>
        <w:color w:val="585858"/>
        <w:spacing w:val="-1"/>
        <w:sz w:val="20"/>
      </w:rPr>
      <w:tab/>
    </w:r>
    <w:r w:rsidRPr="00AA4767">
      <w:rPr>
        <w:rFonts w:ascii="Cambria" w:hAnsi="Cambria" w:cs="Cambria"/>
        <w:b/>
        <w:bCs/>
        <w:color w:val="585858"/>
        <w:spacing w:val="-1"/>
        <w:sz w:val="20"/>
      </w:rPr>
      <w:tab/>
    </w:r>
    <w:r w:rsidR="009E298A" w:rsidRPr="00AA4767">
      <w:rPr>
        <w:rFonts w:ascii="Cambria" w:hAnsi="Cambria" w:cs="Cambria"/>
        <w:b/>
        <w:bCs/>
        <w:color w:val="585858"/>
        <w:spacing w:val="-1"/>
        <w:sz w:val="20"/>
      </w:rPr>
      <w:t xml:space="preserve">        </w:t>
    </w:r>
    <w:r w:rsidRPr="00AA4767">
      <w:rPr>
        <w:rFonts w:ascii="Cambria" w:hAnsi="Cambria"/>
        <w:sz w:val="20"/>
      </w:rPr>
      <w:t xml:space="preserve">Page </w:t>
    </w:r>
    <w:r w:rsidRPr="00AA4767">
      <w:rPr>
        <w:rFonts w:ascii="Cambria" w:hAnsi="Cambria"/>
        <w:sz w:val="20"/>
      </w:rPr>
      <w:fldChar w:fldCharType="begin"/>
    </w:r>
    <w:r w:rsidRPr="00AA4767">
      <w:rPr>
        <w:rFonts w:ascii="Cambria" w:hAnsi="Cambria"/>
        <w:sz w:val="20"/>
      </w:rPr>
      <w:instrText xml:space="preserve"> PAGE   \* MERGEFORMAT </w:instrText>
    </w:r>
    <w:r w:rsidRPr="00AA4767">
      <w:rPr>
        <w:rFonts w:ascii="Cambria" w:hAnsi="Cambria"/>
        <w:sz w:val="20"/>
      </w:rPr>
      <w:fldChar w:fldCharType="separate"/>
    </w:r>
    <w:r w:rsidR="000F378D" w:rsidRPr="000F378D">
      <w:rPr>
        <w:rFonts w:ascii="Cambria" w:hAnsi="Cambria"/>
        <w:noProof/>
        <w:sz w:val="20"/>
        <w:lang w:eastAsia="ja-JP"/>
      </w:rPr>
      <w:t>2</w:t>
    </w:r>
    <w:r w:rsidRPr="00AA4767">
      <w:rPr>
        <w:rFonts w:ascii="Cambria" w:hAnsi="Cambria"/>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A538AB" w14:textId="77777777" w:rsidR="004173E4" w:rsidRDefault="004173E4">
      <w:pPr>
        <w:spacing w:after="0" w:line="240" w:lineRule="auto"/>
      </w:pPr>
      <w:r>
        <w:separator/>
      </w:r>
    </w:p>
  </w:footnote>
  <w:footnote w:type="continuationSeparator" w:id="0">
    <w:p w14:paraId="1F74E494" w14:textId="77777777" w:rsidR="004173E4" w:rsidRDefault="004173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A970F8" w14:textId="124C837C" w:rsidR="007F18D6" w:rsidRDefault="00F6591B">
    <w:pPr>
      <w:pStyle w:val="Heading1"/>
      <w:spacing w:line="240" w:lineRule="auto"/>
      <w:rPr>
        <w:rStyle w:val="Strong"/>
      </w:rPr>
    </w:pPr>
    <w:r>
      <w:rPr>
        <w:rStyle w:val="Strong"/>
        <w:noProof/>
      </w:rPr>
      <w:drawing>
        <wp:inline distT="0" distB="0" distL="0" distR="0" wp14:anchorId="396D226A" wp14:editId="6E0A0AC8">
          <wp:extent cx="1352550" cy="552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52550" cy="552450"/>
                  </a:xfrm>
                  <a:prstGeom prst="rect">
                    <a:avLst/>
                  </a:prstGeom>
                  <a:noFill/>
                  <a:ln>
                    <a:noFill/>
                  </a:ln>
                </pic:spPr>
              </pic:pic>
            </a:graphicData>
          </a:graphic>
        </wp:inline>
      </w:drawing>
    </w:r>
  </w:p>
  <w:p w14:paraId="275FAE64" w14:textId="212F8E2C" w:rsidR="00443E0C" w:rsidRDefault="007F18D6" w:rsidP="007F18D6">
    <w:pPr>
      <w:pStyle w:val="Heading1"/>
      <w:spacing w:line="240" w:lineRule="auto"/>
      <w:ind w:firstLine="720"/>
      <w:rPr>
        <w:rStyle w:val="Strong"/>
        <w:sz w:val="20"/>
        <w:szCs w:val="20"/>
      </w:rPr>
    </w:pPr>
    <w:r>
      <w:rPr>
        <w:rStyle w:val="Strong"/>
      </w:rPr>
      <w:t xml:space="preserve">UWTSD </w:t>
    </w:r>
    <w:r w:rsidR="00EF2A66">
      <w:rPr>
        <w:sz w:val="24"/>
        <w:szCs w:val="24"/>
      </w:rPr>
      <w:t>Motorcycle</w:t>
    </w:r>
    <w:r>
      <w:rPr>
        <w:sz w:val="24"/>
        <w:szCs w:val="24"/>
      </w:rPr>
      <w:t xml:space="preserve"> </w:t>
    </w:r>
    <w:r w:rsidR="00443E0C">
      <w:rPr>
        <w:sz w:val="24"/>
        <w:szCs w:val="24"/>
      </w:rPr>
      <w:t xml:space="preserve">Engineering </w:t>
    </w:r>
    <w:r w:rsidR="00443E0C">
      <w:rPr>
        <w:rStyle w:val="Strong"/>
        <w:b/>
        <w:sz w:val="24"/>
        <w:szCs w:val="24"/>
      </w:rPr>
      <w:t>(</w:t>
    </w:r>
    <w:r w:rsidR="00B13FA1">
      <w:rPr>
        <w:rStyle w:val="Strong"/>
        <w:b/>
        <w:sz w:val="24"/>
        <w:szCs w:val="24"/>
      </w:rPr>
      <w:t>UWTSD-S</w:t>
    </w:r>
    <w:r>
      <w:rPr>
        <w:rStyle w:val="Strong"/>
        <w:b/>
        <w:sz w:val="24"/>
        <w:szCs w:val="24"/>
      </w:rPr>
      <w:t>AE</w:t>
    </w:r>
    <w:r w:rsidR="00443E0C">
      <w:rPr>
        <w:rStyle w:val="Strong"/>
        <w:b/>
        <w:sz w:val="24"/>
        <w:szCs w:val="24"/>
      </w:rPr>
      <w:t>)</w:t>
    </w:r>
    <w:r w:rsidR="00443E0C">
      <w:rPr>
        <w:rStyle w:val="Strong"/>
        <w:sz w:val="20"/>
        <w:szCs w:val="20"/>
      </w:rPr>
      <w:t xml:space="preserve"> </w:t>
    </w:r>
    <w:r>
      <w:rPr>
        <w:rStyle w:val="Strong"/>
        <w:sz w:val="20"/>
        <w:szCs w:val="20"/>
      </w:rPr>
      <w:tab/>
    </w:r>
    <w:r>
      <w:rPr>
        <w:rStyle w:val="Strong"/>
        <w:sz w:val="20"/>
        <w:szCs w:val="20"/>
      </w:rPr>
      <w:tab/>
    </w:r>
    <w:r>
      <w:rPr>
        <w:rStyle w:val="Strong"/>
        <w:sz w:val="20"/>
        <w:szCs w:val="20"/>
      </w:rPr>
      <w:tab/>
    </w:r>
    <w:r w:rsidR="00443E0C">
      <w:rPr>
        <w:rStyle w:val="Strong"/>
        <w:sz w:val="20"/>
        <w:szCs w:val="20"/>
      </w:rPr>
      <w:t xml:space="preserve"> </w:t>
    </w:r>
    <w:r w:rsidR="00D30BA1">
      <w:rPr>
        <w:rStyle w:val="Strong"/>
        <w:b/>
        <w:sz w:val="20"/>
        <w:szCs w:val="20"/>
      </w:rPr>
      <w:t xml:space="preserve">     </w:t>
    </w:r>
  </w:p>
  <w:p w14:paraId="1CB1F312" w14:textId="1B0FC95F" w:rsidR="00443E0C" w:rsidRPr="00B13FA1" w:rsidRDefault="00562127" w:rsidP="007F18D6">
    <w:pPr>
      <w:pStyle w:val="Heading1"/>
      <w:spacing w:before="0"/>
      <w:rPr>
        <w:rStyle w:val="IntenseEmphasis"/>
        <w:b/>
        <w:bCs/>
        <w:i w:val="0"/>
        <w:iCs w:val="0"/>
        <w:color w:val="7F7F7F"/>
        <w:sz w:val="20"/>
        <w:szCs w:val="20"/>
      </w:rPr>
    </w:pPr>
    <w:r>
      <w:rPr>
        <w:color w:val="7F7F7F"/>
        <w:sz w:val="20"/>
        <w:szCs w:val="20"/>
      </w:rPr>
      <w:t xml:space="preserve">               </w:t>
    </w:r>
    <w:r w:rsidR="00743D1F">
      <w:rPr>
        <w:color w:val="7F7F7F"/>
        <w:sz w:val="20"/>
        <w:szCs w:val="20"/>
      </w:rPr>
      <w:t xml:space="preserve"> </w:t>
    </w:r>
    <w:r w:rsidR="00B13FA1">
      <w:rPr>
        <w:color w:val="7F7F7F"/>
        <w:sz w:val="20"/>
        <w:szCs w:val="20"/>
      </w:rPr>
      <w:t>Module</w:t>
    </w:r>
    <w:r w:rsidR="00443E0C">
      <w:rPr>
        <w:color w:val="7F7F7F"/>
        <w:sz w:val="20"/>
        <w:szCs w:val="20"/>
      </w:rPr>
      <w:t xml:space="preserve">: </w:t>
    </w:r>
    <w:r w:rsidR="00123624">
      <w:rPr>
        <w:color w:val="7F7F7F"/>
        <w:sz w:val="20"/>
        <w:szCs w:val="20"/>
      </w:rPr>
      <w:t>A</w:t>
    </w:r>
    <w:r w:rsidR="00940BC0">
      <w:rPr>
        <w:color w:val="7F7F7F"/>
        <w:sz w:val="20"/>
        <w:szCs w:val="20"/>
      </w:rPr>
      <w:t>CFA7004 Research Methods and Professional Development</w:t>
    </w:r>
    <w:r w:rsidR="00B13FA1">
      <w:rPr>
        <w:color w:val="7F7F7F"/>
        <w:sz w:val="20"/>
        <w:szCs w:val="20"/>
      </w:rPr>
      <w:tab/>
    </w:r>
    <w:r w:rsidR="00B13FA1">
      <w:rPr>
        <w:color w:val="7F7F7F"/>
        <w:sz w:val="20"/>
        <w:szCs w:val="20"/>
      </w:rPr>
      <w:tab/>
    </w:r>
    <w:r w:rsidR="00B13FA1">
      <w:rPr>
        <w:color w:val="7F7F7F"/>
        <w:sz w:val="20"/>
        <w:szCs w:val="20"/>
      </w:rPr>
      <w:tab/>
    </w:r>
    <w:r w:rsidR="00940BC0">
      <w:rPr>
        <w:color w:val="7F7F7F"/>
        <w:sz w:val="20"/>
        <w:szCs w:val="20"/>
      </w:rPr>
      <w:t>31</w:t>
    </w:r>
    <w:r w:rsidR="00443E0C">
      <w:rPr>
        <w:color w:val="7F7F7F"/>
        <w:sz w:val="20"/>
        <w:szCs w:val="20"/>
      </w:rPr>
      <w:t xml:space="preserve"> | </w:t>
    </w:r>
    <w:r w:rsidR="00CA6DBA">
      <w:rPr>
        <w:color w:val="7F7F7F"/>
        <w:sz w:val="20"/>
        <w:szCs w:val="20"/>
      </w:rPr>
      <w:t>Mar</w:t>
    </w:r>
    <w:r w:rsidR="002E7845">
      <w:rPr>
        <w:color w:val="7F7F7F"/>
        <w:sz w:val="20"/>
        <w:szCs w:val="20"/>
      </w:rPr>
      <w:t xml:space="preserve"> </w:t>
    </w:r>
    <w:r w:rsidR="00443E0C">
      <w:rPr>
        <w:color w:val="7F7F7F"/>
        <w:sz w:val="20"/>
        <w:szCs w:val="20"/>
      </w:rPr>
      <w:t>20</w:t>
    </w:r>
    <w:r w:rsidR="00FA1819">
      <w:rPr>
        <w:color w:val="7F7F7F"/>
        <w:sz w:val="20"/>
        <w:szCs w:val="20"/>
      </w:rPr>
      <w:t>2</w:t>
    </w:r>
    <w:r w:rsidR="00123624">
      <w:rPr>
        <w:color w:val="7F7F7F"/>
        <w:sz w:val="20"/>
        <w:szCs w:val="20"/>
      </w:rPr>
      <w:t>3</w:t>
    </w:r>
    <w:r w:rsidR="00443E0C">
      <w:rPr>
        <w:rStyle w:val="Strong"/>
        <w:b/>
        <w:sz w:val="20"/>
        <w:szCs w:val="20"/>
      </w:rPr>
      <w:t xml:space="preserve">      </w:t>
    </w:r>
    <w:r w:rsidR="00D30BA1">
      <w:rPr>
        <w:rStyle w:val="Strong"/>
        <w:b/>
        <w:sz w:val="20"/>
        <w:szCs w:val="20"/>
      </w:rPr>
      <w:t xml:space="preserve"> </w:t>
    </w:r>
    <w:r w:rsidR="00443E0C">
      <w:rPr>
        <w:rStyle w:val="Strong"/>
        <w:b/>
        <w:sz w:val="20"/>
        <w:szCs w:val="20"/>
      </w:rPr>
      <w:t xml:space="preserve">      </w:t>
    </w:r>
    <w:r w:rsidR="0002287F">
      <w:rPr>
        <w:rStyle w:val="Strong"/>
        <w:b/>
        <w:sz w:val="20"/>
        <w:szCs w:val="20"/>
      </w:rPr>
      <w:t xml:space="preserve"> </w:t>
    </w:r>
    <w:r w:rsidR="00443E0C">
      <w:rPr>
        <w:rStyle w:val="Strong"/>
        <w:b/>
        <w:sz w:val="20"/>
        <w:szCs w:val="20"/>
      </w:rPr>
      <w:t xml:space="preserve">                                                     </w:t>
    </w:r>
    <w:r w:rsidR="00872AF0">
      <w:rPr>
        <w:rStyle w:val="Strong"/>
        <w:b/>
        <w:sz w:val="20"/>
        <w:szCs w:val="20"/>
      </w:rPr>
      <w:t xml:space="preserve"> </w:t>
    </w:r>
    <w:r w:rsidR="00443E0C">
      <w:rPr>
        <w:rStyle w:val="Strong"/>
        <w:b/>
        <w:sz w:val="20"/>
        <w:szCs w:val="20"/>
      </w:rPr>
      <w:t xml:space="preserve">              </w:t>
    </w:r>
    <w:r w:rsidR="005D0129">
      <w:rPr>
        <w:rStyle w:val="Strong"/>
        <w:b/>
        <w:sz w:val="20"/>
        <w:szCs w:val="20"/>
      </w:rPr>
      <w:t xml:space="preserve">   </w:t>
    </w:r>
    <w:r w:rsidR="002D1859">
      <w:rPr>
        <w:rStyle w:val="Strong"/>
        <w:b/>
        <w:sz w:val="20"/>
        <w:szCs w:val="20"/>
      </w:rPr>
      <w:t xml:space="preserve"> </w:t>
    </w:r>
    <w:r w:rsidR="002C676D">
      <w:rPr>
        <w:rStyle w:val="Strong"/>
        <w:b/>
        <w:sz w:val="20"/>
        <w:szCs w:val="20"/>
      </w:rPr>
      <w:t xml:space="preserve"> </w:t>
    </w:r>
  </w:p>
  <w:p w14:paraId="71C6AA9D" w14:textId="212B1D15" w:rsidR="00443E0C" w:rsidRDefault="00F6591B">
    <w:pPr>
      <w:pStyle w:val="Header"/>
      <w:spacing w:after="120"/>
      <w:rPr>
        <w:rFonts w:ascii="Cambria" w:hAnsi="Cambria"/>
        <w:b/>
        <w:color w:val="7F7F7F"/>
        <w:sz w:val="20"/>
        <w:szCs w:val="20"/>
      </w:rPr>
    </w:pPr>
    <w:r>
      <w:rPr>
        <w:rFonts w:ascii="Cambria" w:hAnsi="Cambria"/>
        <w:b/>
        <w:noProof/>
        <w:color w:val="7F7F7F"/>
        <w:sz w:val="20"/>
        <w:szCs w:val="20"/>
        <w:lang w:eastAsia="ja-JP"/>
      </w:rPr>
      <mc:AlternateContent>
        <mc:Choice Requires="wps">
          <w:drawing>
            <wp:anchor distT="0" distB="0" distL="114300" distR="114300" simplePos="0" relativeHeight="251655680" behindDoc="0" locked="0" layoutInCell="1" allowOverlap="1" wp14:anchorId="620E0A9E" wp14:editId="2503E313">
              <wp:simplePos x="0" y="0"/>
              <wp:positionH relativeFrom="column">
                <wp:posOffset>-13335</wp:posOffset>
              </wp:positionH>
              <wp:positionV relativeFrom="paragraph">
                <wp:posOffset>20955</wp:posOffset>
              </wp:positionV>
              <wp:extent cx="6685280" cy="0"/>
              <wp:effectExtent l="5715" t="7620" r="5080" b="1905"/>
              <wp:wrapNone/>
              <wp:docPr id="7"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98C99E3" id="_x0000_t32" coordsize="21600,21600" o:spt="32" o:oned="t" path="m,l21600,21600e" filled="f">
              <v:path arrowok="t" fillok="f" o:connecttype="none"/>
              <o:lock v:ext="edit" shapetype="t"/>
            </v:shapetype>
            <v:shape id="AutoShape 1" o:spid="_x0000_s1026" type="#_x0000_t32" style="position:absolute;margin-left:-1.05pt;margin-top:1.65pt;width:526.4pt;height:0;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" strokecolor="gray"/>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27BF00" w14:textId="2F8D9609" w:rsidR="002B07D0" w:rsidRDefault="00F6591B">
    <w:pPr>
      <w:pStyle w:val="Heading1"/>
      <w:spacing w:line="240" w:lineRule="auto"/>
      <w:rPr>
        <w:rStyle w:val="Strong"/>
      </w:rPr>
    </w:pPr>
    <w:r>
      <w:rPr>
        <w:noProof/>
      </w:rPr>
      <mc:AlternateContent>
        <mc:Choice Requires="wps">
          <w:drawing>
            <wp:anchor distT="45720" distB="45720" distL="114300" distR="114300" simplePos="0" relativeHeight="251657728" behindDoc="0" locked="0" layoutInCell="1" allowOverlap="1" wp14:anchorId="6A1DFDAF" wp14:editId="22F5175A">
              <wp:simplePos x="0" y="0"/>
              <wp:positionH relativeFrom="column">
                <wp:posOffset>1264920</wp:posOffset>
              </wp:positionH>
              <wp:positionV relativeFrom="paragraph">
                <wp:posOffset>219075</wp:posOffset>
              </wp:positionV>
              <wp:extent cx="6438900" cy="414655"/>
              <wp:effectExtent l="0" t="0" r="3810" b="444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3890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274CA6" w14:textId="77777777" w:rsidR="00C106FB" w:rsidRDefault="00C106FB" w:rsidP="00C106FB">
                          <w:r>
                            <w:rPr>
                              <w:rStyle w:val="Strong"/>
                              <w:b w:val="0"/>
                              <w:sz w:val="20"/>
                              <w:szCs w:val="20"/>
                            </w:rPr>
                            <w:t xml:space="preserve">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6A1DFDAF" id="_x0000_t202" coordsize="21600,21600" o:spt="202" path="m,l,21600r21600,l21600,xe">
              <v:stroke joinstyle="miter"/>
              <v:path gradientshapeok="t" o:connecttype="rect"/>
            </v:shapetype>
            <v:shape id="Text Box 2" o:spid="_x0000_s1033" type="#_x0000_t202" style="position:absolute;margin-left:99.6pt;margin-top:17.25pt;width:507pt;height:32.65pt;z-index:2516577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" filled="f" stroked="f">
              <v:textbox style="mso-fit-shape-to-text:t">
                <w:txbxContent>
                  <w:p w14:paraId="7F274CA6" w14:textId="77777777" w:rsidR="00C106FB" w:rsidRDefault="00C106FB" w:rsidP="00C106FB">
                    <w:r>
                      <w:rPr>
                        <w:rStyle w:val="Strong"/>
                        <w:b w:val="0"/>
                        <w:sz w:val="20"/>
                        <w:szCs w:val="20"/>
                      </w:rPr>
                      <w:t xml:space="preserve"> </w:t>
                    </w:r>
                  </w:p>
                </w:txbxContent>
              </v:textbox>
              <w10:wrap type="square"/>
            </v:shape>
          </w:pict>
        </mc:Fallback>
      </mc:AlternateContent>
    </w:r>
    <w:r>
      <w:rPr>
        <w:rStyle w:val="Strong"/>
        <w:noProof/>
      </w:rPr>
      <w:drawing>
        <wp:inline distT="0" distB="0" distL="0" distR="0" wp14:anchorId="3F2806E9" wp14:editId="54B6B33D">
          <wp:extent cx="1352550" cy="552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52550" cy="552450"/>
                  </a:xfrm>
                  <a:prstGeom prst="rect">
                    <a:avLst/>
                  </a:prstGeom>
                  <a:noFill/>
                  <a:ln>
                    <a:noFill/>
                  </a:ln>
                </pic:spPr>
              </pic:pic>
            </a:graphicData>
          </a:graphic>
        </wp:inline>
      </w:drawing>
    </w:r>
  </w:p>
  <w:p w14:paraId="75D727B5" w14:textId="77882F3C" w:rsidR="002B07D0" w:rsidRDefault="00F6591B">
    <w:pPr>
      <w:pStyle w:val="Header"/>
      <w:spacing w:after="120"/>
      <w:rPr>
        <w:rFonts w:ascii="Cambria" w:hAnsi="Cambria"/>
        <w:b/>
        <w:color w:val="7F7F7F"/>
        <w:sz w:val="20"/>
        <w:szCs w:val="20"/>
      </w:rPr>
    </w:pPr>
    <w:r>
      <w:rPr>
        <w:rFonts w:ascii="Cambria" w:hAnsi="Cambria"/>
        <w:b/>
        <w:noProof/>
        <w:color w:val="7F7F7F"/>
        <w:sz w:val="20"/>
        <w:szCs w:val="20"/>
        <w:lang w:eastAsia="ja-JP"/>
      </w:rPr>
      <mc:AlternateContent>
        <mc:Choice Requires="wps">
          <w:drawing>
            <wp:anchor distT="0" distB="0" distL="114300" distR="114300" simplePos="0" relativeHeight="251656704" behindDoc="0" locked="0" layoutInCell="1" allowOverlap="1" wp14:anchorId="1B9A07BB" wp14:editId="3BF31562">
              <wp:simplePos x="0" y="0"/>
              <wp:positionH relativeFrom="column">
                <wp:posOffset>-13335</wp:posOffset>
              </wp:positionH>
              <wp:positionV relativeFrom="paragraph">
                <wp:posOffset>20955</wp:posOffset>
              </wp:positionV>
              <wp:extent cx="6685280" cy="0"/>
              <wp:effectExtent l="5715" t="2540" r="5080" b="6985"/>
              <wp:wrapNone/>
              <wp:docPr id="2"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ACE307F" id="_x0000_t32" coordsize="21600,21600" o:spt="32" o:oned="t" path="m,l21600,21600e" filled="f">
              <v:path arrowok="t" fillok="f" o:connecttype="none"/>
              <o:lock v:ext="edit" shapetype="t"/>
            </v:shapetype>
            <v:shape id="AutoShape 1" o:spid="_x0000_s1026" type="#_x0000_t32" style="position:absolute;margin-left:-1.05pt;margin-top:1.65pt;width:526.4pt;height:0;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" strokecolor="gray"/>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855861"/>
    <w:multiLevelType w:val="multilevel"/>
    <w:tmpl w:val="2B855861"/>
    <w:lvl w:ilvl="0">
      <w:start w:val="1"/>
      <w:numFmt w:val="decimal"/>
      <w:pStyle w:val="IEEEReferenceItem"/>
      <w:lvlText w:val="[%1]"/>
      <w:lvlJc w:val="left"/>
      <w:pPr>
        <w:tabs>
          <w:tab w:val="num" w:pos="432"/>
        </w:tabs>
        <w:ind w:left="432" w:hanging="432"/>
      </w:pPr>
      <w:rPr>
        <w:rFonts w:hint="default"/>
      </w:rPr>
    </w:lvl>
    <w:lvl w:ilvl="1">
      <w:start w:val="1"/>
      <w:numFmt w:val="decimal"/>
      <w:lvlText w:val="%1.%2)"/>
      <w:lvlJc w:val="left"/>
      <w:pPr>
        <w:tabs>
          <w:tab w:val="num" w:pos="936"/>
        </w:tabs>
        <w:ind w:left="936" w:hanging="720"/>
      </w:pPr>
      <w:rPr>
        <w:rFonts w:hint="default"/>
      </w:rPr>
    </w:lvl>
    <w:lvl w:ilvl="2">
      <w:start w:val="1"/>
      <w:numFmt w:val="decimal"/>
      <w:pStyle w:val="Heading3"/>
      <w:lvlText w:val="%3)"/>
      <w:lvlJc w:val="left"/>
      <w:pPr>
        <w:tabs>
          <w:tab w:val="num" w:pos="360"/>
        </w:tabs>
        <w:ind w:left="360" w:hanging="360"/>
      </w:pPr>
      <w:rPr>
        <w:rFonts w:hint="default"/>
      </w:rPr>
    </w:lvl>
    <w:lvl w:ilvl="3">
      <w:start w:val="1"/>
      <w:numFmt w:val="decimal"/>
      <w:lvlText w:val="%1.%2)%3.%4."/>
      <w:lvlJc w:val="left"/>
      <w:pPr>
        <w:tabs>
          <w:tab w:val="num" w:pos="1296"/>
        </w:tabs>
        <w:ind w:left="1296" w:hanging="1080"/>
      </w:pPr>
      <w:rPr>
        <w:rFonts w:hint="default"/>
      </w:rPr>
    </w:lvl>
    <w:lvl w:ilvl="4">
      <w:start w:val="1"/>
      <w:numFmt w:val="decimal"/>
      <w:lvlText w:val="%1.%2)%3.%4.%5."/>
      <w:lvlJc w:val="left"/>
      <w:pPr>
        <w:tabs>
          <w:tab w:val="num" w:pos="1296"/>
        </w:tabs>
        <w:ind w:left="1296" w:hanging="1080"/>
      </w:pPr>
      <w:rPr>
        <w:rFonts w:hint="default"/>
      </w:rPr>
    </w:lvl>
    <w:lvl w:ilvl="5">
      <w:start w:val="1"/>
      <w:numFmt w:val="decimal"/>
      <w:lvlText w:val="%1.%2)%3.%4.%5.%6."/>
      <w:lvlJc w:val="left"/>
      <w:pPr>
        <w:tabs>
          <w:tab w:val="num" w:pos="1656"/>
        </w:tabs>
        <w:ind w:left="1656" w:hanging="1440"/>
      </w:pPr>
      <w:rPr>
        <w:rFonts w:hint="default"/>
      </w:rPr>
    </w:lvl>
    <w:lvl w:ilvl="6">
      <w:start w:val="1"/>
      <w:numFmt w:val="decimal"/>
      <w:lvlText w:val="%1.%2)%3.%4.%5.%6.%7."/>
      <w:lvlJc w:val="left"/>
      <w:pPr>
        <w:tabs>
          <w:tab w:val="num" w:pos="1656"/>
        </w:tabs>
        <w:ind w:left="1656" w:hanging="1440"/>
      </w:pPr>
      <w:rPr>
        <w:rFonts w:hint="default"/>
      </w:rPr>
    </w:lvl>
    <w:lvl w:ilvl="7">
      <w:start w:val="1"/>
      <w:numFmt w:val="decimal"/>
      <w:lvlText w:val="%1.%2)%3.%4.%5.%6.%7.%8."/>
      <w:lvlJc w:val="left"/>
      <w:pPr>
        <w:tabs>
          <w:tab w:val="num" w:pos="2016"/>
        </w:tabs>
        <w:ind w:left="2016" w:hanging="1800"/>
      </w:pPr>
      <w:rPr>
        <w:rFonts w:hint="default"/>
      </w:rPr>
    </w:lvl>
    <w:lvl w:ilvl="8">
      <w:start w:val="1"/>
      <w:numFmt w:val="decimal"/>
      <w:lvlText w:val="%1.%2)%3.%4.%5.%6.%7.%8.%9."/>
      <w:lvlJc w:val="left"/>
      <w:pPr>
        <w:tabs>
          <w:tab w:val="num" w:pos="2016"/>
        </w:tabs>
        <w:ind w:left="2016" w:hanging="1800"/>
      </w:pPr>
      <w:rPr>
        <w:rFonts w:hint="default"/>
      </w:rPr>
    </w:lvl>
  </w:abstractNum>
  <w:abstractNum w:abstractNumId="1" w15:restartNumberingAfterBreak="0">
    <w:nsid w:val="32147160"/>
    <w:multiLevelType w:val="hybridMultilevel"/>
    <w:tmpl w:val="835CDCFA"/>
    <w:lvl w:ilvl="0" w:tplc="04090001">
      <w:start w:val="1"/>
      <w:numFmt w:val="bullet"/>
      <w:lvlText w:val=""/>
      <w:lvlJc w:val="left"/>
      <w:pPr>
        <w:ind w:left="936" w:hanging="360"/>
      </w:pPr>
      <w:rPr>
        <w:rFonts w:ascii="Symbol" w:hAnsi="Symbol" w:hint="default"/>
      </w:rPr>
    </w:lvl>
    <w:lvl w:ilvl="1" w:tplc="04090003" w:tentative="1">
      <w:start w:val="1"/>
      <w:numFmt w:val="bullet"/>
      <w:lvlText w:val="o"/>
      <w:lvlJc w:val="left"/>
      <w:pPr>
        <w:ind w:left="1656" w:hanging="360"/>
      </w:pPr>
      <w:rPr>
        <w:rFonts w:ascii="Courier New" w:hAnsi="Courier New" w:cs="Courier New" w:hint="default"/>
      </w:rPr>
    </w:lvl>
    <w:lvl w:ilvl="2" w:tplc="04090005" w:tentative="1">
      <w:start w:val="1"/>
      <w:numFmt w:val="bullet"/>
      <w:lvlText w:val=""/>
      <w:lvlJc w:val="left"/>
      <w:pPr>
        <w:ind w:left="2376" w:hanging="360"/>
      </w:pPr>
      <w:rPr>
        <w:rFonts w:ascii="Wingdings" w:hAnsi="Wingdings" w:hint="default"/>
      </w:rPr>
    </w:lvl>
    <w:lvl w:ilvl="3" w:tplc="04090001" w:tentative="1">
      <w:start w:val="1"/>
      <w:numFmt w:val="bullet"/>
      <w:lvlText w:val=""/>
      <w:lvlJc w:val="left"/>
      <w:pPr>
        <w:ind w:left="3096" w:hanging="360"/>
      </w:pPr>
      <w:rPr>
        <w:rFonts w:ascii="Symbol" w:hAnsi="Symbol" w:hint="default"/>
      </w:rPr>
    </w:lvl>
    <w:lvl w:ilvl="4" w:tplc="04090003" w:tentative="1">
      <w:start w:val="1"/>
      <w:numFmt w:val="bullet"/>
      <w:lvlText w:val="o"/>
      <w:lvlJc w:val="left"/>
      <w:pPr>
        <w:ind w:left="3816" w:hanging="360"/>
      </w:pPr>
      <w:rPr>
        <w:rFonts w:ascii="Courier New" w:hAnsi="Courier New" w:cs="Courier New" w:hint="default"/>
      </w:rPr>
    </w:lvl>
    <w:lvl w:ilvl="5" w:tplc="04090005" w:tentative="1">
      <w:start w:val="1"/>
      <w:numFmt w:val="bullet"/>
      <w:lvlText w:val=""/>
      <w:lvlJc w:val="left"/>
      <w:pPr>
        <w:ind w:left="4536" w:hanging="360"/>
      </w:pPr>
      <w:rPr>
        <w:rFonts w:ascii="Wingdings" w:hAnsi="Wingdings" w:hint="default"/>
      </w:rPr>
    </w:lvl>
    <w:lvl w:ilvl="6" w:tplc="04090001" w:tentative="1">
      <w:start w:val="1"/>
      <w:numFmt w:val="bullet"/>
      <w:lvlText w:val=""/>
      <w:lvlJc w:val="left"/>
      <w:pPr>
        <w:ind w:left="5256" w:hanging="360"/>
      </w:pPr>
      <w:rPr>
        <w:rFonts w:ascii="Symbol" w:hAnsi="Symbol" w:hint="default"/>
      </w:rPr>
    </w:lvl>
    <w:lvl w:ilvl="7" w:tplc="04090003" w:tentative="1">
      <w:start w:val="1"/>
      <w:numFmt w:val="bullet"/>
      <w:lvlText w:val="o"/>
      <w:lvlJc w:val="left"/>
      <w:pPr>
        <w:ind w:left="5976" w:hanging="360"/>
      </w:pPr>
      <w:rPr>
        <w:rFonts w:ascii="Courier New" w:hAnsi="Courier New" w:cs="Courier New" w:hint="default"/>
      </w:rPr>
    </w:lvl>
    <w:lvl w:ilvl="8" w:tplc="04090005" w:tentative="1">
      <w:start w:val="1"/>
      <w:numFmt w:val="bullet"/>
      <w:lvlText w:val=""/>
      <w:lvlJc w:val="left"/>
      <w:pPr>
        <w:ind w:left="6696" w:hanging="360"/>
      </w:pPr>
      <w:rPr>
        <w:rFonts w:ascii="Wingdings" w:hAnsi="Wingdings" w:hint="default"/>
      </w:rPr>
    </w:lvl>
  </w:abstractNum>
  <w:abstractNum w:abstractNumId="2" w15:restartNumberingAfterBreak="0">
    <w:nsid w:val="4BE30D54"/>
    <w:multiLevelType w:val="hybridMultilevel"/>
    <w:tmpl w:val="E574193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52CA544A"/>
    <w:multiLevelType w:val="singleLevel"/>
    <w:tmpl w:val="52CA544A"/>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4" w15:restartNumberingAfterBreak="0">
    <w:nsid w:val="63981B56"/>
    <w:multiLevelType w:val="hybridMultilevel"/>
    <w:tmpl w:val="F46C95F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67625850"/>
    <w:multiLevelType w:val="multilevel"/>
    <w:tmpl w:val="E85A850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502744280">
    <w:abstractNumId w:val="0"/>
  </w:num>
  <w:num w:numId="2" w16cid:durableId="932276904">
    <w:abstractNumId w:val="3"/>
  </w:num>
  <w:num w:numId="3" w16cid:durableId="248807217">
    <w:abstractNumId w:val="5"/>
  </w:num>
  <w:num w:numId="4" w16cid:durableId="1936860530">
    <w:abstractNumId w:val="1"/>
  </w:num>
  <w:num w:numId="5" w16cid:durableId="509490100">
    <w:abstractNumId w:val="2"/>
  </w:num>
  <w:num w:numId="6" w16cid:durableId="97486916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10"/>
  <w:displayHorizontalDrawingGridEvery w:val="2"/>
  <w:characterSpacingControl w:val="doNotCompress"/>
  <w:hdrShapeDefaults>
    <o:shapedefaults v:ext="edit" spidmax="2050" fillcolor="white">
      <v:fill color="white"/>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3CF"/>
    <w:rsid w:val="00013869"/>
    <w:rsid w:val="0002287F"/>
    <w:rsid w:val="00023E55"/>
    <w:rsid w:val="00024BED"/>
    <w:rsid w:val="00025EEA"/>
    <w:rsid w:val="00027AA3"/>
    <w:rsid w:val="000352E1"/>
    <w:rsid w:val="00035737"/>
    <w:rsid w:val="000407A4"/>
    <w:rsid w:val="000459D5"/>
    <w:rsid w:val="000518D3"/>
    <w:rsid w:val="0005401F"/>
    <w:rsid w:val="0005584A"/>
    <w:rsid w:val="00056D4D"/>
    <w:rsid w:val="0007109D"/>
    <w:rsid w:val="00073800"/>
    <w:rsid w:val="0008044F"/>
    <w:rsid w:val="00081488"/>
    <w:rsid w:val="0009519B"/>
    <w:rsid w:val="000964FE"/>
    <w:rsid w:val="00097831"/>
    <w:rsid w:val="000A2AF9"/>
    <w:rsid w:val="000B0280"/>
    <w:rsid w:val="000B156E"/>
    <w:rsid w:val="000B1C10"/>
    <w:rsid w:val="000B23F7"/>
    <w:rsid w:val="000C4162"/>
    <w:rsid w:val="000F08DE"/>
    <w:rsid w:val="000F27AF"/>
    <w:rsid w:val="000F378D"/>
    <w:rsid w:val="000F3DB4"/>
    <w:rsid w:val="000F56AB"/>
    <w:rsid w:val="001039B4"/>
    <w:rsid w:val="00123624"/>
    <w:rsid w:val="00123B0F"/>
    <w:rsid w:val="00126823"/>
    <w:rsid w:val="00130A02"/>
    <w:rsid w:val="00132F6E"/>
    <w:rsid w:val="00137854"/>
    <w:rsid w:val="001563B0"/>
    <w:rsid w:val="00156793"/>
    <w:rsid w:val="00156EF8"/>
    <w:rsid w:val="001818D5"/>
    <w:rsid w:val="00190342"/>
    <w:rsid w:val="00192917"/>
    <w:rsid w:val="00196E87"/>
    <w:rsid w:val="001A0D7C"/>
    <w:rsid w:val="001A2BAA"/>
    <w:rsid w:val="001A63A4"/>
    <w:rsid w:val="001B16B0"/>
    <w:rsid w:val="001D1154"/>
    <w:rsid w:val="001D45A7"/>
    <w:rsid w:val="001D6B3C"/>
    <w:rsid w:val="001D7344"/>
    <w:rsid w:val="00204C8C"/>
    <w:rsid w:val="002135C8"/>
    <w:rsid w:val="0022005E"/>
    <w:rsid w:val="0022110E"/>
    <w:rsid w:val="00224092"/>
    <w:rsid w:val="00224B4C"/>
    <w:rsid w:val="002277F8"/>
    <w:rsid w:val="002401E9"/>
    <w:rsid w:val="00240BF0"/>
    <w:rsid w:val="00271187"/>
    <w:rsid w:val="002A3029"/>
    <w:rsid w:val="002B07D0"/>
    <w:rsid w:val="002B0F85"/>
    <w:rsid w:val="002C1795"/>
    <w:rsid w:val="002C6463"/>
    <w:rsid w:val="002C676D"/>
    <w:rsid w:val="002C6ED7"/>
    <w:rsid w:val="002D11E1"/>
    <w:rsid w:val="002D1859"/>
    <w:rsid w:val="002E176B"/>
    <w:rsid w:val="002E2566"/>
    <w:rsid w:val="002E604B"/>
    <w:rsid w:val="002E7845"/>
    <w:rsid w:val="002F6390"/>
    <w:rsid w:val="002F65F2"/>
    <w:rsid w:val="00315D9F"/>
    <w:rsid w:val="0032119D"/>
    <w:rsid w:val="003265CA"/>
    <w:rsid w:val="00331227"/>
    <w:rsid w:val="00344120"/>
    <w:rsid w:val="00344FF2"/>
    <w:rsid w:val="00345F25"/>
    <w:rsid w:val="00354E3E"/>
    <w:rsid w:val="00361F49"/>
    <w:rsid w:val="00362DBB"/>
    <w:rsid w:val="0037013A"/>
    <w:rsid w:val="00382148"/>
    <w:rsid w:val="00382382"/>
    <w:rsid w:val="00382C98"/>
    <w:rsid w:val="00385687"/>
    <w:rsid w:val="00393567"/>
    <w:rsid w:val="00396E58"/>
    <w:rsid w:val="00397C33"/>
    <w:rsid w:val="003A456B"/>
    <w:rsid w:val="003A4806"/>
    <w:rsid w:val="003B230E"/>
    <w:rsid w:val="003B39B4"/>
    <w:rsid w:val="003C2D77"/>
    <w:rsid w:val="003C31D7"/>
    <w:rsid w:val="003C3935"/>
    <w:rsid w:val="003D025D"/>
    <w:rsid w:val="003D0C7D"/>
    <w:rsid w:val="003E4110"/>
    <w:rsid w:val="00402E1B"/>
    <w:rsid w:val="00403068"/>
    <w:rsid w:val="00405DB3"/>
    <w:rsid w:val="00405E72"/>
    <w:rsid w:val="0040654A"/>
    <w:rsid w:val="00411BD9"/>
    <w:rsid w:val="004173E4"/>
    <w:rsid w:val="00423E5D"/>
    <w:rsid w:val="004415D5"/>
    <w:rsid w:val="00443E0C"/>
    <w:rsid w:val="00474879"/>
    <w:rsid w:val="00480D34"/>
    <w:rsid w:val="004931A5"/>
    <w:rsid w:val="004A02A3"/>
    <w:rsid w:val="004A329B"/>
    <w:rsid w:val="004B2DB7"/>
    <w:rsid w:val="004D1513"/>
    <w:rsid w:val="004E58B2"/>
    <w:rsid w:val="005028EE"/>
    <w:rsid w:val="00507CB7"/>
    <w:rsid w:val="005143EB"/>
    <w:rsid w:val="00514DDE"/>
    <w:rsid w:val="00516129"/>
    <w:rsid w:val="005167BD"/>
    <w:rsid w:val="0052584B"/>
    <w:rsid w:val="005375AA"/>
    <w:rsid w:val="00540CB6"/>
    <w:rsid w:val="00541FAA"/>
    <w:rsid w:val="00542B5A"/>
    <w:rsid w:val="0056182A"/>
    <w:rsid w:val="00562127"/>
    <w:rsid w:val="005669C9"/>
    <w:rsid w:val="00576309"/>
    <w:rsid w:val="00576528"/>
    <w:rsid w:val="0057777A"/>
    <w:rsid w:val="0059004B"/>
    <w:rsid w:val="00590459"/>
    <w:rsid w:val="00590D80"/>
    <w:rsid w:val="0059366C"/>
    <w:rsid w:val="00594609"/>
    <w:rsid w:val="0059553C"/>
    <w:rsid w:val="00596860"/>
    <w:rsid w:val="00597942"/>
    <w:rsid w:val="005A7D69"/>
    <w:rsid w:val="005B523C"/>
    <w:rsid w:val="005C3441"/>
    <w:rsid w:val="005D0129"/>
    <w:rsid w:val="005D2DFA"/>
    <w:rsid w:val="005D4BAF"/>
    <w:rsid w:val="005E5B7B"/>
    <w:rsid w:val="005E6462"/>
    <w:rsid w:val="00602544"/>
    <w:rsid w:val="00614E51"/>
    <w:rsid w:val="00615581"/>
    <w:rsid w:val="006175A9"/>
    <w:rsid w:val="006230CE"/>
    <w:rsid w:val="00623CED"/>
    <w:rsid w:val="0062579B"/>
    <w:rsid w:val="00635B19"/>
    <w:rsid w:val="00643DDF"/>
    <w:rsid w:val="006754D1"/>
    <w:rsid w:val="00675FEB"/>
    <w:rsid w:val="00687910"/>
    <w:rsid w:val="00692646"/>
    <w:rsid w:val="006A1C25"/>
    <w:rsid w:val="006A6371"/>
    <w:rsid w:val="006A79C2"/>
    <w:rsid w:val="006B5879"/>
    <w:rsid w:val="006B696B"/>
    <w:rsid w:val="006B6F46"/>
    <w:rsid w:val="006C190C"/>
    <w:rsid w:val="006D3872"/>
    <w:rsid w:val="006E1DB5"/>
    <w:rsid w:val="006E1ECB"/>
    <w:rsid w:val="006E3356"/>
    <w:rsid w:val="006E737A"/>
    <w:rsid w:val="006F1AB8"/>
    <w:rsid w:val="006F471D"/>
    <w:rsid w:val="00701DCF"/>
    <w:rsid w:val="00703100"/>
    <w:rsid w:val="00703B54"/>
    <w:rsid w:val="00706613"/>
    <w:rsid w:val="00717FA9"/>
    <w:rsid w:val="007205D4"/>
    <w:rsid w:val="007334AB"/>
    <w:rsid w:val="00741B88"/>
    <w:rsid w:val="00743D1F"/>
    <w:rsid w:val="007468B8"/>
    <w:rsid w:val="00756E67"/>
    <w:rsid w:val="00764CD0"/>
    <w:rsid w:val="00764E9F"/>
    <w:rsid w:val="00772B53"/>
    <w:rsid w:val="00773F86"/>
    <w:rsid w:val="00775749"/>
    <w:rsid w:val="00780C21"/>
    <w:rsid w:val="00790C6F"/>
    <w:rsid w:val="007A6C3E"/>
    <w:rsid w:val="007C3AB6"/>
    <w:rsid w:val="007C6E1E"/>
    <w:rsid w:val="007D2E33"/>
    <w:rsid w:val="007D5654"/>
    <w:rsid w:val="007E674D"/>
    <w:rsid w:val="007F0881"/>
    <w:rsid w:val="007F18D6"/>
    <w:rsid w:val="00811189"/>
    <w:rsid w:val="00820848"/>
    <w:rsid w:val="00834908"/>
    <w:rsid w:val="00834A7B"/>
    <w:rsid w:val="00837329"/>
    <w:rsid w:val="00837B91"/>
    <w:rsid w:val="0084202C"/>
    <w:rsid w:val="008423C6"/>
    <w:rsid w:val="00842771"/>
    <w:rsid w:val="00846D24"/>
    <w:rsid w:val="008518EC"/>
    <w:rsid w:val="00851C04"/>
    <w:rsid w:val="0085266F"/>
    <w:rsid w:val="00857510"/>
    <w:rsid w:val="00863CDA"/>
    <w:rsid w:val="00865F46"/>
    <w:rsid w:val="00872AF0"/>
    <w:rsid w:val="00881659"/>
    <w:rsid w:val="008A4C34"/>
    <w:rsid w:val="008B29C1"/>
    <w:rsid w:val="008B34F1"/>
    <w:rsid w:val="008C6BCE"/>
    <w:rsid w:val="008D544A"/>
    <w:rsid w:val="008E2ECE"/>
    <w:rsid w:val="008E78DA"/>
    <w:rsid w:val="008F1D5E"/>
    <w:rsid w:val="008F694D"/>
    <w:rsid w:val="00901BE3"/>
    <w:rsid w:val="009126A5"/>
    <w:rsid w:val="0091634C"/>
    <w:rsid w:val="00917703"/>
    <w:rsid w:val="00925CF8"/>
    <w:rsid w:val="00926C7A"/>
    <w:rsid w:val="00927C49"/>
    <w:rsid w:val="0093763F"/>
    <w:rsid w:val="0093793A"/>
    <w:rsid w:val="0094074D"/>
    <w:rsid w:val="00940BC0"/>
    <w:rsid w:val="009458BA"/>
    <w:rsid w:val="00953EDC"/>
    <w:rsid w:val="00963789"/>
    <w:rsid w:val="0096649A"/>
    <w:rsid w:val="00966FB7"/>
    <w:rsid w:val="009716D5"/>
    <w:rsid w:val="009914FF"/>
    <w:rsid w:val="009A4E2C"/>
    <w:rsid w:val="009A7EB0"/>
    <w:rsid w:val="009B08BB"/>
    <w:rsid w:val="009B0FD5"/>
    <w:rsid w:val="009B1D3C"/>
    <w:rsid w:val="009B4DCE"/>
    <w:rsid w:val="009B6D64"/>
    <w:rsid w:val="009C30D9"/>
    <w:rsid w:val="009C4236"/>
    <w:rsid w:val="009C4E96"/>
    <w:rsid w:val="009D2211"/>
    <w:rsid w:val="009E298A"/>
    <w:rsid w:val="009E5284"/>
    <w:rsid w:val="009E7A32"/>
    <w:rsid w:val="009F0223"/>
    <w:rsid w:val="00A00D29"/>
    <w:rsid w:val="00A057C8"/>
    <w:rsid w:val="00A0680C"/>
    <w:rsid w:val="00A06A7A"/>
    <w:rsid w:val="00A14979"/>
    <w:rsid w:val="00A152B1"/>
    <w:rsid w:val="00A170E0"/>
    <w:rsid w:val="00A2468B"/>
    <w:rsid w:val="00A4786F"/>
    <w:rsid w:val="00A51688"/>
    <w:rsid w:val="00A54AFE"/>
    <w:rsid w:val="00A55C7C"/>
    <w:rsid w:val="00A57EB5"/>
    <w:rsid w:val="00A74A48"/>
    <w:rsid w:val="00A76CB8"/>
    <w:rsid w:val="00A840AB"/>
    <w:rsid w:val="00A84574"/>
    <w:rsid w:val="00A861AA"/>
    <w:rsid w:val="00A91547"/>
    <w:rsid w:val="00A94776"/>
    <w:rsid w:val="00AA0B65"/>
    <w:rsid w:val="00AA4767"/>
    <w:rsid w:val="00AB0778"/>
    <w:rsid w:val="00AC4B9F"/>
    <w:rsid w:val="00AC7422"/>
    <w:rsid w:val="00AD0E2D"/>
    <w:rsid w:val="00AD1A00"/>
    <w:rsid w:val="00AD1C1E"/>
    <w:rsid w:val="00AD33CF"/>
    <w:rsid w:val="00AD4148"/>
    <w:rsid w:val="00AD5EB2"/>
    <w:rsid w:val="00AF1104"/>
    <w:rsid w:val="00AF5518"/>
    <w:rsid w:val="00AF615D"/>
    <w:rsid w:val="00B101AB"/>
    <w:rsid w:val="00B13D1B"/>
    <w:rsid w:val="00B13FA1"/>
    <w:rsid w:val="00B17D9F"/>
    <w:rsid w:val="00B31652"/>
    <w:rsid w:val="00B405AA"/>
    <w:rsid w:val="00B420AE"/>
    <w:rsid w:val="00B42271"/>
    <w:rsid w:val="00B44C63"/>
    <w:rsid w:val="00B50920"/>
    <w:rsid w:val="00B62914"/>
    <w:rsid w:val="00B66BCC"/>
    <w:rsid w:val="00B67DFD"/>
    <w:rsid w:val="00B77A2C"/>
    <w:rsid w:val="00B823FA"/>
    <w:rsid w:val="00B82EF6"/>
    <w:rsid w:val="00B96CD3"/>
    <w:rsid w:val="00BA16AC"/>
    <w:rsid w:val="00BB212F"/>
    <w:rsid w:val="00BC400A"/>
    <w:rsid w:val="00BE326C"/>
    <w:rsid w:val="00BE4D85"/>
    <w:rsid w:val="00BF2411"/>
    <w:rsid w:val="00C106FB"/>
    <w:rsid w:val="00C231BC"/>
    <w:rsid w:val="00C32511"/>
    <w:rsid w:val="00C41949"/>
    <w:rsid w:val="00C45D8E"/>
    <w:rsid w:val="00C504D5"/>
    <w:rsid w:val="00C53515"/>
    <w:rsid w:val="00C574CB"/>
    <w:rsid w:val="00C57E2A"/>
    <w:rsid w:val="00C62CF0"/>
    <w:rsid w:val="00C7601A"/>
    <w:rsid w:val="00C812DA"/>
    <w:rsid w:val="00C86022"/>
    <w:rsid w:val="00C86411"/>
    <w:rsid w:val="00C90E62"/>
    <w:rsid w:val="00C96C8C"/>
    <w:rsid w:val="00CA4A19"/>
    <w:rsid w:val="00CA6DBA"/>
    <w:rsid w:val="00CB210C"/>
    <w:rsid w:val="00CC5433"/>
    <w:rsid w:val="00CC6310"/>
    <w:rsid w:val="00CE4652"/>
    <w:rsid w:val="00CF078C"/>
    <w:rsid w:val="00D15A0A"/>
    <w:rsid w:val="00D15C96"/>
    <w:rsid w:val="00D1632C"/>
    <w:rsid w:val="00D21294"/>
    <w:rsid w:val="00D30BA1"/>
    <w:rsid w:val="00D34370"/>
    <w:rsid w:val="00D37B18"/>
    <w:rsid w:val="00D6033B"/>
    <w:rsid w:val="00D6391D"/>
    <w:rsid w:val="00D74055"/>
    <w:rsid w:val="00D74C7A"/>
    <w:rsid w:val="00D754EF"/>
    <w:rsid w:val="00D76179"/>
    <w:rsid w:val="00D76B9C"/>
    <w:rsid w:val="00D86E5A"/>
    <w:rsid w:val="00D9366C"/>
    <w:rsid w:val="00DA1766"/>
    <w:rsid w:val="00DA34DE"/>
    <w:rsid w:val="00DB113F"/>
    <w:rsid w:val="00DB54CD"/>
    <w:rsid w:val="00DC2DA4"/>
    <w:rsid w:val="00DC5012"/>
    <w:rsid w:val="00DE3717"/>
    <w:rsid w:val="00DE47DF"/>
    <w:rsid w:val="00DE4E64"/>
    <w:rsid w:val="00E074CB"/>
    <w:rsid w:val="00E109BC"/>
    <w:rsid w:val="00E12598"/>
    <w:rsid w:val="00E1428D"/>
    <w:rsid w:val="00E14A5A"/>
    <w:rsid w:val="00E17298"/>
    <w:rsid w:val="00E217C9"/>
    <w:rsid w:val="00E2678A"/>
    <w:rsid w:val="00E27548"/>
    <w:rsid w:val="00E31907"/>
    <w:rsid w:val="00E321E3"/>
    <w:rsid w:val="00E43104"/>
    <w:rsid w:val="00E44B22"/>
    <w:rsid w:val="00E468BE"/>
    <w:rsid w:val="00E477B3"/>
    <w:rsid w:val="00E53933"/>
    <w:rsid w:val="00E55D12"/>
    <w:rsid w:val="00E55D26"/>
    <w:rsid w:val="00E57D23"/>
    <w:rsid w:val="00E7797E"/>
    <w:rsid w:val="00E84F41"/>
    <w:rsid w:val="00E863F7"/>
    <w:rsid w:val="00E8663B"/>
    <w:rsid w:val="00E95E83"/>
    <w:rsid w:val="00EA1F10"/>
    <w:rsid w:val="00EB0E63"/>
    <w:rsid w:val="00EB4B50"/>
    <w:rsid w:val="00EC3B39"/>
    <w:rsid w:val="00EC4CB9"/>
    <w:rsid w:val="00ED2424"/>
    <w:rsid w:val="00ED48B3"/>
    <w:rsid w:val="00ED4D14"/>
    <w:rsid w:val="00EE51AC"/>
    <w:rsid w:val="00EE7DCD"/>
    <w:rsid w:val="00EF2A66"/>
    <w:rsid w:val="00EF36CF"/>
    <w:rsid w:val="00EF4A54"/>
    <w:rsid w:val="00F147C1"/>
    <w:rsid w:val="00F249EF"/>
    <w:rsid w:val="00F27476"/>
    <w:rsid w:val="00F311A0"/>
    <w:rsid w:val="00F646CF"/>
    <w:rsid w:val="00F6591B"/>
    <w:rsid w:val="00F710E5"/>
    <w:rsid w:val="00F71B9A"/>
    <w:rsid w:val="00F72165"/>
    <w:rsid w:val="00F74732"/>
    <w:rsid w:val="00F834D5"/>
    <w:rsid w:val="00F906E0"/>
    <w:rsid w:val="00F976B6"/>
    <w:rsid w:val="00FA1819"/>
    <w:rsid w:val="00FA4F0A"/>
    <w:rsid w:val="00FA5380"/>
    <w:rsid w:val="00FA6CC8"/>
    <w:rsid w:val="00FB038E"/>
    <w:rsid w:val="00FB3F63"/>
    <w:rsid w:val="00FB66D7"/>
    <w:rsid w:val="00FC22C2"/>
    <w:rsid w:val="00FC2AA5"/>
    <w:rsid w:val="00FC6A19"/>
    <w:rsid w:val="00FC7C6E"/>
    <w:rsid w:val="00FE1782"/>
    <w:rsid w:val="00FE4646"/>
    <w:rsid w:val="00FE5B9B"/>
    <w:rsid w:val="00FE7BA8"/>
    <w:rsid w:val="00FF1E84"/>
    <w:rsid w:val="3885790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2EA5F203"/>
  <w15:chartTrackingRefBased/>
  <w15:docId w15:val="{0D46B40C-E831-406E-8428-37B4CE969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0"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qFormat="1"/>
    <w:lsdException w:name="Quote" w:qFormat="1"/>
    <w:lsdException w:name="Intense Quote"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eastAsia="en-US"/>
    </w:rPr>
  </w:style>
  <w:style w:type="paragraph" w:styleId="Heading1">
    <w:name w:val="heading 1"/>
    <w:basedOn w:val="Normal"/>
    <w:next w:val="Normal"/>
    <w:link w:val="Heading1Char"/>
    <w:uiPriority w:val="9"/>
    <w:qFormat/>
    <w:pPr>
      <w:keepNext/>
      <w:spacing w:before="240" w:after="60"/>
      <w:outlineLvl w:val="0"/>
    </w:pPr>
    <w:rPr>
      <w:rFonts w:ascii="Cambria" w:hAnsi="Cambria"/>
      <w:b/>
      <w:bCs/>
      <w:kern w:val="32"/>
      <w:sz w:val="32"/>
      <w:szCs w:val="32"/>
    </w:rPr>
  </w:style>
  <w:style w:type="paragraph" w:styleId="Heading2">
    <w:name w:val="heading 2"/>
    <w:basedOn w:val="Normal"/>
    <w:next w:val="Normal"/>
    <w:link w:val="Heading2Char"/>
    <w:uiPriority w:val="9"/>
    <w:qFormat/>
    <w:rsid w:val="00E14A5A"/>
    <w:pPr>
      <w:keepNext/>
      <w:keepLines/>
      <w:spacing w:before="200" w:after="0"/>
      <w:outlineLvl w:val="1"/>
    </w:pPr>
    <w:rPr>
      <w:rFonts w:ascii="Cambria" w:hAnsi="Cambria"/>
      <w:b/>
      <w:bCs/>
      <w:color w:val="000000" w:themeColor="text1"/>
      <w:sz w:val="26"/>
      <w:szCs w:val="26"/>
    </w:rPr>
  </w:style>
  <w:style w:type="paragraph" w:styleId="Heading3">
    <w:name w:val="heading 3"/>
    <w:basedOn w:val="Normal"/>
    <w:next w:val="Normal"/>
    <w:link w:val="Heading3Char"/>
    <w:qFormat/>
    <w:pPr>
      <w:keepNext/>
      <w:numPr>
        <w:ilvl w:val="2"/>
        <w:numId w:val="1"/>
      </w:numPr>
      <w:tabs>
        <w:tab w:val="left" w:pos="360"/>
      </w:tabs>
      <w:spacing w:before="240" w:after="60" w:line="240" w:lineRule="auto"/>
      <w:outlineLvl w:val="2"/>
    </w:pPr>
    <w:rPr>
      <w:rFonts w:ascii="Arial" w:eastAsia="SimSun" w:hAnsi="Arial" w:cs="Arial"/>
      <w:b/>
      <w:bCs/>
      <w:sz w:val="26"/>
      <w:szCs w:val="26"/>
      <w:lang w:val="en-AU" w:eastAsia="zh-CN"/>
    </w:rPr>
  </w:style>
  <w:style w:type="paragraph" w:styleId="Heading4">
    <w:name w:val="heading 4"/>
    <w:basedOn w:val="Normal"/>
    <w:next w:val="Normal"/>
    <w:link w:val="Heading4Char"/>
    <w:uiPriority w:val="9"/>
    <w:qFormat/>
    <w:pPr>
      <w:keepNext/>
      <w:keepLines/>
      <w:spacing w:before="200" w:after="0"/>
      <w:outlineLvl w:val="3"/>
    </w:pPr>
    <w:rPr>
      <w:rFonts w:ascii="Cambria" w:hAnsi="Cambria"/>
      <w:b/>
      <w:bCs/>
      <w:i/>
      <w:iCs/>
      <w:color w:val="4F81BD"/>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Pr>
      <w:color w:val="0000FF"/>
      <w:u w:val="single"/>
    </w:rPr>
  </w:style>
  <w:style w:type="character" w:styleId="Strong">
    <w:name w:val="Strong"/>
    <w:uiPriority w:val="22"/>
    <w:qFormat/>
    <w:rPr>
      <w:b/>
      <w:bCs/>
    </w:rPr>
  </w:style>
  <w:style w:type="character" w:customStyle="1" w:styleId="HeaderChar">
    <w:name w:val="Header Char"/>
    <w:link w:val="Header"/>
    <w:uiPriority w:val="99"/>
    <w:rPr>
      <w:rFonts w:ascii="Calibri" w:eastAsia="Calibri" w:hAnsi="Calibri" w:cs="Times New Roman"/>
    </w:rPr>
  </w:style>
  <w:style w:type="character" w:customStyle="1" w:styleId="SubtitleChar">
    <w:name w:val="Subtitle Char"/>
    <w:link w:val="Subtitle"/>
    <w:uiPriority w:val="11"/>
    <w:rPr>
      <w:rFonts w:ascii="Cambria" w:eastAsia="Times New Roman" w:hAnsi="Cambria" w:cs="Times New Roman"/>
      <w:i/>
      <w:iCs/>
      <w:color w:val="4F81BD"/>
      <w:spacing w:val="15"/>
      <w:sz w:val="24"/>
      <w:szCs w:val="24"/>
    </w:rPr>
  </w:style>
  <w:style w:type="character" w:customStyle="1" w:styleId="Heading1Char">
    <w:name w:val="Heading 1 Char"/>
    <w:link w:val="Heading1"/>
    <w:uiPriority w:val="9"/>
    <w:rPr>
      <w:rFonts w:ascii="Cambria" w:eastAsia="Times New Roman" w:hAnsi="Cambria" w:cs="Times New Roman"/>
      <w:b/>
      <w:bCs/>
      <w:kern w:val="32"/>
      <w:sz w:val="32"/>
      <w:szCs w:val="32"/>
    </w:rPr>
  </w:style>
  <w:style w:type="character" w:customStyle="1" w:styleId="IEEEParagraphChar">
    <w:name w:val="IEEE Paragraph Char"/>
    <w:link w:val="IEEEParagraph"/>
    <w:rPr>
      <w:rFonts w:ascii="Times New Roman" w:eastAsia="SimSun" w:hAnsi="Times New Roman"/>
      <w:szCs w:val="24"/>
      <w:lang w:val="en-AU" w:eastAsia="zh-CN"/>
    </w:rPr>
  </w:style>
  <w:style w:type="character" w:customStyle="1" w:styleId="Heading3Char">
    <w:name w:val="Heading 3 Char"/>
    <w:link w:val="Heading3"/>
    <w:rPr>
      <w:rFonts w:ascii="Arial" w:eastAsia="SimSun" w:hAnsi="Arial" w:cs="Arial"/>
      <w:b/>
      <w:bCs/>
      <w:sz w:val="26"/>
      <w:szCs w:val="26"/>
      <w:lang w:val="en-AU" w:eastAsia="zh-CN"/>
    </w:rPr>
  </w:style>
  <w:style w:type="character" w:styleId="IntenseEmphasis">
    <w:name w:val="Intense Emphasis"/>
    <w:uiPriority w:val="21"/>
    <w:qFormat/>
    <w:rPr>
      <w:b/>
      <w:bCs/>
      <w:i/>
      <w:iCs/>
      <w:color w:val="4F81BD"/>
    </w:rPr>
  </w:style>
  <w:style w:type="character" w:customStyle="1" w:styleId="FooterChar">
    <w:name w:val="Footer Char"/>
    <w:link w:val="Footer"/>
    <w:uiPriority w:val="99"/>
    <w:rPr>
      <w:rFonts w:ascii="Calibri" w:eastAsia="Calibri" w:hAnsi="Calibri" w:cs="Times New Roman"/>
    </w:rPr>
  </w:style>
  <w:style w:type="character" w:customStyle="1" w:styleId="Heading4Char">
    <w:name w:val="Heading 4 Char"/>
    <w:link w:val="Heading4"/>
    <w:uiPriority w:val="9"/>
    <w:rPr>
      <w:rFonts w:ascii="Cambria" w:eastAsia="Times New Roman" w:hAnsi="Cambria" w:cs="Times New Roman"/>
      <w:b/>
      <w:bCs/>
      <w:i/>
      <w:iCs/>
      <w:color w:val="4F81BD"/>
    </w:rPr>
  </w:style>
  <w:style w:type="character" w:customStyle="1" w:styleId="BalloonTextChar">
    <w:name w:val="Balloon Text Char"/>
    <w:link w:val="BalloonText"/>
    <w:uiPriority w:val="99"/>
    <w:semiHidden/>
    <w:rPr>
      <w:rFonts w:ascii="Tahoma" w:hAnsi="Tahoma" w:cs="Tahoma"/>
      <w:sz w:val="16"/>
      <w:szCs w:val="16"/>
    </w:rPr>
  </w:style>
  <w:style w:type="character" w:customStyle="1" w:styleId="BodyTextChar">
    <w:name w:val="Body Text Char"/>
    <w:link w:val="BodyText"/>
    <w:uiPriority w:val="99"/>
    <w:rPr>
      <w:rFonts w:ascii="Times New Roman" w:eastAsia="MS Mincho" w:hAnsi="Times New Roman"/>
      <w:spacing w:val="-1"/>
    </w:rPr>
  </w:style>
  <w:style w:type="character" w:customStyle="1" w:styleId="Heading2Char">
    <w:name w:val="Heading 2 Char"/>
    <w:link w:val="Heading2"/>
    <w:uiPriority w:val="9"/>
    <w:rsid w:val="00E14A5A"/>
    <w:rPr>
      <w:rFonts w:ascii="Cambria" w:hAnsi="Cambria"/>
      <w:b/>
      <w:bCs/>
      <w:color w:val="000000" w:themeColor="text1"/>
      <w:sz w:val="26"/>
      <w:szCs w:val="26"/>
      <w:lang w:eastAsia="en-US"/>
    </w:rPr>
  </w:style>
  <w:style w:type="character" w:customStyle="1" w:styleId="StyleIJARCSAbstractItalicChar">
    <w:name w:val="Style IJARCS Abstract + Italic Char"/>
    <w:link w:val="StyleIJARCSAbstractItalic"/>
    <w:rPr>
      <w:rFonts w:ascii="Times New Roman" w:eastAsia="SimSun" w:hAnsi="Times New Roman"/>
      <w:b/>
      <w:bCs/>
      <w:i/>
      <w:iCs/>
      <w:color w:val="333333"/>
      <w:sz w:val="18"/>
      <w:szCs w:val="24"/>
      <w:lang w:val="en-GB" w:eastAsia="en-GB"/>
    </w:rPr>
  </w:style>
  <w:style w:type="paragraph" w:styleId="BodyText">
    <w:name w:val="Body Text"/>
    <w:basedOn w:val="Normal"/>
    <w:link w:val="BodyTextChar"/>
    <w:uiPriority w:val="99"/>
    <w:pPr>
      <w:tabs>
        <w:tab w:val="left" w:pos="288"/>
      </w:tabs>
      <w:spacing w:after="120" w:line="228" w:lineRule="auto"/>
      <w:ind w:firstLine="288"/>
      <w:jc w:val="both"/>
    </w:pPr>
    <w:rPr>
      <w:rFonts w:ascii="Times New Roman" w:eastAsia="MS Mincho" w:hAnsi="Times New Roman"/>
      <w:spacing w:val="-1"/>
      <w:sz w:val="20"/>
      <w:szCs w:val="20"/>
    </w:rPr>
  </w:style>
  <w:style w:type="paragraph" w:styleId="BalloonText">
    <w:name w:val="Balloon Text"/>
    <w:basedOn w:val="Normal"/>
    <w:link w:val="BalloonTextChar"/>
    <w:uiPriority w:val="99"/>
    <w:unhideWhenUsed/>
    <w:pPr>
      <w:spacing w:after="0" w:line="240" w:lineRule="auto"/>
    </w:pPr>
    <w:rPr>
      <w:rFonts w:ascii="Tahoma" w:hAnsi="Tahoma" w:cs="Tahoma"/>
      <w:sz w:val="16"/>
      <w:szCs w:val="16"/>
    </w:rPr>
  </w:style>
  <w:style w:type="paragraph" w:styleId="Footer">
    <w:name w:val="footer"/>
    <w:basedOn w:val="Normal"/>
    <w:link w:val="FooterChar"/>
    <w:uiPriority w:val="99"/>
    <w:unhideWhenUsed/>
    <w:pPr>
      <w:tabs>
        <w:tab w:val="center" w:pos="4680"/>
        <w:tab w:val="right" w:pos="9360"/>
      </w:tabs>
      <w:spacing w:after="0" w:line="240" w:lineRule="auto"/>
    </w:pPr>
    <w:rPr>
      <w:rFonts w:eastAsia="Calibri"/>
    </w:rPr>
  </w:style>
  <w:style w:type="paragraph" w:styleId="Subtitle">
    <w:name w:val="Subtitle"/>
    <w:basedOn w:val="Normal"/>
    <w:next w:val="Normal"/>
    <w:link w:val="SubtitleChar"/>
    <w:uiPriority w:val="11"/>
    <w:qFormat/>
    <w:pPr>
      <w:numPr>
        <w:ilvl w:val="1"/>
      </w:numPr>
    </w:pPr>
    <w:rPr>
      <w:rFonts w:ascii="Cambria" w:hAnsi="Cambria"/>
      <w:i/>
      <w:iCs/>
      <w:color w:val="4F81BD"/>
      <w:spacing w:val="15"/>
      <w:sz w:val="24"/>
      <w:szCs w:val="24"/>
    </w:rPr>
  </w:style>
  <w:style w:type="paragraph" w:styleId="Header">
    <w:name w:val="header"/>
    <w:basedOn w:val="Normal"/>
    <w:link w:val="HeaderChar"/>
    <w:uiPriority w:val="99"/>
    <w:unhideWhenUsed/>
    <w:pPr>
      <w:tabs>
        <w:tab w:val="center" w:pos="4680"/>
        <w:tab w:val="right" w:pos="9360"/>
      </w:tabs>
      <w:spacing w:after="0" w:line="240" w:lineRule="auto"/>
    </w:pPr>
    <w:rPr>
      <w:rFonts w:eastAsia="Calibri"/>
    </w:rPr>
  </w:style>
  <w:style w:type="paragraph" w:styleId="NormalWeb">
    <w:name w:val="Normal (Web)"/>
    <w:basedOn w:val="Normal"/>
    <w:uiPriority w:val="99"/>
    <w:unhideWhenUsed/>
    <w:pPr>
      <w:spacing w:before="100" w:beforeAutospacing="1" w:after="100" w:afterAutospacing="1" w:line="240" w:lineRule="auto"/>
    </w:pPr>
    <w:rPr>
      <w:rFonts w:ascii="Times New Roman" w:hAnsi="Times New Roman"/>
      <w:sz w:val="24"/>
      <w:szCs w:val="24"/>
    </w:rPr>
  </w:style>
  <w:style w:type="paragraph" w:customStyle="1" w:styleId="references">
    <w:name w:val="references"/>
    <w:pPr>
      <w:numPr>
        <w:numId w:val="2"/>
      </w:numPr>
      <w:tabs>
        <w:tab w:val="left" w:pos="360"/>
      </w:tabs>
      <w:spacing w:after="60" w:line="200" w:lineRule="exact"/>
      <w:jc w:val="both"/>
    </w:pPr>
    <w:rPr>
      <w:rFonts w:ascii="Times New Roman" w:eastAsia="MS Mincho" w:hAnsi="Times New Roman"/>
      <w:szCs w:val="16"/>
      <w:lang w:eastAsia="en-US"/>
    </w:rPr>
  </w:style>
  <w:style w:type="paragraph" w:customStyle="1" w:styleId="StyleIJARCSAbstractItalic">
    <w:name w:val="Style IJARCS Abstract + Italic"/>
    <w:basedOn w:val="Normal"/>
    <w:link w:val="StyleIJARCSAbstractItalicChar"/>
    <w:pPr>
      <w:pBdr>
        <w:top w:val="single" w:sz="4" w:space="1" w:color="333333"/>
        <w:bottom w:val="single" w:sz="4" w:space="1" w:color="333333"/>
      </w:pBdr>
      <w:adjustRightInd w:val="0"/>
      <w:snapToGrid w:val="0"/>
      <w:spacing w:after="0" w:line="240" w:lineRule="auto"/>
      <w:jc w:val="both"/>
    </w:pPr>
    <w:rPr>
      <w:rFonts w:ascii="Times New Roman" w:eastAsia="SimSun" w:hAnsi="Times New Roman"/>
      <w:b/>
      <w:bCs/>
      <w:i/>
      <w:iCs/>
      <w:color w:val="333333"/>
      <w:sz w:val="18"/>
      <w:szCs w:val="24"/>
      <w:lang w:val="en-GB" w:eastAsia="en-GB"/>
    </w:rPr>
  </w:style>
  <w:style w:type="paragraph" w:styleId="NoSpacing">
    <w:name w:val="No Spacing"/>
    <w:uiPriority w:val="1"/>
    <w:qFormat/>
    <w:rPr>
      <w:rFonts w:eastAsia="Calibri"/>
      <w:sz w:val="22"/>
      <w:szCs w:val="22"/>
      <w:lang w:eastAsia="en-US"/>
    </w:rPr>
  </w:style>
  <w:style w:type="paragraph" w:customStyle="1" w:styleId="IEEEReferenceItem">
    <w:name w:val="IEEE Reference Item"/>
    <w:basedOn w:val="Normal"/>
    <w:pPr>
      <w:numPr>
        <w:numId w:val="1"/>
      </w:numPr>
      <w:adjustRightInd w:val="0"/>
      <w:snapToGrid w:val="0"/>
      <w:spacing w:after="0" w:line="240" w:lineRule="auto"/>
      <w:jc w:val="both"/>
    </w:pPr>
    <w:rPr>
      <w:rFonts w:ascii="Times New Roman" w:eastAsia="SimSun" w:hAnsi="Times New Roman"/>
      <w:sz w:val="16"/>
      <w:szCs w:val="24"/>
      <w:lang w:eastAsia="zh-CN"/>
    </w:rPr>
  </w:style>
  <w:style w:type="paragraph" w:customStyle="1" w:styleId="Abstract">
    <w:name w:val="Abstract"/>
    <w:pPr>
      <w:spacing w:after="454"/>
      <w:ind w:left="1418"/>
      <w:jc w:val="both"/>
    </w:pPr>
    <w:rPr>
      <w:rFonts w:ascii="Times" w:hAnsi="Times"/>
      <w:color w:val="000000"/>
      <w:lang w:val="en-GB" w:eastAsia="en-US"/>
    </w:rPr>
  </w:style>
  <w:style w:type="paragraph" w:customStyle="1" w:styleId="IEEEAuthorAffiliation">
    <w:name w:val="IEEE Author Affiliation"/>
    <w:basedOn w:val="Normal"/>
    <w:next w:val="Normal"/>
    <w:pPr>
      <w:spacing w:after="60" w:line="240" w:lineRule="auto"/>
      <w:jc w:val="center"/>
    </w:pPr>
    <w:rPr>
      <w:rFonts w:ascii="Times New Roman" w:hAnsi="Times New Roman"/>
      <w:i/>
      <w:sz w:val="20"/>
      <w:szCs w:val="24"/>
      <w:lang w:val="en-GB" w:eastAsia="en-GB"/>
    </w:rPr>
  </w:style>
  <w:style w:type="paragraph" w:customStyle="1" w:styleId="IEEEParagraph">
    <w:name w:val="IEEE Paragraph"/>
    <w:basedOn w:val="Normal"/>
    <w:link w:val="IEEEParagraphChar"/>
    <w:pPr>
      <w:adjustRightInd w:val="0"/>
      <w:snapToGrid w:val="0"/>
      <w:spacing w:after="0" w:line="240" w:lineRule="auto"/>
      <w:ind w:firstLine="216"/>
      <w:jc w:val="both"/>
    </w:pPr>
    <w:rPr>
      <w:rFonts w:ascii="Times New Roman" w:eastAsia="SimSun" w:hAnsi="Times New Roman"/>
      <w:sz w:val="20"/>
      <w:szCs w:val="24"/>
      <w:lang w:val="en-AU" w:eastAsia="zh-CN"/>
    </w:rPr>
  </w:style>
  <w:style w:type="table" w:styleId="TableGrid">
    <w:name w:val="Table Grid"/>
    <w:basedOn w:val="TableNormal"/>
    <w:uiPriority w:val="5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Equation">
    <w:name w:val="Equation"/>
    <w:basedOn w:val="Normal"/>
    <w:rsid w:val="00D76179"/>
    <w:pPr>
      <w:snapToGrid w:val="0"/>
      <w:spacing w:after="0" w:line="240" w:lineRule="auto"/>
      <w:jc w:val="both"/>
    </w:pPr>
    <w:rPr>
      <w:rFonts w:ascii="Times New Roman" w:eastAsia="BatangChe" w:hAnsi="Times New Roman"/>
      <w:sz w:val="20"/>
      <w:szCs w:val="20"/>
      <w:lang w:eastAsia="ko-KR"/>
    </w:rPr>
  </w:style>
  <w:style w:type="paragraph" w:styleId="ListParagraph">
    <w:name w:val="List Paragraph"/>
    <w:basedOn w:val="Normal"/>
    <w:uiPriority w:val="99"/>
    <w:qFormat/>
    <w:rsid w:val="009458BA"/>
    <w:pPr>
      <w:ind w:left="720"/>
      <w:contextualSpacing/>
    </w:pPr>
  </w:style>
  <w:style w:type="character" w:styleId="PlaceholderText">
    <w:name w:val="Placeholder Text"/>
    <w:basedOn w:val="DefaultParagraphFont"/>
    <w:uiPriority w:val="99"/>
    <w:unhideWhenUsed/>
    <w:rsid w:val="00927C49"/>
    <w:rPr>
      <w:color w:val="808080"/>
    </w:rPr>
  </w:style>
  <w:style w:type="character" w:styleId="UnresolvedMention">
    <w:name w:val="Unresolved Mention"/>
    <w:basedOn w:val="DefaultParagraphFont"/>
    <w:uiPriority w:val="99"/>
    <w:semiHidden/>
    <w:unhideWhenUsed/>
    <w:rsid w:val="006E737A"/>
    <w:rPr>
      <w:color w:val="605E5C"/>
      <w:shd w:val="clear" w:color="auto" w:fill="E1DFDD"/>
    </w:rPr>
  </w:style>
  <w:style w:type="paragraph" w:styleId="Caption">
    <w:name w:val="caption"/>
    <w:basedOn w:val="Normal"/>
    <w:next w:val="Normal"/>
    <w:uiPriority w:val="35"/>
    <w:unhideWhenUsed/>
    <w:qFormat/>
    <w:rsid w:val="00204C8C"/>
    <w:pPr>
      <w:spacing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40837">
      <w:bodyDiv w:val="1"/>
      <w:marLeft w:val="0"/>
      <w:marRight w:val="0"/>
      <w:marTop w:val="0"/>
      <w:marBottom w:val="0"/>
      <w:divBdr>
        <w:top w:val="none" w:sz="0" w:space="0" w:color="auto"/>
        <w:left w:val="none" w:sz="0" w:space="0" w:color="auto"/>
        <w:bottom w:val="none" w:sz="0" w:space="0" w:color="auto"/>
        <w:right w:val="none" w:sz="0" w:space="0" w:color="auto"/>
      </w:divBdr>
    </w:div>
    <w:div w:id="152962868">
      <w:bodyDiv w:val="1"/>
      <w:marLeft w:val="0"/>
      <w:marRight w:val="0"/>
      <w:marTop w:val="0"/>
      <w:marBottom w:val="0"/>
      <w:divBdr>
        <w:top w:val="none" w:sz="0" w:space="0" w:color="auto"/>
        <w:left w:val="none" w:sz="0" w:space="0" w:color="auto"/>
        <w:bottom w:val="none" w:sz="0" w:space="0" w:color="auto"/>
        <w:right w:val="none" w:sz="0" w:space="0" w:color="auto"/>
      </w:divBdr>
    </w:div>
    <w:div w:id="321396798">
      <w:bodyDiv w:val="1"/>
      <w:marLeft w:val="0"/>
      <w:marRight w:val="0"/>
      <w:marTop w:val="0"/>
      <w:marBottom w:val="0"/>
      <w:divBdr>
        <w:top w:val="none" w:sz="0" w:space="0" w:color="auto"/>
        <w:left w:val="none" w:sz="0" w:space="0" w:color="auto"/>
        <w:bottom w:val="none" w:sz="0" w:space="0" w:color="auto"/>
        <w:right w:val="none" w:sz="0" w:space="0" w:color="auto"/>
      </w:divBdr>
      <w:divsChild>
        <w:div w:id="1528057839">
          <w:marLeft w:val="0"/>
          <w:marRight w:val="0"/>
          <w:marTop w:val="0"/>
          <w:marBottom w:val="0"/>
          <w:divBdr>
            <w:top w:val="none" w:sz="0" w:space="0" w:color="auto"/>
            <w:left w:val="none" w:sz="0" w:space="0" w:color="auto"/>
            <w:bottom w:val="none" w:sz="0" w:space="0" w:color="auto"/>
            <w:right w:val="none" w:sz="0" w:space="0" w:color="auto"/>
          </w:divBdr>
          <w:divsChild>
            <w:div w:id="2042970606">
              <w:marLeft w:val="0"/>
              <w:marRight w:val="0"/>
              <w:marTop w:val="0"/>
              <w:marBottom w:val="0"/>
              <w:divBdr>
                <w:top w:val="none" w:sz="0" w:space="0" w:color="auto"/>
                <w:left w:val="none" w:sz="0" w:space="0" w:color="auto"/>
                <w:bottom w:val="none" w:sz="0" w:space="0" w:color="auto"/>
                <w:right w:val="none" w:sz="0" w:space="0" w:color="auto"/>
              </w:divBdr>
              <w:divsChild>
                <w:div w:id="966855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9958800">
      <w:bodyDiv w:val="1"/>
      <w:marLeft w:val="0"/>
      <w:marRight w:val="0"/>
      <w:marTop w:val="0"/>
      <w:marBottom w:val="0"/>
      <w:divBdr>
        <w:top w:val="none" w:sz="0" w:space="0" w:color="auto"/>
        <w:left w:val="none" w:sz="0" w:space="0" w:color="auto"/>
        <w:bottom w:val="none" w:sz="0" w:space="0" w:color="auto"/>
        <w:right w:val="none" w:sz="0" w:space="0" w:color="auto"/>
      </w:divBdr>
    </w:div>
    <w:div w:id="538201777">
      <w:bodyDiv w:val="1"/>
      <w:marLeft w:val="0"/>
      <w:marRight w:val="0"/>
      <w:marTop w:val="0"/>
      <w:marBottom w:val="0"/>
      <w:divBdr>
        <w:top w:val="none" w:sz="0" w:space="0" w:color="auto"/>
        <w:left w:val="none" w:sz="0" w:space="0" w:color="auto"/>
        <w:bottom w:val="none" w:sz="0" w:space="0" w:color="auto"/>
        <w:right w:val="none" w:sz="0" w:space="0" w:color="auto"/>
      </w:divBdr>
    </w:div>
    <w:div w:id="588731833">
      <w:bodyDiv w:val="1"/>
      <w:marLeft w:val="0"/>
      <w:marRight w:val="0"/>
      <w:marTop w:val="0"/>
      <w:marBottom w:val="0"/>
      <w:divBdr>
        <w:top w:val="none" w:sz="0" w:space="0" w:color="auto"/>
        <w:left w:val="none" w:sz="0" w:space="0" w:color="auto"/>
        <w:bottom w:val="none" w:sz="0" w:space="0" w:color="auto"/>
        <w:right w:val="none" w:sz="0" w:space="0" w:color="auto"/>
      </w:divBdr>
    </w:div>
    <w:div w:id="592200299">
      <w:bodyDiv w:val="1"/>
      <w:marLeft w:val="0"/>
      <w:marRight w:val="0"/>
      <w:marTop w:val="0"/>
      <w:marBottom w:val="0"/>
      <w:divBdr>
        <w:top w:val="none" w:sz="0" w:space="0" w:color="auto"/>
        <w:left w:val="none" w:sz="0" w:space="0" w:color="auto"/>
        <w:bottom w:val="none" w:sz="0" w:space="0" w:color="auto"/>
        <w:right w:val="none" w:sz="0" w:space="0" w:color="auto"/>
      </w:divBdr>
    </w:div>
    <w:div w:id="607783869">
      <w:bodyDiv w:val="1"/>
      <w:marLeft w:val="0"/>
      <w:marRight w:val="0"/>
      <w:marTop w:val="0"/>
      <w:marBottom w:val="0"/>
      <w:divBdr>
        <w:top w:val="none" w:sz="0" w:space="0" w:color="auto"/>
        <w:left w:val="none" w:sz="0" w:space="0" w:color="auto"/>
        <w:bottom w:val="none" w:sz="0" w:space="0" w:color="auto"/>
        <w:right w:val="none" w:sz="0" w:space="0" w:color="auto"/>
      </w:divBdr>
    </w:div>
    <w:div w:id="637301619">
      <w:bodyDiv w:val="1"/>
      <w:marLeft w:val="0"/>
      <w:marRight w:val="0"/>
      <w:marTop w:val="0"/>
      <w:marBottom w:val="0"/>
      <w:divBdr>
        <w:top w:val="none" w:sz="0" w:space="0" w:color="auto"/>
        <w:left w:val="none" w:sz="0" w:space="0" w:color="auto"/>
        <w:bottom w:val="none" w:sz="0" w:space="0" w:color="auto"/>
        <w:right w:val="none" w:sz="0" w:space="0" w:color="auto"/>
      </w:divBdr>
    </w:div>
    <w:div w:id="680356030">
      <w:bodyDiv w:val="1"/>
      <w:marLeft w:val="0"/>
      <w:marRight w:val="0"/>
      <w:marTop w:val="0"/>
      <w:marBottom w:val="0"/>
      <w:divBdr>
        <w:top w:val="none" w:sz="0" w:space="0" w:color="auto"/>
        <w:left w:val="none" w:sz="0" w:space="0" w:color="auto"/>
        <w:bottom w:val="none" w:sz="0" w:space="0" w:color="auto"/>
        <w:right w:val="none" w:sz="0" w:space="0" w:color="auto"/>
      </w:divBdr>
    </w:div>
    <w:div w:id="765344223">
      <w:bodyDiv w:val="1"/>
      <w:marLeft w:val="0"/>
      <w:marRight w:val="0"/>
      <w:marTop w:val="0"/>
      <w:marBottom w:val="0"/>
      <w:divBdr>
        <w:top w:val="none" w:sz="0" w:space="0" w:color="auto"/>
        <w:left w:val="none" w:sz="0" w:space="0" w:color="auto"/>
        <w:bottom w:val="none" w:sz="0" w:space="0" w:color="auto"/>
        <w:right w:val="none" w:sz="0" w:space="0" w:color="auto"/>
      </w:divBdr>
    </w:div>
    <w:div w:id="775323464">
      <w:bodyDiv w:val="1"/>
      <w:marLeft w:val="0"/>
      <w:marRight w:val="0"/>
      <w:marTop w:val="0"/>
      <w:marBottom w:val="0"/>
      <w:divBdr>
        <w:top w:val="none" w:sz="0" w:space="0" w:color="auto"/>
        <w:left w:val="none" w:sz="0" w:space="0" w:color="auto"/>
        <w:bottom w:val="none" w:sz="0" w:space="0" w:color="auto"/>
        <w:right w:val="none" w:sz="0" w:space="0" w:color="auto"/>
      </w:divBdr>
    </w:div>
    <w:div w:id="1030839418">
      <w:bodyDiv w:val="1"/>
      <w:marLeft w:val="0"/>
      <w:marRight w:val="0"/>
      <w:marTop w:val="0"/>
      <w:marBottom w:val="0"/>
      <w:divBdr>
        <w:top w:val="none" w:sz="0" w:space="0" w:color="auto"/>
        <w:left w:val="none" w:sz="0" w:space="0" w:color="auto"/>
        <w:bottom w:val="none" w:sz="0" w:space="0" w:color="auto"/>
        <w:right w:val="none" w:sz="0" w:space="0" w:color="auto"/>
      </w:divBdr>
    </w:div>
    <w:div w:id="1036540631">
      <w:bodyDiv w:val="1"/>
      <w:marLeft w:val="0"/>
      <w:marRight w:val="0"/>
      <w:marTop w:val="0"/>
      <w:marBottom w:val="0"/>
      <w:divBdr>
        <w:top w:val="none" w:sz="0" w:space="0" w:color="auto"/>
        <w:left w:val="none" w:sz="0" w:space="0" w:color="auto"/>
        <w:bottom w:val="none" w:sz="0" w:space="0" w:color="auto"/>
        <w:right w:val="none" w:sz="0" w:space="0" w:color="auto"/>
      </w:divBdr>
    </w:div>
    <w:div w:id="1133132281">
      <w:bodyDiv w:val="1"/>
      <w:marLeft w:val="0"/>
      <w:marRight w:val="0"/>
      <w:marTop w:val="0"/>
      <w:marBottom w:val="0"/>
      <w:divBdr>
        <w:top w:val="none" w:sz="0" w:space="0" w:color="auto"/>
        <w:left w:val="none" w:sz="0" w:space="0" w:color="auto"/>
        <w:bottom w:val="none" w:sz="0" w:space="0" w:color="auto"/>
        <w:right w:val="none" w:sz="0" w:space="0" w:color="auto"/>
      </w:divBdr>
    </w:div>
    <w:div w:id="1179126014">
      <w:bodyDiv w:val="1"/>
      <w:marLeft w:val="0"/>
      <w:marRight w:val="0"/>
      <w:marTop w:val="0"/>
      <w:marBottom w:val="0"/>
      <w:divBdr>
        <w:top w:val="none" w:sz="0" w:space="0" w:color="auto"/>
        <w:left w:val="none" w:sz="0" w:space="0" w:color="auto"/>
        <w:bottom w:val="none" w:sz="0" w:space="0" w:color="auto"/>
        <w:right w:val="none" w:sz="0" w:space="0" w:color="auto"/>
      </w:divBdr>
    </w:div>
    <w:div w:id="1455179079">
      <w:bodyDiv w:val="1"/>
      <w:marLeft w:val="0"/>
      <w:marRight w:val="0"/>
      <w:marTop w:val="0"/>
      <w:marBottom w:val="0"/>
      <w:divBdr>
        <w:top w:val="none" w:sz="0" w:space="0" w:color="auto"/>
        <w:left w:val="none" w:sz="0" w:space="0" w:color="auto"/>
        <w:bottom w:val="none" w:sz="0" w:space="0" w:color="auto"/>
        <w:right w:val="none" w:sz="0" w:space="0" w:color="auto"/>
      </w:divBdr>
    </w:div>
    <w:div w:id="1488092421">
      <w:bodyDiv w:val="1"/>
      <w:marLeft w:val="0"/>
      <w:marRight w:val="0"/>
      <w:marTop w:val="0"/>
      <w:marBottom w:val="0"/>
      <w:divBdr>
        <w:top w:val="none" w:sz="0" w:space="0" w:color="auto"/>
        <w:left w:val="none" w:sz="0" w:space="0" w:color="auto"/>
        <w:bottom w:val="none" w:sz="0" w:space="0" w:color="auto"/>
        <w:right w:val="none" w:sz="0" w:space="0" w:color="auto"/>
      </w:divBdr>
    </w:div>
    <w:div w:id="1496653607">
      <w:bodyDiv w:val="1"/>
      <w:marLeft w:val="0"/>
      <w:marRight w:val="0"/>
      <w:marTop w:val="0"/>
      <w:marBottom w:val="0"/>
      <w:divBdr>
        <w:top w:val="none" w:sz="0" w:space="0" w:color="auto"/>
        <w:left w:val="none" w:sz="0" w:space="0" w:color="auto"/>
        <w:bottom w:val="none" w:sz="0" w:space="0" w:color="auto"/>
        <w:right w:val="none" w:sz="0" w:space="0" w:color="auto"/>
      </w:divBdr>
    </w:div>
    <w:div w:id="1568488712">
      <w:bodyDiv w:val="1"/>
      <w:marLeft w:val="0"/>
      <w:marRight w:val="0"/>
      <w:marTop w:val="0"/>
      <w:marBottom w:val="0"/>
      <w:divBdr>
        <w:top w:val="none" w:sz="0" w:space="0" w:color="auto"/>
        <w:left w:val="none" w:sz="0" w:space="0" w:color="auto"/>
        <w:bottom w:val="none" w:sz="0" w:space="0" w:color="auto"/>
        <w:right w:val="none" w:sz="0" w:space="0" w:color="auto"/>
      </w:divBdr>
    </w:div>
    <w:div w:id="1645234543">
      <w:bodyDiv w:val="1"/>
      <w:marLeft w:val="0"/>
      <w:marRight w:val="0"/>
      <w:marTop w:val="0"/>
      <w:marBottom w:val="0"/>
      <w:divBdr>
        <w:top w:val="none" w:sz="0" w:space="0" w:color="auto"/>
        <w:left w:val="none" w:sz="0" w:space="0" w:color="auto"/>
        <w:bottom w:val="none" w:sz="0" w:space="0" w:color="auto"/>
        <w:right w:val="none" w:sz="0" w:space="0" w:color="auto"/>
      </w:divBdr>
    </w:div>
    <w:div w:id="1804804803">
      <w:bodyDiv w:val="1"/>
      <w:marLeft w:val="0"/>
      <w:marRight w:val="0"/>
      <w:marTop w:val="0"/>
      <w:marBottom w:val="0"/>
      <w:divBdr>
        <w:top w:val="none" w:sz="0" w:space="0" w:color="auto"/>
        <w:left w:val="none" w:sz="0" w:space="0" w:color="auto"/>
        <w:bottom w:val="none" w:sz="0" w:space="0" w:color="auto"/>
        <w:right w:val="none" w:sz="0" w:space="0" w:color="auto"/>
      </w:divBdr>
    </w:div>
    <w:div w:id="2126073646">
      <w:bodyDiv w:val="1"/>
      <w:marLeft w:val="0"/>
      <w:marRight w:val="0"/>
      <w:marTop w:val="0"/>
      <w:marBottom w:val="0"/>
      <w:divBdr>
        <w:top w:val="none" w:sz="0" w:space="0" w:color="auto"/>
        <w:left w:val="none" w:sz="0" w:space="0" w:color="auto"/>
        <w:bottom w:val="none" w:sz="0" w:space="0" w:color="auto"/>
        <w:right w:val="none" w:sz="0" w:space="0" w:color="auto"/>
      </w:divBdr>
    </w:div>
  </w:divs>
  <w:encoding w:val="utf-8"/>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emf"/><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emf"/><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emf"/><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4bebffc6-b3af-4121-a6f6-77b124c923cd">
      <Terms xmlns="http://schemas.microsoft.com/office/infopath/2007/PartnerControls"/>
    </lcf76f155ced4ddcb4097134ff3c332f>
    <TaxCatchAll xmlns="cece20dc-0d29-4254-a319-5ff0cdb992ff"/>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4D70858E908D64D8C22B7FFE4C7960A" ma:contentTypeVersion="11" ma:contentTypeDescription="Create a new document." ma:contentTypeScope="" ma:versionID="b47c6d071baee29b9a4513f828121b80">
  <xsd:schema xmlns:xsd="http://www.w3.org/2001/XMLSchema" xmlns:xs="http://www.w3.org/2001/XMLSchema" xmlns:p="http://schemas.microsoft.com/office/2006/metadata/properties" xmlns:ns2="4bebffc6-b3af-4121-a6f6-77b124c923cd" xmlns:ns3="cece20dc-0d29-4254-a319-5ff0cdb992ff" targetNamespace="http://schemas.microsoft.com/office/2006/metadata/properties" ma:root="true" ma:fieldsID="6a704abfb0882c6486cea0d6c0198dfc" ns2:_="" ns3:_="">
    <xsd:import namespace="4bebffc6-b3af-4121-a6f6-77b124c923cd"/>
    <xsd:import namespace="cece20dc-0d29-4254-a319-5ff0cdb992ff"/>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ebffc6-b3af-4121-a6f6-77b124c92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Location" ma:index="18"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ece20dc-0d29-4254-a319-5ff0cdb992ff"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08e8b8cd-314c-4bc9-b9bb-63827a76b119}" ma:internalName="TaxCatchAll" ma:showField="CatchAllData" ma:web="cece20dc-0d29-4254-a319-5ff0cdb992ff">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1F23746-0384-419E-9E39-61C63C669DE0}">
  <ds:schemaRefs>
    <ds:schemaRef ds:uri="http://schemas.openxmlformats.org/officeDocument/2006/bibliography"/>
  </ds:schemaRefs>
</ds:datastoreItem>
</file>

<file path=customXml/itemProps2.xml><?xml version="1.0" encoding="utf-8"?>
<ds:datastoreItem xmlns:ds="http://schemas.openxmlformats.org/officeDocument/2006/customXml" ds:itemID="{3E417F30-C2B3-4191-8AF8-35600DAC1710}">
  <ds:schemaRefs>
    <ds:schemaRef ds:uri="http://schemas.microsoft.com/sharepoint/v3/contenttype/forms"/>
  </ds:schemaRefs>
</ds:datastoreItem>
</file>

<file path=customXml/itemProps3.xml><?xml version="1.0" encoding="utf-8"?>
<ds:datastoreItem xmlns:ds="http://schemas.openxmlformats.org/officeDocument/2006/customXml" ds:itemID="{060A96CF-3B3F-431D-8A33-477F3DF8EA20}">
  <ds:schemaRefs>
    <ds:schemaRef ds:uri="http://schemas.microsoft.com/office/2006/metadata/properties"/>
    <ds:schemaRef ds:uri="http://schemas.microsoft.com/office/infopath/2007/PartnerControls"/>
    <ds:schemaRef ds:uri="4bebffc6-b3af-4121-a6f6-77b124c923cd"/>
    <ds:schemaRef ds:uri="cece20dc-0d29-4254-a319-5ff0cdb992ff"/>
  </ds:schemaRefs>
</ds:datastoreItem>
</file>

<file path=customXml/itemProps4.xml><?xml version="1.0" encoding="utf-8"?>
<ds:datastoreItem xmlns:ds="http://schemas.openxmlformats.org/officeDocument/2006/customXml" ds:itemID="{03E802B9-5EE3-4C35-81FC-11799ACEA9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ebffc6-b3af-4121-a6f6-77b124c923cd"/>
    <ds:schemaRef ds:uri="cece20dc-0d29-4254-a319-5ff0cdb992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434</TotalTime>
  <Pages>11</Pages>
  <Words>4246</Words>
  <Characters>24206</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Windows User</Company>
  <LinksUpToDate>false</LinksUpToDate>
  <CharactersWithSpaces>28396</CharactersWithSpaces>
  <SharedDoc>false</SharedDoc>
  <HLinks>
    <vt:vector size="6" baseType="variant">
      <vt:variant>
        <vt:i4>2162767</vt:i4>
      </vt:variant>
      <vt:variant>
        <vt:i4>3</vt:i4>
      </vt:variant>
      <vt:variant>
        <vt:i4>0</vt:i4>
      </vt:variant>
      <vt:variant>
        <vt:i4>5</vt:i4>
      </vt:variant>
      <vt:variant>
        <vt:lpwstr>https://uwtsd.ac.uk/media/uwtsd-website/content-assets/documents/library-and-learning-resources/infoskills/IEEE-eng_v.1.2.pdf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lalit</dc:creator>
  <cp:keywords/>
  <cp:lastModifiedBy>Nathan Myer</cp:lastModifiedBy>
  <cp:revision>8</cp:revision>
  <cp:lastPrinted>2018-10-03T10:39:00Z</cp:lastPrinted>
  <dcterms:created xsi:type="dcterms:W3CDTF">2023-03-31T12:28:00Z</dcterms:created>
  <dcterms:modified xsi:type="dcterms:W3CDTF">2023-03-31T19:54:00Z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1033-10.2.0.5965</vt:lpwstr>
  </property>
</Properties>
</file>