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D5D21" w14:textId="77777777" w:rsidR="00860A61" w:rsidRPr="00860A61" w:rsidRDefault="00860A61" w:rsidP="00860A61">
      <w:pPr>
        <w:pStyle w:val="ListParagraph"/>
        <w:numPr>
          <w:ilvl w:val="0"/>
          <w:numId w:val="1"/>
        </w:numPr>
        <w:rPr>
          <w:rFonts w:ascii="Arial" w:hAnsi="Arial" w:cs="Arial"/>
          <w:b/>
          <w:bCs/>
          <w:sz w:val="24"/>
          <w:szCs w:val="24"/>
        </w:rPr>
      </w:pPr>
      <w:r w:rsidRPr="00860A61">
        <w:rPr>
          <w:rFonts w:ascii="Arial" w:hAnsi="Arial" w:cs="Arial"/>
          <w:sz w:val="24"/>
          <w:szCs w:val="24"/>
        </w:rPr>
        <w:t xml:space="preserve"> </w:t>
      </w:r>
      <w:r w:rsidRPr="00860A61">
        <w:rPr>
          <w:rFonts w:ascii="Arial" w:hAnsi="Arial" w:cs="Arial"/>
          <w:b/>
          <w:bCs/>
          <w:sz w:val="24"/>
          <w:szCs w:val="24"/>
        </w:rPr>
        <w:t xml:space="preserve">Introduction </w:t>
      </w:r>
    </w:p>
    <w:p w14:paraId="0DD2AA1E" w14:textId="123275BF" w:rsidR="00860A61" w:rsidRPr="00860A61" w:rsidRDefault="00860A61" w:rsidP="00860A61">
      <w:pPr>
        <w:pStyle w:val="ListParagraph"/>
        <w:numPr>
          <w:ilvl w:val="0"/>
          <w:numId w:val="1"/>
        </w:numPr>
        <w:rPr>
          <w:rFonts w:ascii="Arial" w:hAnsi="Arial" w:cs="Arial"/>
          <w:b/>
          <w:bCs/>
          <w:sz w:val="24"/>
          <w:szCs w:val="24"/>
        </w:rPr>
      </w:pPr>
      <w:r w:rsidRPr="00860A61">
        <w:rPr>
          <w:rFonts w:ascii="Arial" w:hAnsi="Arial" w:cs="Arial"/>
          <w:b/>
          <w:bCs/>
          <w:sz w:val="24"/>
          <w:szCs w:val="24"/>
        </w:rPr>
        <w:t xml:space="preserve">The benefits of bilingualism </w:t>
      </w:r>
    </w:p>
    <w:p w14:paraId="609B717D"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Bialystok (2010) suggests bilingualism enhances attention control and problem-solving skills.</w:t>
      </w:r>
    </w:p>
    <w:p w14:paraId="465DC205"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Poarch &amp; Van Hell (2012) note developmental outcomes may vary based on age and proficiency levels.</w:t>
      </w:r>
    </w:p>
    <w:p w14:paraId="15E90C17"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Welsh Government (2019) and Lemberger (2008) emphasize bilingualism's significance in early childhood for cultural identity, societal development, and cognitive and linguistic growth.</w:t>
      </w:r>
    </w:p>
    <w:p w14:paraId="288192C4"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Grosjean (2010) and Low (2017) emphasize bilingualism's role in nurturing cultural awareness and appreciation.</w:t>
      </w:r>
    </w:p>
    <w:p w14:paraId="0DE83CD4"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Baker (2011) highlights bilingualism's importance in enhancing cognitive flexibility.</w:t>
      </w:r>
    </w:p>
    <w:p w14:paraId="21723967"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Heugh &amp; Skutnabb-Kangas (2011) mention challenges for young bilingual learners regarding identity formation and integration.</w:t>
      </w:r>
    </w:p>
    <w:p w14:paraId="3610FA96"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SSA &amp; Hatt (2013) argue for a supportive and inclusive learning environment to address these challenges.</w:t>
      </w:r>
    </w:p>
    <w:p w14:paraId="446A21FC"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Smidt (2016) notes bilingualism's link to improved problem-solving and decision-making skills.</w:t>
      </w:r>
    </w:p>
    <w:p w14:paraId="36A6A40D"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Chen and Padilla (2011) affirm bilingualism enhances cognitive skills.</w:t>
      </w:r>
    </w:p>
    <w:p w14:paraId="31F068F4"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Early Years Alliance (no date) acknowledges variability in cognitive benefits based on proficiency and exposure levels.</w:t>
      </w:r>
    </w:p>
    <w:p w14:paraId="6EF7377F" w14:textId="77777777" w:rsidR="00860A61" w:rsidRP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Lightbrown &amp; Spada (2013) stress the necessity of tailored support and resources for bilingual learners.</w:t>
      </w:r>
    </w:p>
    <w:p w14:paraId="1D1901B1" w14:textId="77777777" w:rsidR="00860A61" w:rsidRDefault="00860A61" w:rsidP="00860A61">
      <w:pPr>
        <w:pStyle w:val="ListParagraph"/>
        <w:numPr>
          <w:ilvl w:val="0"/>
          <w:numId w:val="1"/>
        </w:numPr>
        <w:rPr>
          <w:rFonts w:ascii="Arial" w:hAnsi="Arial" w:cs="Arial"/>
          <w:sz w:val="24"/>
          <w:szCs w:val="24"/>
        </w:rPr>
      </w:pPr>
      <w:r w:rsidRPr="00860A61">
        <w:rPr>
          <w:rFonts w:ascii="Arial" w:hAnsi="Arial" w:cs="Arial"/>
          <w:sz w:val="24"/>
          <w:szCs w:val="24"/>
        </w:rPr>
        <w:t>Vygotsky's sociocultural theory (1978) suggests bilingualism shapes cognitive abilities, cultural understanding, and social interaction.</w:t>
      </w:r>
    </w:p>
    <w:p w14:paraId="44CCE72A" w14:textId="519576CA" w:rsidR="00860A61" w:rsidRPr="00C738B2" w:rsidRDefault="00860A61" w:rsidP="00860A61">
      <w:pPr>
        <w:pStyle w:val="ListParagraph"/>
        <w:numPr>
          <w:ilvl w:val="0"/>
          <w:numId w:val="1"/>
        </w:numPr>
        <w:rPr>
          <w:rFonts w:ascii="Arial" w:hAnsi="Arial" w:cs="Arial"/>
          <w:b/>
          <w:bCs/>
          <w:sz w:val="24"/>
          <w:szCs w:val="24"/>
        </w:rPr>
      </w:pPr>
      <w:r w:rsidRPr="00C738B2">
        <w:rPr>
          <w:rFonts w:ascii="Arial" w:hAnsi="Arial" w:cs="Arial"/>
          <w:b/>
          <w:bCs/>
          <w:sz w:val="24"/>
          <w:szCs w:val="24"/>
        </w:rPr>
        <w:t>Welsh as an Additional Language (WAL)</w:t>
      </w:r>
    </w:p>
    <w:p w14:paraId="21410A71"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Welsh Government (2022) highlights the significance of Welsh as an Additional Language (WAL) in early years education for promoting and preserving the Welsh language.</w:t>
      </w:r>
    </w:p>
    <w:p w14:paraId="573A53F6"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García &amp; Baetens Beardsmore (2009) explain that despite Welsh being native to Wales, many consider it an additional language due to historical and social factors.</w:t>
      </w:r>
    </w:p>
    <w:p w14:paraId="73B3E612"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Welsh Government (2019) and SSA &amp; Hatt (2013) stress the need for tailored language instruction to accommodate diverse backgrounds and learning styles.</w:t>
      </w:r>
    </w:p>
    <w:p w14:paraId="578E3B58"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Estyn (2019) emphasizes the importance of educators being equipped with skills to create inclusive learning environments.</w:t>
      </w:r>
    </w:p>
    <w:p w14:paraId="06879416"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Engaging with Welsh language in early years education contributes to linguistic diversity and cultural enrichment within Wales (García &amp; Baetens Beardsmore, 2009).</w:t>
      </w:r>
    </w:p>
    <w:p w14:paraId="1A48BFCD"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The activity fosters a sense of belonging and pride among WAL learners, strengthening their connection to the Welsh-speaking community and nurturing cultural identity (Estyn, 2019).</w:t>
      </w:r>
    </w:p>
    <w:p w14:paraId="73F2CA9A"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lastRenderedPageBreak/>
        <w:t>Estyn (2019) emphasizes the importance of inclusive promotion of Welsh as an additional language sensitive to diverse linguistic backgrounds and identities of learners.</w:t>
      </w:r>
    </w:p>
    <w:p w14:paraId="44535973"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Chen &amp; Padilla (2011) highlight the importance of ensuring all children feel valued and included in the learning process.</w:t>
      </w:r>
    </w:p>
    <w:p w14:paraId="54A85926" w14:textId="15FB0C43" w:rsidR="00860A61" w:rsidRPr="00C738B2" w:rsidRDefault="00C738B2" w:rsidP="00860A61">
      <w:pPr>
        <w:pStyle w:val="ListParagraph"/>
        <w:numPr>
          <w:ilvl w:val="0"/>
          <w:numId w:val="1"/>
        </w:numPr>
        <w:rPr>
          <w:rFonts w:ascii="Arial" w:hAnsi="Arial" w:cs="Arial"/>
          <w:b/>
          <w:bCs/>
          <w:sz w:val="24"/>
          <w:szCs w:val="24"/>
        </w:rPr>
      </w:pPr>
      <w:r w:rsidRPr="00C738B2">
        <w:rPr>
          <w:rFonts w:ascii="Arial" w:hAnsi="Arial" w:cs="Arial"/>
          <w:b/>
          <w:bCs/>
          <w:sz w:val="24"/>
          <w:szCs w:val="24"/>
        </w:rPr>
        <w:t>How bilingualism affects brain development</w:t>
      </w:r>
    </w:p>
    <w:p w14:paraId="190F4ADF"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Michigan State University (2019) underscores the importance of brain development in early childhood, especially in language acquisition and motor skills.</w:t>
      </w:r>
    </w:p>
    <w:p w14:paraId="7AB7FD7D"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Yamamoto &amp; Sakai (2017) and Hickok &amp; Poeppel (2020) stress the significance of rich language experiences, like exposure to bilingual songs, in supporting the development of language-related brain regions.</w:t>
      </w:r>
    </w:p>
    <w:p w14:paraId="7F849240" w14:textId="4044BAD6"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Pliatsikas et al. (2020) highlight</w:t>
      </w:r>
      <w:r>
        <w:rPr>
          <w:rFonts w:ascii="Arial" w:hAnsi="Arial" w:cs="Arial"/>
          <w:sz w:val="24"/>
          <w:szCs w:val="24"/>
        </w:rPr>
        <w:t>s</w:t>
      </w:r>
      <w:r w:rsidRPr="00C738B2">
        <w:rPr>
          <w:rFonts w:ascii="Arial" w:hAnsi="Arial" w:cs="Arial"/>
          <w:sz w:val="24"/>
          <w:szCs w:val="24"/>
        </w:rPr>
        <w:t xml:space="preserve"> the interconnection between language development and motor skills, crucial for speech production.</w:t>
      </w:r>
    </w:p>
    <w:p w14:paraId="1BEBAC8B"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Incorporating musical elements into language learning activities enhances auditory processing skills and cultural engagement (Trainor et al., 2020).</w:t>
      </w:r>
    </w:p>
    <w:p w14:paraId="3B471DBF"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Wei (2011) notes bilingualism may pose challenges for identity development.</w:t>
      </w:r>
    </w:p>
    <w:p w14:paraId="324D0CA4"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Hands-on activities, such as the colour recognition game, aid in developing neural circuits connecting language processing and motor coordination (Hoffman, 2020).</w:t>
      </w:r>
    </w:p>
    <w:p w14:paraId="50EACAC4"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Weisberg, Hirsh-Pasek and Golinkoff (2013) suggest play facilitates language learning by incorporating socially interactive and cognitive elements.</w:t>
      </w:r>
    </w:p>
    <w:p w14:paraId="5A719D37"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The Corner Colour game in the activity provides such a play-based approach to language learning.</w:t>
      </w:r>
    </w:p>
    <w:p w14:paraId="61FC2702" w14:textId="61813AC0" w:rsidR="00C738B2" w:rsidRPr="00C738B2" w:rsidRDefault="00C738B2" w:rsidP="00860A61">
      <w:pPr>
        <w:pStyle w:val="ListParagraph"/>
        <w:numPr>
          <w:ilvl w:val="0"/>
          <w:numId w:val="1"/>
        </w:numPr>
        <w:rPr>
          <w:rFonts w:ascii="Arial" w:hAnsi="Arial" w:cs="Arial"/>
          <w:b/>
          <w:bCs/>
          <w:sz w:val="24"/>
          <w:szCs w:val="24"/>
        </w:rPr>
      </w:pPr>
      <w:r w:rsidRPr="00C738B2">
        <w:rPr>
          <w:rFonts w:ascii="Arial" w:hAnsi="Arial" w:cs="Arial"/>
          <w:b/>
          <w:bCs/>
          <w:sz w:val="24"/>
          <w:szCs w:val="24"/>
        </w:rPr>
        <w:t>Discuss divergent thinking with relation to the activity.</w:t>
      </w:r>
    </w:p>
    <w:p w14:paraId="2F07A53F"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Gatbonton &amp; Trofimovich (2021) highlight music's effectiveness in multilingual language development in early childhood.</w:t>
      </w:r>
    </w:p>
    <w:p w14:paraId="535B313C"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Incorporating bilingual songs into early education, as demonstrated in the activity, aids in language learning by allowing children to repeat and memorize vocabulary and linguistic structures (Trehub, 2018).</w:t>
      </w:r>
    </w:p>
    <w:p w14:paraId="6C7CB258"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Singing songs in both English and Welsh fosters language flexibility and divergent thinking by exposing children to different linguistic representations of the same idea (Runco &amp; Jaeger, 2012).</w:t>
      </w:r>
    </w:p>
    <w:p w14:paraId="06D2DB39"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The activity encourages children to generate multiple associations and connections between colours in each language, promoting divergent thinking and alternative categorization (Benedek et al., 2014).</w:t>
      </w:r>
    </w:p>
    <w:p w14:paraId="6230D9EB" w14:textId="77777777" w:rsid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By integrating elements of Welsh language and culture, the activity enhances children's divergent thinking skills and promotes cultural sensitivity and appreciation (Xia, An &amp; Guo, 2022; Gilhooly, 2016).</w:t>
      </w:r>
    </w:p>
    <w:p w14:paraId="38E8C5D6" w14:textId="6C22E830" w:rsidR="00C738B2" w:rsidRPr="00C738B2" w:rsidRDefault="00C738B2" w:rsidP="00C738B2">
      <w:pPr>
        <w:pStyle w:val="ListParagraph"/>
        <w:numPr>
          <w:ilvl w:val="0"/>
          <w:numId w:val="1"/>
        </w:numPr>
        <w:rPr>
          <w:rFonts w:ascii="Arial" w:hAnsi="Arial" w:cs="Arial"/>
          <w:b/>
          <w:bCs/>
          <w:sz w:val="24"/>
          <w:szCs w:val="24"/>
        </w:rPr>
      </w:pPr>
      <w:r w:rsidRPr="00C738B2">
        <w:rPr>
          <w:rFonts w:ascii="Arial" w:hAnsi="Arial" w:cs="Arial"/>
          <w:b/>
          <w:bCs/>
          <w:sz w:val="24"/>
          <w:szCs w:val="24"/>
        </w:rPr>
        <w:t>Frameworks</w:t>
      </w:r>
    </w:p>
    <w:p w14:paraId="0724FFC4" w14:textId="77777777" w:rsid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The activity aligns with the Early Years Foundation Stage (EYFS) framework, fostering creativity, critical thinking, and key skills such as communication, personal, social, and emotional development, and expressive arts and design (Department for Education, 2023).</w:t>
      </w:r>
    </w:p>
    <w:p w14:paraId="6AE94541" w14:textId="77777777" w:rsidR="00C738B2" w:rsidRPr="00C738B2" w:rsidRDefault="00C738B2" w:rsidP="00C738B2">
      <w:pPr>
        <w:rPr>
          <w:rFonts w:ascii="Arial" w:hAnsi="Arial" w:cs="Arial"/>
          <w:sz w:val="24"/>
          <w:szCs w:val="24"/>
        </w:rPr>
      </w:pPr>
    </w:p>
    <w:p w14:paraId="3174AB31"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lastRenderedPageBreak/>
        <w:t>The EYFS framework emphasizes cultural diversity and inclusion, which is addressed through the activities' incorporation of Welsh language and culture, promoting equality and diversity (Department for Education, 2023).</w:t>
      </w:r>
    </w:p>
    <w:p w14:paraId="63D837FD"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The activities encourage active participation and engagement, central to the EYFS framework's learning through play approach, fostering social and communication skills (Department for Education, 2023; Learning Matters, 2021).</w:t>
      </w:r>
    </w:p>
    <w:p w14:paraId="78E8BFCC" w14:textId="77777777" w:rsidR="00C738B2" w:rsidRPr="00C738B2" w:rsidRDefault="00C738B2" w:rsidP="00C738B2">
      <w:pPr>
        <w:pStyle w:val="ListParagraph"/>
        <w:numPr>
          <w:ilvl w:val="0"/>
          <w:numId w:val="1"/>
        </w:numPr>
        <w:rPr>
          <w:rFonts w:ascii="Arial" w:hAnsi="Arial" w:cs="Arial"/>
          <w:sz w:val="24"/>
          <w:szCs w:val="24"/>
        </w:rPr>
      </w:pPr>
      <w:r w:rsidRPr="00C738B2">
        <w:rPr>
          <w:rFonts w:ascii="Arial" w:hAnsi="Arial" w:cs="Arial"/>
          <w:sz w:val="24"/>
          <w:szCs w:val="24"/>
        </w:rPr>
        <w:t>By aligning with the Welsh Government's requirements, the activities demonstrate a commitment to developing language skills and cultural awareness from an early age, enhancing children's learning experiences in Wales (Welsh Government, 2015).</w:t>
      </w:r>
    </w:p>
    <w:p w14:paraId="58F87773" w14:textId="7B417B5E" w:rsidR="00C738B2" w:rsidRPr="00C738B2" w:rsidRDefault="00C738B2" w:rsidP="00860A61">
      <w:pPr>
        <w:pStyle w:val="ListParagraph"/>
        <w:numPr>
          <w:ilvl w:val="0"/>
          <w:numId w:val="1"/>
        </w:numPr>
        <w:rPr>
          <w:rFonts w:ascii="Arial" w:hAnsi="Arial" w:cs="Arial"/>
          <w:b/>
          <w:bCs/>
          <w:sz w:val="24"/>
          <w:szCs w:val="24"/>
        </w:rPr>
      </w:pPr>
      <w:r>
        <w:rPr>
          <w:rFonts w:ascii="Arial" w:hAnsi="Arial" w:cs="Arial"/>
          <w:b/>
          <w:bCs/>
          <w:sz w:val="24"/>
          <w:szCs w:val="24"/>
        </w:rPr>
        <w:t>Short c</w:t>
      </w:r>
      <w:r w:rsidRPr="00C738B2">
        <w:rPr>
          <w:rFonts w:ascii="Arial" w:hAnsi="Arial" w:cs="Arial"/>
          <w:b/>
          <w:bCs/>
          <w:sz w:val="24"/>
          <w:szCs w:val="24"/>
        </w:rPr>
        <w:t xml:space="preserve">onclusion </w:t>
      </w:r>
    </w:p>
    <w:p w14:paraId="12D8820B" w14:textId="057AD666" w:rsidR="00C738B2" w:rsidRPr="00C738B2" w:rsidRDefault="00C738B2" w:rsidP="00C738B2">
      <w:pPr>
        <w:pStyle w:val="ListParagraph"/>
        <w:numPr>
          <w:ilvl w:val="0"/>
          <w:numId w:val="1"/>
        </w:numPr>
        <w:rPr>
          <w:rFonts w:ascii="Arial" w:hAnsi="Arial" w:cs="Arial"/>
          <w:b/>
          <w:bCs/>
          <w:sz w:val="24"/>
          <w:szCs w:val="24"/>
        </w:rPr>
      </w:pPr>
      <w:r w:rsidRPr="00C738B2">
        <w:rPr>
          <w:rFonts w:ascii="Arial" w:hAnsi="Arial" w:cs="Arial"/>
          <w:b/>
          <w:bCs/>
          <w:sz w:val="24"/>
          <w:szCs w:val="24"/>
        </w:rPr>
        <w:t>Future practice</w:t>
      </w:r>
    </w:p>
    <w:p w14:paraId="405AE527" w14:textId="5937B86B" w:rsidR="00C738B2" w:rsidRPr="00C738B2" w:rsidRDefault="00C738B2" w:rsidP="00C738B2">
      <w:pPr>
        <w:pStyle w:val="ListParagraph"/>
        <w:numPr>
          <w:ilvl w:val="0"/>
          <w:numId w:val="1"/>
        </w:numPr>
        <w:rPr>
          <w:rFonts w:ascii="Arial" w:hAnsi="Arial" w:cs="Arial"/>
          <w:b/>
          <w:bCs/>
          <w:sz w:val="24"/>
          <w:szCs w:val="24"/>
        </w:rPr>
      </w:pPr>
      <w:r w:rsidRPr="00C738B2">
        <w:rPr>
          <w:rFonts w:ascii="Arial" w:hAnsi="Arial" w:cs="Arial"/>
          <w:b/>
          <w:bCs/>
          <w:sz w:val="24"/>
          <w:szCs w:val="24"/>
        </w:rPr>
        <w:t>Thank you listening.</w:t>
      </w:r>
    </w:p>
    <w:p w14:paraId="2EDD93D8" w14:textId="167B28A3" w:rsidR="00860A61" w:rsidRPr="00860A61" w:rsidRDefault="00860A61" w:rsidP="00860A61">
      <w:pPr>
        <w:pStyle w:val="ListParagraph"/>
        <w:numPr>
          <w:ilvl w:val="0"/>
          <w:numId w:val="1"/>
        </w:numPr>
        <w:rPr>
          <w:rFonts w:ascii="Arial" w:hAnsi="Arial" w:cs="Arial"/>
          <w:b/>
          <w:bCs/>
          <w:sz w:val="28"/>
          <w:szCs w:val="28"/>
        </w:rPr>
      </w:pPr>
      <w:r w:rsidRPr="00860A61">
        <w:rPr>
          <w:rFonts w:ascii="Arial" w:hAnsi="Arial" w:cs="Arial"/>
          <w:b/>
          <w:bCs/>
          <w:sz w:val="28"/>
          <w:szCs w:val="28"/>
        </w:rPr>
        <w:br w:type="page"/>
      </w:r>
    </w:p>
    <w:p w14:paraId="3E91F42A" w14:textId="77777777" w:rsidR="00860A61" w:rsidRDefault="00860A61" w:rsidP="00860A61">
      <w:pPr>
        <w:rPr>
          <w:rFonts w:ascii="Arial" w:hAnsi="Arial" w:cs="Arial"/>
          <w:b/>
          <w:bCs/>
          <w:sz w:val="28"/>
          <w:szCs w:val="28"/>
        </w:rPr>
      </w:pPr>
    </w:p>
    <w:p w14:paraId="7F925EBA" w14:textId="73C3854B" w:rsidR="00860A61" w:rsidRPr="009E5EEA" w:rsidRDefault="00860A61" w:rsidP="00860A61">
      <w:pPr>
        <w:rPr>
          <w:rFonts w:ascii="Arial" w:hAnsi="Arial" w:cs="Arial"/>
          <w:b/>
          <w:bCs/>
          <w:sz w:val="28"/>
          <w:szCs w:val="28"/>
        </w:rPr>
      </w:pPr>
      <w:r w:rsidRPr="009E5EEA">
        <w:rPr>
          <w:rFonts w:ascii="Arial" w:hAnsi="Arial" w:cs="Arial"/>
          <w:b/>
          <w:bCs/>
          <w:sz w:val="28"/>
          <w:szCs w:val="28"/>
        </w:rPr>
        <w:t>Reference List:</w:t>
      </w:r>
    </w:p>
    <w:p w14:paraId="2D48FC7C"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Baker, C.R. (2011) </w:t>
      </w:r>
      <w:r w:rsidRPr="00414C4B">
        <w:rPr>
          <w:rFonts w:ascii="Arial" w:hAnsi="Arial" w:cs="Arial"/>
          <w:i/>
          <w:iCs/>
          <w:sz w:val="24"/>
          <w:szCs w:val="24"/>
        </w:rPr>
        <w:t>Foundations of bilingual education and bilingualism</w:t>
      </w:r>
      <w:r w:rsidRPr="00414C4B">
        <w:rPr>
          <w:rFonts w:ascii="Arial" w:hAnsi="Arial" w:cs="Arial"/>
          <w:sz w:val="24"/>
          <w:szCs w:val="24"/>
        </w:rPr>
        <w:t>. 5th edn. Bristol, UK: Multilingual Matters.</w:t>
      </w:r>
    </w:p>
    <w:p w14:paraId="640ADEB6"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Benedek, M. </w:t>
      </w:r>
      <w:r w:rsidRPr="00414C4B">
        <w:rPr>
          <w:rFonts w:ascii="Arial" w:hAnsi="Arial" w:cs="Arial"/>
          <w:i/>
          <w:iCs/>
          <w:sz w:val="24"/>
          <w:szCs w:val="24"/>
        </w:rPr>
        <w:t>et al</w:t>
      </w:r>
      <w:r w:rsidRPr="00414C4B">
        <w:rPr>
          <w:rFonts w:ascii="Arial" w:hAnsi="Arial" w:cs="Arial"/>
          <w:sz w:val="24"/>
          <w:szCs w:val="24"/>
        </w:rPr>
        <w:t xml:space="preserve">. (2014) ‘To create or to recall original ideas: Brain processes associated with the imagination of novel object uses’. </w:t>
      </w:r>
      <w:r w:rsidRPr="00414C4B">
        <w:rPr>
          <w:rFonts w:ascii="Arial" w:hAnsi="Arial" w:cs="Arial"/>
          <w:i/>
          <w:iCs/>
          <w:sz w:val="24"/>
          <w:szCs w:val="24"/>
        </w:rPr>
        <w:t>Cortex</w:t>
      </w:r>
      <w:r w:rsidRPr="00414C4B">
        <w:rPr>
          <w:rFonts w:ascii="Arial" w:hAnsi="Arial" w:cs="Arial"/>
          <w:sz w:val="24"/>
          <w:szCs w:val="24"/>
        </w:rPr>
        <w:t>, 50, pp.121-130.</w:t>
      </w:r>
    </w:p>
    <w:p w14:paraId="100ED8C4"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Bialystok, E. (2010) ‘Bilingualism’. </w:t>
      </w:r>
      <w:r w:rsidRPr="00414C4B">
        <w:rPr>
          <w:rFonts w:ascii="Arial" w:hAnsi="Arial" w:cs="Arial"/>
          <w:i/>
          <w:iCs/>
          <w:sz w:val="24"/>
          <w:szCs w:val="24"/>
        </w:rPr>
        <w:t>Wiley Interdisciplinary Reviews: Cognitive Science,</w:t>
      </w:r>
      <w:r w:rsidRPr="00414C4B">
        <w:rPr>
          <w:rFonts w:ascii="Arial" w:hAnsi="Arial" w:cs="Arial"/>
          <w:sz w:val="24"/>
          <w:szCs w:val="24"/>
        </w:rPr>
        <w:t xml:space="preserve"> 1(5), pp. 559-572.</w:t>
      </w:r>
    </w:p>
    <w:p w14:paraId="249E9938"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Bialystok, E. (2010) ‘Global-local and trail-making tasks by monolingual and bilingual children: Beyond inhibition’. </w:t>
      </w:r>
      <w:r w:rsidRPr="00414C4B">
        <w:rPr>
          <w:rFonts w:ascii="Arial" w:hAnsi="Arial" w:cs="Arial"/>
          <w:i/>
          <w:iCs/>
          <w:sz w:val="24"/>
          <w:szCs w:val="24"/>
        </w:rPr>
        <w:t>Developmental Psychology</w:t>
      </w:r>
      <w:r w:rsidRPr="00414C4B">
        <w:rPr>
          <w:rFonts w:ascii="Arial" w:hAnsi="Arial" w:cs="Arial"/>
          <w:sz w:val="24"/>
          <w:szCs w:val="24"/>
        </w:rPr>
        <w:t>, 46(1), pp. 93–105.</w:t>
      </w:r>
    </w:p>
    <w:p w14:paraId="7368ADCA"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Bialystok, E. (2015) ‘Bilingualism and the development of executive function: The role of attention’. </w:t>
      </w:r>
      <w:r w:rsidRPr="00414C4B">
        <w:rPr>
          <w:rFonts w:ascii="Arial" w:hAnsi="Arial" w:cs="Arial"/>
          <w:i/>
          <w:iCs/>
          <w:sz w:val="24"/>
          <w:szCs w:val="24"/>
        </w:rPr>
        <w:t>Child Development Perspectives</w:t>
      </w:r>
      <w:r w:rsidRPr="00414C4B">
        <w:rPr>
          <w:rFonts w:ascii="Arial" w:hAnsi="Arial" w:cs="Arial"/>
          <w:sz w:val="24"/>
          <w:szCs w:val="24"/>
        </w:rPr>
        <w:t>, 9(2), pp. 117–121.</w:t>
      </w:r>
    </w:p>
    <w:p w14:paraId="11E02448"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Chen, S. &amp; Padilla, A. M. (2011) ‘Bilingualism and cognitive control: A study of Taiwanese students in the United States’. </w:t>
      </w:r>
      <w:r w:rsidRPr="00414C4B">
        <w:rPr>
          <w:rFonts w:ascii="Arial" w:hAnsi="Arial" w:cs="Arial"/>
          <w:i/>
          <w:iCs/>
          <w:sz w:val="24"/>
          <w:szCs w:val="24"/>
        </w:rPr>
        <w:t>Bilingual Research Journal</w:t>
      </w:r>
      <w:r w:rsidRPr="00414C4B">
        <w:rPr>
          <w:rFonts w:ascii="Arial" w:hAnsi="Arial" w:cs="Arial"/>
          <w:sz w:val="24"/>
          <w:szCs w:val="24"/>
        </w:rPr>
        <w:t>, 34(1), pp. 3–15.</w:t>
      </w:r>
    </w:p>
    <w:p w14:paraId="5EDCA869" w14:textId="77777777" w:rsidR="00860A61" w:rsidRPr="00414C4B" w:rsidRDefault="00860A61" w:rsidP="00860A61">
      <w:pPr>
        <w:rPr>
          <w:rFonts w:ascii="Arial" w:hAnsi="Arial" w:cs="Arial"/>
          <w:sz w:val="24"/>
          <w:szCs w:val="24"/>
        </w:rPr>
      </w:pPr>
      <w:r w:rsidRPr="00414C4B">
        <w:rPr>
          <w:rFonts w:ascii="Arial" w:hAnsi="Arial" w:cs="Arial"/>
          <w:sz w:val="24"/>
          <w:szCs w:val="24"/>
        </w:rPr>
        <w:t>Department for Education (2023</w:t>
      </w:r>
      <w:r w:rsidRPr="00414C4B">
        <w:rPr>
          <w:rFonts w:ascii="Arial" w:hAnsi="Arial" w:cs="Arial"/>
          <w:i/>
          <w:iCs/>
          <w:sz w:val="24"/>
          <w:szCs w:val="24"/>
        </w:rPr>
        <w:t xml:space="preserve">) Early years foundation stage statutory framework: Setting the standards for learning, development, and care for children from birth to five. </w:t>
      </w:r>
      <w:r w:rsidRPr="00414C4B">
        <w:rPr>
          <w:rFonts w:ascii="Arial" w:hAnsi="Arial" w:cs="Arial"/>
          <w:sz w:val="24"/>
          <w:szCs w:val="24"/>
        </w:rPr>
        <w:t>Available at: https://assets.publishing.service.gov.uk/media/65aa5e42ed27ca001327b2c7/EYFS_statutory_framework_for_group_and_school_based_providers.pdf (Accessed on: 15</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52359E35"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Early Years Alliance (no date) </w:t>
      </w:r>
      <w:r w:rsidRPr="00414C4B">
        <w:rPr>
          <w:rFonts w:ascii="Arial" w:hAnsi="Arial" w:cs="Arial"/>
          <w:i/>
          <w:iCs/>
          <w:sz w:val="24"/>
          <w:szCs w:val="24"/>
        </w:rPr>
        <w:t xml:space="preserve">Bilingualism in the Early Years. </w:t>
      </w:r>
      <w:r w:rsidRPr="00414C4B">
        <w:rPr>
          <w:rFonts w:ascii="Arial" w:hAnsi="Arial" w:cs="Arial"/>
          <w:sz w:val="24"/>
          <w:szCs w:val="24"/>
        </w:rPr>
        <w:t>Available at: https://www.eyalliance.org.uk/sites/default/files/bilingualism_in_the_early_years (Accessed on: 8</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6E033DD4"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Estyn (2019) </w:t>
      </w:r>
      <w:r w:rsidRPr="00414C4B">
        <w:rPr>
          <w:rFonts w:ascii="Arial" w:hAnsi="Arial" w:cs="Arial"/>
          <w:i/>
          <w:iCs/>
          <w:sz w:val="24"/>
          <w:szCs w:val="24"/>
        </w:rPr>
        <w:t>Developing Welsh language skills for early years</w:t>
      </w:r>
      <w:r w:rsidRPr="00414C4B">
        <w:rPr>
          <w:rFonts w:ascii="Arial" w:hAnsi="Arial" w:cs="Arial"/>
          <w:sz w:val="24"/>
          <w:szCs w:val="24"/>
        </w:rPr>
        <w:t>. Available at: learninghttps://www.estyn.gov.wales/effective-practice/developing-welsh-language-skills-early-years-learning (Accessed on: 10</w:t>
      </w:r>
      <w:r w:rsidRPr="00414C4B">
        <w:rPr>
          <w:rFonts w:ascii="Arial" w:hAnsi="Arial" w:cs="Arial"/>
          <w:sz w:val="24"/>
          <w:szCs w:val="24"/>
          <w:vertAlign w:val="superscript"/>
        </w:rPr>
        <w:t>th</w:t>
      </w:r>
      <w:r w:rsidRPr="00414C4B">
        <w:rPr>
          <w:rFonts w:ascii="Arial" w:hAnsi="Arial" w:cs="Arial"/>
          <w:sz w:val="24"/>
          <w:szCs w:val="24"/>
        </w:rPr>
        <w:t xml:space="preserve"> March 2024).  </w:t>
      </w:r>
    </w:p>
    <w:p w14:paraId="0D67E169"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García, O., &amp; Baetens Beardsmore, H. (2009) </w:t>
      </w:r>
      <w:r w:rsidRPr="00414C4B">
        <w:rPr>
          <w:rFonts w:ascii="Arial" w:hAnsi="Arial" w:cs="Arial"/>
          <w:i/>
          <w:iCs/>
          <w:sz w:val="24"/>
          <w:szCs w:val="24"/>
        </w:rPr>
        <w:t xml:space="preserve">Bilingual education in the 21st century: A global perspective. </w:t>
      </w:r>
      <w:r w:rsidRPr="00414C4B">
        <w:rPr>
          <w:rFonts w:ascii="Arial" w:hAnsi="Arial" w:cs="Arial"/>
          <w:sz w:val="24"/>
          <w:szCs w:val="24"/>
        </w:rPr>
        <w:t xml:space="preserve">Malden, MA; Oxford: Wiley-Blackwell Pub. </w:t>
      </w:r>
    </w:p>
    <w:p w14:paraId="653F2221" w14:textId="77777777" w:rsidR="00860A61" w:rsidRPr="00414C4B" w:rsidRDefault="00860A61" w:rsidP="00860A61">
      <w:pPr>
        <w:rPr>
          <w:rFonts w:ascii="Arial" w:hAnsi="Arial" w:cs="Arial"/>
          <w:sz w:val="24"/>
          <w:szCs w:val="24"/>
        </w:rPr>
      </w:pPr>
      <w:r w:rsidRPr="00414C4B">
        <w:rPr>
          <w:rFonts w:ascii="Arial" w:hAnsi="Arial" w:cs="Arial"/>
          <w:sz w:val="24"/>
          <w:szCs w:val="24"/>
        </w:rPr>
        <w:t>Gatbonton, E., &amp; Trofimovich, P. (2021) Bilingualism and Second Language Learning</w:t>
      </w:r>
      <w:r w:rsidRPr="00414C4B">
        <w:rPr>
          <w:rFonts w:ascii="Arial" w:hAnsi="Arial" w:cs="Arial"/>
          <w:i/>
          <w:iCs/>
          <w:sz w:val="24"/>
          <w:szCs w:val="24"/>
        </w:rPr>
        <w:t>.</w:t>
      </w:r>
      <w:r w:rsidRPr="00414C4B">
        <w:rPr>
          <w:rFonts w:ascii="Arial" w:hAnsi="Arial" w:cs="Arial"/>
          <w:sz w:val="24"/>
          <w:szCs w:val="24"/>
        </w:rPr>
        <w:t xml:space="preserve"> In A. M. B. de Groot &amp; P. Hagoort (Eds.), </w:t>
      </w:r>
      <w:r w:rsidRPr="00414C4B">
        <w:rPr>
          <w:rFonts w:ascii="Arial" w:hAnsi="Arial" w:cs="Arial"/>
          <w:i/>
          <w:iCs/>
          <w:sz w:val="24"/>
          <w:szCs w:val="24"/>
        </w:rPr>
        <w:t>Research Methods in Psycholinguistics and the Neurobiology of Language: A Practical Guide</w:t>
      </w:r>
      <w:r w:rsidRPr="00414C4B">
        <w:rPr>
          <w:rFonts w:ascii="Arial" w:hAnsi="Arial" w:cs="Arial"/>
          <w:sz w:val="24"/>
          <w:szCs w:val="24"/>
        </w:rPr>
        <w:t xml:space="preserve"> (pp. 123-144). Wiley.</w:t>
      </w:r>
    </w:p>
    <w:p w14:paraId="420D338A"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Gilhooly, K. J. (2016) </w:t>
      </w:r>
      <w:r w:rsidRPr="00414C4B">
        <w:rPr>
          <w:rFonts w:ascii="Arial" w:hAnsi="Arial" w:cs="Arial"/>
          <w:i/>
          <w:iCs/>
          <w:sz w:val="24"/>
          <w:szCs w:val="24"/>
        </w:rPr>
        <w:t>Incubation and creativity. In The Cambridge Handbook of Creativity</w:t>
      </w:r>
      <w:r w:rsidRPr="00414C4B">
        <w:rPr>
          <w:rFonts w:ascii="Arial" w:hAnsi="Arial" w:cs="Arial"/>
          <w:sz w:val="24"/>
          <w:szCs w:val="24"/>
        </w:rPr>
        <w:t>. UK: Cambridge University Press. Vol 7. Available at: https://doi.org/10.3389/fpsyg.2016.01076 (Accessed on: 15</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0F7F1006"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Grosjean, F. (2010) </w:t>
      </w:r>
      <w:r w:rsidRPr="00414C4B">
        <w:rPr>
          <w:rFonts w:ascii="Arial" w:hAnsi="Arial" w:cs="Arial"/>
          <w:i/>
          <w:iCs/>
          <w:sz w:val="24"/>
          <w:szCs w:val="24"/>
        </w:rPr>
        <w:t>Bilingual: Life and Reality</w:t>
      </w:r>
      <w:r w:rsidRPr="00414C4B">
        <w:rPr>
          <w:rFonts w:ascii="Arial" w:hAnsi="Arial" w:cs="Arial"/>
          <w:sz w:val="24"/>
          <w:szCs w:val="24"/>
        </w:rPr>
        <w:t>. London: Harvard University Press.</w:t>
      </w:r>
    </w:p>
    <w:p w14:paraId="18967652" w14:textId="77777777" w:rsidR="00860A61" w:rsidRPr="00414C4B" w:rsidRDefault="00860A61" w:rsidP="00860A61">
      <w:pPr>
        <w:rPr>
          <w:rFonts w:ascii="Arial" w:hAnsi="Arial" w:cs="Arial"/>
          <w:sz w:val="24"/>
          <w:szCs w:val="24"/>
        </w:rPr>
      </w:pPr>
      <w:r w:rsidRPr="00414C4B">
        <w:rPr>
          <w:rFonts w:ascii="Arial" w:hAnsi="Arial" w:cs="Arial"/>
          <w:sz w:val="24"/>
          <w:szCs w:val="24"/>
        </w:rPr>
        <w:t>Grosjean, F. (2012</w:t>
      </w:r>
      <w:r w:rsidRPr="00414C4B">
        <w:rPr>
          <w:rFonts w:ascii="Arial" w:hAnsi="Arial" w:cs="Arial"/>
          <w:i/>
          <w:iCs/>
          <w:sz w:val="24"/>
          <w:szCs w:val="24"/>
        </w:rPr>
        <w:t>) Bilingualism: A short introduction</w:t>
      </w:r>
      <w:r w:rsidRPr="00414C4B">
        <w:rPr>
          <w:rFonts w:ascii="Arial" w:hAnsi="Arial" w:cs="Arial"/>
          <w:sz w:val="24"/>
          <w:szCs w:val="24"/>
        </w:rPr>
        <w:t>. UK: Oxford University Press.</w:t>
      </w:r>
    </w:p>
    <w:p w14:paraId="5F45EDD8" w14:textId="77777777" w:rsidR="00860A61" w:rsidRPr="00414C4B" w:rsidRDefault="00860A61" w:rsidP="00860A61">
      <w:pPr>
        <w:rPr>
          <w:rFonts w:ascii="Arial" w:hAnsi="Arial" w:cs="Arial"/>
          <w:sz w:val="24"/>
          <w:szCs w:val="24"/>
        </w:rPr>
      </w:pPr>
      <w:r w:rsidRPr="00414C4B">
        <w:rPr>
          <w:rFonts w:ascii="Arial" w:hAnsi="Arial" w:cs="Arial"/>
          <w:sz w:val="24"/>
          <w:szCs w:val="24"/>
        </w:rPr>
        <w:lastRenderedPageBreak/>
        <w:t xml:space="preserve">Gumperz, J. (2011) Bilingual Conversation. </w:t>
      </w:r>
      <w:r w:rsidRPr="002B6A74">
        <w:rPr>
          <w:rFonts w:ascii="Arial" w:hAnsi="Arial" w:cs="Arial"/>
          <w:sz w:val="24"/>
          <w:szCs w:val="24"/>
          <w:lang w:val="de-DE"/>
        </w:rPr>
        <w:t xml:space="preserve">In Tannen, D., Hamilton, H. E., &amp; Schiffrin, D. (Eds.) </w:t>
      </w:r>
      <w:r w:rsidRPr="00414C4B">
        <w:rPr>
          <w:rFonts w:ascii="Arial" w:hAnsi="Arial" w:cs="Arial"/>
          <w:i/>
          <w:iCs/>
          <w:sz w:val="24"/>
          <w:szCs w:val="24"/>
        </w:rPr>
        <w:t>Handbook of Discourse Analysis</w:t>
      </w:r>
      <w:r w:rsidRPr="00414C4B">
        <w:rPr>
          <w:rFonts w:ascii="Arial" w:hAnsi="Arial" w:cs="Arial"/>
          <w:sz w:val="24"/>
          <w:szCs w:val="24"/>
        </w:rPr>
        <w:t xml:space="preserve"> (pp. 331–351). Blackwell Publishing Ltd.</w:t>
      </w:r>
    </w:p>
    <w:p w14:paraId="18C2714E"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Heugh, K. and Skutnabb-Kangas, T. (2010) </w:t>
      </w:r>
      <w:r w:rsidRPr="00414C4B">
        <w:rPr>
          <w:rFonts w:ascii="Arial" w:hAnsi="Arial" w:cs="Arial"/>
          <w:i/>
          <w:iCs/>
          <w:sz w:val="24"/>
          <w:szCs w:val="24"/>
        </w:rPr>
        <w:t>Multilingual education works: From the periphery to the centre.</w:t>
      </w:r>
      <w:r w:rsidRPr="00414C4B">
        <w:rPr>
          <w:rFonts w:ascii="Arial" w:hAnsi="Arial" w:cs="Arial"/>
          <w:sz w:val="24"/>
          <w:szCs w:val="24"/>
        </w:rPr>
        <w:t xml:space="preserve"> New Delhi: Orient Blackswan.</w:t>
      </w:r>
    </w:p>
    <w:p w14:paraId="76817E25"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Hickok, G., &amp; Poeppel, D. (2020) ‘The cortical organization of speech processing’. </w:t>
      </w:r>
      <w:r w:rsidRPr="00414C4B">
        <w:rPr>
          <w:rFonts w:ascii="Arial" w:hAnsi="Arial" w:cs="Arial"/>
          <w:i/>
          <w:iCs/>
          <w:sz w:val="24"/>
          <w:szCs w:val="24"/>
        </w:rPr>
        <w:t>Nature Reviews Neuroscience</w:t>
      </w:r>
      <w:r w:rsidRPr="00414C4B">
        <w:rPr>
          <w:rFonts w:ascii="Arial" w:hAnsi="Arial" w:cs="Arial"/>
          <w:sz w:val="24"/>
          <w:szCs w:val="24"/>
        </w:rPr>
        <w:t>, 21(4), pp. 252–267.</w:t>
      </w:r>
    </w:p>
    <w:p w14:paraId="60D15636"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Hickok, G., &amp; Poeppel, D. (2020) ‘The cortical organization of speech processing’. </w:t>
      </w:r>
      <w:r w:rsidRPr="00414C4B">
        <w:rPr>
          <w:rFonts w:ascii="Arial" w:hAnsi="Arial" w:cs="Arial"/>
          <w:i/>
          <w:iCs/>
          <w:sz w:val="24"/>
          <w:szCs w:val="24"/>
        </w:rPr>
        <w:t>Nature Reviews Neuroscience</w:t>
      </w:r>
      <w:r w:rsidRPr="00414C4B">
        <w:rPr>
          <w:rFonts w:ascii="Arial" w:hAnsi="Arial" w:cs="Arial"/>
          <w:sz w:val="24"/>
          <w:szCs w:val="24"/>
        </w:rPr>
        <w:t>, 21(4), pp. 252–267.</w:t>
      </w:r>
    </w:p>
    <w:p w14:paraId="59E550B9"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Hoff, E. (2013) ‘Interpreting the early language trajectories of children from low-SES and language minority homes: Implications for closing achievement gaps’. </w:t>
      </w:r>
      <w:r w:rsidRPr="00414C4B">
        <w:rPr>
          <w:rFonts w:ascii="Arial" w:hAnsi="Arial" w:cs="Arial"/>
          <w:i/>
          <w:iCs/>
          <w:sz w:val="24"/>
          <w:szCs w:val="24"/>
        </w:rPr>
        <w:t>Developmental Psychology</w:t>
      </w:r>
      <w:r w:rsidRPr="00414C4B">
        <w:rPr>
          <w:rFonts w:ascii="Arial" w:hAnsi="Arial" w:cs="Arial"/>
          <w:sz w:val="24"/>
          <w:szCs w:val="24"/>
        </w:rPr>
        <w:t>, 49(1), pp. 4–14.</w:t>
      </w:r>
    </w:p>
    <w:p w14:paraId="4D56B3C1"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Hoffman, J. M. (2020) Motor cortex. In M. A. Arbib (Ed.), </w:t>
      </w:r>
      <w:r w:rsidRPr="00414C4B">
        <w:rPr>
          <w:rFonts w:ascii="Arial" w:hAnsi="Arial" w:cs="Arial"/>
          <w:i/>
          <w:iCs/>
          <w:sz w:val="24"/>
          <w:szCs w:val="24"/>
        </w:rPr>
        <w:t>Oxford Research Encyclopedia of Neuroscience.</w:t>
      </w:r>
      <w:r w:rsidRPr="00414C4B">
        <w:rPr>
          <w:rFonts w:ascii="Arial" w:hAnsi="Arial" w:cs="Arial"/>
          <w:sz w:val="24"/>
          <w:szCs w:val="24"/>
        </w:rPr>
        <w:t xml:space="preserve"> London: Oxford University Press.</w:t>
      </w:r>
    </w:p>
    <w:p w14:paraId="123AD832"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Learning Matters (2021) </w:t>
      </w:r>
      <w:r w:rsidRPr="00414C4B">
        <w:rPr>
          <w:rFonts w:ascii="Arial" w:hAnsi="Arial" w:cs="Arial"/>
          <w:i/>
          <w:iCs/>
          <w:sz w:val="24"/>
          <w:szCs w:val="24"/>
        </w:rPr>
        <w:t xml:space="preserve">Learning in the Early Years Foundation Stage. The statutory framework. </w:t>
      </w:r>
      <w:r w:rsidRPr="00414C4B">
        <w:rPr>
          <w:rFonts w:ascii="Arial" w:hAnsi="Arial" w:cs="Arial"/>
          <w:sz w:val="24"/>
          <w:szCs w:val="24"/>
        </w:rPr>
        <w:t>London: Sage Publications Ltd.</w:t>
      </w:r>
    </w:p>
    <w:p w14:paraId="7684AAE9" w14:textId="77777777" w:rsidR="00860A61" w:rsidRDefault="00860A61" w:rsidP="00860A61">
      <w:pPr>
        <w:rPr>
          <w:rFonts w:ascii="Arial" w:hAnsi="Arial" w:cs="Arial"/>
          <w:sz w:val="24"/>
          <w:szCs w:val="24"/>
        </w:rPr>
      </w:pPr>
      <w:r w:rsidRPr="00414C4B">
        <w:rPr>
          <w:rFonts w:ascii="Arial" w:hAnsi="Arial" w:cs="Arial"/>
          <w:sz w:val="24"/>
          <w:szCs w:val="24"/>
        </w:rPr>
        <w:t xml:space="preserve">Lemberger, N, (2008) </w:t>
      </w:r>
      <w:r w:rsidRPr="00414C4B">
        <w:rPr>
          <w:rFonts w:ascii="Arial" w:hAnsi="Arial" w:cs="Arial"/>
          <w:i/>
          <w:iCs/>
          <w:sz w:val="24"/>
          <w:szCs w:val="24"/>
        </w:rPr>
        <w:t xml:space="preserve">Bilingual Education. </w:t>
      </w:r>
      <w:r w:rsidRPr="00414C4B">
        <w:rPr>
          <w:rFonts w:ascii="Arial" w:hAnsi="Arial" w:cs="Arial"/>
          <w:sz w:val="24"/>
          <w:szCs w:val="24"/>
        </w:rPr>
        <w:t>New York: Routledge.</w:t>
      </w:r>
    </w:p>
    <w:p w14:paraId="5A9DA80D" w14:textId="77777777" w:rsidR="00860A61" w:rsidRPr="00414C4B" w:rsidRDefault="00860A61" w:rsidP="00860A61">
      <w:pPr>
        <w:rPr>
          <w:rFonts w:ascii="Arial" w:hAnsi="Arial" w:cs="Arial"/>
          <w:sz w:val="24"/>
          <w:szCs w:val="24"/>
        </w:rPr>
      </w:pPr>
      <w:r w:rsidRPr="00861058">
        <w:rPr>
          <w:rFonts w:ascii="Arial" w:hAnsi="Arial" w:cs="Arial"/>
          <w:sz w:val="24"/>
          <w:szCs w:val="24"/>
        </w:rPr>
        <w:t xml:space="preserve">Lightbown, P. and Spada, </w:t>
      </w:r>
      <w:r>
        <w:rPr>
          <w:rFonts w:ascii="Arial" w:hAnsi="Arial" w:cs="Arial"/>
          <w:sz w:val="24"/>
          <w:szCs w:val="24"/>
        </w:rPr>
        <w:t>M.</w:t>
      </w:r>
      <w:r w:rsidRPr="00861058">
        <w:rPr>
          <w:rFonts w:ascii="Arial" w:hAnsi="Arial" w:cs="Arial"/>
          <w:sz w:val="24"/>
          <w:szCs w:val="24"/>
        </w:rPr>
        <w:t xml:space="preserve"> (2013) </w:t>
      </w:r>
      <w:r w:rsidRPr="00CA2C26">
        <w:rPr>
          <w:rFonts w:ascii="Arial" w:hAnsi="Arial" w:cs="Arial"/>
          <w:i/>
          <w:iCs/>
          <w:sz w:val="24"/>
          <w:szCs w:val="24"/>
        </w:rPr>
        <w:t>How languages are learned</w:t>
      </w:r>
      <w:r w:rsidRPr="00861058">
        <w:rPr>
          <w:rFonts w:ascii="Arial" w:hAnsi="Arial" w:cs="Arial"/>
          <w:sz w:val="24"/>
          <w:szCs w:val="24"/>
        </w:rPr>
        <w:t xml:space="preserve">. </w:t>
      </w:r>
      <w:r>
        <w:rPr>
          <w:rFonts w:ascii="Arial" w:hAnsi="Arial" w:cs="Arial"/>
          <w:sz w:val="24"/>
          <w:szCs w:val="24"/>
        </w:rPr>
        <w:t>4</w:t>
      </w:r>
      <w:r w:rsidRPr="00CA2C26">
        <w:rPr>
          <w:rFonts w:ascii="Arial" w:hAnsi="Arial" w:cs="Arial"/>
          <w:sz w:val="24"/>
          <w:szCs w:val="24"/>
          <w:vertAlign w:val="superscript"/>
        </w:rPr>
        <w:t>th</w:t>
      </w:r>
      <w:r>
        <w:rPr>
          <w:rFonts w:ascii="Arial" w:hAnsi="Arial" w:cs="Arial"/>
          <w:sz w:val="24"/>
          <w:szCs w:val="24"/>
        </w:rPr>
        <w:t xml:space="preserve"> </w:t>
      </w:r>
      <w:r w:rsidRPr="00861058">
        <w:rPr>
          <w:rFonts w:ascii="Arial" w:hAnsi="Arial" w:cs="Arial"/>
          <w:sz w:val="24"/>
          <w:szCs w:val="24"/>
        </w:rPr>
        <w:t>ed</w:t>
      </w:r>
      <w:r>
        <w:rPr>
          <w:rFonts w:ascii="Arial" w:hAnsi="Arial" w:cs="Arial"/>
          <w:sz w:val="24"/>
          <w:szCs w:val="24"/>
        </w:rPr>
        <w:t>n</w:t>
      </w:r>
      <w:r w:rsidRPr="00861058">
        <w:rPr>
          <w:rFonts w:ascii="Arial" w:hAnsi="Arial" w:cs="Arial"/>
          <w:sz w:val="24"/>
          <w:szCs w:val="24"/>
        </w:rPr>
        <w:t>. Oxford: Oxford University Press.</w:t>
      </w:r>
    </w:p>
    <w:p w14:paraId="6D44DADA"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Low, E. L. (2017) English-Knowing Bilingualism, Lee’s “Most Difficult Policy”. In: Tan, O., Low, E., Hung, D. (eds) </w:t>
      </w:r>
      <w:r w:rsidRPr="00414C4B">
        <w:rPr>
          <w:rFonts w:ascii="Arial" w:hAnsi="Arial" w:cs="Arial"/>
          <w:i/>
          <w:iCs/>
          <w:sz w:val="24"/>
          <w:szCs w:val="24"/>
        </w:rPr>
        <w:t>Lee Kuan Yew’s Educational Legacy. Springer, Singapore.</w:t>
      </w:r>
      <w:r w:rsidRPr="00414C4B">
        <w:rPr>
          <w:rFonts w:ascii="Arial" w:hAnsi="Arial" w:cs="Arial"/>
          <w:sz w:val="24"/>
          <w:szCs w:val="24"/>
        </w:rPr>
        <w:t xml:space="preserve"> Available at: https://doi.org/10.1007/978-981-10-3525-8_6 (Accessed on: 10</w:t>
      </w:r>
      <w:r w:rsidRPr="00414C4B">
        <w:rPr>
          <w:rFonts w:ascii="Arial" w:hAnsi="Arial" w:cs="Arial"/>
          <w:sz w:val="24"/>
          <w:szCs w:val="24"/>
          <w:vertAlign w:val="superscript"/>
        </w:rPr>
        <w:t>th</w:t>
      </w:r>
      <w:r w:rsidRPr="00414C4B">
        <w:rPr>
          <w:rFonts w:ascii="Arial" w:hAnsi="Arial" w:cs="Arial"/>
          <w:sz w:val="24"/>
          <w:szCs w:val="24"/>
        </w:rPr>
        <w:t xml:space="preserve"> April 2024).</w:t>
      </w:r>
    </w:p>
    <w:p w14:paraId="058CDF20"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Michigan State University (2019) </w:t>
      </w:r>
      <w:r w:rsidRPr="00414C4B">
        <w:rPr>
          <w:rFonts w:ascii="Arial" w:hAnsi="Arial" w:cs="Arial"/>
          <w:i/>
          <w:iCs/>
          <w:sz w:val="24"/>
          <w:szCs w:val="24"/>
        </w:rPr>
        <w:t xml:space="preserve">Advantages of bilingual brain. </w:t>
      </w:r>
      <w:r w:rsidRPr="00414C4B">
        <w:rPr>
          <w:rFonts w:ascii="Arial" w:hAnsi="Arial" w:cs="Arial"/>
          <w:sz w:val="24"/>
          <w:szCs w:val="24"/>
        </w:rPr>
        <w:t>Available at:</w:t>
      </w:r>
      <w:r w:rsidRPr="00414C4B">
        <w:rPr>
          <w:sz w:val="24"/>
          <w:szCs w:val="24"/>
        </w:rPr>
        <w:t xml:space="preserve"> </w:t>
      </w:r>
      <w:r w:rsidRPr="00414C4B">
        <w:rPr>
          <w:rFonts w:ascii="Arial" w:hAnsi="Arial" w:cs="Arial"/>
          <w:sz w:val="24"/>
          <w:szCs w:val="24"/>
        </w:rPr>
        <w:t>https://www.canr.msu.edu/news/advantages_of_a_bilingual_brain# (Accessed on: 10</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085880E8"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Paradis, J., Genesee, F., &amp; Crago, M. (2011) </w:t>
      </w:r>
      <w:r w:rsidRPr="00414C4B">
        <w:rPr>
          <w:rFonts w:ascii="Arial" w:hAnsi="Arial" w:cs="Arial"/>
          <w:i/>
          <w:iCs/>
          <w:sz w:val="24"/>
          <w:szCs w:val="24"/>
        </w:rPr>
        <w:t>Dual language development and disorders: A handbook on bilingualism and second language learning</w:t>
      </w:r>
      <w:r w:rsidRPr="00414C4B">
        <w:rPr>
          <w:rFonts w:ascii="Arial" w:hAnsi="Arial" w:cs="Arial"/>
          <w:sz w:val="24"/>
          <w:szCs w:val="24"/>
        </w:rPr>
        <w:t>. London: Brookes Publishing.</w:t>
      </w:r>
    </w:p>
    <w:p w14:paraId="4655F330"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Pliatsikas C., Meteyard L., Veríssimo J., DeLuca V., Shattuck K. and Ullman M.T.(2020) ‘The effect of bilingualism on brain development from early childhood to young adulthood’. </w:t>
      </w:r>
      <w:r w:rsidRPr="00414C4B">
        <w:rPr>
          <w:rFonts w:ascii="Arial" w:hAnsi="Arial" w:cs="Arial"/>
          <w:i/>
          <w:iCs/>
          <w:sz w:val="24"/>
          <w:szCs w:val="24"/>
        </w:rPr>
        <w:t>Brain Struct Funct.</w:t>
      </w:r>
      <w:r w:rsidRPr="00414C4B">
        <w:rPr>
          <w:rFonts w:ascii="Arial" w:hAnsi="Arial" w:cs="Arial"/>
          <w:sz w:val="24"/>
          <w:szCs w:val="24"/>
        </w:rPr>
        <w:t>, 225(7) pp.2131-2152. Available at: doi: 10.1007/s00429-020-02115-5. Epub 2020 Jul 20. PMID: 32691216; PMCID: PMC7473972.</w:t>
      </w:r>
    </w:p>
    <w:p w14:paraId="6A5F4709"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Poarch, G. J., &amp; Van Hell, J. G. (2012) ‘Executive functions and inhibitory control in multilingual children: Evidence from second-language learners, bilinguals, and trilingual’. </w:t>
      </w:r>
      <w:r w:rsidRPr="00414C4B">
        <w:rPr>
          <w:rFonts w:ascii="Arial" w:hAnsi="Arial" w:cs="Arial"/>
          <w:i/>
          <w:iCs/>
          <w:sz w:val="24"/>
          <w:szCs w:val="24"/>
        </w:rPr>
        <w:t>Journal of Experimental Child Psychology</w:t>
      </w:r>
      <w:r w:rsidRPr="00414C4B">
        <w:rPr>
          <w:rFonts w:ascii="Arial" w:hAnsi="Arial" w:cs="Arial"/>
          <w:sz w:val="24"/>
          <w:szCs w:val="24"/>
        </w:rPr>
        <w:t>, 113(4), pp. 535–551.</w:t>
      </w:r>
    </w:p>
    <w:p w14:paraId="643512DD"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Rowe, J. B. (2010) ‘Connectivity analysis is essential to understand neurological disorders’. </w:t>
      </w:r>
      <w:r w:rsidRPr="00414C4B">
        <w:rPr>
          <w:rFonts w:ascii="Arial" w:hAnsi="Arial" w:cs="Arial"/>
          <w:i/>
          <w:iCs/>
          <w:sz w:val="24"/>
          <w:szCs w:val="24"/>
        </w:rPr>
        <w:t>Frontiers in Systems Neuroscience</w:t>
      </w:r>
      <w:r w:rsidRPr="00414C4B">
        <w:rPr>
          <w:rFonts w:ascii="Arial" w:hAnsi="Arial" w:cs="Arial"/>
          <w:sz w:val="24"/>
          <w:szCs w:val="24"/>
        </w:rPr>
        <w:t>, 4, 144.</w:t>
      </w:r>
    </w:p>
    <w:p w14:paraId="63218605" w14:textId="77777777" w:rsidR="00860A61" w:rsidRPr="00414C4B" w:rsidRDefault="00860A61" w:rsidP="00860A61">
      <w:pPr>
        <w:rPr>
          <w:rFonts w:ascii="Arial" w:hAnsi="Arial" w:cs="Arial"/>
          <w:sz w:val="24"/>
          <w:szCs w:val="24"/>
        </w:rPr>
      </w:pPr>
      <w:r w:rsidRPr="00414C4B">
        <w:rPr>
          <w:rFonts w:ascii="Arial" w:hAnsi="Arial" w:cs="Arial"/>
          <w:sz w:val="24"/>
          <w:szCs w:val="24"/>
        </w:rPr>
        <w:lastRenderedPageBreak/>
        <w:t xml:space="preserve">Runco, M. A., &amp; Jaeger, G. J. (2012) ‘The standard definition of creativity’. </w:t>
      </w:r>
      <w:r w:rsidRPr="00414C4B">
        <w:rPr>
          <w:rFonts w:ascii="Arial" w:hAnsi="Arial" w:cs="Arial"/>
          <w:i/>
          <w:iCs/>
          <w:sz w:val="24"/>
          <w:szCs w:val="24"/>
        </w:rPr>
        <w:t>Creativity Research Journal,</w:t>
      </w:r>
      <w:r w:rsidRPr="00414C4B">
        <w:rPr>
          <w:rFonts w:ascii="Arial" w:hAnsi="Arial" w:cs="Arial"/>
          <w:sz w:val="24"/>
          <w:szCs w:val="24"/>
        </w:rPr>
        <w:t xml:space="preserve"> 24(1), pp. 92-96.</w:t>
      </w:r>
    </w:p>
    <w:p w14:paraId="181F5093" w14:textId="77777777" w:rsidR="00860A61" w:rsidRDefault="00860A61" w:rsidP="00860A61">
      <w:pPr>
        <w:rPr>
          <w:rFonts w:ascii="Arial" w:hAnsi="Arial" w:cs="Arial"/>
          <w:i/>
          <w:iCs/>
          <w:sz w:val="24"/>
          <w:szCs w:val="24"/>
        </w:rPr>
      </w:pPr>
      <w:r w:rsidRPr="00414C4B">
        <w:rPr>
          <w:rFonts w:ascii="Arial" w:hAnsi="Arial" w:cs="Arial"/>
          <w:sz w:val="24"/>
          <w:szCs w:val="24"/>
        </w:rPr>
        <w:t xml:space="preserve">Smidt, S. (2016) </w:t>
      </w:r>
      <w:r w:rsidRPr="00414C4B">
        <w:rPr>
          <w:rFonts w:ascii="Arial" w:hAnsi="Arial" w:cs="Arial"/>
          <w:i/>
          <w:iCs/>
          <w:sz w:val="24"/>
          <w:szCs w:val="24"/>
        </w:rPr>
        <w:t>Multilingualism in the early years</w:t>
      </w:r>
      <w:r w:rsidRPr="00414C4B">
        <w:rPr>
          <w:rFonts w:ascii="Arial" w:hAnsi="Arial" w:cs="Arial"/>
          <w:sz w:val="24"/>
          <w:szCs w:val="24"/>
        </w:rPr>
        <w:t>: Extending the limits of our world</w:t>
      </w:r>
      <w:r w:rsidRPr="00414C4B">
        <w:rPr>
          <w:rFonts w:ascii="Arial" w:hAnsi="Arial" w:cs="Arial"/>
          <w:i/>
          <w:iCs/>
          <w:sz w:val="24"/>
          <w:szCs w:val="24"/>
        </w:rPr>
        <w:t>.</w:t>
      </w:r>
    </w:p>
    <w:p w14:paraId="0462DA51" w14:textId="77777777" w:rsidR="00860A61" w:rsidRPr="00414C4B" w:rsidRDefault="00860A61" w:rsidP="00860A61">
      <w:pPr>
        <w:rPr>
          <w:rFonts w:ascii="Arial" w:hAnsi="Arial" w:cs="Arial"/>
          <w:sz w:val="24"/>
          <w:szCs w:val="24"/>
        </w:rPr>
      </w:pPr>
      <w:r w:rsidRPr="00414C4B">
        <w:rPr>
          <w:rFonts w:ascii="Arial" w:hAnsi="Arial" w:cs="Arial"/>
          <w:sz w:val="24"/>
          <w:szCs w:val="24"/>
        </w:rPr>
        <w:t>SSA, T. &amp; Hatt, A. (2013) ‘Bilingualism and cultural identity: An exploration of language and identity among Hmong students’</w:t>
      </w:r>
      <w:r w:rsidRPr="00414C4B">
        <w:rPr>
          <w:rFonts w:ascii="Arial" w:hAnsi="Arial" w:cs="Arial"/>
          <w:i/>
          <w:iCs/>
          <w:sz w:val="24"/>
          <w:szCs w:val="24"/>
        </w:rPr>
        <w:t>. Language and Education</w:t>
      </w:r>
      <w:r w:rsidRPr="00414C4B">
        <w:rPr>
          <w:rFonts w:ascii="Arial" w:hAnsi="Arial" w:cs="Arial"/>
          <w:sz w:val="24"/>
          <w:szCs w:val="24"/>
        </w:rPr>
        <w:t>, 27(2), pp. 123–139.</w:t>
      </w:r>
    </w:p>
    <w:p w14:paraId="5F5E10C4" w14:textId="77777777" w:rsidR="00860A61" w:rsidRPr="00414C4B" w:rsidRDefault="00860A61" w:rsidP="00860A61">
      <w:pPr>
        <w:rPr>
          <w:rFonts w:ascii="Arial" w:hAnsi="Arial" w:cs="Arial"/>
          <w:sz w:val="24"/>
          <w:szCs w:val="24"/>
        </w:rPr>
      </w:pPr>
      <w:r w:rsidRPr="00414C4B">
        <w:rPr>
          <w:rFonts w:ascii="Arial" w:hAnsi="Arial" w:cs="Arial"/>
          <w:sz w:val="24"/>
          <w:szCs w:val="24"/>
        </w:rPr>
        <w:t>SSA, T. &amp; Hatt, A. (2013</w:t>
      </w:r>
      <w:r w:rsidRPr="00414C4B">
        <w:rPr>
          <w:rFonts w:ascii="Arial" w:hAnsi="Arial" w:cs="Arial"/>
          <w:i/>
          <w:iCs/>
          <w:sz w:val="24"/>
          <w:szCs w:val="24"/>
        </w:rPr>
        <w:t>) Language, culture and identity in the early years</w:t>
      </w:r>
      <w:r w:rsidRPr="00414C4B">
        <w:rPr>
          <w:rFonts w:ascii="Arial" w:hAnsi="Arial" w:cs="Arial"/>
          <w:sz w:val="24"/>
          <w:szCs w:val="24"/>
        </w:rPr>
        <w:t>. London: Continuum.</w:t>
      </w:r>
    </w:p>
    <w:p w14:paraId="36B62A03"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Trainor, L. J., Marie, C., Gerry, D., Whiskin, E., &amp; Unrau, A. (2020) Becoming musically enculturated: Effects of music classes for infants on brain and behaviour’. </w:t>
      </w:r>
      <w:r w:rsidRPr="00414C4B">
        <w:rPr>
          <w:rFonts w:ascii="Arial" w:hAnsi="Arial" w:cs="Arial"/>
          <w:i/>
          <w:iCs/>
          <w:sz w:val="24"/>
          <w:szCs w:val="24"/>
        </w:rPr>
        <w:t>Annals of the New York Acade</w:t>
      </w:r>
      <w:r>
        <w:rPr>
          <w:rFonts w:ascii="Arial" w:hAnsi="Arial" w:cs="Arial"/>
          <w:i/>
          <w:iCs/>
          <w:sz w:val="24"/>
          <w:szCs w:val="24"/>
        </w:rPr>
        <w:t>the</w:t>
      </w:r>
      <w:r w:rsidRPr="00414C4B">
        <w:rPr>
          <w:rFonts w:ascii="Arial" w:hAnsi="Arial" w:cs="Arial"/>
          <w:i/>
          <w:iCs/>
          <w:sz w:val="24"/>
          <w:szCs w:val="24"/>
        </w:rPr>
        <w:t xml:space="preserve"> of Sciences</w:t>
      </w:r>
      <w:r w:rsidRPr="00414C4B">
        <w:rPr>
          <w:rFonts w:ascii="Arial" w:hAnsi="Arial" w:cs="Arial"/>
          <w:sz w:val="24"/>
          <w:szCs w:val="24"/>
        </w:rPr>
        <w:t>, 1464(1), pp. 87-98.</w:t>
      </w:r>
    </w:p>
    <w:p w14:paraId="057683C5" w14:textId="77777777" w:rsidR="00860A61" w:rsidRDefault="00860A61" w:rsidP="00860A61">
      <w:pPr>
        <w:rPr>
          <w:rFonts w:ascii="Arial" w:hAnsi="Arial" w:cs="Arial"/>
          <w:sz w:val="24"/>
          <w:szCs w:val="24"/>
        </w:rPr>
      </w:pPr>
      <w:r w:rsidRPr="00414C4B">
        <w:rPr>
          <w:rFonts w:ascii="Arial" w:hAnsi="Arial" w:cs="Arial"/>
          <w:sz w:val="24"/>
          <w:szCs w:val="24"/>
        </w:rPr>
        <w:t xml:space="preserve">Trehub, S. E. (2018) ‘Infants as musical connoisseurs’. </w:t>
      </w:r>
      <w:r w:rsidRPr="00414C4B">
        <w:rPr>
          <w:rFonts w:ascii="Arial" w:hAnsi="Arial" w:cs="Arial"/>
          <w:i/>
          <w:iCs/>
          <w:sz w:val="24"/>
          <w:szCs w:val="24"/>
        </w:rPr>
        <w:t>Oxford Handbook of Musical Development</w:t>
      </w:r>
      <w:r w:rsidRPr="00414C4B">
        <w:rPr>
          <w:rFonts w:ascii="Arial" w:hAnsi="Arial" w:cs="Arial"/>
          <w:sz w:val="24"/>
          <w:szCs w:val="24"/>
        </w:rPr>
        <w:t>, pp. 97-110.</w:t>
      </w:r>
    </w:p>
    <w:p w14:paraId="2EA9C567" w14:textId="77777777" w:rsidR="00860A61" w:rsidRPr="00414C4B" w:rsidRDefault="00860A61" w:rsidP="00860A61">
      <w:pPr>
        <w:rPr>
          <w:rFonts w:ascii="Arial" w:hAnsi="Arial" w:cs="Arial"/>
          <w:sz w:val="24"/>
          <w:szCs w:val="24"/>
        </w:rPr>
      </w:pPr>
      <w:r w:rsidRPr="00210C1D">
        <w:rPr>
          <w:rFonts w:ascii="Arial" w:hAnsi="Arial" w:cs="Arial"/>
          <w:sz w:val="24"/>
          <w:szCs w:val="24"/>
        </w:rPr>
        <w:t xml:space="preserve">Vygotsky, L. S. (1978) </w:t>
      </w:r>
      <w:r w:rsidRPr="00210C1D">
        <w:rPr>
          <w:rFonts w:ascii="Arial" w:hAnsi="Arial" w:cs="Arial"/>
          <w:i/>
          <w:iCs/>
          <w:sz w:val="24"/>
          <w:szCs w:val="24"/>
        </w:rPr>
        <w:t>Mind in society</w:t>
      </w:r>
      <w:r w:rsidRPr="00210C1D">
        <w:rPr>
          <w:rFonts w:ascii="Arial" w:hAnsi="Arial" w:cs="Arial"/>
          <w:sz w:val="24"/>
          <w:szCs w:val="24"/>
        </w:rPr>
        <w:t xml:space="preserve">: </w:t>
      </w:r>
      <w:r w:rsidRPr="00210C1D">
        <w:rPr>
          <w:rFonts w:ascii="Arial" w:hAnsi="Arial" w:cs="Arial"/>
          <w:i/>
          <w:iCs/>
          <w:sz w:val="24"/>
          <w:szCs w:val="24"/>
        </w:rPr>
        <w:t>The development of higher psychological processes.</w:t>
      </w:r>
      <w:r w:rsidRPr="00210C1D">
        <w:rPr>
          <w:rFonts w:ascii="Arial" w:hAnsi="Arial" w:cs="Arial"/>
          <w:sz w:val="24"/>
          <w:szCs w:val="24"/>
        </w:rPr>
        <w:t xml:space="preserve"> Cambridge, MA: Harvard University Press.</w:t>
      </w:r>
    </w:p>
    <w:p w14:paraId="4206DA08" w14:textId="77777777" w:rsidR="00860A61" w:rsidRDefault="00860A61" w:rsidP="00860A61">
      <w:pPr>
        <w:rPr>
          <w:rFonts w:ascii="Arial" w:hAnsi="Arial" w:cs="Arial"/>
          <w:sz w:val="24"/>
          <w:szCs w:val="24"/>
        </w:rPr>
      </w:pPr>
      <w:r w:rsidRPr="00414C4B">
        <w:rPr>
          <w:rFonts w:ascii="Arial" w:hAnsi="Arial" w:cs="Arial"/>
          <w:sz w:val="24"/>
          <w:szCs w:val="24"/>
        </w:rPr>
        <w:t xml:space="preserve">Wei, L. (2011) ‘Moment analysis and translanguaging space: Discursive construction of identities by multilingual Chinese youth in Britain’. </w:t>
      </w:r>
      <w:r w:rsidRPr="00414C4B">
        <w:rPr>
          <w:rFonts w:ascii="Arial" w:hAnsi="Arial" w:cs="Arial"/>
          <w:i/>
          <w:iCs/>
          <w:sz w:val="24"/>
          <w:szCs w:val="24"/>
        </w:rPr>
        <w:t>Journal of Pragmatics</w:t>
      </w:r>
      <w:r w:rsidRPr="00414C4B">
        <w:rPr>
          <w:rFonts w:ascii="Arial" w:hAnsi="Arial" w:cs="Arial"/>
          <w:sz w:val="24"/>
          <w:szCs w:val="24"/>
        </w:rPr>
        <w:t>, 43(5), pp. 1222–1235.</w:t>
      </w:r>
    </w:p>
    <w:p w14:paraId="1BE7480A" w14:textId="77777777" w:rsidR="00860A61" w:rsidRDefault="00860A61" w:rsidP="00860A61">
      <w:pPr>
        <w:rPr>
          <w:rFonts w:ascii="Arial" w:hAnsi="Arial" w:cs="Arial"/>
          <w:sz w:val="24"/>
          <w:szCs w:val="24"/>
        </w:rPr>
      </w:pPr>
      <w:r w:rsidRPr="00AF07F3">
        <w:rPr>
          <w:rFonts w:ascii="Arial" w:hAnsi="Arial" w:cs="Arial"/>
          <w:sz w:val="24"/>
          <w:szCs w:val="24"/>
        </w:rPr>
        <w:t>Weisberg, D.S., Hirsh-Pasek, K. and Golinkoff, R.M. (2013) “Embracing Complexity: Rethinking the Relation Between Play and Learning: Comment on Lillard et al. (2013),” Psychological bulletin, 139(1), pp. 35–39. Available at: https://doi.org/10.1037/a0030077.</w:t>
      </w:r>
    </w:p>
    <w:p w14:paraId="12C36706"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Welsh Government. (2015) </w:t>
      </w:r>
      <w:r w:rsidRPr="00414C4B">
        <w:rPr>
          <w:rFonts w:ascii="Arial" w:hAnsi="Arial" w:cs="Arial"/>
          <w:i/>
          <w:iCs/>
          <w:sz w:val="24"/>
          <w:szCs w:val="24"/>
        </w:rPr>
        <w:t xml:space="preserve">Early Years Outcomes Framework. </w:t>
      </w:r>
      <w:r w:rsidRPr="00414C4B">
        <w:rPr>
          <w:rFonts w:ascii="Arial" w:hAnsi="Arial" w:cs="Arial"/>
          <w:sz w:val="24"/>
          <w:szCs w:val="24"/>
        </w:rPr>
        <w:t>Available at: https://www.gov.wales/sites/default/files/publications/2019-07/early-years-outcomes-framework.pdf (Accessed on 25th March 2024).</w:t>
      </w:r>
    </w:p>
    <w:p w14:paraId="6D541E47" w14:textId="77777777" w:rsidR="00860A61" w:rsidRPr="00414C4B" w:rsidRDefault="00860A61" w:rsidP="00860A61">
      <w:pPr>
        <w:rPr>
          <w:rFonts w:ascii="Arial" w:hAnsi="Arial" w:cs="Arial"/>
          <w:sz w:val="24"/>
          <w:szCs w:val="24"/>
        </w:rPr>
      </w:pPr>
      <w:r w:rsidRPr="00414C4B">
        <w:rPr>
          <w:rFonts w:ascii="Arial" w:hAnsi="Arial" w:cs="Arial"/>
          <w:sz w:val="24"/>
          <w:szCs w:val="24"/>
        </w:rPr>
        <w:t>Welsh Government (2019) Guidance on Welsh in Education Strategic Plans. Welsh language education strategic plan 2017-2021: Update 2019. Available at: https://www.gov.wales/sites/default/files/publications/2021-02/guidance-welsh-in-education-strategic-plan.pdf (Accessed on 31st March 2024).</w:t>
      </w:r>
    </w:p>
    <w:p w14:paraId="4F1A8679"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Welsh Government (2019) </w:t>
      </w:r>
      <w:r w:rsidRPr="00414C4B">
        <w:rPr>
          <w:rFonts w:ascii="Arial" w:hAnsi="Arial" w:cs="Arial"/>
          <w:i/>
          <w:iCs/>
          <w:sz w:val="24"/>
          <w:szCs w:val="24"/>
        </w:rPr>
        <w:t>Understanding bilingualism in education: a seed for bilingual teaching</w:t>
      </w:r>
      <w:r w:rsidRPr="00414C4B">
        <w:rPr>
          <w:rFonts w:ascii="Arial" w:hAnsi="Arial" w:cs="Arial"/>
          <w:sz w:val="24"/>
          <w:szCs w:val="24"/>
        </w:rPr>
        <w:t>.  Available at:  successhttps://educationwales.blog.gov.wales/2019/01/31/understanding-bilingualism-in-education-a-seed-for-bilingual-teaching-success/ (Accessed on 7</w:t>
      </w:r>
      <w:r w:rsidRPr="00414C4B">
        <w:rPr>
          <w:rFonts w:ascii="Arial" w:hAnsi="Arial" w:cs="Arial"/>
          <w:sz w:val="24"/>
          <w:szCs w:val="24"/>
          <w:vertAlign w:val="superscript"/>
        </w:rPr>
        <w:t>th</w:t>
      </w:r>
      <w:r w:rsidRPr="00414C4B">
        <w:rPr>
          <w:rFonts w:ascii="Arial" w:hAnsi="Arial" w:cs="Arial"/>
          <w:sz w:val="24"/>
          <w:szCs w:val="24"/>
        </w:rPr>
        <w:t xml:space="preserve"> March 2024). </w:t>
      </w:r>
    </w:p>
    <w:p w14:paraId="47A5B363" w14:textId="77777777" w:rsidR="00860A61" w:rsidRPr="00414C4B" w:rsidRDefault="00860A61" w:rsidP="00860A61">
      <w:pPr>
        <w:rPr>
          <w:rFonts w:ascii="Arial" w:hAnsi="Arial" w:cs="Arial"/>
          <w:sz w:val="24"/>
          <w:szCs w:val="24"/>
        </w:rPr>
      </w:pPr>
      <w:r w:rsidRPr="00414C4B">
        <w:rPr>
          <w:rFonts w:ascii="Arial" w:hAnsi="Arial" w:cs="Arial"/>
          <w:sz w:val="24"/>
          <w:szCs w:val="24"/>
        </w:rPr>
        <w:t>Welsh Government (2020</w:t>
      </w:r>
      <w:r w:rsidRPr="00414C4B">
        <w:rPr>
          <w:rFonts w:ascii="Arial" w:hAnsi="Arial" w:cs="Arial"/>
          <w:i/>
          <w:iCs/>
          <w:sz w:val="24"/>
          <w:szCs w:val="24"/>
        </w:rPr>
        <w:t xml:space="preserve">) Guidance on school categories according to Welsh-medium provision. </w:t>
      </w:r>
      <w:r w:rsidRPr="00414C4B">
        <w:rPr>
          <w:rFonts w:ascii="Arial" w:hAnsi="Arial" w:cs="Arial"/>
          <w:sz w:val="24"/>
          <w:szCs w:val="24"/>
        </w:rPr>
        <w:t>Available at: https://www.gov.wales/sites/default/files/publications/2021-12/guidance-on-school-categories-according-to-welsh-medium-provision.pdf (Accessed on: 29</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3ADFB83A" w14:textId="77777777" w:rsidR="00860A61" w:rsidRPr="00414C4B" w:rsidRDefault="00860A61" w:rsidP="00860A61">
      <w:pPr>
        <w:rPr>
          <w:rFonts w:ascii="Arial" w:hAnsi="Arial" w:cs="Arial"/>
          <w:sz w:val="24"/>
          <w:szCs w:val="24"/>
        </w:rPr>
      </w:pPr>
      <w:r w:rsidRPr="00414C4B">
        <w:rPr>
          <w:rFonts w:ascii="Arial" w:hAnsi="Arial" w:cs="Arial"/>
          <w:sz w:val="24"/>
          <w:szCs w:val="24"/>
        </w:rPr>
        <w:lastRenderedPageBreak/>
        <w:t xml:space="preserve">Welsh Government (2022) </w:t>
      </w:r>
      <w:r w:rsidRPr="00414C4B">
        <w:rPr>
          <w:rFonts w:ascii="Arial" w:hAnsi="Arial" w:cs="Arial"/>
          <w:i/>
          <w:iCs/>
          <w:sz w:val="24"/>
          <w:szCs w:val="24"/>
        </w:rPr>
        <w:t>Review of Early Language Screening Suitable for Children in Wales from Birth to 5 Years</w:t>
      </w:r>
      <w:r w:rsidRPr="00414C4B">
        <w:rPr>
          <w:rFonts w:ascii="Arial" w:hAnsi="Arial" w:cs="Arial"/>
          <w:sz w:val="24"/>
          <w:szCs w:val="24"/>
        </w:rPr>
        <w:t>. Available at: https://www.gov.wales/sites/default/files/statistics-and-research/2022-08/review-of-early-language-screening-suitable-for-children-in-wales-from-birth-to-5-years.pdf (Accessed on: 10</w:t>
      </w:r>
      <w:r w:rsidRPr="00414C4B">
        <w:rPr>
          <w:rFonts w:ascii="Arial" w:hAnsi="Arial" w:cs="Arial"/>
          <w:sz w:val="24"/>
          <w:szCs w:val="24"/>
          <w:vertAlign w:val="superscript"/>
        </w:rPr>
        <w:t>th</w:t>
      </w:r>
      <w:r w:rsidRPr="00414C4B">
        <w:rPr>
          <w:rFonts w:ascii="Arial" w:hAnsi="Arial" w:cs="Arial"/>
          <w:sz w:val="24"/>
          <w:szCs w:val="24"/>
        </w:rPr>
        <w:t xml:space="preserve"> March 2024).</w:t>
      </w:r>
    </w:p>
    <w:p w14:paraId="33AB6C0D" w14:textId="77777777" w:rsidR="00860A61" w:rsidRPr="00414C4B" w:rsidRDefault="00860A61" w:rsidP="00860A61">
      <w:pPr>
        <w:rPr>
          <w:rFonts w:ascii="Arial" w:hAnsi="Arial" w:cs="Arial"/>
          <w:sz w:val="24"/>
          <w:szCs w:val="24"/>
        </w:rPr>
      </w:pPr>
      <w:r w:rsidRPr="00414C4B">
        <w:rPr>
          <w:rFonts w:ascii="Arial" w:hAnsi="Arial" w:cs="Arial"/>
          <w:sz w:val="24"/>
          <w:szCs w:val="24"/>
        </w:rPr>
        <w:t xml:space="preserve">Welsh Government (2022) </w:t>
      </w:r>
      <w:r w:rsidRPr="00414C4B">
        <w:rPr>
          <w:rFonts w:ascii="Arial" w:hAnsi="Arial" w:cs="Arial"/>
          <w:i/>
          <w:iCs/>
          <w:sz w:val="24"/>
          <w:szCs w:val="24"/>
        </w:rPr>
        <w:t xml:space="preserve">Welsh Government annual report on compliance with Welsh Language Standards 2021 to 2022. </w:t>
      </w:r>
      <w:r w:rsidRPr="00414C4B">
        <w:rPr>
          <w:rFonts w:ascii="Arial" w:hAnsi="Arial" w:cs="Arial"/>
          <w:sz w:val="24"/>
          <w:szCs w:val="24"/>
        </w:rPr>
        <w:t>Available at: https://www.gov.wales/sites/default/files/pdf-versions/2022/6/3/1656513155/welsh-language-standards-annual-report-2021-to-2022.pdf (Accessed on: 10th March 2024).</w:t>
      </w:r>
    </w:p>
    <w:p w14:paraId="525D068A" w14:textId="77777777" w:rsidR="00860A61" w:rsidRPr="00414C4B" w:rsidRDefault="00860A61" w:rsidP="00860A61">
      <w:pPr>
        <w:rPr>
          <w:rFonts w:ascii="Arial" w:hAnsi="Arial" w:cs="Arial"/>
          <w:sz w:val="24"/>
          <w:szCs w:val="24"/>
        </w:rPr>
      </w:pPr>
      <w:r w:rsidRPr="00414C4B">
        <w:rPr>
          <w:rFonts w:ascii="Arial" w:hAnsi="Arial" w:cs="Arial"/>
          <w:color w:val="212121"/>
          <w:sz w:val="24"/>
          <w:szCs w:val="24"/>
          <w:shd w:val="clear" w:color="auto" w:fill="FFFFFF"/>
        </w:rPr>
        <w:t>Xia, T., An, Y., &amp; Guo, J. (2022) ‘Bilingualism and creativity: Benefits from cognitive inhibition and cognitive flexibility’. </w:t>
      </w:r>
      <w:r w:rsidRPr="00414C4B">
        <w:rPr>
          <w:rFonts w:ascii="Arial" w:hAnsi="Arial" w:cs="Arial"/>
          <w:i/>
          <w:iCs/>
          <w:color w:val="212121"/>
          <w:sz w:val="24"/>
          <w:szCs w:val="24"/>
          <w:shd w:val="clear" w:color="auto" w:fill="FFFFFF"/>
        </w:rPr>
        <w:t>Frontiers in psychology</w:t>
      </w:r>
      <w:r w:rsidRPr="00414C4B">
        <w:rPr>
          <w:rFonts w:ascii="Arial" w:hAnsi="Arial" w:cs="Arial"/>
          <w:color w:val="212121"/>
          <w:sz w:val="24"/>
          <w:szCs w:val="24"/>
          <w:shd w:val="clear" w:color="auto" w:fill="FFFFFF"/>
        </w:rPr>
        <w:t>, </w:t>
      </w:r>
      <w:r w:rsidRPr="00414C4B">
        <w:rPr>
          <w:rFonts w:ascii="Arial" w:hAnsi="Arial" w:cs="Arial"/>
          <w:i/>
          <w:iCs/>
          <w:color w:val="212121"/>
          <w:sz w:val="24"/>
          <w:szCs w:val="24"/>
          <w:shd w:val="clear" w:color="auto" w:fill="FFFFFF"/>
        </w:rPr>
        <w:t>13</w:t>
      </w:r>
      <w:r w:rsidRPr="00414C4B">
        <w:rPr>
          <w:rFonts w:ascii="Arial" w:hAnsi="Arial" w:cs="Arial"/>
          <w:color w:val="212121"/>
          <w:sz w:val="24"/>
          <w:szCs w:val="24"/>
          <w:shd w:val="clear" w:color="auto" w:fill="FFFFFF"/>
        </w:rPr>
        <w:t>, 1016777. https://doi.org/10.3389/fpsyg.2022.1016777</w:t>
      </w:r>
    </w:p>
    <w:p w14:paraId="55D0B17A" w14:textId="77777777" w:rsidR="00860A61" w:rsidRPr="00414C4B" w:rsidRDefault="00860A61" w:rsidP="00860A61">
      <w:pPr>
        <w:rPr>
          <w:rFonts w:ascii="Arial" w:hAnsi="Arial" w:cs="Arial"/>
          <w:sz w:val="24"/>
          <w:szCs w:val="24"/>
        </w:rPr>
      </w:pPr>
      <w:r w:rsidRPr="00414C4B">
        <w:rPr>
          <w:rFonts w:ascii="Arial" w:hAnsi="Arial" w:cs="Arial"/>
          <w:sz w:val="24"/>
          <w:szCs w:val="24"/>
        </w:rPr>
        <w:t>Yamamoto, K., &amp; Sakai, K. L. (2017) ‘The dorsal language pathway: Broca's area and beyond’</w:t>
      </w:r>
      <w:r w:rsidRPr="00414C4B">
        <w:rPr>
          <w:rFonts w:ascii="Arial" w:hAnsi="Arial" w:cs="Arial"/>
          <w:i/>
          <w:iCs/>
          <w:sz w:val="24"/>
          <w:szCs w:val="24"/>
        </w:rPr>
        <w:t>. Cortex</w:t>
      </w:r>
      <w:r w:rsidRPr="00414C4B">
        <w:rPr>
          <w:rFonts w:ascii="Arial" w:hAnsi="Arial" w:cs="Arial"/>
          <w:sz w:val="24"/>
          <w:szCs w:val="24"/>
        </w:rPr>
        <w:t>, 97, pp. 337–347.</w:t>
      </w:r>
    </w:p>
    <w:p w14:paraId="5977245B" w14:textId="77777777" w:rsidR="000E56D5" w:rsidRDefault="000E56D5"/>
    <w:sectPr w:rsidR="000E56D5" w:rsidSect="00675C4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E8D33" w14:textId="77777777" w:rsidR="00675C48" w:rsidRDefault="00675C48" w:rsidP="00860A61">
      <w:pPr>
        <w:spacing w:after="0" w:line="240" w:lineRule="auto"/>
      </w:pPr>
      <w:r>
        <w:separator/>
      </w:r>
    </w:p>
  </w:endnote>
  <w:endnote w:type="continuationSeparator" w:id="0">
    <w:p w14:paraId="0F12D4EA" w14:textId="77777777" w:rsidR="00675C48" w:rsidRDefault="00675C48" w:rsidP="00860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CBEDA" w14:textId="77777777" w:rsidR="0006711A" w:rsidRDefault="00067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F9A5F" w14:textId="77777777" w:rsidR="0006711A" w:rsidRDefault="000671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41737" w14:textId="77777777" w:rsidR="0006711A" w:rsidRDefault="0006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CDF622" w14:textId="77777777" w:rsidR="00675C48" w:rsidRDefault="00675C48" w:rsidP="00860A61">
      <w:pPr>
        <w:spacing w:after="0" w:line="240" w:lineRule="auto"/>
      </w:pPr>
      <w:r>
        <w:separator/>
      </w:r>
    </w:p>
  </w:footnote>
  <w:footnote w:type="continuationSeparator" w:id="0">
    <w:p w14:paraId="62C87CC7" w14:textId="77777777" w:rsidR="00675C48" w:rsidRDefault="00675C48" w:rsidP="00860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99019" w14:textId="77777777" w:rsidR="0006711A" w:rsidRDefault="00067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4BA81" w14:textId="39EB7561" w:rsidR="00860A61" w:rsidRDefault="00860A61">
    <w:pPr>
      <w:pStyle w:val="Header"/>
    </w:pPr>
    <w:r>
      <w:rPr>
        <w:noProof/>
      </w:rPr>
      <mc:AlternateContent>
        <mc:Choice Requires="wps">
          <w:drawing>
            <wp:anchor distT="45720" distB="45720" distL="114300" distR="114300" simplePos="0" relativeHeight="251659264" behindDoc="0" locked="0" layoutInCell="1" allowOverlap="1" wp14:anchorId="71A91707" wp14:editId="131A64FF">
              <wp:simplePos x="0" y="0"/>
              <wp:positionH relativeFrom="column">
                <wp:posOffset>5118100</wp:posOffset>
              </wp:positionH>
              <wp:positionV relativeFrom="paragraph">
                <wp:posOffset>-347980</wp:posOffset>
              </wp:positionV>
              <wp:extent cx="1117600" cy="673100"/>
              <wp:effectExtent l="0" t="0" r="25400" b="12700"/>
              <wp:wrapSquare wrapText="bothSides"/>
              <wp:docPr id="861908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673100"/>
                      </a:xfrm>
                      <a:prstGeom prst="rect">
                        <a:avLst/>
                      </a:prstGeom>
                      <a:solidFill>
                        <a:srgbClr val="FFFFFF"/>
                      </a:solidFill>
                      <a:ln w="9525">
                        <a:solidFill>
                          <a:srgbClr val="000000"/>
                        </a:solidFill>
                        <a:miter lim="800000"/>
                        <a:headEnd/>
                        <a:tailEnd/>
                      </a:ln>
                    </wps:spPr>
                    <wps:txbx>
                      <w:txbxContent>
                        <w:p w14:paraId="10511E85" w14:textId="052EA6B2" w:rsidR="00860A61" w:rsidRDefault="00860A61" w:rsidP="00860A61">
                          <w:pPr>
                            <w:spacing w:after="0"/>
                          </w:pPr>
                          <w:r>
                            <w:t>ECEY4004</w:t>
                          </w:r>
                        </w:p>
                        <w:p w14:paraId="2EE7F491" w14:textId="335309AA" w:rsidR="00860A61" w:rsidRDefault="00860A61" w:rsidP="00860A61">
                          <w:pPr>
                            <w:spacing w:after="0"/>
                          </w:pPr>
                          <w:r>
                            <w:t>1302143</w:t>
                          </w:r>
                        </w:p>
                        <w:p w14:paraId="47B3DC52" w14:textId="270C027B" w:rsidR="0006711A" w:rsidRDefault="00A15629" w:rsidP="00860A61">
                          <w:pPr>
                            <w:spacing w:after="0"/>
                          </w:pPr>
                          <w:r>
                            <w:t>21 mins 58 sec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91707" id="_x0000_t202" coordsize="21600,21600" o:spt="202" path="m,l,21600r21600,l21600,xe">
              <v:stroke joinstyle="miter"/>
              <v:path gradientshapeok="t" o:connecttype="rect"/>
            </v:shapetype>
            <v:shape id="Text Box 2" o:spid="_x0000_s1026" type="#_x0000_t202" style="position:absolute;margin-left:403pt;margin-top:-27.4pt;width:88pt;height:5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sDQIAAB8EAAAOAAAAZHJzL2Uyb0RvYy54bWysU9tu2zAMfR+wfxD0vtjOcmmNOEWXLsOA&#10;7gJ0+wBZlm1hsqhJSuzs60vJbprdXob5QSBN6pA8PNrcDJ0iR2GdBF3QbJZSIjSHSuqmoF+/7F9d&#10;UeI80xVToEVBT8LRm+3LF5ve5GIOLahKWIIg2uW9KWjrvcmTxPFWdMzNwAiNwRpsxzy6tkkqy3pE&#10;71QyT9NV0oOtjAUunMO/d2OQbiN+XQvuP9W1E56ogmJvPp42nmU4k+2G5Y1lppV8aoP9QxcdkxqL&#10;nqHumGfkYOVvUJ3kFhzUfsahS6CuJRdxBpwmS3+Z5qFlRsRZkBxnzjS5/wfLPx4fzGdL/PAGBlxg&#10;HMKZe+DfHNGwa5luxK210LeCVVg4C5QlvXH5dDVQ7XIXQMr+A1S4ZHbwEIGG2naBFZyTIDou4HQm&#10;XQye8FAyy9arFEMcY6v16wztUILlT7eNdf6dgI4Eo6AWlxrR2fHe+TH1KSUUc6BktZdKRcc25U5Z&#10;cmQogH38JvSf0pQmfUGvl/PlSMBfIdL4/Qmikx6VrGRX0KtzEssDbW91FXXmmVSjjdMpPfEYqBtJ&#10;9EM5YGLgs4TqhIxaGBWLLwyNFuwPSnpUa0Hd9wOzghL1XuNWrrPFIsg7Oovleo6OvYyUlxGmOUIV&#10;1FMymjsfn0QgTMMtbq+WkdjnTqZeUYVxNdOLCTK/9GPW87vePgIAAP//AwBQSwMEFAAGAAgAAAAh&#10;AAeUds/gAAAACgEAAA8AAABkcnMvZG93bnJldi54bWxMj8FOwzAMhu9IvENkJC5oS1e20pWmE0IC&#10;sRsMBNes8dqKxilJ1pW3x5zgaPvX5+8vN5PtxYg+dI4ULOYJCKTamY4aBW+vD7McRIiajO4doYJv&#10;DLCpzs9KXRh3ohccd7ERDKFQaAVtjEMhZahbtDrM3YDEt4PzVkcefSON1yeG216mSZJJqzviD60e&#10;8L7F+nN3tAry5dP4EbbXz+91dujX8epmfPzySl1eTHe3ICJO8S8Mv/qsDhU77d2RTBA9M5KMu0QF&#10;s9WSO3Binae82StYLVKQVSn/V6h+AAAA//8DAFBLAQItABQABgAIAAAAIQC2gziS/gAAAOEBAAAT&#10;AAAAAAAAAAAAAAAAAAAAAABbQ29udGVudF9UeXBlc10ueG1sUEsBAi0AFAAGAAgAAAAhADj9If/W&#10;AAAAlAEAAAsAAAAAAAAAAAAAAAAALwEAAF9yZWxzLy5yZWxzUEsBAi0AFAAGAAgAAAAhANF4v+wN&#10;AgAAHwQAAA4AAAAAAAAAAAAAAAAALgIAAGRycy9lMm9Eb2MueG1sUEsBAi0AFAAGAAgAAAAhAAeU&#10;ds/gAAAACgEAAA8AAAAAAAAAAAAAAAAAZwQAAGRycy9kb3ducmV2LnhtbFBLBQYAAAAABAAEAPMA&#10;AAB0BQAAAAA=&#10;">
              <v:textbox>
                <w:txbxContent>
                  <w:p w14:paraId="10511E85" w14:textId="052EA6B2" w:rsidR="00860A61" w:rsidRDefault="00860A61" w:rsidP="00860A61">
                    <w:pPr>
                      <w:spacing w:after="0"/>
                    </w:pPr>
                    <w:r>
                      <w:t>ECEY4004</w:t>
                    </w:r>
                  </w:p>
                  <w:p w14:paraId="2EE7F491" w14:textId="335309AA" w:rsidR="00860A61" w:rsidRDefault="00860A61" w:rsidP="00860A61">
                    <w:pPr>
                      <w:spacing w:after="0"/>
                    </w:pPr>
                    <w:r>
                      <w:t>1302143</w:t>
                    </w:r>
                  </w:p>
                  <w:p w14:paraId="47B3DC52" w14:textId="270C027B" w:rsidR="0006711A" w:rsidRDefault="00A15629" w:rsidP="00860A61">
                    <w:pPr>
                      <w:spacing w:after="0"/>
                    </w:pPr>
                    <w:r>
                      <w:t>21 mins 58 sec</w:t>
                    </w:r>
                  </w:p>
                </w:txbxContent>
              </v:textbox>
              <w10:wrap type="square"/>
            </v:shape>
          </w:pict>
        </mc:Fallback>
      </mc:AlternateContent>
    </w:r>
  </w:p>
  <w:p w14:paraId="1657DBE6" w14:textId="7132837E" w:rsidR="00860A61" w:rsidRDefault="00860A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83105" w14:textId="77777777" w:rsidR="0006711A" w:rsidRDefault="00067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C016DF"/>
    <w:multiLevelType w:val="hybridMultilevel"/>
    <w:tmpl w:val="3F4801DA"/>
    <w:lvl w:ilvl="0" w:tplc="7B445D7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7223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A61"/>
    <w:rsid w:val="0006711A"/>
    <w:rsid w:val="000E56D5"/>
    <w:rsid w:val="00261A87"/>
    <w:rsid w:val="00675C48"/>
    <w:rsid w:val="00860A61"/>
    <w:rsid w:val="00A15629"/>
    <w:rsid w:val="00B95F35"/>
    <w:rsid w:val="00C73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B973D"/>
  <w15:chartTrackingRefBased/>
  <w15:docId w15:val="{A39B35DD-A9A7-465A-825B-023346B3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A61"/>
  </w:style>
  <w:style w:type="paragraph" w:styleId="Heading1">
    <w:name w:val="heading 1"/>
    <w:basedOn w:val="Normal"/>
    <w:next w:val="Normal"/>
    <w:link w:val="Heading1Char"/>
    <w:uiPriority w:val="9"/>
    <w:qFormat/>
    <w:rsid w:val="00860A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A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A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A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A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A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A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A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A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A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A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A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A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A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A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A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A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A61"/>
    <w:rPr>
      <w:rFonts w:eastAsiaTheme="majorEastAsia" w:cstheme="majorBidi"/>
      <w:color w:val="272727" w:themeColor="text1" w:themeTint="D8"/>
    </w:rPr>
  </w:style>
  <w:style w:type="paragraph" w:styleId="Title">
    <w:name w:val="Title"/>
    <w:basedOn w:val="Normal"/>
    <w:next w:val="Normal"/>
    <w:link w:val="TitleChar"/>
    <w:uiPriority w:val="10"/>
    <w:qFormat/>
    <w:rsid w:val="00860A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A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A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A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A61"/>
    <w:pPr>
      <w:spacing w:before="160"/>
      <w:jc w:val="center"/>
    </w:pPr>
    <w:rPr>
      <w:i/>
      <w:iCs/>
      <w:color w:val="404040" w:themeColor="text1" w:themeTint="BF"/>
    </w:rPr>
  </w:style>
  <w:style w:type="character" w:customStyle="1" w:styleId="QuoteChar">
    <w:name w:val="Quote Char"/>
    <w:basedOn w:val="DefaultParagraphFont"/>
    <w:link w:val="Quote"/>
    <w:uiPriority w:val="29"/>
    <w:rsid w:val="00860A61"/>
    <w:rPr>
      <w:i/>
      <w:iCs/>
      <w:color w:val="404040" w:themeColor="text1" w:themeTint="BF"/>
    </w:rPr>
  </w:style>
  <w:style w:type="paragraph" w:styleId="ListParagraph">
    <w:name w:val="List Paragraph"/>
    <w:basedOn w:val="Normal"/>
    <w:uiPriority w:val="34"/>
    <w:qFormat/>
    <w:rsid w:val="00860A61"/>
    <w:pPr>
      <w:ind w:left="720"/>
      <w:contextualSpacing/>
    </w:pPr>
  </w:style>
  <w:style w:type="character" w:styleId="IntenseEmphasis">
    <w:name w:val="Intense Emphasis"/>
    <w:basedOn w:val="DefaultParagraphFont"/>
    <w:uiPriority w:val="21"/>
    <w:qFormat/>
    <w:rsid w:val="00860A61"/>
    <w:rPr>
      <w:i/>
      <w:iCs/>
      <w:color w:val="0F4761" w:themeColor="accent1" w:themeShade="BF"/>
    </w:rPr>
  </w:style>
  <w:style w:type="paragraph" w:styleId="IntenseQuote">
    <w:name w:val="Intense Quote"/>
    <w:basedOn w:val="Normal"/>
    <w:next w:val="Normal"/>
    <w:link w:val="IntenseQuoteChar"/>
    <w:uiPriority w:val="30"/>
    <w:qFormat/>
    <w:rsid w:val="00860A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A61"/>
    <w:rPr>
      <w:i/>
      <w:iCs/>
      <w:color w:val="0F4761" w:themeColor="accent1" w:themeShade="BF"/>
    </w:rPr>
  </w:style>
  <w:style w:type="character" w:styleId="IntenseReference">
    <w:name w:val="Intense Reference"/>
    <w:basedOn w:val="DefaultParagraphFont"/>
    <w:uiPriority w:val="32"/>
    <w:qFormat/>
    <w:rsid w:val="00860A61"/>
    <w:rPr>
      <w:b/>
      <w:bCs/>
      <w:smallCaps/>
      <w:color w:val="0F4761" w:themeColor="accent1" w:themeShade="BF"/>
      <w:spacing w:val="5"/>
    </w:rPr>
  </w:style>
  <w:style w:type="paragraph" w:styleId="Header">
    <w:name w:val="header"/>
    <w:basedOn w:val="Normal"/>
    <w:link w:val="HeaderChar"/>
    <w:uiPriority w:val="99"/>
    <w:unhideWhenUsed/>
    <w:rsid w:val="00860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A61"/>
  </w:style>
  <w:style w:type="paragraph" w:styleId="Footer">
    <w:name w:val="footer"/>
    <w:basedOn w:val="Normal"/>
    <w:link w:val="FooterChar"/>
    <w:uiPriority w:val="99"/>
    <w:unhideWhenUsed/>
    <w:rsid w:val="00860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65161">
      <w:bodyDiv w:val="1"/>
      <w:marLeft w:val="0"/>
      <w:marRight w:val="0"/>
      <w:marTop w:val="0"/>
      <w:marBottom w:val="0"/>
      <w:divBdr>
        <w:top w:val="none" w:sz="0" w:space="0" w:color="auto"/>
        <w:left w:val="none" w:sz="0" w:space="0" w:color="auto"/>
        <w:bottom w:val="none" w:sz="0" w:space="0" w:color="auto"/>
        <w:right w:val="none" w:sz="0" w:space="0" w:color="auto"/>
      </w:divBdr>
    </w:div>
    <w:div w:id="1031301091">
      <w:bodyDiv w:val="1"/>
      <w:marLeft w:val="0"/>
      <w:marRight w:val="0"/>
      <w:marTop w:val="0"/>
      <w:marBottom w:val="0"/>
      <w:divBdr>
        <w:top w:val="none" w:sz="0" w:space="0" w:color="auto"/>
        <w:left w:val="none" w:sz="0" w:space="0" w:color="auto"/>
        <w:bottom w:val="none" w:sz="0" w:space="0" w:color="auto"/>
        <w:right w:val="none" w:sz="0" w:space="0" w:color="auto"/>
      </w:divBdr>
      <w:divsChild>
        <w:div w:id="425925577">
          <w:marLeft w:val="0"/>
          <w:marRight w:val="0"/>
          <w:marTop w:val="0"/>
          <w:marBottom w:val="0"/>
          <w:divBdr>
            <w:top w:val="single" w:sz="2" w:space="0" w:color="E3E3E3"/>
            <w:left w:val="single" w:sz="2" w:space="0" w:color="E3E3E3"/>
            <w:bottom w:val="single" w:sz="2" w:space="0" w:color="E3E3E3"/>
            <w:right w:val="single" w:sz="2" w:space="0" w:color="E3E3E3"/>
          </w:divBdr>
          <w:divsChild>
            <w:div w:id="1902012077">
              <w:marLeft w:val="0"/>
              <w:marRight w:val="0"/>
              <w:marTop w:val="0"/>
              <w:marBottom w:val="0"/>
              <w:divBdr>
                <w:top w:val="single" w:sz="2" w:space="0" w:color="E3E3E3"/>
                <w:left w:val="single" w:sz="2" w:space="0" w:color="E3E3E3"/>
                <w:bottom w:val="single" w:sz="2" w:space="0" w:color="E3E3E3"/>
                <w:right w:val="single" w:sz="2" w:space="0" w:color="E3E3E3"/>
              </w:divBdr>
              <w:divsChild>
                <w:div w:id="2033334239">
                  <w:marLeft w:val="0"/>
                  <w:marRight w:val="0"/>
                  <w:marTop w:val="0"/>
                  <w:marBottom w:val="0"/>
                  <w:divBdr>
                    <w:top w:val="single" w:sz="2" w:space="0" w:color="E3E3E3"/>
                    <w:left w:val="single" w:sz="2" w:space="0" w:color="E3E3E3"/>
                    <w:bottom w:val="single" w:sz="2" w:space="0" w:color="E3E3E3"/>
                    <w:right w:val="single" w:sz="2" w:space="0" w:color="E3E3E3"/>
                  </w:divBdr>
                  <w:divsChild>
                    <w:div w:id="1610621324">
                      <w:marLeft w:val="0"/>
                      <w:marRight w:val="0"/>
                      <w:marTop w:val="0"/>
                      <w:marBottom w:val="0"/>
                      <w:divBdr>
                        <w:top w:val="single" w:sz="2" w:space="0" w:color="E3E3E3"/>
                        <w:left w:val="single" w:sz="2" w:space="0" w:color="E3E3E3"/>
                        <w:bottom w:val="single" w:sz="2" w:space="0" w:color="E3E3E3"/>
                        <w:right w:val="single" w:sz="2" w:space="0" w:color="E3E3E3"/>
                      </w:divBdr>
                      <w:divsChild>
                        <w:div w:id="1610626131">
                          <w:marLeft w:val="0"/>
                          <w:marRight w:val="0"/>
                          <w:marTop w:val="0"/>
                          <w:marBottom w:val="0"/>
                          <w:divBdr>
                            <w:top w:val="single" w:sz="2" w:space="0" w:color="E3E3E3"/>
                            <w:left w:val="single" w:sz="2" w:space="0" w:color="E3E3E3"/>
                            <w:bottom w:val="single" w:sz="2" w:space="0" w:color="E3E3E3"/>
                            <w:right w:val="single" w:sz="2" w:space="0" w:color="E3E3E3"/>
                          </w:divBdr>
                          <w:divsChild>
                            <w:div w:id="674771070">
                              <w:marLeft w:val="0"/>
                              <w:marRight w:val="0"/>
                              <w:marTop w:val="0"/>
                              <w:marBottom w:val="0"/>
                              <w:divBdr>
                                <w:top w:val="single" w:sz="2" w:space="0" w:color="E3E3E3"/>
                                <w:left w:val="single" w:sz="2" w:space="0" w:color="E3E3E3"/>
                                <w:bottom w:val="single" w:sz="2" w:space="0" w:color="E3E3E3"/>
                                <w:right w:val="single" w:sz="2" w:space="0" w:color="E3E3E3"/>
                              </w:divBdr>
                              <w:divsChild>
                                <w:div w:id="1907060918">
                                  <w:marLeft w:val="0"/>
                                  <w:marRight w:val="0"/>
                                  <w:marTop w:val="100"/>
                                  <w:marBottom w:val="100"/>
                                  <w:divBdr>
                                    <w:top w:val="single" w:sz="2" w:space="0" w:color="E3E3E3"/>
                                    <w:left w:val="single" w:sz="2" w:space="0" w:color="E3E3E3"/>
                                    <w:bottom w:val="single" w:sz="2" w:space="0" w:color="E3E3E3"/>
                                    <w:right w:val="single" w:sz="2" w:space="0" w:color="E3E3E3"/>
                                  </w:divBdr>
                                  <w:divsChild>
                                    <w:div w:id="747314184">
                                      <w:marLeft w:val="0"/>
                                      <w:marRight w:val="0"/>
                                      <w:marTop w:val="0"/>
                                      <w:marBottom w:val="0"/>
                                      <w:divBdr>
                                        <w:top w:val="single" w:sz="2" w:space="0" w:color="E3E3E3"/>
                                        <w:left w:val="single" w:sz="2" w:space="0" w:color="E3E3E3"/>
                                        <w:bottom w:val="single" w:sz="2" w:space="0" w:color="E3E3E3"/>
                                        <w:right w:val="single" w:sz="2" w:space="0" w:color="E3E3E3"/>
                                      </w:divBdr>
                                      <w:divsChild>
                                        <w:div w:id="88431030">
                                          <w:marLeft w:val="0"/>
                                          <w:marRight w:val="0"/>
                                          <w:marTop w:val="0"/>
                                          <w:marBottom w:val="0"/>
                                          <w:divBdr>
                                            <w:top w:val="single" w:sz="2" w:space="0" w:color="E3E3E3"/>
                                            <w:left w:val="single" w:sz="2" w:space="0" w:color="E3E3E3"/>
                                            <w:bottom w:val="single" w:sz="2" w:space="0" w:color="E3E3E3"/>
                                            <w:right w:val="single" w:sz="2" w:space="0" w:color="E3E3E3"/>
                                          </w:divBdr>
                                          <w:divsChild>
                                            <w:div w:id="1215893945">
                                              <w:marLeft w:val="0"/>
                                              <w:marRight w:val="0"/>
                                              <w:marTop w:val="0"/>
                                              <w:marBottom w:val="0"/>
                                              <w:divBdr>
                                                <w:top w:val="single" w:sz="2" w:space="0" w:color="E3E3E3"/>
                                                <w:left w:val="single" w:sz="2" w:space="0" w:color="E3E3E3"/>
                                                <w:bottom w:val="single" w:sz="2" w:space="0" w:color="E3E3E3"/>
                                                <w:right w:val="single" w:sz="2" w:space="0" w:color="E3E3E3"/>
                                              </w:divBdr>
                                              <w:divsChild>
                                                <w:div w:id="1872569005">
                                                  <w:marLeft w:val="0"/>
                                                  <w:marRight w:val="0"/>
                                                  <w:marTop w:val="0"/>
                                                  <w:marBottom w:val="0"/>
                                                  <w:divBdr>
                                                    <w:top w:val="single" w:sz="2" w:space="0" w:color="E3E3E3"/>
                                                    <w:left w:val="single" w:sz="2" w:space="0" w:color="E3E3E3"/>
                                                    <w:bottom w:val="single" w:sz="2" w:space="0" w:color="E3E3E3"/>
                                                    <w:right w:val="single" w:sz="2" w:space="0" w:color="E3E3E3"/>
                                                  </w:divBdr>
                                                  <w:divsChild>
                                                    <w:div w:id="777339331">
                                                      <w:marLeft w:val="0"/>
                                                      <w:marRight w:val="0"/>
                                                      <w:marTop w:val="0"/>
                                                      <w:marBottom w:val="0"/>
                                                      <w:divBdr>
                                                        <w:top w:val="single" w:sz="2" w:space="0" w:color="E3E3E3"/>
                                                        <w:left w:val="single" w:sz="2" w:space="0" w:color="E3E3E3"/>
                                                        <w:bottom w:val="single" w:sz="2" w:space="0" w:color="E3E3E3"/>
                                                        <w:right w:val="single" w:sz="2" w:space="0" w:color="E3E3E3"/>
                                                      </w:divBdr>
                                                      <w:divsChild>
                                                        <w:div w:id="16709845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3790477">
          <w:marLeft w:val="0"/>
          <w:marRight w:val="0"/>
          <w:marTop w:val="0"/>
          <w:marBottom w:val="0"/>
          <w:divBdr>
            <w:top w:val="none" w:sz="0" w:space="0" w:color="auto"/>
            <w:left w:val="none" w:sz="0" w:space="0" w:color="auto"/>
            <w:bottom w:val="none" w:sz="0" w:space="0" w:color="auto"/>
            <w:right w:val="none" w:sz="0" w:space="0" w:color="auto"/>
          </w:divBdr>
        </w:div>
      </w:divsChild>
    </w:div>
    <w:div w:id="1550065558">
      <w:bodyDiv w:val="1"/>
      <w:marLeft w:val="0"/>
      <w:marRight w:val="0"/>
      <w:marTop w:val="0"/>
      <w:marBottom w:val="0"/>
      <w:divBdr>
        <w:top w:val="none" w:sz="0" w:space="0" w:color="auto"/>
        <w:left w:val="none" w:sz="0" w:space="0" w:color="auto"/>
        <w:bottom w:val="none" w:sz="0" w:space="0" w:color="auto"/>
        <w:right w:val="none" w:sz="0" w:space="0" w:color="auto"/>
      </w:divBdr>
    </w:div>
    <w:div w:id="1881355048">
      <w:bodyDiv w:val="1"/>
      <w:marLeft w:val="0"/>
      <w:marRight w:val="0"/>
      <w:marTop w:val="0"/>
      <w:marBottom w:val="0"/>
      <w:divBdr>
        <w:top w:val="none" w:sz="0" w:space="0" w:color="auto"/>
        <w:left w:val="none" w:sz="0" w:space="0" w:color="auto"/>
        <w:bottom w:val="none" w:sz="0" w:space="0" w:color="auto"/>
        <w:right w:val="none" w:sz="0" w:space="0" w:color="auto"/>
      </w:divBdr>
      <w:divsChild>
        <w:div w:id="1191382295">
          <w:marLeft w:val="0"/>
          <w:marRight w:val="0"/>
          <w:marTop w:val="0"/>
          <w:marBottom w:val="0"/>
          <w:divBdr>
            <w:top w:val="single" w:sz="2" w:space="0" w:color="E3E3E3"/>
            <w:left w:val="single" w:sz="2" w:space="0" w:color="E3E3E3"/>
            <w:bottom w:val="single" w:sz="2" w:space="0" w:color="E3E3E3"/>
            <w:right w:val="single" w:sz="2" w:space="0" w:color="E3E3E3"/>
          </w:divBdr>
          <w:divsChild>
            <w:div w:id="1531996352">
              <w:marLeft w:val="0"/>
              <w:marRight w:val="0"/>
              <w:marTop w:val="0"/>
              <w:marBottom w:val="0"/>
              <w:divBdr>
                <w:top w:val="single" w:sz="2" w:space="0" w:color="E3E3E3"/>
                <w:left w:val="single" w:sz="2" w:space="0" w:color="E3E3E3"/>
                <w:bottom w:val="single" w:sz="2" w:space="0" w:color="E3E3E3"/>
                <w:right w:val="single" w:sz="2" w:space="0" w:color="E3E3E3"/>
              </w:divBdr>
              <w:divsChild>
                <w:div w:id="208884374">
                  <w:marLeft w:val="0"/>
                  <w:marRight w:val="0"/>
                  <w:marTop w:val="0"/>
                  <w:marBottom w:val="0"/>
                  <w:divBdr>
                    <w:top w:val="single" w:sz="2" w:space="0" w:color="E3E3E3"/>
                    <w:left w:val="single" w:sz="2" w:space="0" w:color="E3E3E3"/>
                    <w:bottom w:val="single" w:sz="2" w:space="0" w:color="E3E3E3"/>
                    <w:right w:val="single" w:sz="2" w:space="0" w:color="E3E3E3"/>
                  </w:divBdr>
                  <w:divsChild>
                    <w:div w:id="561913658">
                      <w:marLeft w:val="0"/>
                      <w:marRight w:val="0"/>
                      <w:marTop w:val="0"/>
                      <w:marBottom w:val="0"/>
                      <w:divBdr>
                        <w:top w:val="single" w:sz="2" w:space="0" w:color="E3E3E3"/>
                        <w:left w:val="single" w:sz="2" w:space="0" w:color="E3E3E3"/>
                        <w:bottom w:val="single" w:sz="2" w:space="0" w:color="E3E3E3"/>
                        <w:right w:val="single" w:sz="2" w:space="0" w:color="E3E3E3"/>
                      </w:divBdr>
                      <w:divsChild>
                        <w:div w:id="1870098124">
                          <w:marLeft w:val="0"/>
                          <w:marRight w:val="0"/>
                          <w:marTop w:val="0"/>
                          <w:marBottom w:val="0"/>
                          <w:divBdr>
                            <w:top w:val="single" w:sz="2" w:space="0" w:color="E3E3E3"/>
                            <w:left w:val="single" w:sz="2" w:space="0" w:color="E3E3E3"/>
                            <w:bottom w:val="single" w:sz="2" w:space="0" w:color="E3E3E3"/>
                            <w:right w:val="single" w:sz="2" w:space="0" w:color="E3E3E3"/>
                          </w:divBdr>
                          <w:divsChild>
                            <w:div w:id="2098214271">
                              <w:marLeft w:val="0"/>
                              <w:marRight w:val="0"/>
                              <w:marTop w:val="0"/>
                              <w:marBottom w:val="0"/>
                              <w:divBdr>
                                <w:top w:val="single" w:sz="2" w:space="0" w:color="E3E3E3"/>
                                <w:left w:val="single" w:sz="2" w:space="0" w:color="E3E3E3"/>
                                <w:bottom w:val="single" w:sz="2" w:space="0" w:color="E3E3E3"/>
                                <w:right w:val="single" w:sz="2" w:space="0" w:color="E3E3E3"/>
                              </w:divBdr>
                              <w:divsChild>
                                <w:div w:id="962883458">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752832">
                                      <w:marLeft w:val="0"/>
                                      <w:marRight w:val="0"/>
                                      <w:marTop w:val="0"/>
                                      <w:marBottom w:val="0"/>
                                      <w:divBdr>
                                        <w:top w:val="single" w:sz="2" w:space="0" w:color="E3E3E3"/>
                                        <w:left w:val="single" w:sz="2" w:space="0" w:color="E3E3E3"/>
                                        <w:bottom w:val="single" w:sz="2" w:space="0" w:color="E3E3E3"/>
                                        <w:right w:val="single" w:sz="2" w:space="0" w:color="E3E3E3"/>
                                      </w:divBdr>
                                      <w:divsChild>
                                        <w:div w:id="1383628331">
                                          <w:marLeft w:val="0"/>
                                          <w:marRight w:val="0"/>
                                          <w:marTop w:val="0"/>
                                          <w:marBottom w:val="0"/>
                                          <w:divBdr>
                                            <w:top w:val="single" w:sz="2" w:space="0" w:color="E3E3E3"/>
                                            <w:left w:val="single" w:sz="2" w:space="0" w:color="E3E3E3"/>
                                            <w:bottom w:val="single" w:sz="2" w:space="0" w:color="E3E3E3"/>
                                            <w:right w:val="single" w:sz="2" w:space="0" w:color="E3E3E3"/>
                                          </w:divBdr>
                                          <w:divsChild>
                                            <w:div w:id="1948806634">
                                              <w:marLeft w:val="0"/>
                                              <w:marRight w:val="0"/>
                                              <w:marTop w:val="0"/>
                                              <w:marBottom w:val="0"/>
                                              <w:divBdr>
                                                <w:top w:val="single" w:sz="2" w:space="0" w:color="E3E3E3"/>
                                                <w:left w:val="single" w:sz="2" w:space="0" w:color="E3E3E3"/>
                                                <w:bottom w:val="single" w:sz="2" w:space="0" w:color="E3E3E3"/>
                                                <w:right w:val="single" w:sz="2" w:space="0" w:color="E3E3E3"/>
                                              </w:divBdr>
                                              <w:divsChild>
                                                <w:div w:id="1494100297">
                                                  <w:marLeft w:val="0"/>
                                                  <w:marRight w:val="0"/>
                                                  <w:marTop w:val="0"/>
                                                  <w:marBottom w:val="0"/>
                                                  <w:divBdr>
                                                    <w:top w:val="single" w:sz="2" w:space="0" w:color="E3E3E3"/>
                                                    <w:left w:val="single" w:sz="2" w:space="0" w:color="E3E3E3"/>
                                                    <w:bottom w:val="single" w:sz="2" w:space="0" w:color="E3E3E3"/>
                                                    <w:right w:val="single" w:sz="2" w:space="0" w:color="E3E3E3"/>
                                                  </w:divBdr>
                                                  <w:divsChild>
                                                    <w:div w:id="691688356">
                                                      <w:marLeft w:val="0"/>
                                                      <w:marRight w:val="0"/>
                                                      <w:marTop w:val="0"/>
                                                      <w:marBottom w:val="0"/>
                                                      <w:divBdr>
                                                        <w:top w:val="single" w:sz="2" w:space="0" w:color="E3E3E3"/>
                                                        <w:left w:val="single" w:sz="2" w:space="0" w:color="E3E3E3"/>
                                                        <w:bottom w:val="single" w:sz="2" w:space="0" w:color="E3E3E3"/>
                                                        <w:right w:val="single" w:sz="2" w:space="0" w:color="E3E3E3"/>
                                                      </w:divBdr>
                                                      <w:divsChild>
                                                        <w:div w:id="1668705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200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2109</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 (Maes Y Morfa Primary Community School)</dc:creator>
  <cp:keywords/>
  <dc:description/>
  <cp:lastModifiedBy>T H (Maes Y Morfa Primary Community School)</cp:lastModifiedBy>
  <cp:revision>3</cp:revision>
  <dcterms:created xsi:type="dcterms:W3CDTF">2024-04-16T21:17:00Z</dcterms:created>
  <dcterms:modified xsi:type="dcterms:W3CDTF">2024-04-17T20:06:00Z</dcterms:modified>
</cp:coreProperties>
</file>