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053CA" w14:textId="5AA3B286" w:rsidR="68F7AD57" w:rsidRPr="00A14A44" w:rsidRDefault="68F7AD57" w:rsidP="1FD09425">
      <w:pPr>
        <w:spacing w:line="240" w:lineRule="auto"/>
        <w:rPr>
          <w:rFonts w:eastAsiaTheme="minorEastAsia" w:cstheme="minorHAnsi"/>
        </w:rPr>
      </w:pPr>
      <w:r w:rsidRPr="00A14A44">
        <w:rPr>
          <w:rFonts w:eastAsiaTheme="minorEastAsia" w:cstheme="minorHAnsi"/>
        </w:rPr>
        <w:t>European</w:t>
      </w:r>
      <w:r w:rsidR="33B5CF73" w:rsidRPr="00A14A44">
        <w:rPr>
          <w:rFonts w:eastAsiaTheme="minorEastAsia" w:cstheme="minorHAnsi"/>
        </w:rPr>
        <w:t xml:space="preserve"> Law</w:t>
      </w:r>
      <w:r w:rsidR="15CEB3FE" w:rsidRPr="00A14A44">
        <w:rPr>
          <w:rFonts w:eastAsiaTheme="minorEastAsia" w:cstheme="minorHAnsi"/>
        </w:rPr>
        <w:t>- David Jones</w:t>
      </w:r>
    </w:p>
    <w:p w14:paraId="77910247" w14:textId="72F7595A" w:rsidR="008002B3" w:rsidRPr="00A14A44" w:rsidRDefault="49F3D193" w:rsidP="1FD09425">
      <w:pPr>
        <w:spacing w:line="240" w:lineRule="auto"/>
        <w:rPr>
          <w:rFonts w:eastAsiaTheme="minorEastAsia" w:cstheme="minorHAnsi"/>
        </w:rPr>
      </w:pPr>
      <w:r w:rsidRPr="00A14A44">
        <w:rPr>
          <w:rFonts w:eastAsiaTheme="minorEastAsia" w:cstheme="minorHAnsi"/>
        </w:rPr>
        <w:t>Question 1</w:t>
      </w:r>
    </w:p>
    <w:p w14:paraId="106F5281" w14:textId="2D214DA3" w:rsidR="49F3D193" w:rsidRPr="00A14A44" w:rsidRDefault="49F3D193" w:rsidP="1FD09425">
      <w:pPr>
        <w:spacing w:line="240" w:lineRule="auto"/>
        <w:rPr>
          <w:rFonts w:eastAsiaTheme="minorEastAsia" w:cstheme="minorHAnsi"/>
        </w:rPr>
      </w:pPr>
      <w:r w:rsidRPr="00A14A44">
        <w:rPr>
          <w:rFonts w:eastAsiaTheme="minorEastAsia" w:cstheme="minorHAnsi"/>
        </w:rPr>
        <w:t xml:space="preserve">In relation to the relevant market in </w:t>
      </w:r>
      <w:r w:rsidR="00076057" w:rsidRPr="00A14A44">
        <w:rPr>
          <w:rFonts w:eastAsiaTheme="minorEastAsia" w:cstheme="minorHAnsi"/>
        </w:rPr>
        <w:t xml:space="preserve">the </w:t>
      </w:r>
      <w:r w:rsidRPr="00A14A44">
        <w:rPr>
          <w:rFonts w:eastAsiaTheme="minorEastAsia" w:cstheme="minorHAnsi"/>
        </w:rPr>
        <w:t xml:space="preserve">context of competition law, it is important to understand why competition law is </w:t>
      </w:r>
      <w:r w:rsidR="67F96277" w:rsidRPr="00A14A44">
        <w:rPr>
          <w:rFonts w:eastAsiaTheme="minorEastAsia" w:cstheme="minorHAnsi"/>
        </w:rPr>
        <w:t>in the European Union (EU)</w:t>
      </w:r>
      <w:r w:rsidR="007E4E97" w:rsidRPr="00A14A44">
        <w:rPr>
          <w:rFonts w:eastAsiaTheme="minorEastAsia" w:cstheme="minorHAnsi"/>
        </w:rPr>
        <w:t xml:space="preserve">. </w:t>
      </w:r>
      <w:r w:rsidR="00630E89" w:rsidRPr="00A14A44">
        <w:rPr>
          <w:rFonts w:eastAsiaTheme="minorEastAsia" w:cstheme="minorHAnsi"/>
        </w:rPr>
        <w:t xml:space="preserve">The aim of the EU in relation to competition law and the relevant market is the protection of consumers. It is priority that companies and undertakings do not abuse their position. However, their aims also include economic freedom, promoting competition in relevant markets. </w:t>
      </w:r>
    </w:p>
    <w:p w14:paraId="7D2DCF45" w14:textId="3CE3C4BB" w:rsidR="004C6BB7" w:rsidRPr="00A14A44" w:rsidRDefault="024E9295" w:rsidP="1FD09425">
      <w:pPr>
        <w:spacing w:line="240" w:lineRule="auto"/>
        <w:rPr>
          <w:rFonts w:eastAsiaTheme="minorEastAsia" w:cstheme="minorHAnsi"/>
        </w:rPr>
      </w:pPr>
      <w:r w:rsidRPr="00A14A44">
        <w:rPr>
          <w:rFonts w:eastAsiaTheme="minorEastAsia" w:cstheme="minorHAnsi"/>
        </w:rPr>
        <w:t xml:space="preserve">Article 101 is </w:t>
      </w:r>
      <w:r w:rsidR="4D64EE20" w:rsidRPr="00A14A44">
        <w:rPr>
          <w:rFonts w:eastAsiaTheme="minorEastAsia" w:cstheme="minorHAnsi"/>
        </w:rPr>
        <w:t>involved</w:t>
      </w:r>
      <w:r w:rsidRPr="00A14A44">
        <w:rPr>
          <w:rFonts w:eastAsiaTheme="minorEastAsia" w:cstheme="minorHAnsi"/>
        </w:rPr>
        <w:t xml:space="preserve"> with anti-competitive practises by companies. This is a scenario where companies communicate and </w:t>
      </w:r>
      <w:r w:rsidR="30714BCA" w:rsidRPr="00A14A44">
        <w:rPr>
          <w:rFonts w:eastAsiaTheme="minorEastAsia" w:cstheme="minorHAnsi"/>
        </w:rPr>
        <w:t>meet</w:t>
      </w:r>
      <w:r w:rsidRPr="00A14A44">
        <w:rPr>
          <w:rFonts w:eastAsiaTheme="minorEastAsia" w:cstheme="minorHAnsi"/>
        </w:rPr>
        <w:t xml:space="preserve">, agreeing </w:t>
      </w:r>
      <w:r w:rsidR="758165CC" w:rsidRPr="00A14A44">
        <w:rPr>
          <w:rFonts w:eastAsiaTheme="minorEastAsia" w:cstheme="minorHAnsi"/>
        </w:rPr>
        <w:t xml:space="preserve">on terms that </w:t>
      </w:r>
      <w:r w:rsidR="4D4503CD" w:rsidRPr="00A14A44">
        <w:rPr>
          <w:rFonts w:eastAsiaTheme="minorEastAsia" w:cstheme="minorHAnsi"/>
        </w:rPr>
        <w:t>harms</w:t>
      </w:r>
      <w:r w:rsidR="758165CC" w:rsidRPr="00A14A44">
        <w:rPr>
          <w:rFonts w:eastAsiaTheme="minorEastAsia" w:cstheme="minorHAnsi"/>
        </w:rPr>
        <w:t xml:space="preserve"> competition law within the EU. </w:t>
      </w:r>
      <w:r w:rsidR="137795B4" w:rsidRPr="00A14A44">
        <w:rPr>
          <w:rFonts w:eastAsiaTheme="minorEastAsia" w:cstheme="minorHAnsi"/>
        </w:rPr>
        <w:t>Whereas</w:t>
      </w:r>
      <w:r w:rsidR="758165CC" w:rsidRPr="00A14A44">
        <w:rPr>
          <w:rFonts w:eastAsiaTheme="minorEastAsia" w:cstheme="minorHAnsi"/>
        </w:rPr>
        <w:t xml:space="preserve"> Article 102 is related to b</w:t>
      </w:r>
      <w:r w:rsidR="0504C832" w:rsidRPr="00A14A44">
        <w:rPr>
          <w:rFonts w:eastAsiaTheme="minorEastAsia" w:cstheme="minorHAnsi"/>
        </w:rPr>
        <w:t xml:space="preserve">ig companies such as Sony who have a dominant market position, who may abuse this position for own gain. </w:t>
      </w:r>
      <w:r w:rsidR="00782A82" w:rsidRPr="00A14A44">
        <w:rPr>
          <w:rFonts w:eastAsiaTheme="minorEastAsia" w:cstheme="minorHAnsi"/>
          <w:i/>
          <w:iCs/>
        </w:rPr>
        <w:t>(</w:t>
      </w:r>
      <w:r w:rsidR="00782A82" w:rsidRPr="00A14A44">
        <w:rPr>
          <w:rFonts w:eastAsiaTheme="minorEastAsia" w:cstheme="minorHAnsi"/>
          <w:i/>
          <w:iCs/>
        </w:rPr>
        <w:t>Fuerea,2016)</w:t>
      </w:r>
      <w:r w:rsidR="00782A82" w:rsidRPr="00A14A44">
        <w:rPr>
          <w:rFonts w:eastAsiaTheme="minorEastAsia" w:cstheme="minorHAnsi"/>
        </w:rPr>
        <w:t xml:space="preserve"> </w:t>
      </w:r>
      <w:r w:rsidR="00076057" w:rsidRPr="00A14A44">
        <w:rPr>
          <w:rFonts w:eastAsiaTheme="minorEastAsia" w:cstheme="minorHAnsi"/>
        </w:rPr>
        <w:t xml:space="preserve">Article 101 </w:t>
      </w:r>
      <w:r w:rsidR="004C6BB7" w:rsidRPr="00A14A44">
        <w:rPr>
          <w:rFonts w:eastAsiaTheme="minorEastAsia" w:cstheme="minorHAnsi"/>
        </w:rPr>
        <w:t xml:space="preserve">prohibits agreements that have as their object or effect the restriction, prevention or distortion of competition within the </w:t>
      </w:r>
      <w:proofErr w:type="gramStart"/>
      <w:r w:rsidR="004C6BB7" w:rsidRPr="00A14A44">
        <w:rPr>
          <w:rFonts w:eastAsiaTheme="minorEastAsia" w:cstheme="minorHAnsi"/>
        </w:rPr>
        <w:t>EU</w:t>
      </w:r>
      <w:proofErr w:type="gramEnd"/>
      <w:r w:rsidR="004C6BB7" w:rsidRPr="00A14A44">
        <w:rPr>
          <w:rFonts w:eastAsiaTheme="minorEastAsia" w:cstheme="minorHAnsi"/>
        </w:rPr>
        <w:t xml:space="preserve"> and which have an effect on trade between EU member states</w:t>
      </w:r>
      <w:r w:rsidR="004C6BB7" w:rsidRPr="00A14A44">
        <w:rPr>
          <w:rFonts w:eastAsiaTheme="minorEastAsia" w:cstheme="minorHAnsi"/>
          <w:i/>
          <w:iCs/>
        </w:rPr>
        <w:t xml:space="preserve">. </w:t>
      </w:r>
      <w:r w:rsidR="00771475" w:rsidRPr="00A14A44">
        <w:rPr>
          <w:rFonts w:eastAsiaTheme="minorEastAsia" w:cstheme="minorHAnsi"/>
          <w:i/>
          <w:iCs/>
        </w:rPr>
        <w:t>(Kwok, 2018</w:t>
      </w:r>
      <w:r w:rsidR="00771475" w:rsidRPr="00A14A44">
        <w:rPr>
          <w:rFonts w:eastAsiaTheme="minorEastAsia" w:cstheme="minorHAnsi"/>
        </w:rPr>
        <w:t xml:space="preserve">) </w:t>
      </w:r>
      <w:r w:rsidR="004C6BB7" w:rsidRPr="00A14A44">
        <w:rPr>
          <w:rFonts w:eastAsiaTheme="minorEastAsia" w:cstheme="minorHAnsi"/>
        </w:rPr>
        <w:t>Article 102 is aimed at preventing undertakings with a position of dominance in a set market from abusing that position. Its key role is the regulation of monopolies, focusing on those who limit competition within a market and in private industry.</w:t>
      </w:r>
      <w:r w:rsidR="00B02DCD" w:rsidRPr="00A14A44">
        <w:rPr>
          <w:rFonts w:eastAsiaTheme="minorEastAsia" w:cstheme="minorHAnsi"/>
        </w:rPr>
        <w:t xml:space="preserve"> </w:t>
      </w:r>
      <w:r w:rsidR="004C6BB7" w:rsidRPr="00A14A44">
        <w:rPr>
          <w:rFonts w:eastAsiaTheme="minorEastAsia" w:cstheme="minorHAnsi"/>
        </w:rPr>
        <w:t xml:space="preserve">This act is important within the European Union as it protects the consumer </w:t>
      </w:r>
      <w:r w:rsidR="006E63FF" w:rsidRPr="00A14A44">
        <w:rPr>
          <w:rFonts w:eastAsiaTheme="minorEastAsia" w:cstheme="minorHAnsi"/>
        </w:rPr>
        <w:t xml:space="preserve">from companies that dominate a particular sector or industry, therefore effecting prices and supply. </w:t>
      </w:r>
      <w:r w:rsidR="00782A82" w:rsidRPr="00A14A44">
        <w:rPr>
          <w:rFonts w:eastAsiaTheme="minorEastAsia" w:cstheme="minorHAnsi"/>
          <w:i/>
          <w:iCs/>
        </w:rPr>
        <w:t>(</w:t>
      </w:r>
      <w:proofErr w:type="spellStart"/>
      <w:r w:rsidR="00782A82" w:rsidRPr="00A14A44">
        <w:rPr>
          <w:rFonts w:cstheme="minorHAnsi"/>
          <w:i/>
          <w:iCs/>
        </w:rPr>
        <w:t>Teleki</w:t>
      </w:r>
      <w:proofErr w:type="spellEnd"/>
      <w:r w:rsidR="00782A82" w:rsidRPr="00A14A44">
        <w:rPr>
          <w:rFonts w:cstheme="minorHAnsi"/>
          <w:i/>
          <w:iCs/>
        </w:rPr>
        <w:t xml:space="preserve"> 2021)</w:t>
      </w:r>
    </w:p>
    <w:p w14:paraId="7A61DD18" w14:textId="38B9B861" w:rsidR="0504C832" w:rsidRPr="00A14A44" w:rsidRDefault="0504C832" w:rsidP="1FD09425">
      <w:pPr>
        <w:spacing w:line="240" w:lineRule="auto"/>
        <w:rPr>
          <w:rFonts w:eastAsiaTheme="minorEastAsia" w:cstheme="minorHAnsi"/>
        </w:rPr>
      </w:pPr>
      <w:r w:rsidRPr="00A14A44">
        <w:rPr>
          <w:rFonts w:eastAsiaTheme="minorEastAsia" w:cstheme="minorHAnsi"/>
        </w:rPr>
        <w:t>An undertaking can be</w:t>
      </w:r>
      <w:r w:rsidRPr="00A14A44">
        <w:rPr>
          <w:rFonts w:eastAsiaTheme="minorEastAsia" w:cstheme="minorHAnsi"/>
          <w:i/>
          <w:iCs/>
        </w:rPr>
        <w:t xml:space="preserve"> ‘any legal person’ (</w:t>
      </w:r>
      <w:proofErr w:type="spellStart"/>
      <w:r w:rsidRPr="00A14A44">
        <w:rPr>
          <w:rFonts w:eastAsiaTheme="minorEastAsia" w:cstheme="minorHAnsi"/>
          <w:i/>
          <w:iCs/>
        </w:rPr>
        <w:t>Hofner</w:t>
      </w:r>
      <w:proofErr w:type="spellEnd"/>
      <w:r w:rsidRPr="00A14A44">
        <w:rPr>
          <w:rFonts w:eastAsiaTheme="minorEastAsia" w:cstheme="minorHAnsi"/>
          <w:i/>
          <w:iCs/>
        </w:rPr>
        <w:t xml:space="preserve"> 1991)</w:t>
      </w:r>
      <w:r w:rsidRPr="00A14A44">
        <w:rPr>
          <w:rFonts w:eastAsiaTheme="minorEastAsia" w:cstheme="minorHAnsi"/>
        </w:rPr>
        <w:t>. However, this is more likely to be a company than</w:t>
      </w:r>
      <w:r w:rsidR="006E63FF" w:rsidRPr="00A14A44">
        <w:rPr>
          <w:rFonts w:eastAsiaTheme="minorEastAsia" w:cstheme="minorHAnsi"/>
        </w:rPr>
        <w:t xml:space="preserve"> an</w:t>
      </w:r>
      <w:r w:rsidRPr="00A14A44">
        <w:rPr>
          <w:rFonts w:eastAsiaTheme="minorEastAsia" w:cstheme="minorHAnsi"/>
        </w:rPr>
        <w:t xml:space="preserve"> </w:t>
      </w:r>
      <w:r w:rsidR="51482C8C" w:rsidRPr="00A14A44">
        <w:rPr>
          <w:rFonts w:eastAsiaTheme="minorEastAsia" w:cstheme="minorHAnsi"/>
        </w:rPr>
        <w:t>individual</w:t>
      </w:r>
      <w:r w:rsidRPr="00A14A44">
        <w:rPr>
          <w:rFonts w:eastAsiaTheme="minorEastAsia" w:cstheme="minorHAnsi"/>
        </w:rPr>
        <w:t xml:space="preserve"> person. </w:t>
      </w:r>
      <w:r w:rsidR="33B051F6" w:rsidRPr="00A14A44">
        <w:rPr>
          <w:rFonts w:eastAsiaTheme="minorEastAsia" w:cstheme="minorHAnsi"/>
        </w:rPr>
        <w:t xml:space="preserve">Another important aspect is that you </w:t>
      </w:r>
      <w:r w:rsidR="77E4D583" w:rsidRPr="00A14A44">
        <w:rPr>
          <w:rFonts w:eastAsiaTheme="minorEastAsia" w:cstheme="minorHAnsi"/>
        </w:rPr>
        <w:t>must</w:t>
      </w:r>
      <w:r w:rsidR="33B051F6" w:rsidRPr="00A14A44">
        <w:rPr>
          <w:rFonts w:eastAsiaTheme="minorEastAsia" w:cstheme="minorHAnsi"/>
        </w:rPr>
        <w:t xml:space="preserve"> be </w:t>
      </w:r>
      <w:r w:rsidR="33B051F6" w:rsidRPr="00A14A44">
        <w:rPr>
          <w:rFonts w:eastAsiaTheme="minorEastAsia" w:cstheme="minorHAnsi"/>
          <w:i/>
          <w:iCs/>
        </w:rPr>
        <w:t>‘</w:t>
      </w:r>
      <w:r w:rsidR="1B2C95C4" w:rsidRPr="00A14A44">
        <w:rPr>
          <w:rFonts w:eastAsiaTheme="minorEastAsia" w:cstheme="minorHAnsi"/>
          <w:i/>
          <w:iCs/>
        </w:rPr>
        <w:t>engaged</w:t>
      </w:r>
      <w:r w:rsidR="33B051F6" w:rsidRPr="00A14A44">
        <w:rPr>
          <w:rFonts w:eastAsiaTheme="minorEastAsia" w:cstheme="minorHAnsi"/>
          <w:i/>
          <w:iCs/>
        </w:rPr>
        <w:t xml:space="preserve"> in an economic activity’ (</w:t>
      </w:r>
      <w:proofErr w:type="spellStart"/>
      <w:r w:rsidR="33B051F6" w:rsidRPr="00A14A44">
        <w:rPr>
          <w:rFonts w:eastAsiaTheme="minorEastAsia" w:cstheme="minorHAnsi"/>
          <w:i/>
          <w:iCs/>
        </w:rPr>
        <w:t>Poucet</w:t>
      </w:r>
      <w:proofErr w:type="spellEnd"/>
      <w:r w:rsidR="33B051F6" w:rsidRPr="00A14A44">
        <w:rPr>
          <w:rFonts w:eastAsiaTheme="minorEastAsia" w:cstheme="minorHAnsi"/>
          <w:i/>
          <w:iCs/>
        </w:rPr>
        <w:t xml:space="preserve"> 1993)</w:t>
      </w:r>
      <w:r w:rsidR="33B051F6" w:rsidRPr="00A14A44">
        <w:rPr>
          <w:rFonts w:eastAsiaTheme="minorEastAsia" w:cstheme="minorHAnsi"/>
        </w:rPr>
        <w:t xml:space="preserve">. In </w:t>
      </w:r>
      <w:proofErr w:type="spellStart"/>
      <w:r w:rsidR="33B051F6" w:rsidRPr="00A14A44">
        <w:rPr>
          <w:rFonts w:eastAsiaTheme="minorEastAsia" w:cstheme="minorHAnsi"/>
        </w:rPr>
        <w:t>Poucet</w:t>
      </w:r>
      <w:proofErr w:type="spellEnd"/>
      <w:r w:rsidR="33B051F6" w:rsidRPr="00A14A44">
        <w:rPr>
          <w:rFonts w:eastAsiaTheme="minorEastAsia" w:cstheme="minorHAnsi"/>
        </w:rPr>
        <w:t xml:space="preserve"> 1993, the company con</w:t>
      </w:r>
      <w:r w:rsidR="750B6CC4" w:rsidRPr="00A14A44">
        <w:rPr>
          <w:rFonts w:eastAsiaTheme="minorEastAsia" w:cstheme="minorHAnsi"/>
        </w:rPr>
        <w:t>cerned was dealing with social assistance, because the main objective was not to make money, the company were not considered an undertaking</w:t>
      </w:r>
      <w:r w:rsidR="096FFF86" w:rsidRPr="00A14A44">
        <w:rPr>
          <w:rFonts w:eastAsiaTheme="minorEastAsia" w:cstheme="minorHAnsi"/>
        </w:rPr>
        <w:t xml:space="preserve">. It is important to establish the facts in competition law as most companies are in the </w:t>
      </w:r>
      <w:r w:rsidR="45CA146F" w:rsidRPr="00A14A44">
        <w:rPr>
          <w:rFonts w:eastAsiaTheme="minorEastAsia" w:cstheme="minorHAnsi"/>
        </w:rPr>
        <w:t>relevant</w:t>
      </w:r>
      <w:r w:rsidR="096FFF86" w:rsidRPr="00A14A44">
        <w:rPr>
          <w:rFonts w:eastAsiaTheme="minorEastAsia" w:cstheme="minorHAnsi"/>
        </w:rPr>
        <w:t xml:space="preserve"> markets to make money, meaning they are consid</w:t>
      </w:r>
      <w:r w:rsidR="5B70FBEA" w:rsidRPr="00A14A44">
        <w:rPr>
          <w:rFonts w:eastAsiaTheme="minorEastAsia" w:cstheme="minorHAnsi"/>
        </w:rPr>
        <w:t>ered an undertaking</w:t>
      </w:r>
      <w:r w:rsidR="61191DD0" w:rsidRPr="00A14A44">
        <w:rPr>
          <w:rFonts w:eastAsiaTheme="minorEastAsia" w:cstheme="minorHAnsi"/>
        </w:rPr>
        <w:t xml:space="preserve"> and can be held accountable under relevant EU laws. </w:t>
      </w:r>
    </w:p>
    <w:p w14:paraId="5D2CF613" w14:textId="719B17E6" w:rsidR="61191DD0" w:rsidRPr="00A14A44" w:rsidRDefault="61191DD0" w:rsidP="1FD09425">
      <w:pPr>
        <w:spacing w:line="240" w:lineRule="auto"/>
        <w:rPr>
          <w:rFonts w:eastAsiaTheme="minorEastAsia" w:cstheme="minorHAnsi"/>
        </w:rPr>
      </w:pPr>
      <w:r w:rsidRPr="00A14A44">
        <w:rPr>
          <w:rFonts w:eastAsiaTheme="minorEastAsia" w:cstheme="minorHAnsi"/>
        </w:rPr>
        <w:t xml:space="preserve">For Article 101, there must be an agreement, </w:t>
      </w:r>
      <w:r w:rsidR="00B02DCD" w:rsidRPr="00A14A44">
        <w:rPr>
          <w:rFonts w:eastAsiaTheme="minorEastAsia" w:cstheme="minorHAnsi"/>
        </w:rPr>
        <w:t>decision,</w:t>
      </w:r>
      <w:r w:rsidRPr="00A14A44">
        <w:rPr>
          <w:rFonts w:eastAsiaTheme="minorEastAsia" w:cstheme="minorHAnsi"/>
        </w:rPr>
        <w:t xml:space="preserve"> or concerted practices. An agreement in context with competition law essentially is a ‘contrac</w:t>
      </w:r>
      <w:r w:rsidR="62E71698" w:rsidRPr="00A14A44">
        <w:rPr>
          <w:rFonts w:eastAsiaTheme="minorEastAsia" w:cstheme="minorHAnsi"/>
        </w:rPr>
        <w:t>t</w:t>
      </w:r>
      <w:r w:rsidR="039BD45E" w:rsidRPr="00A14A44">
        <w:rPr>
          <w:rFonts w:eastAsiaTheme="minorEastAsia" w:cstheme="minorHAnsi"/>
        </w:rPr>
        <w:t>’ between companies. This can be written or unwritten. The EU has expanded this scope of contractual law further</w:t>
      </w:r>
      <w:r w:rsidR="0F609CE2" w:rsidRPr="00A14A44">
        <w:rPr>
          <w:rFonts w:eastAsiaTheme="minorEastAsia" w:cstheme="minorHAnsi"/>
        </w:rPr>
        <w:t xml:space="preserve"> under Article 101. In the </w:t>
      </w:r>
      <w:r w:rsidR="0F609CE2" w:rsidRPr="00A14A44">
        <w:rPr>
          <w:rFonts w:eastAsiaTheme="minorEastAsia" w:cstheme="minorHAnsi"/>
          <w:i/>
          <w:iCs/>
        </w:rPr>
        <w:t xml:space="preserve">Quinine Cartel case </w:t>
      </w:r>
      <w:r w:rsidR="373AC99D" w:rsidRPr="00A14A44">
        <w:rPr>
          <w:rFonts w:eastAsiaTheme="minorEastAsia" w:cstheme="minorHAnsi"/>
          <w:i/>
          <w:iCs/>
        </w:rPr>
        <w:t>(</w:t>
      </w:r>
      <w:r w:rsidR="0F609CE2" w:rsidRPr="00A14A44">
        <w:rPr>
          <w:rFonts w:eastAsiaTheme="minorEastAsia" w:cstheme="minorHAnsi"/>
          <w:i/>
          <w:iCs/>
        </w:rPr>
        <w:t>1970</w:t>
      </w:r>
      <w:r w:rsidR="08FA41F2" w:rsidRPr="00A14A44">
        <w:rPr>
          <w:rFonts w:eastAsiaTheme="minorEastAsia" w:cstheme="minorHAnsi"/>
          <w:i/>
          <w:iCs/>
        </w:rPr>
        <w:t>)</w:t>
      </w:r>
      <w:r w:rsidR="0F609CE2" w:rsidRPr="00A14A44">
        <w:rPr>
          <w:rFonts w:eastAsiaTheme="minorEastAsia" w:cstheme="minorHAnsi"/>
        </w:rPr>
        <w:t xml:space="preserve">, there was a </w:t>
      </w:r>
      <w:r w:rsidR="0F609CE2" w:rsidRPr="00A14A44">
        <w:rPr>
          <w:rFonts w:eastAsiaTheme="minorEastAsia" w:cstheme="minorHAnsi"/>
          <w:i/>
          <w:iCs/>
        </w:rPr>
        <w:t>‘gentleman’s agreement’</w:t>
      </w:r>
      <w:r w:rsidR="0F609CE2" w:rsidRPr="00A14A44">
        <w:rPr>
          <w:rFonts w:eastAsiaTheme="minorEastAsia" w:cstheme="minorHAnsi"/>
        </w:rPr>
        <w:t xml:space="preserve"> which was an acknowledgement between the parties and undertaking</w:t>
      </w:r>
      <w:r w:rsidR="7426AB12" w:rsidRPr="00A14A44">
        <w:rPr>
          <w:rFonts w:eastAsiaTheme="minorEastAsia" w:cstheme="minorHAnsi"/>
        </w:rPr>
        <w:t xml:space="preserve">s. This shows that </w:t>
      </w:r>
      <w:r w:rsidR="7426AB12" w:rsidRPr="00A14A44">
        <w:rPr>
          <w:rFonts w:eastAsiaTheme="minorEastAsia" w:cstheme="minorHAnsi"/>
          <w:i/>
          <w:iCs/>
        </w:rPr>
        <w:t>‘underhand’</w:t>
      </w:r>
      <w:r w:rsidR="7426AB12" w:rsidRPr="00A14A44">
        <w:rPr>
          <w:rFonts w:eastAsiaTheme="minorEastAsia" w:cstheme="minorHAnsi"/>
        </w:rPr>
        <w:t xml:space="preserve"> type of agreements will be caught under EU law, in line with Article 101 and com</w:t>
      </w:r>
      <w:r w:rsidR="0F413BF1" w:rsidRPr="00A14A44">
        <w:rPr>
          <w:rFonts w:eastAsiaTheme="minorEastAsia" w:cstheme="minorHAnsi"/>
        </w:rPr>
        <w:t xml:space="preserve">petition laws. </w:t>
      </w:r>
      <w:r w:rsidR="00782A82" w:rsidRPr="00A14A44">
        <w:rPr>
          <w:rFonts w:eastAsiaTheme="minorEastAsia" w:cstheme="minorHAnsi"/>
          <w:i/>
          <w:iCs/>
        </w:rPr>
        <w:t>(</w:t>
      </w:r>
      <w:proofErr w:type="spellStart"/>
      <w:r w:rsidR="00782A82" w:rsidRPr="00A14A44">
        <w:rPr>
          <w:rFonts w:eastAsiaTheme="minorEastAsia" w:cstheme="minorHAnsi"/>
          <w:i/>
          <w:iCs/>
        </w:rPr>
        <w:t>Fuerea</w:t>
      </w:r>
      <w:proofErr w:type="spellEnd"/>
      <w:r w:rsidR="00782A82" w:rsidRPr="00A14A44">
        <w:rPr>
          <w:rFonts w:eastAsiaTheme="minorEastAsia" w:cstheme="minorHAnsi"/>
          <w:i/>
          <w:iCs/>
        </w:rPr>
        <w:t>, 2016)</w:t>
      </w:r>
    </w:p>
    <w:p w14:paraId="72907A03" w14:textId="682AEC46" w:rsidR="047E8ED2" w:rsidRPr="00A14A44" w:rsidRDefault="047E8ED2" w:rsidP="1FD09425">
      <w:pPr>
        <w:spacing w:line="240" w:lineRule="auto"/>
        <w:rPr>
          <w:rFonts w:eastAsiaTheme="minorEastAsia" w:cstheme="minorHAnsi"/>
        </w:rPr>
      </w:pPr>
      <w:r w:rsidRPr="00A14A44">
        <w:rPr>
          <w:rFonts w:eastAsiaTheme="minorEastAsia" w:cstheme="minorHAnsi"/>
        </w:rPr>
        <w:t xml:space="preserve">Article 102 covers the abuse of a dominant market position. There are four </w:t>
      </w:r>
      <w:r w:rsidR="3AA73FB4" w:rsidRPr="00A14A44">
        <w:rPr>
          <w:rFonts w:eastAsiaTheme="minorEastAsia" w:cstheme="minorHAnsi"/>
        </w:rPr>
        <w:t>initial</w:t>
      </w:r>
      <w:r w:rsidRPr="00A14A44">
        <w:rPr>
          <w:rFonts w:eastAsiaTheme="minorEastAsia" w:cstheme="minorHAnsi"/>
        </w:rPr>
        <w:t xml:space="preserve"> requirements. There </w:t>
      </w:r>
      <w:r w:rsidR="740C43F9" w:rsidRPr="00A14A44">
        <w:rPr>
          <w:rFonts w:eastAsiaTheme="minorEastAsia" w:cstheme="minorHAnsi"/>
        </w:rPr>
        <w:t>must</w:t>
      </w:r>
      <w:r w:rsidRPr="00A14A44">
        <w:rPr>
          <w:rFonts w:eastAsiaTheme="minorEastAsia" w:cstheme="minorHAnsi"/>
        </w:rPr>
        <w:t xml:space="preserve"> be an undertaking. </w:t>
      </w:r>
      <w:r w:rsidR="06F87597" w:rsidRPr="00A14A44">
        <w:rPr>
          <w:rFonts w:eastAsiaTheme="minorEastAsia" w:cstheme="minorHAnsi"/>
        </w:rPr>
        <w:t xml:space="preserve"> </w:t>
      </w:r>
      <w:r w:rsidR="3F0D5A8C" w:rsidRPr="00A14A44">
        <w:rPr>
          <w:rFonts w:eastAsiaTheme="minorEastAsia" w:cstheme="minorHAnsi"/>
        </w:rPr>
        <w:t>The next point is market dominance in the relevant market. The product market is important in understanding the significance surrounding compe</w:t>
      </w:r>
      <w:r w:rsidR="659D4C35" w:rsidRPr="00A14A44">
        <w:rPr>
          <w:rFonts w:eastAsiaTheme="minorEastAsia" w:cstheme="minorHAnsi"/>
        </w:rPr>
        <w:t xml:space="preserve">tition law. </w:t>
      </w:r>
      <w:r w:rsidR="659D4C35" w:rsidRPr="00A14A44">
        <w:rPr>
          <w:rFonts w:eastAsiaTheme="minorEastAsia" w:cstheme="minorHAnsi"/>
          <w:i/>
          <w:iCs/>
        </w:rPr>
        <w:t xml:space="preserve">United Brands (UB) v </w:t>
      </w:r>
      <w:proofErr w:type="spellStart"/>
      <w:r w:rsidR="659D4C35" w:rsidRPr="00A14A44">
        <w:rPr>
          <w:rFonts w:eastAsiaTheme="minorEastAsia" w:cstheme="minorHAnsi"/>
          <w:i/>
          <w:iCs/>
        </w:rPr>
        <w:t>Commision</w:t>
      </w:r>
      <w:proofErr w:type="spellEnd"/>
      <w:r w:rsidR="659D4C35" w:rsidRPr="00A14A44">
        <w:rPr>
          <w:rFonts w:eastAsiaTheme="minorEastAsia" w:cstheme="minorHAnsi"/>
          <w:i/>
          <w:iCs/>
        </w:rPr>
        <w:t xml:space="preserve"> </w:t>
      </w:r>
      <w:r w:rsidR="0121549E" w:rsidRPr="00A14A44">
        <w:rPr>
          <w:rFonts w:eastAsiaTheme="minorEastAsia" w:cstheme="minorHAnsi"/>
          <w:i/>
          <w:iCs/>
        </w:rPr>
        <w:t>(</w:t>
      </w:r>
      <w:r w:rsidR="659D4C35" w:rsidRPr="00A14A44">
        <w:rPr>
          <w:rFonts w:eastAsiaTheme="minorEastAsia" w:cstheme="minorHAnsi"/>
          <w:i/>
          <w:iCs/>
        </w:rPr>
        <w:t>1978</w:t>
      </w:r>
      <w:r w:rsidR="0A21A6DD" w:rsidRPr="00A14A44">
        <w:rPr>
          <w:rFonts w:eastAsiaTheme="minorEastAsia" w:cstheme="minorHAnsi"/>
          <w:i/>
          <w:iCs/>
        </w:rPr>
        <w:t>)</w:t>
      </w:r>
      <w:r w:rsidR="659D4C35" w:rsidRPr="00A14A44">
        <w:rPr>
          <w:rFonts w:eastAsiaTheme="minorEastAsia" w:cstheme="minorHAnsi"/>
        </w:rPr>
        <w:t xml:space="preserve">, where UB sold bananas and stated that the </w:t>
      </w:r>
      <w:r w:rsidR="6B7FB077" w:rsidRPr="00A14A44">
        <w:rPr>
          <w:rFonts w:eastAsiaTheme="minorEastAsia" w:cstheme="minorHAnsi"/>
        </w:rPr>
        <w:t>product market was fruit. However, the EU decided they were not fruit, but in</w:t>
      </w:r>
      <w:r w:rsidR="749C7C78" w:rsidRPr="00A14A44">
        <w:rPr>
          <w:rFonts w:eastAsiaTheme="minorEastAsia" w:cstheme="minorHAnsi"/>
        </w:rPr>
        <w:t xml:space="preserve"> </w:t>
      </w:r>
      <w:r w:rsidR="6B7FB077" w:rsidRPr="00A14A44">
        <w:rPr>
          <w:rFonts w:eastAsiaTheme="minorEastAsia" w:cstheme="minorHAnsi"/>
        </w:rPr>
        <w:t>fact seeds. The case concluded that the relevant product market was bananas not fruit. This d</w:t>
      </w:r>
      <w:r w:rsidR="0DF7A90E" w:rsidRPr="00A14A44">
        <w:rPr>
          <w:rFonts w:eastAsiaTheme="minorEastAsia" w:cstheme="minorHAnsi"/>
        </w:rPr>
        <w:t>emonstrates how such companies will try and make the product market as</w:t>
      </w:r>
      <w:r w:rsidR="0DF7A90E" w:rsidRPr="00A14A44">
        <w:rPr>
          <w:rFonts w:eastAsiaTheme="minorEastAsia" w:cstheme="minorHAnsi"/>
          <w:i/>
          <w:iCs/>
        </w:rPr>
        <w:t xml:space="preserve"> ‘broad’</w:t>
      </w:r>
      <w:r w:rsidR="0DF7A90E" w:rsidRPr="00A14A44">
        <w:rPr>
          <w:rFonts w:eastAsiaTheme="minorEastAsia" w:cstheme="minorHAnsi"/>
        </w:rPr>
        <w:t xml:space="preserve"> as </w:t>
      </w:r>
      <w:r w:rsidR="50BFCBF1" w:rsidRPr="00A14A44">
        <w:rPr>
          <w:rFonts w:eastAsiaTheme="minorEastAsia" w:cstheme="minorHAnsi"/>
        </w:rPr>
        <w:t>possible</w:t>
      </w:r>
      <w:r w:rsidR="0DF7A90E" w:rsidRPr="00A14A44">
        <w:rPr>
          <w:rFonts w:eastAsiaTheme="minorEastAsia" w:cstheme="minorHAnsi"/>
        </w:rPr>
        <w:t xml:space="preserve">. This is an issue, as it could show an element of market manipulation by big companies. </w:t>
      </w:r>
      <w:r w:rsidR="006E63FF" w:rsidRPr="00A14A44">
        <w:rPr>
          <w:rFonts w:eastAsiaTheme="minorEastAsia" w:cstheme="minorHAnsi"/>
        </w:rPr>
        <w:t xml:space="preserve"> </w:t>
      </w:r>
      <w:r w:rsidR="002D7835" w:rsidRPr="00A14A44">
        <w:rPr>
          <w:rFonts w:eastAsiaTheme="minorEastAsia" w:cstheme="minorHAnsi"/>
        </w:rPr>
        <w:t xml:space="preserve">The definition of a relevant market is a tool to identify and define the boundaries of competition between firms. It allows to establish the framework within which competition policy principles are applied by the Commission. The main purpose of market definition is to identify in a systematic way competitive constraint that the undertakings involved face. </w:t>
      </w:r>
      <w:r w:rsidR="00B02DCD" w:rsidRPr="00A14A44">
        <w:rPr>
          <w:rFonts w:eastAsiaTheme="minorEastAsia" w:cstheme="minorHAnsi"/>
          <w:i/>
          <w:iCs/>
        </w:rPr>
        <w:t>(</w:t>
      </w:r>
      <w:proofErr w:type="spellStart"/>
      <w:r w:rsidR="00B02DCD" w:rsidRPr="00A14A44">
        <w:rPr>
          <w:rFonts w:cstheme="minorHAnsi"/>
          <w:i/>
          <w:iCs/>
        </w:rPr>
        <w:t>Teleki</w:t>
      </w:r>
      <w:proofErr w:type="spellEnd"/>
      <w:r w:rsidR="00B02DCD" w:rsidRPr="00A14A44">
        <w:rPr>
          <w:rFonts w:cstheme="minorHAnsi"/>
          <w:i/>
          <w:iCs/>
        </w:rPr>
        <w:t xml:space="preserve"> 2021)</w:t>
      </w:r>
      <w:r w:rsidR="00B02DCD" w:rsidRPr="00A14A44">
        <w:rPr>
          <w:rFonts w:eastAsiaTheme="minorEastAsia" w:cstheme="minorHAnsi"/>
        </w:rPr>
        <w:t xml:space="preserve"> </w:t>
      </w:r>
      <w:r w:rsidR="002D7835" w:rsidRPr="00A14A44">
        <w:rPr>
          <w:rFonts w:eastAsiaTheme="minorEastAsia" w:cstheme="minorHAnsi"/>
        </w:rPr>
        <w:t xml:space="preserve">So companies want a broad definition so </w:t>
      </w:r>
      <w:r w:rsidR="00771475" w:rsidRPr="00A14A44">
        <w:rPr>
          <w:rFonts w:eastAsiaTheme="minorEastAsia" w:cstheme="minorHAnsi"/>
        </w:rPr>
        <w:t xml:space="preserve">that they have more freedom and less restriction whereas the commission want to narrow the </w:t>
      </w:r>
      <w:r w:rsidR="00C427AD" w:rsidRPr="00A14A44">
        <w:rPr>
          <w:rFonts w:eastAsiaTheme="minorEastAsia" w:cstheme="minorHAnsi"/>
        </w:rPr>
        <w:t>definition,</w:t>
      </w:r>
      <w:r w:rsidR="00771475" w:rsidRPr="00A14A44">
        <w:rPr>
          <w:rFonts w:eastAsiaTheme="minorEastAsia" w:cstheme="minorHAnsi"/>
        </w:rPr>
        <w:t xml:space="preserve"> so policies are applied consistently</w:t>
      </w:r>
      <w:r w:rsidR="00C427AD" w:rsidRPr="00A14A44">
        <w:rPr>
          <w:rFonts w:eastAsiaTheme="minorEastAsia" w:cstheme="minorHAnsi"/>
        </w:rPr>
        <w:t xml:space="preserve">, </w:t>
      </w:r>
      <w:r w:rsidR="00771475" w:rsidRPr="00A14A44">
        <w:rPr>
          <w:rFonts w:eastAsiaTheme="minorEastAsia" w:cstheme="minorHAnsi"/>
        </w:rPr>
        <w:t>allow</w:t>
      </w:r>
      <w:r w:rsidR="007E4E97" w:rsidRPr="00A14A44">
        <w:rPr>
          <w:rFonts w:eastAsiaTheme="minorEastAsia" w:cstheme="minorHAnsi"/>
        </w:rPr>
        <w:t xml:space="preserve">ing </w:t>
      </w:r>
      <w:r w:rsidR="00771475" w:rsidRPr="00A14A44">
        <w:rPr>
          <w:rFonts w:eastAsiaTheme="minorEastAsia" w:cstheme="minorHAnsi"/>
        </w:rPr>
        <w:t>for market fairness</w:t>
      </w:r>
      <w:r w:rsidR="00C427AD" w:rsidRPr="00A14A44">
        <w:rPr>
          <w:rFonts w:eastAsiaTheme="minorEastAsia" w:cstheme="minorHAnsi"/>
        </w:rPr>
        <w:t xml:space="preserve"> where no dominant company abuses its powers.</w:t>
      </w:r>
    </w:p>
    <w:p w14:paraId="29265BE6" w14:textId="7FB365E3" w:rsidR="76517E2F" w:rsidRPr="00A14A44" w:rsidRDefault="006E63FF" w:rsidP="1FD09425">
      <w:pPr>
        <w:spacing w:line="240" w:lineRule="auto"/>
        <w:rPr>
          <w:rFonts w:eastAsiaTheme="minorEastAsia" w:cstheme="minorHAnsi"/>
        </w:rPr>
      </w:pPr>
      <w:r w:rsidRPr="00A14A44">
        <w:rPr>
          <w:rFonts w:eastAsiaTheme="minorEastAsia" w:cstheme="minorHAnsi"/>
        </w:rPr>
        <w:t xml:space="preserve">The relevant market comprises three components namely the product market, geographic market, and temporal market. </w:t>
      </w:r>
      <w:r w:rsidR="007E4E97" w:rsidRPr="00A14A44">
        <w:rPr>
          <w:rFonts w:eastAsiaTheme="minorEastAsia" w:cstheme="minorHAnsi"/>
          <w:i/>
          <w:iCs/>
        </w:rPr>
        <w:t>(EUR-Lex, 2011)</w:t>
      </w:r>
      <w:r w:rsidR="007E4E97" w:rsidRPr="00A14A44">
        <w:rPr>
          <w:rFonts w:eastAsiaTheme="minorEastAsia" w:cstheme="minorHAnsi"/>
        </w:rPr>
        <w:t xml:space="preserve"> </w:t>
      </w:r>
      <w:r w:rsidR="76517E2F" w:rsidRPr="00A14A44">
        <w:rPr>
          <w:rFonts w:eastAsiaTheme="minorEastAsia" w:cstheme="minorHAnsi"/>
        </w:rPr>
        <w:t xml:space="preserve">Geographical market is important in </w:t>
      </w:r>
      <w:r w:rsidRPr="00A14A44">
        <w:rPr>
          <w:rFonts w:eastAsiaTheme="minorEastAsia" w:cstheme="minorHAnsi"/>
        </w:rPr>
        <w:t xml:space="preserve">the </w:t>
      </w:r>
      <w:r w:rsidR="76517E2F" w:rsidRPr="00A14A44">
        <w:rPr>
          <w:rFonts w:eastAsiaTheme="minorEastAsia" w:cstheme="minorHAnsi"/>
        </w:rPr>
        <w:t xml:space="preserve">product market as </w:t>
      </w:r>
      <w:r w:rsidR="642D2803" w:rsidRPr="00A14A44">
        <w:rPr>
          <w:rFonts w:eastAsiaTheme="minorEastAsia" w:cstheme="minorHAnsi"/>
        </w:rPr>
        <w:lastRenderedPageBreak/>
        <w:t>demonstrated</w:t>
      </w:r>
      <w:r w:rsidR="76517E2F" w:rsidRPr="00A14A44">
        <w:rPr>
          <w:rFonts w:eastAsiaTheme="minorEastAsia" w:cstheme="minorHAnsi"/>
        </w:rPr>
        <w:t xml:space="preserve"> in the case of </w:t>
      </w:r>
      <w:r w:rsidR="76517E2F" w:rsidRPr="00A14A44">
        <w:rPr>
          <w:rFonts w:eastAsiaTheme="minorEastAsia" w:cstheme="minorHAnsi"/>
          <w:i/>
          <w:iCs/>
        </w:rPr>
        <w:t xml:space="preserve">Napier </w:t>
      </w:r>
      <w:r w:rsidR="4A5C2A08" w:rsidRPr="00A14A44">
        <w:rPr>
          <w:rFonts w:eastAsiaTheme="minorEastAsia" w:cstheme="minorHAnsi"/>
          <w:i/>
          <w:iCs/>
        </w:rPr>
        <w:t xml:space="preserve">Brown- British </w:t>
      </w:r>
      <w:r w:rsidR="1FC3B5C0" w:rsidRPr="00A14A44">
        <w:rPr>
          <w:rFonts w:eastAsiaTheme="minorEastAsia" w:cstheme="minorHAnsi"/>
          <w:i/>
          <w:iCs/>
        </w:rPr>
        <w:t>S</w:t>
      </w:r>
      <w:r w:rsidR="4A5C2A08" w:rsidRPr="00A14A44">
        <w:rPr>
          <w:rFonts w:eastAsiaTheme="minorEastAsia" w:cstheme="minorHAnsi"/>
          <w:i/>
          <w:iCs/>
        </w:rPr>
        <w:t xml:space="preserve">ugar </w:t>
      </w:r>
      <w:r w:rsidR="6C6E9018" w:rsidRPr="00A14A44">
        <w:rPr>
          <w:rFonts w:eastAsiaTheme="minorEastAsia" w:cstheme="minorHAnsi"/>
          <w:i/>
          <w:iCs/>
        </w:rPr>
        <w:t>(</w:t>
      </w:r>
      <w:r w:rsidR="4A5C2A08" w:rsidRPr="00A14A44">
        <w:rPr>
          <w:rFonts w:eastAsiaTheme="minorEastAsia" w:cstheme="minorHAnsi"/>
          <w:i/>
          <w:iCs/>
        </w:rPr>
        <w:t>1988</w:t>
      </w:r>
      <w:r w:rsidR="7A944C2E" w:rsidRPr="00A14A44">
        <w:rPr>
          <w:rFonts w:eastAsiaTheme="minorEastAsia" w:cstheme="minorHAnsi"/>
          <w:i/>
          <w:iCs/>
        </w:rPr>
        <w:t>)</w:t>
      </w:r>
      <w:r w:rsidR="4A5C2A08" w:rsidRPr="00A14A44">
        <w:rPr>
          <w:rFonts w:eastAsiaTheme="minorEastAsia" w:cstheme="minorHAnsi"/>
        </w:rPr>
        <w:t xml:space="preserve">. The company in this case argued that the geographic market was very wide </w:t>
      </w:r>
      <w:r w:rsidR="077210EA" w:rsidRPr="00A14A44">
        <w:rPr>
          <w:rFonts w:eastAsiaTheme="minorEastAsia" w:cstheme="minorHAnsi"/>
        </w:rPr>
        <w:t>incorporating</w:t>
      </w:r>
      <w:r w:rsidR="4A5C2A08" w:rsidRPr="00A14A44">
        <w:rPr>
          <w:rFonts w:eastAsiaTheme="minorEastAsia" w:cstheme="minorHAnsi"/>
        </w:rPr>
        <w:t xml:space="preserve"> the whole EU. However,</w:t>
      </w:r>
      <w:r w:rsidR="64A3210B" w:rsidRPr="00A14A44">
        <w:rPr>
          <w:rFonts w:eastAsiaTheme="minorEastAsia" w:cstheme="minorHAnsi"/>
        </w:rPr>
        <w:t xml:space="preserve"> the court concluded that Napier in this case, in relation to </w:t>
      </w:r>
      <w:r w:rsidR="5201C91B" w:rsidRPr="00A14A44">
        <w:rPr>
          <w:rFonts w:eastAsiaTheme="minorEastAsia" w:cstheme="minorHAnsi"/>
        </w:rPr>
        <w:t>geographical</w:t>
      </w:r>
      <w:r w:rsidR="64A3210B" w:rsidRPr="00A14A44">
        <w:rPr>
          <w:rFonts w:eastAsiaTheme="minorEastAsia" w:cstheme="minorHAnsi"/>
        </w:rPr>
        <w:t xml:space="preserve"> markets, only the UK was considered as their market because they had a broad market share. </w:t>
      </w:r>
      <w:r w:rsidR="0975FB7C" w:rsidRPr="00A14A44">
        <w:rPr>
          <w:rFonts w:eastAsiaTheme="minorEastAsia" w:cstheme="minorHAnsi"/>
        </w:rPr>
        <w:t>Furthermore</w:t>
      </w:r>
      <w:r w:rsidR="201BD798" w:rsidRPr="00A14A44">
        <w:rPr>
          <w:rFonts w:eastAsiaTheme="minorEastAsia" w:cstheme="minorHAnsi"/>
        </w:rPr>
        <w:t xml:space="preserve">, the commission may consider time as a factor in relevant context. Certain products like fruits which may have limited </w:t>
      </w:r>
      <w:r w:rsidR="53C36158" w:rsidRPr="00A14A44">
        <w:rPr>
          <w:rFonts w:eastAsiaTheme="minorEastAsia" w:cstheme="minorHAnsi"/>
        </w:rPr>
        <w:t>availability</w:t>
      </w:r>
      <w:r w:rsidR="201BD798" w:rsidRPr="00A14A44">
        <w:rPr>
          <w:rFonts w:eastAsiaTheme="minorEastAsia" w:cstheme="minorHAnsi"/>
        </w:rPr>
        <w:t>. This is so</w:t>
      </w:r>
      <w:r w:rsidR="088B1632" w:rsidRPr="00A14A44">
        <w:rPr>
          <w:rFonts w:eastAsiaTheme="minorEastAsia" w:cstheme="minorHAnsi"/>
        </w:rPr>
        <w:t xml:space="preserve">mething that needs to be looked at, </w:t>
      </w:r>
      <w:r w:rsidR="114086D1" w:rsidRPr="00A14A44">
        <w:rPr>
          <w:rFonts w:eastAsiaTheme="minorEastAsia" w:cstheme="minorHAnsi"/>
        </w:rPr>
        <w:t>particularly</w:t>
      </w:r>
      <w:r w:rsidR="088B1632" w:rsidRPr="00A14A44">
        <w:rPr>
          <w:rFonts w:eastAsiaTheme="minorEastAsia" w:cstheme="minorHAnsi"/>
        </w:rPr>
        <w:t xml:space="preserve"> in certain industries. Another factor evaluated is dominance. If dominance is identified clearly,</w:t>
      </w:r>
      <w:r w:rsidR="3D9D365A" w:rsidRPr="00A14A44">
        <w:rPr>
          <w:rFonts w:eastAsiaTheme="minorEastAsia" w:cstheme="minorHAnsi"/>
        </w:rPr>
        <w:t xml:space="preserve"> in context with competition law, examining the difference between the ‘top’ companies and ‘</w:t>
      </w:r>
      <w:r w:rsidR="0742BE73" w:rsidRPr="00A14A44">
        <w:rPr>
          <w:rFonts w:eastAsiaTheme="minorEastAsia" w:cstheme="minorHAnsi"/>
        </w:rPr>
        <w:t xml:space="preserve">lower’ companies is vital. </w:t>
      </w:r>
    </w:p>
    <w:p w14:paraId="3CA21D02" w14:textId="57DB847B" w:rsidR="4274213C" w:rsidRPr="00A14A44" w:rsidRDefault="4274213C" w:rsidP="1FD09425">
      <w:pPr>
        <w:spacing w:line="240" w:lineRule="auto"/>
        <w:rPr>
          <w:rFonts w:eastAsiaTheme="minorEastAsia" w:cstheme="minorHAnsi"/>
        </w:rPr>
      </w:pPr>
      <w:r w:rsidRPr="00A14A44">
        <w:rPr>
          <w:rFonts w:eastAsiaTheme="minorEastAsia" w:cstheme="minorHAnsi"/>
        </w:rPr>
        <w:t xml:space="preserve">In </w:t>
      </w:r>
      <w:r w:rsidRPr="00A14A44">
        <w:rPr>
          <w:rFonts w:eastAsiaTheme="minorEastAsia" w:cstheme="minorHAnsi"/>
          <w:i/>
          <w:iCs/>
        </w:rPr>
        <w:t xml:space="preserve">British Airways v Commission </w:t>
      </w:r>
      <w:r w:rsidR="26878741" w:rsidRPr="00A14A44">
        <w:rPr>
          <w:rFonts w:eastAsiaTheme="minorEastAsia" w:cstheme="minorHAnsi"/>
          <w:i/>
          <w:iCs/>
        </w:rPr>
        <w:t>(</w:t>
      </w:r>
      <w:r w:rsidRPr="00A14A44">
        <w:rPr>
          <w:rFonts w:eastAsiaTheme="minorEastAsia" w:cstheme="minorHAnsi"/>
          <w:i/>
          <w:iCs/>
        </w:rPr>
        <w:t>2004</w:t>
      </w:r>
      <w:r w:rsidR="576424E2" w:rsidRPr="00A14A44">
        <w:rPr>
          <w:rFonts w:eastAsiaTheme="minorEastAsia" w:cstheme="minorHAnsi"/>
          <w:i/>
          <w:iCs/>
        </w:rPr>
        <w:t>)</w:t>
      </w:r>
      <w:r w:rsidRPr="00A14A44">
        <w:rPr>
          <w:rFonts w:eastAsiaTheme="minorEastAsia" w:cstheme="minorHAnsi"/>
          <w:i/>
          <w:iCs/>
        </w:rPr>
        <w:t>,</w:t>
      </w:r>
      <w:r w:rsidRPr="00A14A44">
        <w:rPr>
          <w:rFonts w:eastAsiaTheme="minorEastAsia" w:cstheme="minorHAnsi"/>
        </w:rPr>
        <w:t xml:space="preserve"> an example of dominance is demonstrated</w:t>
      </w:r>
      <w:r w:rsidR="04DAB56B" w:rsidRPr="00A14A44">
        <w:rPr>
          <w:rFonts w:eastAsiaTheme="minorEastAsia" w:cstheme="minorHAnsi"/>
        </w:rPr>
        <w:t>, however some issues with identifying it are present</w:t>
      </w:r>
      <w:r w:rsidRPr="00A14A44">
        <w:rPr>
          <w:rFonts w:eastAsiaTheme="minorEastAsia" w:cstheme="minorHAnsi"/>
        </w:rPr>
        <w:t xml:space="preserve">. British </w:t>
      </w:r>
      <w:r w:rsidR="3BF5B5FB" w:rsidRPr="00A14A44">
        <w:rPr>
          <w:rFonts w:eastAsiaTheme="minorEastAsia" w:cstheme="minorHAnsi"/>
        </w:rPr>
        <w:t>Airways</w:t>
      </w:r>
      <w:r w:rsidRPr="00A14A44">
        <w:rPr>
          <w:rFonts w:eastAsiaTheme="minorEastAsia" w:cstheme="minorHAnsi"/>
        </w:rPr>
        <w:t xml:space="preserve"> held 40</w:t>
      </w:r>
      <w:r w:rsidR="7E741F06" w:rsidRPr="00A14A44">
        <w:rPr>
          <w:rFonts w:eastAsiaTheme="minorEastAsia" w:cstheme="minorHAnsi"/>
        </w:rPr>
        <w:t xml:space="preserve">% of the </w:t>
      </w:r>
      <w:r w:rsidR="6F7E287F" w:rsidRPr="00A14A44">
        <w:rPr>
          <w:rFonts w:eastAsiaTheme="minorEastAsia" w:cstheme="minorHAnsi"/>
        </w:rPr>
        <w:t>market</w:t>
      </w:r>
      <w:r w:rsidR="7E741F06" w:rsidRPr="00A14A44">
        <w:rPr>
          <w:rFonts w:eastAsiaTheme="minorEastAsia" w:cstheme="minorHAnsi"/>
        </w:rPr>
        <w:t xml:space="preserve">, whereas the next major </w:t>
      </w:r>
      <w:r w:rsidR="5D9A6F5B" w:rsidRPr="00A14A44">
        <w:rPr>
          <w:rFonts w:eastAsiaTheme="minorEastAsia" w:cstheme="minorHAnsi"/>
        </w:rPr>
        <w:t>shareholder</w:t>
      </w:r>
      <w:r w:rsidR="7E741F06" w:rsidRPr="00A14A44">
        <w:rPr>
          <w:rFonts w:eastAsiaTheme="minorEastAsia" w:cstheme="minorHAnsi"/>
        </w:rPr>
        <w:t xml:space="preserve"> was Virgin</w:t>
      </w:r>
      <w:r w:rsidR="006E63FF" w:rsidRPr="00A14A44">
        <w:rPr>
          <w:rFonts w:eastAsiaTheme="minorEastAsia" w:cstheme="minorHAnsi"/>
        </w:rPr>
        <w:t xml:space="preserve"> Airways</w:t>
      </w:r>
      <w:r w:rsidR="7E741F06" w:rsidRPr="00A14A44">
        <w:rPr>
          <w:rFonts w:eastAsiaTheme="minorEastAsia" w:cstheme="minorHAnsi"/>
        </w:rPr>
        <w:t>, who controlled 5%. There is a clear difference in stakes, and the</w:t>
      </w:r>
      <w:r w:rsidR="2EA50ED3" w:rsidRPr="00A14A44">
        <w:rPr>
          <w:rFonts w:eastAsiaTheme="minorEastAsia" w:cstheme="minorHAnsi"/>
        </w:rPr>
        <w:t xml:space="preserve"> case concluded that the</w:t>
      </w:r>
      <w:r w:rsidR="7E741F06" w:rsidRPr="00A14A44">
        <w:rPr>
          <w:rFonts w:eastAsiaTheme="minorEastAsia" w:cstheme="minorHAnsi"/>
        </w:rPr>
        <w:t xml:space="preserve"> </w:t>
      </w:r>
      <w:r w:rsidR="3FCF39D5" w:rsidRPr="00A14A44">
        <w:rPr>
          <w:rFonts w:eastAsiaTheme="minorEastAsia" w:cstheme="minorHAnsi"/>
        </w:rPr>
        <w:t xml:space="preserve">‘gap’ is big enough to consider market dominance. </w:t>
      </w:r>
      <w:r w:rsidR="68083CE3" w:rsidRPr="00A14A44">
        <w:rPr>
          <w:rFonts w:eastAsiaTheme="minorEastAsia" w:cstheme="minorHAnsi"/>
        </w:rPr>
        <w:t>But</w:t>
      </w:r>
      <w:r w:rsidR="3FCF39D5" w:rsidRPr="00A14A44">
        <w:rPr>
          <w:rFonts w:eastAsiaTheme="minorEastAsia" w:cstheme="minorHAnsi"/>
        </w:rPr>
        <w:t xml:space="preserve"> this also shows </w:t>
      </w:r>
      <w:r w:rsidR="235CA819" w:rsidRPr="00A14A44">
        <w:rPr>
          <w:rFonts w:eastAsiaTheme="minorEastAsia" w:cstheme="minorHAnsi"/>
        </w:rPr>
        <w:t xml:space="preserve">issues when looking at dominance. In a traditional sense British Airways did not hold a major share </w:t>
      </w:r>
      <w:proofErr w:type="gramStart"/>
      <w:r w:rsidR="235CA819" w:rsidRPr="00A14A44">
        <w:rPr>
          <w:rFonts w:eastAsiaTheme="minorEastAsia" w:cstheme="minorHAnsi"/>
        </w:rPr>
        <w:t>I.e.</w:t>
      </w:r>
      <w:proofErr w:type="gramEnd"/>
      <w:r w:rsidR="235CA819" w:rsidRPr="00A14A44">
        <w:rPr>
          <w:rFonts w:eastAsiaTheme="minorEastAsia" w:cstheme="minorHAnsi"/>
        </w:rPr>
        <w:t xml:space="preserve"> </w:t>
      </w:r>
      <w:r w:rsidR="006E63FF" w:rsidRPr="00A14A44">
        <w:rPr>
          <w:rFonts w:eastAsiaTheme="minorEastAsia" w:cstheme="minorHAnsi"/>
        </w:rPr>
        <w:t xml:space="preserve">less than </w:t>
      </w:r>
      <w:r w:rsidR="235CA819" w:rsidRPr="00A14A44">
        <w:rPr>
          <w:rFonts w:eastAsiaTheme="minorEastAsia" w:cstheme="minorHAnsi"/>
        </w:rPr>
        <w:t xml:space="preserve">50%. </w:t>
      </w:r>
      <w:r w:rsidR="007E4E97" w:rsidRPr="00A14A44">
        <w:rPr>
          <w:rFonts w:eastAsiaTheme="minorEastAsia" w:cstheme="minorHAnsi"/>
        </w:rPr>
        <w:t>So,</w:t>
      </w:r>
      <w:r w:rsidR="235CA819" w:rsidRPr="00A14A44">
        <w:rPr>
          <w:rFonts w:eastAsiaTheme="minorEastAsia" w:cstheme="minorHAnsi"/>
        </w:rPr>
        <w:t xml:space="preserve"> </w:t>
      </w:r>
      <w:r w:rsidR="15549907" w:rsidRPr="00A14A44">
        <w:rPr>
          <w:rFonts w:eastAsiaTheme="minorEastAsia" w:cstheme="minorHAnsi"/>
        </w:rPr>
        <w:t>criticism</w:t>
      </w:r>
      <w:r w:rsidR="235CA819" w:rsidRPr="00A14A44">
        <w:rPr>
          <w:rFonts w:eastAsiaTheme="minorEastAsia" w:cstheme="minorHAnsi"/>
        </w:rPr>
        <w:t xml:space="preserve"> in this case </w:t>
      </w:r>
      <w:r w:rsidR="42ADE0FB" w:rsidRPr="00A14A44">
        <w:rPr>
          <w:rFonts w:eastAsiaTheme="minorEastAsia" w:cstheme="minorHAnsi"/>
        </w:rPr>
        <w:t>can be drawn as</w:t>
      </w:r>
      <w:r w:rsidR="1C393514" w:rsidRPr="00A14A44">
        <w:rPr>
          <w:rFonts w:eastAsiaTheme="minorEastAsia" w:cstheme="minorHAnsi"/>
        </w:rPr>
        <w:t xml:space="preserve"> dominance is not defined by a set market share. </w:t>
      </w:r>
      <w:r w:rsidR="2DF5CB52" w:rsidRPr="00A14A44">
        <w:rPr>
          <w:rFonts w:eastAsiaTheme="minorEastAsia" w:cstheme="minorHAnsi"/>
        </w:rPr>
        <w:t xml:space="preserve">In article 102, an undertaking must be in a dominant position for a breach to occur. </w:t>
      </w:r>
      <w:r w:rsidR="6D4FC95E" w:rsidRPr="00A14A44">
        <w:rPr>
          <w:rFonts w:eastAsiaTheme="minorEastAsia" w:cstheme="minorHAnsi"/>
        </w:rPr>
        <w:t xml:space="preserve">Also, there is no treaty </w:t>
      </w:r>
      <w:r w:rsidR="41B2110F" w:rsidRPr="00A14A44">
        <w:rPr>
          <w:rFonts w:eastAsiaTheme="minorEastAsia" w:cstheme="minorHAnsi"/>
        </w:rPr>
        <w:t>definition,</w:t>
      </w:r>
      <w:r w:rsidR="6D4FC95E" w:rsidRPr="00A14A44">
        <w:rPr>
          <w:rFonts w:eastAsiaTheme="minorEastAsia" w:cstheme="minorHAnsi"/>
        </w:rPr>
        <w:t xml:space="preserve"> so it has been defined by the C</w:t>
      </w:r>
      <w:r w:rsidR="006E63FF" w:rsidRPr="00A14A44">
        <w:rPr>
          <w:rFonts w:eastAsiaTheme="minorEastAsia" w:cstheme="minorHAnsi"/>
        </w:rPr>
        <w:t>ourt of Justice</w:t>
      </w:r>
      <w:r w:rsidR="6D4FC95E" w:rsidRPr="00A14A44">
        <w:rPr>
          <w:rFonts w:eastAsiaTheme="minorEastAsia" w:cstheme="minorHAnsi"/>
        </w:rPr>
        <w:t>. In the case 27/</w:t>
      </w:r>
      <w:r w:rsidR="7F7B2846" w:rsidRPr="00A14A44">
        <w:rPr>
          <w:rFonts w:eastAsiaTheme="minorEastAsia" w:cstheme="minorHAnsi"/>
        </w:rPr>
        <w:t xml:space="preserve">76 </w:t>
      </w:r>
      <w:r w:rsidR="7F7B2846" w:rsidRPr="00A14A44">
        <w:rPr>
          <w:rFonts w:eastAsiaTheme="minorEastAsia" w:cstheme="minorHAnsi"/>
          <w:i/>
          <w:iCs/>
        </w:rPr>
        <w:t>United Brands v Commission (1978), “a position of economic strength</w:t>
      </w:r>
      <w:r w:rsidR="4C821BE4" w:rsidRPr="00A14A44">
        <w:rPr>
          <w:rFonts w:eastAsiaTheme="minorEastAsia" w:cstheme="minorHAnsi"/>
          <w:i/>
          <w:iCs/>
        </w:rPr>
        <w:t xml:space="preserve"> that enables an undertaking to prevent effective competition” </w:t>
      </w:r>
      <w:r w:rsidR="4C821BE4" w:rsidRPr="00A14A44">
        <w:rPr>
          <w:rFonts w:eastAsiaTheme="minorEastAsia" w:cstheme="minorHAnsi"/>
        </w:rPr>
        <w:t>was provided as a definition. It requires that market</w:t>
      </w:r>
      <w:r w:rsidR="4818A773" w:rsidRPr="00A14A44">
        <w:rPr>
          <w:rFonts w:eastAsiaTheme="minorEastAsia" w:cstheme="minorHAnsi"/>
        </w:rPr>
        <w:t xml:space="preserve"> power is set to the trends in the relevant market and act independently of the pressure of competition. </w:t>
      </w:r>
      <w:r w:rsidR="050053DA" w:rsidRPr="00A14A44">
        <w:rPr>
          <w:rFonts w:eastAsiaTheme="minorEastAsia" w:cstheme="minorHAnsi"/>
        </w:rPr>
        <w:t xml:space="preserve">An issue with article 102 and undertaking came in </w:t>
      </w:r>
      <w:r w:rsidR="050053DA" w:rsidRPr="00A14A44">
        <w:rPr>
          <w:rFonts w:eastAsiaTheme="minorEastAsia" w:cstheme="minorHAnsi"/>
          <w:i/>
          <w:iCs/>
        </w:rPr>
        <w:t>Hoffman La Roche (1979)</w:t>
      </w:r>
      <w:r w:rsidR="2C5A8382" w:rsidRPr="00A14A44">
        <w:rPr>
          <w:rFonts w:eastAsiaTheme="minorEastAsia" w:cstheme="minorHAnsi"/>
          <w:i/>
          <w:iCs/>
        </w:rPr>
        <w:t xml:space="preserve">, </w:t>
      </w:r>
      <w:r w:rsidR="2C5A8382" w:rsidRPr="00A14A44">
        <w:rPr>
          <w:rFonts w:eastAsiaTheme="minorEastAsia" w:cstheme="minorHAnsi"/>
        </w:rPr>
        <w:t>where it provided the idea that you don’t have to be the only undertaking. This was cent</w:t>
      </w:r>
      <w:r w:rsidR="4AA73867" w:rsidRPr="00A14A44">
        <w:rPr>
          <w:rFonts w:eastAsiaTheme="minorEastAsia" w:cstheme="minorHAnsi"/>
        </w:rPr>
        <w:t xml:space="preserve">red </w:t>
      </w:r>
      <w:r w:rsidR="2C5A8382" w:rsidRPr="00A14A44">
        <w:rPr>
          <w:rFonts w:eastAsiaTheme="minorEastAsia" w:cstheme="minorHAnsi"/>
        </w:rPr>
        <w:t xml:space="preserve">around you having enough power to change the conditions of </w:t>
      </w:r>
      <w:r w:rsidR="343326BB" w:rsidRPr="00A14A44">
        <w:rPr>
          <w:rFonts w:eastAsiaTheme="minorEastAsia" w:cstheme="minorHAnsi"/>
        </w:rPr>
        <w:t>competition</w:t>
      </w:r>
      <w:r w:rsidR="2C5A8382" w:rsidRPr="00A14A44">
        <w:rPr>
          <w:rFonts w:eastAsiaTheme="minorEastAsia" w:cstheme="minorHAnsi"/>
        </w:rPr>
        <w:t xml:space="preserve">. </w:t>
      </w:r>
    </w:p>
    <w:p w14:paraId="1371F06C" w14:textId="1E7AF211" w:rsidR="7D8024B6" w:rsidRPr="00A14A44" w:rsidRDefault="7D8024B6" w:rsidP="1FD09425">
      <w:pPr>
        <w:spacing w:line="240" w:lineRule="auto"/>
        <w:rPr>
          <w:rFonts w:eastAsiaTheme="minorEastAsia" w:cstheme="minorHAnsi"/>
        </w:rPr>
      </w:pPr>
      <w:r w:rsidRPr="00A14A44">
        <w:rPr>
          <w:rFonts w:eastAsiaTheme="minorEastAsia" w:cstheme="minorHAnsi"/>
        </w:rPr>
        <w:t xml:space="preserve">The undertaking will more than likely argue that the relevant market operates on a wide market basis, which means it is a small undertaking while the </w:t>
      </w:r>
      <w:r w:rsidR="4541D5E9" w:rsidRPr="00A14A44">
        <w:rPr>
          <w:rFonts w:eastAsiaTheme="minorEastAsia" w:cstheme="minorHAnsi"/>
        </w:rPr>
        <w:t xml:space="preserve">Commission </w:t>
      </w:r>
      <w:r w:rsidR="3E6C76DB" w:rsidRPr="00A14A44">
        <w:rPr>
          <w:rFonts w:eastAsiaTheme="minorEastAsia" w:cstheme="minorHAnsi"/>
        </w:rPr>
        <w:t>prefers</w:t>
      </w:r>
      <w:r w:rsidR="4541D5E9" w:rsidRPr="00A14A44">
        <w:rPr>
          <w:rFonts w:eastAsiaTheme="minorEastAsia" w:cstheme="minorHAnsi"/>
        </w:rPr>
        <w:t xml:space="preserve"> a narrow market making the undertaking a </w:t>
      </w:r>
      <w:r w:rsidR="204EEED0" w:rsidRPr="00A14A44">
        <w:rPr>
          <w:rFonts w:eastAsiaTheme="minorEastAsia" w:cstheme="minorHAnsi"/>
        </w:rPr>
        <w:t>l</w:t>
      </w:r>
      <w:r w:rsidR="4541D5E9" w:rsidRPr="00A14A44">
        <w:rPr>
          <w:rFonts w:eastAsiaTheme="minorEastAsia" w:cstheme="minorHAnsi"/>
        </w:rPr>
        <w:t xml:space="preserve">arger operator in that market. </w:t>
      </w:r>
      <w:r w:rsidR="1B018379" w:rsidRPr="00A14A44">
        <w:rPr>
          <w:rFonts w:eastAsiaTheme="minorEastAsia" w:cstheme="minorHAnsi"/>
        </w:rPr>
        <w:t>Furthermore</w:t>
      </w:r>
      <w:r w:rsidR="4541D5E9" w:rsidRPr="00A14A44">
        <w:rPr>
          <w:rFonts w:eastAsiaTheme="minorEastAsia" w:cstheme="minorHAnsi"/>
        </w:rPr>
        <w:t xml:space="preserve">, the </w:t>
      </w:r>
      <w:r w:rsidR="09905796" w:rsidRPr="00A14A44">
        <w:rPr>
          <w:rFonts w:eastAsiaTheme="minorEastAsia" w:cstheme="minorHAnsi"/>
        </w:rPr>
        <w:t>Commission</w:t>
      </w:r>
      <w:r w:rsidR="4541D5E9" w:rsidRPr="00A14A44">
        <w:rPr>
          <w:rFonts w:eastAsiaTheme="minorEastAsia" w:cstheme="minorHAnsi"/>
        </w:rPr>
        <w:t xml:space="preserve"> has established tests</w:t>
      </w:r>
      <w:r w:rsidR="467C0E87" w:rsidRPr="00A14A44">
        <w:rPr>
          <w:rFonts w:eastAsiaTheme="minorEastAsia" w:cstheme="minorHAnsi"/>
        </w:rPr>
        <w:t xml:space="preserve"> to find out the relevant market. </w:t>
      </w:r>
      <w:r w:rsidR="7AB778A4" w:rsidRPr="00A14A44">
        <w:rPr>
          <w:rFonts w:eastAsiaTheme="minorEastAsia" w:cstheme="minorHAnsi"/>
          <w:i/>
          <w:iCs/>
        </w:rPr>
        <w:t>The Commission Notice on the definition of the relevant market (1997)</w:t>
      </w:r>
      <w:r w:rsidR="7AB778A4" w:rsidRPr="00A14A44">
        <w:rPr>
          <w:rFonts w:eastAsiaTheme="minorEastAsia" w:cstheme="minorHAnsi"/>
        </w:rPr>
        <w:t xml:space="preserve"> puts relevant m</w:t>
      </w:r>
      <w:r w:rsidR="7727C76C" w:rsidRPr="00A14A44">
        <w:rPr>
          <w:rFonts w:eastAsiaTheme="minorEastAsia" w:cstheme="minorHAnsi"/>
        </w:rPr>
        <w:t xml:space="preserve">arket into 2 main categories, the </w:t>
      </w:r>
      <w:r w:rsidR="7727C76C" w:rsidRPr="00A14A44">
        <w:rPr>
          <w:rFonts w:eastAsiaTheme="minorEastAsia" w:cstheme="minorHAnsi"/>
          <w:i/>
          <w:iCs/>
        </w:rPr>
        <w:t>Relevant product market</w:t>
      </w:r>
      <w:r w:rsidR="7727C76C" w:rsidRPr="00A14A44">
        <w:rPr>
          <w:rFonts w:eastAsiaTheme="minorEastAsia" w:cstheme="minorHAnsi"/>
        </w:rPr>
        <w:t xml:space="preserve"> and R</w:t>
      </w:r>
      <w:r w:rsidR="7727C76C" w:rsidRPr="00A14A44">
        <w:rPr>
          <w:rFonts w:eastAsiaTheme="minorEastAsia" w:cstheme="minorHAnsi"/>
          <w:i/>
          <w:iCs/>
        </w:rPr>
        <w:t xml:space="preserve">elevant geographical market. </w:t>
      </w:r>
      <w:r w:rsidR="7727C76C" w:rsidRPr="00A14A44">
        <w:rPr>
          <w:rFonts w:eastAsiaTheme="minorEastAsia" w:cstheme="minorHAnsi"/>
        </w:rPr>
        <w:t xml:space="preserve">It demonstrates </w:t>
      </w:r>
      <w:r w:rsidR="30674A20" w:rsidRPr="00A14A44">
        <w:rPr>
          <w:rFonts w:eastAsiaTheme="minorEastAsia" w:cstheme="minorHAnsi"/>
        </w:rPr>
        <w:t xml:space="preserve">that the Commission objective is to make the laws and rules surrounding the market transparent and consistent. </w:t>
      </w:r>
      <w:r w:rsidR="00D14F8B" w:rsidRPr="00A14A44">
        <w:rPr>
          <w:rFonts w:eastAsiaTheme="minorEastAsia" w:cstheme="minorHAnsi"/>
        </w:rPr>
        <w:t xml:space="preserve">This is soft law which is applied to EU measures, which include recommendations and opinions. This Is important in the significance of the relevant market in context of competition law as these are not binding to whom they concern. Set out in Article 288 TFEU </w:t>
      </w:r>
      <w:r w:rsidR="00D14F8B" w:rsidRPr="00A14A44">
        <w:rPr>
          <w:rFonts w:cstheme="minorHAnsi"/>
        </w:rPr>
        <w:t>‘Recommendations and Opinions shall have no binding force’.</w:t>
      </w:r>
      <w:r w:rsidR="000A6106" w:rsidRPr="00A14A44">
        <w:rPr>
          <w:rFonts w:cstheme="minorHAnsi"/>
        </w:rPr>
        <w:t xml:space="preserve"> </w:t>
      </w:r>
      <w:r w:rsidR="000A6106" w:rsidRPr="00A14A44">
        <w:rPr>
          <w:rFonts w:cstheme="minorHAnsi"/>
          <w:i/>
          <w:iCs/>
        </w:rPr>
        <w:t>(</w:t>
      </w:r>
      <w:r w:rsidR="000A6106" w:rsidRPr="00A14A44">
        <w:rPr>
          <w:rFonts w:eastAsiaTheme="minorEastAsia" w:cstheme="minorHAnsi"/>
          <w:i/>
          <w:iCs/>
          <w:color w:val="000000" w:themeColor="text1"/>
        </w:rPr>
        <w:t>Miller</w:t>
      </w:r>
      <w:r w:rsidR="000A6106" w:rsidRPr="00A14A44">
        <w:rPr>
          <w:rFonts w:eastAsiaTheme="minorEastAsia" w:cstheme="minorHAnsi"/>
          <w:i/>
          <w:iCs/>
          <w:color w:val="000000" w:themeColor="text1"/>
        </w:rPr>
        <w:t xml:space="preserve">, </w:t>
      </w:r>
      <w:r w:rsidR="000A6106" w:rsidRPr="00A14A44">
        <w:rPr>
          <w:rFonts w:eastAsiaTheme="minorEastAsia" w:cstheme="minorHAnsi"/>
          <w:i/>
          <w:iCs/>
          <w:color w:val="000000" w:themeColor="text1"/>
        </w:rPr>
        <w:t>2005</w:t>
      </w:r>
      <w:r w:rsidR="000A6106" w:rsidRPr="00A14A44">
        <w:rPr>
          <w:rFonts w:eastAsiaTheme="minorEastAsia" w:cstheme="minorHAnsi"/>
          <w:i/>
          <w:iCs/>
          <w:color w:val="000000" w:themeColor="text1"/>
        </w:rPr>
        <w:t>)</w:t>
      </w:r>
      <w:r w:rsidR="00C427AD" w:rsidRPr="00A14A44">
        <w:rPr>
          <w:rFonts w:eastAsiaTheme="minorEastAsia" w:cstheme="minorHAnsi"/>
        </w:rPr>
        <w:t xml:space="preserve"> Finally, this is important as a</w:t>
      </w:r>
      <w:r w:rsidR="00C427AD" w:rsidRPr="00A14A44">
        <w:rPr>
          <w:rFonts w:eastAsiaTheme="minorEastAsia" w:cstheme="minorHAnsi"/>
        </w:rPr>
        <w:t xml:space="preserve"> restrictive approach concerning the relevant market</w:t>
      </w:r>
      <w:r w:rsidR="00C427AD" w:rsidRPr="00A14A44">
        <w:rPr>
          <w:rFonts w:eastAsiaTheme="minorEastAsia" w:cstheme="minorHAnsi"/>
        </w:rPr>
        <w:t>, will more than likely have a</w:t>
      </w:r>
      <w:r w:rsidR="00C427AD" w:rsidRPr="00A14A44">
        <w:rPr>
          <w:rFonts w:eastAsiaTheme="minorEastAsia" w:cstheme="minorHAnsi"/>
        </w:rPr>
        <w:t xml:space="preserve"> </w:t>
      </w:r>
      <w:proofErr w:type="gramStart"/>
      <w:r w:rsidR="00C427AD" w:rsidRPr="00A14A44">
        <w:rPr>
          <w:rFonts w:eastAsiaTheme="minorEastAsia" w:cstheme="minorHAnsi"/>
        </w:rPr>
        <w:t>direct effects</w:t>
      </w:r>
      <w:proofErr w:type="gramEnd"/>
      <w:r w:rsidR="00C427AD" w:rsidRPr="00A14A44">
        <w:rPr>
          <w:rFonts w:eastAsiaTheme="minorEastAsia" w:cstheme="minorHAnsi"/>
        </w:rPr>
        <w:t xml:space="preserve"> on the finding of a dominant position</w:t>
      </w:r>
    </w:p>
    <w:p w14:paraId="6835B530" w14:textId="282E2155" w:rsidR="4AAE4123" w:rsidRPr="00A14A44" w:rsidRDefault="4AAE4123" w:rsidP="1FD09425">
      <w:pPr>
        <w:spacing w:line="240" w:lineRule="auto"/>
        <w:rPr>
          <w:rFonts w:eastAsiaTheme="minorEastAsia" w:cstheme="minorHAnsi"/>
        </w:rPr>
      </w:pPr>
      <w:r w:rsidRPr="00A14A44">
        <w:rPr>
          <w:rFonts w:eastAsiaTheme="minorEastAsia" w:cstheme="minorHAnsi"/>
        </w:rPr>
        <w:t xml:space="preserve">The </w:t>
      </w:r>
      <w:r w:rsidRPr="00A14A44">
        <w:rPr>
          <w:rFonts w:eastAsiaTheme="minorEastAsia" w:cstheme="minorHAnsi"/>
          <w:i/>
          <w:iCs/>
        </w:rPr>
        <w:t xml:space="preserve">Commission Notice (1997) </w:t>
      </w:r>
      <w:r w:rsidRPr="00A14A44">
        <w:rPr>
          <w:rFonts w:eastAsiaTheme="minorEastAsia" w:cstheme="minorHAnsi"/>
        </w:rPr>
        <w:t xml:space="preserve">set out in case law the 2 tests: demand and supply sustainability. </w:t>
      </w:r>
      <w:r w:rsidR="64F53826" w:rsidRPr="00A14A44">
        <w:rPr>
          <w:rFonts w:eastAsiaTheme="minorEastAsia" w:cstheme="minorHAnsi"/>
        </w:rPr>
        <w:t xml:space="preserve">Demand refers to a small but significant </w:t>
      </w:r>
      <w:r w:rsidR="64F53826" w:rsidRPr="00A14A44">
        <w:rPr>
          <w:rFonts w:eastAsiaTheme="minorEastAsia" w:cstheme="minorHAnsi"/>
          <w:i/>
          <w:iCs/>
        </w:rPr>
        <w:t xml:space="preserve">non-transitory increase in price such as 5-10% (SSNIP test). </w:t>
      </w:r>
      <w:r w:rsidR="008002B3" w:rsidRPr="00A14A44">
        <w:rPr>
          <w:rFonts w:eastAsiaTheme="minorEastAsia" w:cstheme="minorHAnsi"/>
        </w:rPr>
        <w:t xml:space="preserve">The </w:t>
      </w:r>
      <w:r w:rsidR="00C427AD" w:rsidRPr="00A14A44">
        <w:rPr>
          <w:rFonts w:eastAsiaTheme="minorEastAsia" w:cstheme="minorHAnsi"/>
        </w:rPr>
        <w:t>initial</w:t>
      </w:r>
      <w:r w:rsidR="008002B3" w:rsidRPr="00A14A44">
        <w:rPr>
          <w:rFonts w:eastAsiaTheme="minorEastAsia" w:cstheme="minorHAnsi"/>
        </w:rPr>
        <w:t xml:space="preserve"> means of </w:t>
      </w:r>
      <w:r w:rsidR="00C427AD" w:rsidRPr="00A14A44">
        <w:rPr>
          <w:rFonts w:eastAsiaTheme="minorEastAsia" w:cstheme="minorHAnsi"/>
        </w:rPr>
        <w:t>determining</w:t>
      </w:r>
      <w:r w:rsidR="008002B3" w:rsidRPr="00A14A44">
        <w:rPr>
          <w:rFonts w:eastAsiaTheme="minorEastAsia" w:cstheme="minorHAnsi"/>
        </w:rPr>
        <w:t xml:space="preserve"> whether different categories of goods form part of the same market is cross elasticity of demand, typically measured by the SSNIP test.  Goods are part of the same market if a small but permanent price increase in one </w:t>
      </w:r>
      <w:r w:rsidR="00D14F8B" w:rsidRPr="00A14A44">
        <w:rPr>
          <w:rFonts w:eastAsiaTheme="minorEastAsia" w:cstheme="minorHAnsi"/>
        </w:rPr>
        <w:t>result</w:t>
      </w:r>
      <w:r w:rsidR="008002B3" w:rsidRPr="00A14A44">
        <w:rPr>
          <w:rFonts w:eastAsiaTheme="minorEastAsia" w:cstheme="minorHAnsi"/>
        </w:rPr>
        <w:t xml:space="preserve"> in commensurate increase in demand for the other.  Other factors such as cross elasticity of supply, and the existence of barriers to market entry</w:t>
      </w:r>
      <w:r w:rsidR="00C427AD" w:rsidRPr="00A14A44">
        <w:rPr>
          <w:rFonts w:eastAsiaTheme="minorEastAsia" w:cstheme="minorHAnsi"/>
        </w:rPr>
        <w:t xml:space="preserve"> are looked at</w:t>
      </w:r>
      <w:r w:rsidR="008002B3" w:rsidRPr="00A14A44">
        <w:rPr>
          <w:rFonts w:eastAsiaTheme="minorEastAsia" w:cstheme="minorHAnsi"/>
        </w:rPr>
        <w:t xml:space="preserve">. </w:t>
      </w:r>
      <w:r w:rsidR="1334181B" w:rsidRPr="00A14A44">
        <w:rPr>
          <w:rFonts w:eastAsiaTheme="minorEastAsia" w:cstheme="minorHAnsi"/>
        </w:rPr>
        <w:t xml:space="preserve">There are issues with these tests. The </w:t>
      </w:r>
      <w:r w:rsidR="1A85BF97" w:rsidRPr="00A14A44">
        <w:rPr>
          <w:rFonts w:eastAsiaTheme="minorEastAsia" w:cstheme="minorHAnsi"/>
        </w:rPr>
        <w:t>Commission</w:t>
      </w:r>
      <w:r w:rsidR="1334181B" w:rsidRPr="00A14A44">
        <w:rPr>
          <w:rFonts w:eastAsiaTheme="minorEastAsia" w:cstheme="minorHAnsi"/>
        </w:rPr>
        <w:t xml:space="preserve"> notice </w:t>
      </w:r>
      <w:r w:rsidR="2305FE00" w:rsidRPr="00A14A44">
        <w:rPr>
          <w:rFonts w:eastAsiaTheme="minorEastAsia" w:cstheme="minorHAnsi"/>
        </w:rPr>
        <w:t>recognises</w:t>
      </w:r>
      <w:r w:rsidR="1334181B" w:rsidRPr="00A14A44">
        <w:rPr>
          <w:rFonts w:eastAsiaTheme="minorEastAsia" w:cstheme="minorHAnsi"/>
        </w:rPr>
        <w:t xml:space="preserve"> the </w:t>
      </w:r>
      <w:r w:rsidR="1334181B" w:rsidRPr="00A14A44">
        <w:rPr>
          <w:rFonts w:eastAsiaTheme="minorEastAsia" w:cstheme="minorHAnsi"/>
          <w:i/>
          <w:iCs/>
        </w:rPr>
        <w:t xml:space="preserve">“cellophane </w:t>
      </w:r>
      <w:r w:rsidR="126A277C" w:rsidRPr="00A14A44">
        <w:rPr>
          <w:rFonts w:eastAsiaTheme="minorEastAsia" w:cstheme="minorHAnsi"/>
          <w:i/>
          <w:iCs/>
        </w:rPr>
        <w:t>fallacy”.</w:t>
      </w:r>
      <w:r w:rsidR="4E3E3B75" w:rsidRPr="00A14A44">
        <w:rPr>
          <w:rFonts w:eastAsiaTheme="minorEastAsia" w:cstheme="minorHAnsi"/>
          <w:i/>
          <w:iCs/>
        </w:rPr>
        <w:t xml:space="preserve"> </w:t>
      </w:r>
      <w:r w:rsidR="008002B3" w:rsidRPr="00A14A44">
        <w:rPr>
          <w:rFonts w:eastAsiaTheme="minorEastAsia" w:cstheme="minorHAnsi"/>
        </w:rPr>
        <w:t xml:space="preserve">The Cellophane Paradox describes a type of incorrect reasoning used in market regulation methods. The paradox arises when a firm sells a product with few substitutes, which in turn allows the firm to increase the price of that product. </w:t>
      </w:r>
      <w:r w:rsidR="00D14F8B" w:rsidRPr="00A14A44">
        <w:rPr>
          <w:rFonts w:eastAsiaTheme="minorEastAsia" w:cstheme="minorHAnsi"/>
        </w:rPr>
        <w:t>(</w:t>
      </w:r>
      <w:r w:rsidR="00D14F8B" w:rsidRPr="00A14A44">
        <w:rPr>
          <w:rFonts w:eastAsiaTheme="minorEastAsia" w:cstheme="minorHAnsi"/>
          <w:color w:val="000000" w:themeColor="text1"/>
        </w:rPr>
        <w:t>Sabatini,</w:t>
      </w:r>
      <w:r w:rsidR="00D14F8B" w:rsidRPr="00A14A44">
        <w:rPr>
          <w:rFonts w:eastAsiaTheme="minorEastAsia" w:cstheme="minorHAnsi"/>
        </w:rPr>
        <w:t xml:space="preserve"> 2001) In relation to Article</w:t>
      </w:r>
      <w:r w:rsidR="008002B3" w:rsidRPr="00A14A44">
        <w:rPr>
          <w:rFonts w:eastAsiaTheme="minorEastAsia" w:cstheme="minorHAnsi"/>
        </w:rPr>
        <w:t xml:space="preserve"> 102</w:t>
      </w:r>
      <w:r w:rsidR="00D14F8B" w:rsidRPr="00A14A44">
        <w:rPr>
          <w:rFonts w:eastAsiaTheme="minorEastAsia" w:cstheme="minorHAnsi"/>
        </w:rPr>
        <w:t xml:space="preserve">, the consumer is </w:t>
      </w:r>
      <w:r w:rsidR="00C427AD" w:rsidRPr="00A14A44">
        <w:rPr>
          <w:rFonts w:eastAsiaTheme="minorEastAsia" w:cstheme="minorHAnsi"/>
        </w:rPr>
        <w:t>affected</w:t>
      </w:r>
      <w:r w:rsidR="00D14F8B" w:rsidRPr="00A14A44">
        <w:rPr>
          <w:rFonts w:eastAsiaTheme="minorEastAsia" w:cstheme="minorHAnsi"/>
        </w:rPr>
        <w:t xml:space="preserve"> badly as a firm is using its dominant position for its own gain.</w:t>
      </w:r>
      <w:r w:rsidR="008002B3" w:rsidRPr="00A14A44">
        <w:rPr>
          <w:rFonts w:eastAsiaTheme="minorEastAsia" w:cstheme="minorHAnsi"/>
        </w:rPr>
        <w:t xml:space="preserve"> </w:t>
      </w:r>
      <w:r w:rsidR="4E3E3B75" w:rsidRPr="00A14A44">
        <w:rPr>
          <w:rFonts w:eastAsiaTheme="minorEastAsia" w:cstheme="minorHAnsi"/>
        </w:rPr>
        <w:t xml:space="preserve">The SSNIP test is not valid when the target product price is a monopoly price. This shows an issue as the </w:t>
      </w:r>
      <w:r w:rsidR="477C47A4" w:rsidRPr="00A14A44">
        <w:rPr>
          <w:rFonts w:eastAsiaTheme="minorEastAsia" w:cstheme="minorHAnsi"/>
        </w:rPr>
        <w:t xml:space="preserve">test fails to cover the market when the seller with the market power drives up the price of a product by reducing the </w:t>
      </w:r>
      <w:r w:rsidR="52D2477E" w:rsidRPr="00A14A44">
        <w:rPr>
          <w:rFonts w:eastAsiaTheme="minorEastAsia" w:cstheme="minorHAnsi"/>
        </w:rPr>
        <w:t>quantity</w:t>
      </w:r>
      <w:r w:rsidR="477C47A4" w:rsidRPr="00A14A44">
        <w:rPr>
          <w:rFonts w:eastAsiaTheme="minorEastAsia" w:cstheme="minorHAnsi"/>
        </w:rPr>
        <w:t xml:space="preserve">. This shows an </w:t>
      </w:r>
      <w:r w:rsidR="3C3480E4" w:rsidRPr="00A14A44">
        <w:rPr>
          <w:rFonts w:eastAsiaTheme="minorEastAsia" w:cstheme="minorHAnsi"/>
        </w:rPr>
        <w:t xml:space="preserve">element of unfairness by the Commission. Additionally, </w:t>
      </w:r>
      <w:r w:rsidR="3EC142BE" w:rsidRPr="00A14A44">
        <w:rPr>
          <w:rFonts w:eastAsiaTheme="minorEastAsia" w:cstheme="minorHAnsi"/>
        </w:rPr>
        <w:t xml:space="preserve">the Commission even recognises that incorrect reasoning used in market regulation methods is apparent. </w:t>
      </w:r>
      <w:r w:rsidR="006A49B9" w:rsidRPr="00A14A44">
        <w:rPr>
          <w:rFonts w:eastAsiaTheme="minorEastAsia" w:cstheme="minorHAnsi"/>
        </w:rPr>
        <w:t>(</w:t>
      </w:r>
      <w:r w:rsidR="006A49B9" w:rsidRPr="00A14A44">
        <w:rPr>
          <w:rFonts w:eastAsiaTheme="minorEastAsia" w:cstheme="minorHAnsi"/>
          <w:i/>
          <w:iCs/>
          <w:color w:val="000000" w:themeColor="text1"/>
        </w:rPr>
        <w:t>Christian 2006)</w:t>
      </w:r>
    </w:p>
    <w:p w14:paraId="0C564756" w14:textId="0097A80A" w:rsidR="3EC142BE" w:rsidRPr="00A14A44" w:rsidRDefault="3EC142BE" w:rsidP="1FD09425">
      <w:pPr>
        <w:spacing w:line="240" w:lineRule="auto"/>
        <w:rPr>
          <w:rFonts w:eastAsiaTheme="minorEastAsia" w:cstheme="minorHAnsi"/>
        </w:rPr>
      </w:pPr>
      <w:r w:rsidRPr="00A14A44">
        <w:rPr>
          <w:rFonts w:eastAsiaTheme="minorEastAsia" w:cstheme="minorHAnsi"/>
        </w:rPr>
        <w:lastRenderedPageBreak/>
        <w:t xml:space="preserve">To continue, supply </w:t>
      </w:r>
      <w:r w:rsidR="380E2715" w:rsidRPr="00A14A44">
        <w:rPr>
          <w:rFonts w:eastAsiaTheme="minorEastAsia" w:cstheme="minorHAnsi"/>
        </w:rPr>
        <w:t>sustainability</w:t>
      </w:r>
      <w:r w:rsidRPr="00A14A44">
        <w:rPr>
          <w:rFonts w:eastAsiaTheme="minorEastAsia" w:cstheme="minorHAnsi"/>
        </w:rPr>
        <w:t xml:space="preserve"> is another test to define RPM, questioning whether producers could switch to production of the target</w:t>
      </w:r>
      <w:r w:rsidR="008002B3" w:rsidRPr="00A14A44">
        <w:rPr>
          <w:rFonts w:eastAsiaTheme="minorEastAsia" w:cstheme="minorHAnsi"/>
        </w:rPr>
        <w:t>’s</w:t>
      </w:r>
      <w:r w:rsidRPr="00A14A44">
        <w:rPr>
          <w:rFonts w:eastAsiaTheme="minorEastAsia" w:cstheme="minorHAnsi"/>
        </w:rPr>
        <w:t xml:space="preserve"> products</w:t>
      </w:r>
      <w:r w:rsidR="008002B3" w:rsidRPr="00A14A44">
        <w:rPr>
          <w:rFonts w:eastAsiaTheme="minorEastAsia" w:cstheme="minorHAnsi"/>
        </w:rPr>
        <w:t>,</w:t>
      </w:r>
      <w:r w:rsidRPr="00A14A44">
        <w:rPr>
          <w:rFonts w:eastAsiaTheme="minorEastAsia" w:cstheme="minorHAnsi"/>
        </w:rPr>
        <w:t xml:space="preserve"> without </w:t>
      </w:r>
      <w:r w:rsidR="7B69633A" w:rsidRPr="00A14A44">
        <w:rPr>
          <w:rFonts w:eastAsiaTheme="minorEastAsia" w:cstheme="minorHAnsi"/>
        </w:rPr>
        <w:t>difficulty</w:t>
      </w:r>
      <w:r w:rsidR="4D6CE500" w:rsidRPr="00A14A44">
        <w:rPr>
          <w:rFonts w:eastAsiaTheme="minorEastAsia" w:cstheme="minorHAnsi"/>
        </w:rPr>
        <w:t xml:space="preserve"> value of this test is evident in </w:t>
      </w:r>
      <w:r w:rsidR="4D6CE500" w:rsidRPr="00A14A44">
        <w:rPr>
          <w:rFonts w:eastAsiaTheme="minorEastAsia" w:cstheme="minorHAnsi"/>
          <w:i/>
          <w:iCs/>
        </w:rPr>
        <w:t xml:space="preserve">Continental v Commission </w:t>
      </w:r>
      <w:r w:rsidR="1FF22AD1" w:rsidRPr="00A14A44">
        <w:rPr>
          <w:rFonts w:eastAsiaTheme="minorEastAsia" w:cstheme="minorHAnsi"/>
          <w:i/>
          <w:iCs/>
        </w:rPr>
        <w:t>(</w:t>
      </w:r>
      <w:r w:rsidR="4D6CE500" w:rsidRPr="00A14A44">
        <w:rPr>
          <w:rFonts w:eastAsiaTheme="minorEastAsia" w:cstheme="minorHAnsi"/>
          <w:i/>
          <w:iCs/>
        </w:rPr>
        <w:t>197</w:t>
      </w:r>
      <w:r w:rsidR="0EEEF644" w:rsidRPr="00A14A44">
        <w:rPr>
          <w:rFonts w:eastAsiaTheme="minorEastAsia" w:cstheme="minorHAnsi"/>
          <w:i/>
          <w:iCs/>
        </w:rPr>
        <w:t>3)</w:t>
      </w:r>
      <w:r w:rsidR="73FCD6A9" w:rsidRPr="00A14A44">
        <w:rPr>
          <w:rFonts w:eastAsiaTheme="minorEastAsia" w:cstheme="minorHAnsi"/>
          <w:i/>
          <w:iCs/>
        </w:rPr>
        <w:t xml:space="preserve">, </w:t>
      </w:r>
      <w:r w:rsidR="73FCD6A9" w:rsidRPr="00A14A44">
        <w:rPr>
          <w:rFonts w:eastAsiaTheme="minorEastAsia" w:cstheme="minorHAnsi"/>
        </w:rPr>
        <w:t xml:space="preserve">where the Commission concluded that the other party had a dominant position in 3 </w:t>
      </w:r>
      <w:r w:rsidR="06FC0C14" w:rsidRPr="00A14A44">
        <w:rPr>
          <w:rFonts w:eastAsiaTheme="minorEastAsia" w:cstheme="minorHAnsi"/>
        </w:rPr>
        <w:t>markets:</w:t>
      </w:r>
      <w:r w:rsidR="73FCD6A9" w:rsidRPr="00A14A44">
        <w:rPr>
          <w:rFonts w:eastAsiaTheme="minorEastAsia" w:cstheme="minorHAnsi"/>
        </w:rPr>
        <w:t xml:space="preserve"> cans for meat, </w:t>
      </w:r>
      <w:r w:rsidR="000C645C" w:rsidRPr="00A14A44">
        <w:rPr>
          <w:rFonts w:eastAsiaTheme="minorEastAsia" w:cstheme="minorHAnsi"/>
        </w:rPr>
        <w:t>fish,</w:t>
      </w:r>
      <w:r w:rsidR="73FCD6A9" w:rsidRPr="00A14A44">
        <w:rPr>
          <w:rFonts w:eastAsiaTheme="minorEastAsia" w:cstheme="minorHAnsi"/>
        </w:rPr>
        <w:t xml:space="preserve"> and</w:t>
      </w:r>
      <w:r w:rsidR="6D964045" w:rsidRPr="00A14A44">
        <w:rPr>
          <w:rFonts w:eastAsiaTheme="minorEastAsia" w:cstheme="minorHAnsi"/>
        </w:rPr>
        <w:t xml:space="preserve"> metal lids. This was rejected by the CJ. The Commission here failed to consider whether producers of packaging could change production and compete with Co</w:t>
      </w:r>
      <w:r w:rsidR="2EF15B14" w:rsidRPr="00A14A44">
        <w:rPr>
          <w:rFonts w:eastAsiaTheme="minorEastAsia" w:cstheme="minorHAnsi"/>
        </w:rPr>
        <w:t>ntinental Ca</w:t>
      </w:r>
      <w:r w:rsidR="3CFD908B" w:rsidRPr="00A14A44">
        <w:rPr>
          <w:rFonts w:eastAsiaTheme="minorEastAsia" w:cstheme="minorHAnsi"/>
        </w:rPr>
        <w:t>n</w:t>
      </w:r>
      <w:r w:rsidR="2EF15B14" w:rsidRPr="00A14A44">
        <w:rPr>
          <w:rFonts w:eastAsiaTheme="minorEastAsia" w:cstheme="minorHAnsi"/>
        </w:rPr>
        <w:t xml:space="preserve">. If they could then the market would have been wider, contrary to what the Commission </w:t>
      </w:r>
      <w:r w:rsidR="7858359C" w:rsidRPr="00A14A44">
        <w:rPr>
          <w:rFonts w:eastAsiaTheme="minorEastAsia" w:cstheme="minorHAnsi"/>
        </w:rPr>
        <w:t xml:space="preserve">thought. </w:t>
      </w:r>
    </w:p>
    <w:p w14:paraId="3042F63A" w14:textId="3B2C56EF" w:rsidR="193538B9" w:rsidRPr="00A14A44" w:rsidRDefault="193538B9" w:rsidP="1FD09425">
      <w:pPr>
        <w:spacing w:line="240" w:lineRule="auto"/>
        <w:rPr>
          <w:rFonts w:eastAsiaTheme="minorEastAsia" w:cstheme="minorHAnsi"/>
          <w:b/>
          <w:bCs/>
        </w:rPr>
      </w:pPr>
      <w:r w:rsidRPr="00A14A44">
        <w:rPr>
          <w:rFonts w:eastAsiaTheme="minorEastAsia" w:cstheme="minorHAnsi"/>
          <w:b/>
          <w:bCs/>
        </w:rPr>
        <w:t xml:space="preserve">Question 2 </w:t>
      </w:r>
    </w:p>
    <w:p w14:paraId="29B689C1" w14:textId="3FA5335A" w:rsidR="4EB47659" w:rsidRPr="00A14A44" w:rsidRDefault="4EB47659" w:rsidP="1FD09425">
      <w:pPr>
        <w:spacing w:line="240" w:lineRule="auto"/>
        <w:jc w:val="both"/>
        <w:rPr>
          <w:rFonts w:eastAsiaTheme="minorEastAsia" w:cstheme="minorHAnsi"/>
          <w:b/>
          <w:bCs/>
          <w:lang w:val="en-US"/>
        </w:rPr>
      </w:pPr>
      <w:r w:rsidRPr="00A14A44">
        <w:rPr>
          <w:rFonts w:eastAsiaTheme="minorEastAsia" w:cstheme="minorHAnsi"/>
          <w:b/>
          <w:bCs/>
          <w:lang w:val="en-US"/>
        </w:rPr>
        <w:t>Introduction</w:t>
      </w:r>
    </w:p>
    <w:p w14:paraId="45DBEACD" w14:textId="4E82E1FD" w:rsidR="533FB177" w:rsidRPr="00A14A44" w:rsidRDefault="00B55CF9" w:rsidP="1FD09425">
      <w:pPr>
        <w:spacing w:line="240" w:lineRule="auto"/>
        <w:jc w:val="both"/>
        <w:rPr>
          <w:rFonts w:eastAsiaTheme="minorEastAsia" w:cstheme="minorHAnsi"/>
          <w:lang w:val="en-US"/>
        </w:rPr>
      </w:pPr>
      <w:r w:rsidRPr="00A14A44">
        <w:rPr>
          <w:rFonts w:eastAsiaTheme="minorEastAsia" w:cstheme="minorHAnsi"/>
          <w:lang w:val="en-US"/>
        </w:rPr>
        <w:t xml:space="preserve">This question concerns freedom of movement of persons. Originally this was afforded as one of the four freedoms of the Common Market. It applied, by virtue of Art 45 TFEU. </w:t>
      </w:r>
      <w:r w:rsidR="533FB177" w:rsidRPr="00A14A44">
        <w:rPr>
          <w:rFonts w:eastAsiaTheme="minorEastAsia" w:cstheme="minorHAnsi"/>
          <w:lang w:val="en-US"/>
        </w:rPr>
        <w:t>Nationals of the EU shall be entitled to: Try to find an employment in another EU state</w:t>
      </w:r>
      <w:r w:rsidRPr="00A14A44">
        <w:rPr>
          <w:rFonts w:eastAsiaTheme="minorEastAsia" w:cstheme="minorHAnsi"/>
          <w:lang w:val="en-US"/>
        </w:rPr>
        <w:t>, w</w:t>
      </w:r>
      <w:r w:rsidR="533FB177" w:rsidRPr="00A14A44">
        <w:rPr>
          <w:rFonts w:eastAsiaTheme="minorEastAsia" w:cstheme="minorHAnsi"/>
          <w:lang w:val="en-US"/>
        </w:rPr>
        <w:t>orking there without requiring a work permit</w:t>
      </w:r>
      <w:r w:rsidRPr="00A14A44">
        <w:rPr>
          <w:rFonts w:eastAsiaTheme="minorEastAsia" w:cstheme="minorHAnsi"/>
          <w:lang w:val="en-US"/>
        </w:rPr>
        <w:t>, l</w:t>
      </w:r>
      <w:r w:rsidR="533FB177" w:rsidRPr="00A14A44">
        <w:rPr>
          <w:rFonts w:eastAsiaTheme="minorEastAsia" w:cstheme="minorHAnsi"/>
          <w:lang w:val="en-US"/>
        </w:rPr>
        <w:t>ive there for that proper objective</w:t>
      </w:r>
      <w:r w:rsidRPr="00A14A44">
        <w:rPr>
          <w:rFonts w:eastAsiaTheme="minorEastAsia" w:cstheme="minorHAnsi"/>
          <w:lang w:val="en-US"/>
        </w:rPr>
        <w:t>, s</w:t>
      </w:r>
      <w:r w:rsidR="533FB177" w:rsidRPr="00A14A44">
        <w:rPr>
          <w:rFonts w:eastAsiaTheme="minorEastAsia" w:cstheme="minorHAnsi"/>
          <w:lang w:val="en-US"/>
        </w:rPr>
        <w:t>tay there even when employment has completed</w:t>
      </w:r>
      <w:r w:rsidRPr="00A14A44">
        <w:rPr>
          <w:rFonts w:eastAsiaTheme="minorEastAsia" w:cstheme="minorHAnsi"/>
          <w:lang w:val="en-US"/>
        </w:rPr>
        <w:t>, b</w:t>
      </w:r>
      <w:r w:rsidR="533FB177" w:rsidRPr="00A14A44">
        <w:rPr>
          <w:rFonts w:eastAsiaTheme="minorEastAsia" w:cstheme="minorHAnsi"/>
          <w:lang w:val="en-US"/>
        </w:rPr>
        <w:t xml:space="preserve">e treated in the same way with nationals as regards access to employment, working environments and all the other social and fiscal rewards. </w:t>
      </w:r>
    </w:p>
    <w:p w14:paraId="5C9919DE" w14:textId="4C578D00" w:rsidR="00830AB0" w:rsidRPr="00A14A44" w:rsidRDefault="005326D1" w:rsidP="1FD09425">
      <w:pPr>
        <w:spacing w:line="240" w:lineRule="auto"/>
        <w:jc w:val="both"/>
        <w:rPr>
          <w:rFonts w:eastAsiaTheme="minorEastAsia" w:cstheme="minorHAnsi"/>
          <w:lang w:val="en-US"/>
        </w:rPr>
      </w:pPr>
      <w:r w:rsidRPr="00A14A44">
        <w:rPr>
          <w:rFonts w:eastAsiaTheme="minorEastAsia" w:cstheme="minorHAnsi"/>
          <w:lang w:val="en-US"/>
        </w:rPr>
        <w:t xml:space="preserve">Under ART 20 TFEU, all EU citizens have the right to move and reside </w:t>
      </w:r>
      <w:r w:rsidR="00830AB0" w:rsidRPr="00A14A44">
        <w:rPr>
          <w:rFonts w:eastAsiaTheme="minorEastAsia" w:cstheme="minorHAnsi"/>
          <w:lang w:val="en-US"/>
        </w:rPr>
        <w:t>in</w:t>
      </w:r>
      <w:r w:rsidRPr="00A14A44">
        <w:rPr>
          <w:rFonts w:eastAsiaTheme="minorEastAsia" w:cstheme="minorHAnsi"/>
          <w:lang w:val="en-US"/>
        </w:rPr>
        <w:t xml:space="preserve"> member states. However, this unqualified right only extends for 3 months.: Dir Art 6. Residence in the long term is only applied to self or full time employed individuals. But it also includes students</w:t>
      </w:r>
      <w:r w:rsidR="002227AE" w:rsidRPr="00A14A44">
        <w:rPr>
          <w:rFonts w:eastAsiaTheme="minorEastAsia" w:cstheme="minorHAnsi"/>
          <w:lang w:val="en-US"/>
        </w:rPr>
        <w:t xml:space="preserve">, those who are </w:t>
      </w:r>
      <w:r w:rsidR="00830AB0" w:rsidRPr="00A14A44">
        <w:rPr>
          <w:rFonts w:eastAsiaTheme="minorEastAsia" w:cstheme="minorHAnsi"/>
          <w:lang w:val="en-US"/>
        </w:rPr>
        <w:t>self-sufficient</w:t>
      </w:r>
      <w:r w:rsidR="002227AE" w:rsidRPr="00A14A44">
        <w:rPr>
          <w:rFonts w:eastAsiaTheme="minorEastAsia" w:cstheme="minorHAnsi"/>
          <w:lang w:val="en-US"/>
        </w:rPr>
        <w:t xml:space="preserve"> economically and have respective family: Dir Art 7.</w:t>
      </w:r>
      <w:r w:rsidR="00830AB0" w:rsidRPr="00A14A44">
        <w:rPr>
          <w:rFonts w:eastAsiaTheme="minorEastAsia" w:cstheme="minorHAnsi"/>
          <w:lang w:val="en-US"/>
        </w:rPr>
        <w:t xml:space="preserve"> </w:t>
      </w:r>
      <w:r w:rsidR="00830AB0" w:rsidRPr="00A14A44">
        <w:rPr>
          <w:rFonts w:eastAsiaTheme="minorEastAsia" w:cstheme="minorHAnsi"/>
          <w:i/>
          <w:iCs/>
          <w:lang w:val="en-US"/>
        </w:rPr>
        <w:t>Lawrie-Blum (1986)</w:t>
      </w:r>
      <w:r w:rsidR="00830AB0" w:rsidRPr="00A14A44">
        <w:rPr>
          <w:rFonts w:eastAsiaTheme="minorEastAsia" w:cstheme="minorHAnsi"/>
          <w:lang w:val="en-US"/>
        </w:rPr>
        <w:t xml:space="preserve"> is of relevance. It decided that a worker is someone who during a period performs services under the direction of another in return for remuneration. </w:t>
      </w:r>
      <w:r w:rsidR="00830AB0" w:rsidRPr="00A14A44">
        <w:rPr>
          <w:rFonts w:eastAsiaTheme="minorEastAsia" w:cstheme="minorHAnsi"/>
          <w:i/>
          <w:iCs/>
          <w:lang w:val="en-US"/>
        </w:rPr>
        <w:t>Levin (1982)</w:t>
      </w:r>
      <w:r w:rsidR="00830AB0" w:rsidRPr="00A14A44">
        <w:rPr>
          <w:rFonts w:eastAsiaTheme="minorEastAsia" w:cstheme="minorHAnsi"/>
          <w:lang w:val="en-US"/>
        </w:rPr>
        <w:t xml:space="preserve"> said it can be part time. Article 45 (1) set out that free movement of workers should be secured in the EU. Article 45(2) prohibits discrimination against foreign workers as seen in </w:t>
      </w:r>
      <w:r w:rsidR="00830AB0" w:rsidRPr="00A14A44">
        <w:rPr>
          <w:rFonts w:eastAsiaTheme="minorEastAsia" w:cstheme="minorHAnsi"/>
          <w:i/>
          <w:iCs/>
          <w:lang w:val="en-US"/>
        </w:rPr>
        <w:t xml:space="preserve">Collins vs </w:t>
      </w:r>
      <w:proofErr w:type="spellStart"/>
      <w:r w:rsidR="00830AB0" w:rsidRPr="00A14A44">
        <w:rPr>
          <w:rFonts w:eastAsiaTheme="minorEastAsia" w:cstheme="minorHAnsi"/>
          <w:i/>
          <w:iCs/>
          <w:lang w:val="en-US"/>
        </w:rPr>
        <w:t>Sos</w:t>
      </w:r>
      <w:proofErr w:type="spellEnd"/>
      <w:r w:rsidR="00830AB0" w:rsidRPr="00A14A44">
        <w:rPr>
          <w:rFonts w:eastAsiaTheme="minorEastAsia" w:cstheme="minorHAnsi"/>
          <w:i/>
          <w:iCs/>
          <w:lang w:val="en-US"/>
        </w:rPr>
        <w:t xml:space="preserve"> Work and Pensions (2004).</w:t>
      </w:r>
      <w:r w:rsidR="00830AB0" w:rsidRPr="00A14A44">
        <w:rPr>
          <w:rFonts w:eastAsiaTheme="minorEastAsia" w:cstheme="minorHAnsi"/>
          <w:lang w:val="en-US"/>
        </w:rPr>
        <w:t xml:space="preserve"> Under free movement of workers, you should be entitled to the same benefits as if you were a National of the Member State. </w:t>
      </w:r>
    </w:p>
    <w:p w14:paraId="0CD588FC" w14:textId="47C59E48" w:rsidR="00830AB0" w:rsidRPr="00A14A44" w:rsidRDefault="00830AB0" w:rsidP="1FD09425">
      <w:pPr>
        <w:spacing w:line="240" w:lineRule="auto"/>
        <w:jc w:val="both"/>
        <w:rPr>
          <w:rFonts w:eastAsiaTheme="minorEastAsia" w:cstheme="minorHAnsi"/>
          <w:lang w:val="en-US"/>
        </w:rPr>
      </w:pPr>
      <w:r w:rsidRPr="00A14A44">
        <w:rPr>
          <w:rFonts w:eastAsiaTheme="minorEastAsia" w:cstheme="minorHAnsi"/>
          <w:lang w:val="en-US"/>
        </w:rPr>
        <w:t xml:space="preserve">Article 45 (3) </w:t>
      </w:r>
      <w:r w:rsidR="00C93BB5" w:rsidRPr="00A14A44">
        <w:rPr>
          <w:rFonts w:eastAsiaTheme="minorEastAsia" w:cstheme="minorHAnsi"/>
          <w:lang w:val="en-US"/>
        </w:rPr>
        <w:t xml:space="preserve">looks at the rights and limitations. It </w:t>
      </w:r>
      <w:r w:rsidRPr="00A14A44">
        <w:rPr>
          <w:rFonts w:eastAsiaTheme="minorEastAsia" w:cstheme="minorHAnsi"/>
          <w:lang w:val="en-US"/>
        </w:rPr>
        <w:t>is split into four parts</w:t>
      </w:r>
      <w:r w:rsidR="00C93BB5" w:rsidRPr="00A14A44">
        <w:rPr>
          <w:rFonts w:eastAsiaTheme="minorEastAsia" w:cstheme="minorHAnsi"/>
          <w:lang w:val="en-US"/>
        </w:rPr>
        <w:t xml:space="preserve"> listed under the article. The right to accept offers of employment, to move freely in Member States, to remain in Member States for a job and to remain after having been employed. Directive 2004/38 expands on some of the rights of workers. Notably the right to enter/leave. The right to reside is set out in Directive 2004/38, </w:t>
      </w:r>
      <w:r w:rsidR="0008040A" w:rsidRPr="00A14A44">
        <w:rPr>
          <w:rFonts w:eastAsiaTheme="minorEastAsia" w:cstheme="minorHAnsi"/>
          <w:lang w:val="en-US"/>
        </w:rPr>
        <w:t>Article</w:t>
      </w:r>
      <w:r w:rsidR="00C93BB5" w:rsidRPr="00A14A44">
        <w:rPr>
          <w:rFonts w:eastAsiaTheme="minorEastAsia" w:cstheme="minorHAnsi"/>
          <w:lang w:val="en-US"/>
        </w:rPr>
        <w:t xml:space="preserve"> 6 which states once you arrive in a Member State, even if you don’t have a </w:t>
      </w:r>
      <w:r w:rsidR="0008040A" w:rsidRPr="00A14A44">
        <w:rPr>
          <w:rFonts w:eastAsiaTheme="minorEastAsia" w:cstheme="minorHAnsi"/>
          <w:lang w:val="en-US"/>
        </w:rPr>
        <w:t>job,</w:t>
      </w:r>
      <w:r w:rsidR="00C93BB5" w:rsidRPr="00A14A44">
        <w:rPr>
          <w:rFonts w:eastAsiaTheme="minorEastAsia" w:cstheme="minorHAnsi"/>
          <w:lang w:val="en-US"/>
        </w:rPr>
        <w:t xml:space="preserve"> you have the right to reside there for 3 months. After 3 months in relation to Article 2004/38, the law is more complex. </w:t>
      </w:r>
      <w:r w:rsidR="0008040A" w:rsidRPr="00A14A44">
        <w:rPr>
          <w:rFonts w:eastAsiaTheme="minorEastAsia" w:cstheme="minorHAnsi"/>
          <w:lang w:val="en-US"/>
        </w:rPr>
        <w:t>An individual must</w:t>
      </w:r>
      <w:r w:rsidR="00C93BB5" w:rsidRPr="00A14A44">
        <w:rPr>
          <w:rFonts w:eastAsiaTheme="minorEastAsia" w:cstheme="minorHAnsi"/>
          <w:lang w:val="en-US"/>
        </w:rPr>
        <w:t xml:space="preserve"> show they are ‘likely’ to get a job. </w:t>
      </w:r>
      <w:r w:rsidR="0008040A" w:rsidRPr="00A14A44">
        <w:rPr>
          <w:rFonts w:eastAsiaTheme="minorEastAsia" w:cstheme="minorHAnsi"/>
          <w:lang w:val="en-US"/>
        </w:rPr>
        <w:t>So,</w:t>
      </w:r>
      <w:r w:rsidR="00C93BB5" w:rsidRPr="00A14A44">
        <w:rPr>
          <w:rFonts w:eastAsiaTheme="minorEastAsia" w:cstheme="minorHAnsi"/>
          <w:lang w:val="en-US"/>
        </w:rPr>
        <w:t xml:space="preserve"> after 3 months, if you do not have a job the Member State can </w:t>
      </w:r>
      <w:r w:rsidR="0008040A" w:rsidRPr="00A14A44">
        <w:rPr>
          <w:rFonts w:eastAsiaTheme="minorEastAsia" w:cstheme="minorHAnsi"/>
          <w:lang w:val="en-US"/>
        </w:rPr>
        <w:t>exercise</w:t>
      </w:r>
      <w:r w:rsidR="00C93BB5" w:rsidRPr="00A14A44">
        <w:rPr>
          <w:rFonts w:eastAsiaTheme="minorEastAsia" w:cstheme="minorHAnsi"/>
          <w:lang w:val="en-US"/>
        </w:rPr>
        <w:t xml:space="preserve"> the right to have you removed. The development and use of this </w:t>
      </w:r>
      <w:r w:rsidR="0008040A" w:rsidRPr="00A14A44">
        <w:rPr>
          <w:rFonts w:eastAsiaTheme="minorEastAsia" w:cstheme="minorHAnsi"/>
          <w:lang w:val="en-US"/>
        </w:rPr>
        <w:t>are</w:t>
      </w:r>
      <w:r w:rsidR="00C93BB5" w:rsidRPr="00A14A44">
        <w:rPr>
          <w:rFonts w:eastAsiaTheme="minorEastAsia" w:cstheme="minorHAnsi"/>
          <w:lang w:val="en-US"/>
        </w:rPr>
        <w:t xml:space="preserve"> shown in Antonissen (1991). This Article also allows the right to remain after losing a job if it was due to illness, involuntary </w:t>
      </w:r>
      <w:r w:rsidR="0008040A" w:rsidRPr="00A14A44">
        <w:rPr>
          <w:rFonts w:eastAsiaTheme="minorEastAsia" w:cstheme="minorHAnsi"/>
          <w:lang w:val="en-US"/>
        </w:rPr>
        <w:t>unemployment,</w:t>
      </w:r>
      <w:r w:rsidR="00C93BB5" w:rsidRPr="00A14A44">
        <w:rPr>
          <w:rFonts w:eastAsiaTheme="minorEastAsia" w:cstheme="minorHAnsi"/>
          <w:lang w:val="en-US"/>
        </w:rPr>
        <w:t xml:space="preserve"> or vocational </w:t>
      </w:r>
      <w:r w:rsidR="0008040A" w:rsidRPr="00A14A44">
        <w:rPr>
          <w:rFonts w:eastAsiaTheme="minorEastAsia" w:cstheme="minorHAnsi"/>
          <w:lang w:val="en-US"/>
        </w:rPr>
        <w:t>training.</w:t>
      </w:r>
      <w:r w:rsidR="00C93BB5" w:rsidRPr="00A14A44">
        <w:rPr>
          <w:rFonts w:eastAsiaTheme="minorEastAsia" w:cstheme="minorHAnsi"/>
          <w:lang w:val="en-US"/>
        </w:rPr>
        <w:t xml:space="preserve"> Leading on, in Article 16 (1)</w:t>
      </w:r>
      <w:r w:rsidR="0008040A" w:rsidRPr="00A14A44">
        <w:rPr>
          <w:rFonts w:eastAsiaTheme="minorEastAsia" w:cstheme="minorHAnsi"/>
          <w:lang w:val="en-US"/>
        </w:rPr>
        <w:t xml:space="preserve"> the right of permanent residence is granted after 5 years. At this point you will be treated as a national of that Member State. </w:t>
      </w:r>
    </w:p>
    <w:p w14:paraId="55543E99" w14:textId="57232B63"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Certain forms of health and social protection measures for EU citizens can be moved to the country where they seek jobs. In addition, free movement of jobs also extends to states in the European Economic Area (Iceland, Liechtenstein, and Norway). Certain professions will be eligible to get their professional credentials officially recognized there. People traveling within the EU, Iceland, Liechtenstein, Norway, and Switzerland are covered by EU social security coordination law. According to this movement, Mary </w:t>
      </w:r>
      <w:r w:rsidR="008002B3" w:rsidRPr="00A14A44">
        <w:rPr>
          <w:rFonts w:eastAsiaTheme="minorEastAsia" w:cstheme="minorHAnsi"/>
          <w:lang w:val="en-US"/>
        </w:rPr>
        <w:t>is entitled to</w:t>
      </w:r>
      <w:r w:rsidRPr="00A14A44">
        <w:rPr>
          <w:rFonts w:eastAsiaTheme="minorEastAsia" w:cstheme="minorHAnsi"/>
          <w:lang w:val="en-US"/>
        </w:rPr>
        <w:t xml:space="preserve"> have health and social services in any member state of EU. She would have equal rights</w:t>
      </w:r>
      <w:r w:rsidR="008002B3" w:rsidRPr="00A14A44">
        <w:rPr>
          <w:rFonts w:eastAsiaTheme="minorEastAsia" w:cstheme="minorHAnsi"/>
          <w:lang w:val="en-US"/>
        </w:rPr>
        <w:t>, especially in relation to working</w:t>
      </w:r>
      <w:r w:rsidRPr="00A14A44">
        <w:rPr>
          <w:rFonts w:eastAsiaTheme="minorEastAsia" w:cstheme="minorHAnsi"/>
          <w:lang w:val="en-US"/>
        </w:rPr>
        <w:t>, study</w:t>
      </w:r>
      <w:r w:rsidR="00291249" w:rsidRPr="00A14A44">
        <w:rPr>
          <w:rFonts w:eastAsiaTheme="minorEastAsia" w:cstheme="minorHAnsi"/>
          <w:lang w:val="en-US"/>
        </w:rPr>
        <w:t>ing</w:t>
      </w:r>
      <w:r w:rsidRPr="00A14A44">
        <w:rPr>
          <w:rFonts w:eastAsiaTheme="minorEastAsia" w:cstheme="minorHAnsi"/>
          <w:lang w:val="en-US"/>
        </w:rPr>
        <w:t xml:space="preserve">, health and other social benefits. </w:t>
      </w:r>
    </w:p>
    <w:p w14:paraId="6389BB9F" w14:textId="3FC1CADC"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Who can take advantage of this freedom: </w:t>
      </w:r>
      <w:r w:rsidR="005326D1" w:rsidRPr="00A14A44">
        <w:rPr>
          <w:rFonts w:eastAsiaTheme="minorEastAsia" w:cstheme="minorHAnsi"/>
          <w:lang w:val="en-US"/>
        </w:rPr>
        <w:t xml:space="preserve"> </w:t>
      </w:r>
      <w:r w:rsidRPr="00A14A44">
        <w:rPr>
          <w:rFonts w:eastAsiaTheme="minorEastAsia" w:cstheme="minorHAnsi"/>
          <w:lang w:val="en-US"/>
        </w:rPr>
        <w:t xml:space="preserve">Job Seekers, i.e., EU citizens who moved to a different EU state to search for a job, under some </w:t>
      </w:r>
      <w:r w:rsidR="00B13C18" w:rsidRPr="00A14A44">
        <w:rPr>
          <w:rFonts w:eastAsiaTheme="minorEastAsia" w:cstheme="minorHAnsi"/>
          <w:lang w:val="en-US"/>
        </w:rPr>
        <w:t xml:space="preserve">circumstances </w:t>
      </w:r>
      <w:r w:rsidRPr="00A14A44">
        <w:rPr>
          <w:rFonts w:eastAsiaTheme="minorEastAsia" w:cstheme="minorHAnsi"/>
          <w:lang w:val="en-US"/>
        </w:rPr>
        <w:t xml:space="preserve">EU citizens employed in another EU </w:t>
      </w:r>
      <w:proofErr w:type="gramStart"/>
      <w:r w:rsidRPr="00A14A44">
        <w:rPr>
          <w:rFonts w:eastAsiaTheme="minorEastAsia" w:cstheme="minorHAnsi"/>
          <w:lang w:val="en-US"/>
        </w:rPr>
        <w:t>state.</w:t>
      </w:r>
      <w:proofErr w:type="gramEnd"/>
      <w:r w:rsidRPr="00A14A44">
        <w:rPr>
          <w:rFonts w:eastAsiaTheme="minorEastAsia" w:cstheme="minorHAnsi"/>
          <w:lang w:val="en-US"/>
        </w:rPr>
        <w:t xml:space="preserve"> EU citizens who return to their states of descent after working abroad. Relatives of the beyond Self-</w:t>
      </w:r>
      <w:r w:rsidRPr="00A14A44">
        <w:rPr>
          <w:rFonts w:eastAsiaTheme="minorEastAsia" w:cstheme="minorHAnsi"/>
          <w:lang w:val="en-US"/>
        </w:rPr>
        <w:lastRenderedPageBreak/>
        <w:t xml:space="preserve">employed citizens, students, and elderly people or else financially inactive individuals may have a different right. </w:t>
      </w:r>
    </w:p>
    <w:p w14:paraId="7434C5FF" w14:textId="1EF96EC7" w:rsidR="533FB177" w:rsidRPr="00A14A44" w:rsidRDefault="00291249" w:rsidP="1FD09425">
      <w:pPr>
        <w:spacing w:line="240" w:lineRule="auto"/>
        <w:jc w:val="both"/>
        <w:rPr>
          <w:rFonts w:eastAsiaTheme="minorEastAsia" w:cstheme="minorHAnsi"/>
          <w:lang w:val="en-US"/>
        </w:rPr>
      </w:pPr>
      <w:r w:rsidRPr="00A14A44">
        <w:rPr>
          <w:rFonts w:eastAsiaTheme="minorEastAsia" w:cstheme="minorHAnsi"/>
          <w:lang w:val="en-US"/>
        </w:rPr>
        <w:t>Article 21 TFEU is vital for</w:t>
      </w:r>
      <w:r w:rsidR="533FB177" w:rsidRPr="00A14A44">
        <w:rPr>
          <w:rFonts w:eastAsiaTheme="minorEastAsia" w:cstheme="minorHAnsi"/>
          <w:lang w:val="en-US"/>
        </w:rPr>
        <w:t xml:space="preserve"> Mary, </w:t>
      </w:r>
      <w:proofErr w:type="gramStart"/>
      <w:r w:rsidR="533FB177" w:rsidRPr="00A14A44">
        <w:rPr>
          <w:rFonts w:eastAsiaTheme="minorEastAsia" w:cstheme="minorHAnsi"/>
          <w:lang w:val="en-US"/>
        </w:rPr>
        <w:t>Nadine</w:t>
      </w:r>
      <w:proofErr w:type="gramEnd"/>
      <w:r w:rsidR="533FB177" w:rsidRPr="00A14A44">
        <w:rPr>
          <w:rFonts w:eastAsiaTheme="minorEastAsia" w:cstheme="minorHAnsi"/>
          <w:lang w:val="en-US"/>
        </w:rPr>
        <w:t xml:space="preserve"> and Oscar</w:t>
      </w:r>
      <w:r w:rsidRPr="00A14A44">
        <w:rPr>
          <w:rFonts w:eastAsiaTheme="minorEastAsia" w:cstheme="minorHAnsi"/>
          <w:lang w:val="en-US"/>
        </w:rPr>
        <w:t xml:space="preserve">. They </w:t>
      </w:r>
      <w:r w:rsidR="533FB177" w:rsidRPr="00A14A44">
        <w:rPr>
          <w:rFonts w:eastAsiaTheme="minorEastAsia" w:cstheme="minorHAnsi"/>
          <w:lang w:val="en-US"/>
        </w:rPr>
        <w:t xml:space="preserve">would be treated equally, </w:t>
      </w:r>
      <w:r w:rsidRPr="00A14A44">
        <w:rPr>
          <w:rFonts w:eastAsiaTheme="minorEastAsia" w:cstheme="minorHAnsi"/>
          <w:lang w:val="en-US"/>
        </w:rPr>
        <w:t>A</w:t>
      </w:r>
      <w:r w:rsidR="533FB177" w:rsidRPr="00A14A44">
        <w:rPr>
          <w:rFonts w:eastAsiaTheme="minorEastAsia" w:cstheme="minorHAnsi"/>
          <w:lang w:val="en-US"/>
        </w:rPr>
        <w:t xml:space="preserve">rticle 21 </w:t>
      </w:r>
      <w:r w:rsidRPr="00A14A44">
        <w:rPr>
          <w:rFonts w:eastAsiaTheme="minorEastAsia" w:cstheme="minorHAnsi"/>
          <w:lang w:val="en-US"/>
        </w:rPr>
        <w:t xml:space="preserve">TFEU </w:t>
      </w:r>
      <w:r w:rsidR="533FB177" w:rsidRPr="00A14A44">
        <w:rPr>
          <w:rFonts w:eastAsiaTheme="minorEastAsia" w:cstheme="minorHAnsi"/>
          <w:lang w:val="en-US"/>
        </w:rPr>
        <w:t>supports them in many contexts</w:t>
      </w:r>
      <w:r w:rsidRPr="00A14A44">
        <w:rPr>
          <w:rFonts w:eastAsiaTheme="minorEastAsia" w:cstheme="minorHAnsi"/>
          <w:lang w:val="en-US"/>
        </w:rPr>
        <w:t>.</w:t>
      </w:r>
      <w:r w:rsidR="533FB177" w:rsidRPr="00A14A44">
        <w:rPr>
          <w:rFonts w:eastAsiaTheme="minorEastAsia" w:cstheme="minorHAnsi"/>
          <w:lang w:val="en-US"/>
        </w:rPr>
        <w:t xml:space="preserve"> Secondly, any bias based on citizenship is prohibited within the scope of interpretation of the Treaties and without regard to any of their relevant provisions.</w:t>
      </w:r>
      <w:r w:rsidRPr="00A14A44">
        <w:rPr>
          <w:rFonts w:eastAsiaTheme="minorEastAsia" w:cstheme="minorHAnsi"/>
          <w:lang w:val="en-US"/>
        </w:rPr>
        <w:t xml:space="preserve"> </w:t>
      </w:r>
      <w:r w:rsidR="006A49B9" w:rsidRPr="00A14A44">
        <w:rPr>
          <w:rFonts w:eastAsiaTheme="minorEastAsia" w:cstheme="minorHAnsi"/>
          <w:i/>
          <w:iCs/>
          <w:lang w:val="en-US"/>
        </w:rPr>
        <w:t>(Article 21 - Non-discrimination, 2007)</w:t>
      </w:r>
      <w:r w:rsidR="533FB177" w:rsidRPr="00A14A44">
        <w:rPr>
          <w:rFonts w:eastAsiaTheme="minorEastAsia" w:cstheme="minorHAnsi"/>
          <w:i/>
          <w:iCs/>
          <w:lang w:val="en-US"/>
        </w:rPr>
        <w:t xml:space="preserve"> </w:t>
      </w:r>
    </w:p>
    <w:p w14:paraId="14CD79C0" w14:textId="40785273" w:rsidR="00291249"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Sufficient resources Article 8(4) </w:t>
      </w:r>
      <w:r w:rsidR="00A14A44" w:rsidRPr="00A14A44">
        <w:rPr>
          <w:rFonts w:eastAsiaTheme="minorEastAsia" w:cstheme="minorHAnsi"/>
          <w:lang w:val="en-US"/>
        </w:rPr>
        <w:t xml:space="preserve">- </w:t>
      </w:r>
      <w:r w:rsidRPr="00A14A44">
        <w:rPr>
          <w:rFonts w:eastAsiaTheme="minorEastAsia" w:cstheme="minorHAnsi"/>
          <w:lang w:val="en-US"/>
        </w:rPr>
        <w:t xml:space="preserve">Member States are not allowed to set a defined sum as "sufficient resources," although they should consider the individual's own circumstances. This sum should not be greater than the threshold at which citizens of the host Member State become eligible for social assistance, or, if this requirement is not applicable higher than the host Member State's minimum pension. As a result, it is impossible to say with certainty what the necessary minimum level of self-sufficiency should be, but it can't be higher than the level of income assistance. So, this article also assists Mary, </w:t>
      </w:r>
      <w:r w:rsidR="00A14A44" w:rsidRPr="00A14A44">
        <w:rPr>
          <w:rFonts w:eastAsiaTheme="minorEastAsia" w:cstheme="minorHAnsi"/>
          <w:lang w:val="en-US"/>
        </w:rPr>
        <w:t>Nadine,</w:t>
      </w:r>
      <w:r w:rsidRPr="00A14A44">
        <w:rPr>
          <w:rFonts w:eastAsiaTheme="minorEastAsia" w:cstheme="minorHAnsi"/>
          <w:lang w:val="en-US"/>
        </w:rPr>
        <w:t xml:space="preserve"> and Oscar for their basic needs because of less resources after migration to the new state. </w:t>
      </w:r>
      <w:r w:rsidR="00A14A44" w:rsidRPr="00A14A44">
        <w:rPr>
          <w:rFonts w:eastAsiaTheme="minorEastAsia" w:cstheme="minorHAnsi"/>
          <w:lang w:val="en-US"/>
        </w:rPr>
        <w:t xml:space="preserve">However, </w:t>
      </w:r>
      <w:r w:rsidR="00291249" w:rsidRPr="00A14A44">
        <w:rPr>
          <w:rFonts w:eastAsiaTheme="minorEastAsia" w:cstheme="minorHAnsi"/>
          <w:lang w:val="en-US"/>
        </w:rPr>
        <w:t>Nadine, as she is in receipt of a disability pension and a private pension income, will almost certainly exceed the threshold for social assistance or minimum Social Security pension in the Netherlands which is the requirement for demonstrating independent means (Art 8).</w:t>
      </w:r>
    </w:p>
    <w:p w14:paraId="778227DD" w14:textId="2C832C85" w:rsidR="533FB177" w:rsidRPr="00A14A44" w:rsidRDefault="00A14A44" w:rsidP="1FD09425">
      <w:pPr>
        <w:spacing w:line="240" w:lineRule="auto"/>
        <w:jc w:val="both"/>
        <w:rPr>
          <w:rFonts w:eastAsiaTheme="minorEastAsia" w:cstheme="minorHAnsi"/>
          <w:lang w:val="en-US"/>
        </w:rPr>
      </w:pPr>
      <w:r>
        <w:rPr>
          <w:rFonts w:eastAsiaTheme="minorEastAsia" w:cstheme="minorHAnsi"/>
          <w:lang w:val="en-US"/>
        </w:rPr>
        <w:t xml:space="preserve">Dependent </w:t>
      </w:r>
      <w:r w:rsidR="00F80CCE" w:rsidRPr="00A14A44">
        <w:rPr>
          <w:rFonts w:eastAsiaTheme="minorEastAsia" w:cstheme="minorHAnsi"/>
          <w:lang w:val="en-US"/>
        </w:rPr>
        <w:t xml:space="preserve">on the nature and length of Mary's relationship with </w:t>
      </w:r>
      <w:proofErr w:type="spellStart"/>
      <w:r w:rsidR="00F80CCE" w:rsidRPr="00A14A44">
        <w:rPr>
          <w:rFonts w:eastAsiaTheme="minorEastAsia" w:cstheme="minorHAnsi"/>
          <w:lang w:val="en-US"/>
        </w:rPr>
        <w:t>Adrianus</w:t>
      </w:r>
      <w:proofErr w:type="spellEnd"/>
      <w:r w:rsidR="00F80CCE" w:rsidRPr="00A14A44">
        <w:rPr>
          <w:rFonts w:eastAsiaTheme="minorEastAsia" w:cstheme="minorHAnsi"/>
          <w:lang w:val="en-US"/>
        </w:rPr>
        <w:t xml:space="preserve">, who appears to be a worker since he is genuine and substantial employment, even though it is part time (Levin (1982); </w:t>
      </w:r>
      <w:proofErr w:type="spellStart"/>
      <w:r w:rsidR="00F80CCE" w:rsidRPr="00A14A44">
        <w:rPr>
          <w:rFonts w:eastAsiaTheme="minorEastAsia" w:cstheme="minorHAnsi"/>
          <w:lang w:val="en-US"/>
        </w:rPr>
        <w:t>Kempf</w:t>
      </w:r>
      <w:proofErr w:type="spellEnd"/>
      <w:r w:rsidR="00F80CCE" w:rsidRPr="00A14A44">
        <w:rPr>
          <w:rFonts w:eastAsiaTheme="minorEastAsia" w:cstheme="minorHAnsi"/>
          <w:lang w:val="en-US"/>
        </w:rPr>
        <w:t xml:space="preserve"> (1985)), she may qualify as a partner whose entry and residence should be facilitated, although this would only become relevant if she ceased to qualify for long term residence in her own right.</w:t>
      </w:r>
    </w:p>
    <w:p w14:paraId="5A45B0A0" w14:textId="192C93B0"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Citizen’s Rights Directives 2004/38 replaced most of the secondary law relating to free movements of people. It introduces enhanced rights to move and reside freely for EU citizens and other family members. This law helps in the residency of Mary, </w:t>
      </w:r>
      <w:r w:rsidR="00A14A44" w:rsidRPr="00A14A44">
        <w:rPr>
          <w:rFonts w:eastAsiaTheme="minorEastAsia" w:cstheme="minorHAnsi"/>
          <w:lang w:val="en-US"/>
        </w:rPr>
        <w:t>Nadine,</w:t>
      </w:r>
      <w:r w:rsidRPr="00A14A44">
        <w:rPr>
          <w:rFonts w:eastAsiaTheme="minorEastAsia" w:cstheme="minorHAnsi"/>
          <w:lang w:val="en-US"/>
        </w:rPr>
        <w:t xml:space="preserve"> and Oscar in a new EU state with the benefits included. </w:t>
      </w:r>
    </w:p>
    <w:p w14:paraId="0B6C630F" w14:textId="234452A7" w:rsidR="533FB177"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 Article 45 TFEU, such free movements require the abolition of judgment based on nationality in relation to access to employment, pay, and other conditions of employment. This law would help Mary in the workplace and in finding appropriate work in a new state member state. </w:t>
      </w:r>
      <w:r w:rsidR="00A14A44">
        <w:rPr>
          <w:rFonts w:eastAsiaTheme="minorEastAsia" w:cstheme="minorHAnsi"/>
          <w:lang w:val="en-US"/>
        </w:rPr>
        <w:t xml:space="preserve">Based on Article 45 (2) Mary </w:t>
      </w:r>
      <w:r w:rsidR="00F16C65">
        <w:rPr>
          <w:rFonts w:eastAsiaTheme="minorEastAsia" w:cstheme="minorHAnsi"/>
          <w:lang w:val="en-US"/>
        </w:rPr>
        <w:t xml:space="preserve">has the right to not be discriminated against as a foreign worker if she choses to take up work. This is also relevant to Nadine and Oscar if they were to take up work in the Netherlands. </w:t>
      </w:r>
    </w:p>
    <w:p w14:paraId="55184803" w14:textId="77777777" w:rsidR="00F16C65" w:rsidRPr="00A14A44" w:rsidRDefault="00F16C65" w:rsidP="1FD09425">
      <w:pPr>
        <w:spacing w:line="240" w:lineRule="auto"/>
        <w:jc w:val="both"/>
        <w:rPr>
          <w:rFonts w:eastAsiaTheme="minorEastAsia" w:cstheme="minorHAnsi"/>
          <w:lang w:val="en-US"/>
        </w:rPr>
      </w:pPr>
    </w:p>
    <w:p w14:paraId="0D041D23" w14:textId="6CCB5EA2"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59E054AD" w14:textId="285359FA"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02325879" w14:textId="33359C0F" w:rsidR="533FB177" w:rsidRPr="00A14A44" w:rsidRDefault="533FB177"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275D01FD" w14:textId="27700610" w:rsidR="4EB47659" w:rsidRPr="00A14A44" w:rsidRDefault="4EB47659"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3BE76C60" w14:textId="4933FEE0" w:rsidR="4EB47659" w:rsidRPr="00A14A44" w:rsidRDefault="4EB47659"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47F449D5" w14:textId="76188ED7" w:rsidR="4EB47659" w:rsidRPr="00A14A44" w:rsidRDefault="4EB47659" w:rsidP="1FD09425">
      <w:pPr>
        <w:spacing w:line="240" w:lineRule="auto"/>
        <w:ind w:firstLine="720"/>
        <w:jc w:val="both"/>
        <w:rPr>
          <w:rFonts w:eastAsiaTheme="minorEastAsia" w:cstheme="minorHAnsi"/>
          <w:lang w:val="en-US"/>
        </w:rPr>
      </w:pPr>
      <w:r w:rsidRPr="00A14A44">
        <w:rPr>
          <w:rFonts w:eastAsiaTheme="minorEastAsia" w:cstheme="minorHAnsi"/>
          <w:lang w:val="en-US"/>
        </w:rPr>
        <w:t xml:space="preserve"> </w:t>
      </w:r>
    </w:p>
    <w:p w14:paraId="5C3E0892" w14:textId="4E75DF47" w:rsidR="4EB47659" w:rsidRPr="00A14A44" w:rsidRDefault="4EB47659" w:rsidP="1FD09425">
      <w:pPr>
        <w:spacing w:line="240" w:lineRule="auto"/>
        <w:jc w:val="both"/>
        <w:rPr>
          <w:rFonts w:eastAsiaTheme="minorEastAsia" w:cstheme="minorHAnsi"/>
          <w:lang w:val="en-US"/>
        </w:rPr>
      </w:pPr>
      <w:r w:rsidRPr="00A14A44">
        <w:rPr>
          <w:rFonts w:eastAsiaTheme="minorEastAsia" w:cstheme="minorHAnsi"/>
          <w:lang w:val="en-US"/>
        </w:rPr>
        <w:t xml:space="preserve"> </w:t>
      </w:r>
    </w:p>
    <w:p w14:paraId="52EC6734" w14:textId="6B05892E" w:rsidR="00A14A44" w:rsidRDefault="4EB47659" w:rsidP="1FD09425">
      <w:pPr>
        <w:spacing w:line="240" w:lineRule="auto"/>
        <w:ind w:firstLine="720"/>
        <w:jc w:val="both"/>
        <w:rPr>
          <w:rFonts w:eastAsiaTheme="minorEastAsia" w:cstheme="minorHAnsi"/>
          <w:lang w:val="en-US"/>
        </w:rPr>
      </w:pPr>
      <w:r w:rsidRPr="00A14A44">
        <w:rPr>
          <w:rFonts w:eastAsiaTheme="minorEastAsia" w:cstheme="minorHAnsi"/>
          <w:lang w:val="en-US"/>
        </w:rPr>
        <w:t xml:space="preserve"> </w:t>
      </w:r>
    </w:p>
    <w:p w14:paraId="1F28605D" w14:textId="036D4D71" w:rsidR="4EB47659" w:rsidRDefault="4EB47659" w:rsidP="00A14A44">
      <w:pPr>
        <w:rPr>
          <w:rFonts w:eastAsiaTheme="minorEastAsia" w:cstheme="minorHAnsi"/>
          <w:lang w:val="en-US"/>
        </w:rPr>
      </w:pPr>
    </w:p>
    <w:p w14:paraId="1340A3D9" w14:textId="31DA6D5C" w:rsidR="00A14A44" w:rsidRDefault="00A14A44" w:rsidP="00A14A44">
      <w:pPr>
        <w:rPr>
          <w:rFonts w:eastAsiaTheme="minorEastAsia" w:cstheme="minorHAnsi"/>
          <w:lang w:val="en-US"/>
        </w:rPr>
      </w:pPr>
    </w:p>
    <w:p w14:paraId="23A23EBC" w14:textId="224D83BF" w:rsidR="00A14A44" w:rsidRDefault="00A14A44" w:rsidP="00A14A44">
      <w:pPr>
        <w:rPr>
          <w:rFonts w:eastAsiaTheme="minorEastAsia" w:cstheme="minorHAnsi"/>
          <w:lang w:val="en-US"/>
        </w:rPr>
      </w:pPr>
    </w:p>
    <w:p w14:paraId="12C3FAE0" w14:textId="77777777" w:rsidR="00A14A44" w:rsidRPr="00A14A44" w:rsidRDefault="00A14A44" w:rsidP="00A14A44">
      <w:pPr>
        <w:rPr>
          <w:rFonts w:eastAsiaTheme="minorEastAsia" w:cstheme="minorHAnsi"/>
          <w:lang w:val="en-US"/>
        </w:rPr>
      </w:pPr>
    </w:p>
    <w:p w14:paraId="7DEEF18A" w14:textId="1230B0B0" w:rsidR="1FD09425" w:rsidRPr="00A14A44" w:rsidRDefault="1FD09425" w:rsidP="1FD09425">
      <w:pPr>
        <w:spacing w:line="240" w:lineRule="auto"/>
        <w:jc w:val="both"/>
        <w:rPr>
          <w:rFonts w:eastAsiaTheme="minorEastAsia" w:cstheme="minorHAnsi"/>
          <w:lang w:val="en-US"/>
        </w:rPr>
      </w:pPr>
    </w:p>
    <w:p w14:paraId="154D5230" w14:textId="0D450C21" w:rsidR="193538B9" w:rsidRPr="00A14A44" w:rsidRDefault="193538B9" w:rsidP="1FD09425">
      <w:pPr>
        <w:spacing w:line="240" w:lineRule="auto"/>
        <w:rPr>
          <w:rFonts w:eastAsiaTheme="minorEastAsia" w:cstheme="minorHAnsi"/>
          <w:b/>
          <w:bCs/>
        </w:rPr>
      </w:pPr>
      <w:r w:rsidRPr="00A14A44">
        <w:rPr>
          <w:rFonts w:eastAsiaTheme="minorEastAsia" w:cstheme="minorHAnsi"/>
          <w:b/>
          <w:bCs/>
        </w:rPr>
        <w:t>References:</w:t>
      </w:r>
    </w:p>
    <w:p w14:paraId="78E29B1C" w14:textId="509C011B" w:rsidR="211799EA" w:rsidRPr="00A14A44" w:rsidRDefault="211799EA" w:rsidP="1FD09425">
      <w:pPr>
        <w:spacing w:line="240" w:lineRule="auto"/>
        <w:rPr>
          <w:rFonts w:eastAsiaTheme="minorEastAsia" w:cstheme="minorHAnsi"/>
        </w:rPr>
      </w:pPr>
      <w:r w:rsidRPr="00A14A44">
        <w:rPr>
          <w:rFonts w:eastAsiaTheme="minorEastAsia" w:cstheme="minorHAnsi"/>
        </w:rPr>
        <w:t>Question 1:</w:t>
      </w:r>
    </w:p>
    <w:p w14:paraId="0BE33F5B" w14:textId="77742667" w:rsidR="00782A82" w:rsidRPr="00A14A44" w:rsidRDefault="00782A82" w:rsidP="00782A82">
      <w:pPr>
        <w:spacing w:line="240" w:lineRule="auto"/>
        <w:rPr>
          <w:rFonts w:eastAsiaTheme="minorEastAsia" w:cstheme="minorHAnsi"/>
        </w:rPr>
      </w:pPr>
      <w:proofErr w:type="spellStart"/>
      <w:r w:rsidRPr="00A14A44">
        <w:rPr>
          <w:rFonts w:eastAsiaTheme="minorEastAsia" w:cstheme="minorHAnsi"/>
        </w:rPr>
        <w:t>Fuerea</w:t>
      </w:r>
      <w:proofErr w:type="spellEnd"/>
      <w:r w:rsidRPr="00A14A44">
        <w:rPr>
          <w:rFonts w:eastAsiaTheme="minorEastAsia" w:cstheme="minorHAnsi"/>
        </w:rPr>
        <w:t xml:space="preserve">, A. (2016) THE NOTION OF RELEVANT, „SIGNIFICANT MARKET” IN THE SENSE OF EU LAW AND THE JURISPRUDENCE OF THE COURT IN LUXEMBOURG. Lex et </w:t>
      </w:r>
      <w:proofErr w:type="spellStart"/>
      <w:r w:rsidRPr="00A14A44">
        <w:rPr>
          <w:rFonts w:eastAsiaTheme="minorEastAsia" w:cstheme="minorHAnsi"/>
        </w:rPr>
        <w:t>scientia</w:t>
      </w:r>
      <w:proofErr w:type="spellEnd"/>
      <w:r w:rsidRPr="00A14A44">
        <w:rPr>
          <w:rFonts w:eastAsiaTheme="minorEastAsia" w:cstheme="minorHAnsi"/>
        </w:rPr>
        <w:t>. XXIII (2), 100–109.</w:t>
      </w:r>
    </w:p>
    <w:p w14:paraId="7964D35E" w14:textId="5C5F9BB5" w:rsidR="00771475" w:rsidRPr="00A14A44" w:rsidRDefault="00771475" w:rsidP="1FD09425">
      <w:pPr>
        <w:spacing w:line="240" w:lineRule="auto"/>
        <w:rPr>
          <w:rFonts w:eastAsiaTheme="minorEastAsia" w:cstheme="minorHAnsi"/>
        </w:rPr>
      </w:pPr>
      <w:r w:rsidRPr="00A14A44">
        <w:rPr>
          <w:rFonts w:eastAsiaTheme="minorEastAsia" w:cstheme="minorHAnsi"/>
        </w:rPr>
        <w:t xml:space="preserve">Kelvin Kwok 2018, Journal of Competition Law &amp; Economics, Volume 14, Issue 3, Pages 467–492, </w:t>
      </w:r>
      <w:hyperlink r:id="rId5" w:history="1">
        <w:r w:rsidR="00FC7E4E" w:rsidRPr="00A14A44">
          <w:rPr>
            <w:rStyle w:val="Hyperlink"/>
            <w:rFonts w:eastAsiaTheme="minorEastAsia" w:cstheme="minorHAnsi"/>
          </w:rPr>
          <w:t>https://doi-org.ezproxy.uwtsd.ac.uk/10.1093/joclec/nhy014</w:t>
        </w:r>
      </w:hyperlink>
    </w:p>
    <w:p w14:paraId="36B0A0AA" w14:textId="22DEEEC5" w:rsidR="00B02DCD" w:rsidRPr="00A14A44" w:rsidRDefault="00FC7E4E" w:rsidP="1FD09425">
      <w:pPr>
        <w:spacing w:line="240" w:lineRule="auto"/>
        <w:rPr>
          <w:rFonts w:cstheme="minorHAnsi"/>
        </w:rPr>
      </w:pPr>
      <w:proofErr w:type="spellStart"/>
      <w:r w:rsidRPr="00A14A44">
        <w:rPr>
          <w:rFonts w:cstheme="minorHAnsi"/>
        </w:rPr>
        <w:t>Teleki</w:t>
      </w:r>
      <w:proofErr w:type="spellEnd"/>
      <w:r w:rsidRPr="00A14A44">
        <w:rPr>
          <w:rFonts w:cstheme="minorHAnsi"/>
        </w:rPr>
        <w:t xml:space="preserve">, Cristina 2021, </w:t>
      </w:r>
      <w:r w:rsidR="00B02DCD" w:rsidRPr="00A14A44">
        <w:rPr>
          <w:rFonts w:cstheme="minorHAnsi"/>
        </w:rPr>
        <w:t xml:space="preserve">Due Process and Fair Trial in EU Competition Law, Volume 18, Pages 29-32 </w:t>
      </w:r>
      <w:hyperlink r:id="rId6" w:history="1">
        <w:r w:rsidR="00B02DCD" w:rsidRPr="00A14A44">
          <w:rPr>
            <w:rStyle w:val="Hyperlink"/>
            <w:rFonts w:cstheme="minorHAnsi"/>
          </w:rPr>
          <w:t>https://library.oapen.org/bitstream/handle/20.500.12657/49756/9789004447493.pdf?sequence=1&amp;isAllowed=y</w:t>
        </w:r>
      </w:hyperlink>
      <w:r w:rsidR="00B02DCD" w:rsidRPr="00A14A44">
        <w:rPr>
          <w:rFonts w:cstheme="minorHAnsi"/>
        </w:rPr>
        <w:t xml:space="preserve"> </w:t>
      </w:r>
    </w:p>
    <w:p w14:paraId="4BD23773" w14:textId="139203C7" w:rsidR="684DE89C" w:rsidRPr="00A14A44" w:rsidRDefault="684DE89C"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 xml:space="preserve">Media.bloomsburyprofessional.com. n.d. </w:t>
      </w:r>
      <w:r w:rsidRPr="00A14A44">
        <w:rPr>
          <w:rFonts w:eastAsiaTheme="minorEastAsia" w:cstheme="minorHAnsi"/>
          <w:i/>
          <w:iCs/>
          <w:color w:val="000000" w:themeColor="text1"/>
        </w:rPr>
        <w:t>POUCET V ASSURANCES GÉNÉRALES DE FRANCE</w:t>
      </w:r>
      <w:r w:rsidRPr="00A14A44">
        <w:rPr>
          <w:rFonts w:eastAsiaTheme="minorEastAsia" w:cstheme="minorHAnsi"/>
          <w:color w:val="000000" w:themeColor="text1"/>
        </w:rPr>
        <w:t>. [online] Available at: &lt;https://media.bloomsburyprofessional.com/rep/files/9781509909834sample.pdf&gt; [Accessed 4 May 2021].</w:t>
      </w:r>
    </w:p>
    <w:p w14:paraId="63A7A3F6" w14:textId="0B99072F" w:rsidR="000A6106" w:rsidRPr="00A14A44" w:rsidRDefault="000A6106" w:rsidP="1FD09425">
      <w:pPr>
        <w:spacing w:line="240" w:lineRule="auto"/>
        <w:rPr>
          <w:rFonts w:eastAsiaTheme="minorEastAsia" w:cstheme="minorHAnsi"/>
          <w:color w:val="000000" w:themeColor="text1"/>
        </w:rPr>
      </w:pPr>
      <w:proofErr w:type="spellStart"/>
      <w:r w:rsidRPr="00A14A44">
        <w:rPr>
          <w:rFonts w:eastAsiaTheme="minorEastAsia" w:cstheme="minorHAnsi"/>
          <w:color w:val="000000" w:themeColor="text1"/>
        </w:rPr>
        <w:t>Vaughne</w:t>
      </w:r>
      <w:proofErr w:type="spellEnd"/>
      <w:r w:rsidRPr="00A14A44">
        <w:rPr>
          <w:rFonts w:eastAsiaTheme="minorEastAsia" w:cstheme="minorHAnsi"/>
          <w:color w:val="000000" w:themeColor="text1"/>
        </w:rPr>
        <w:t xml:space="preserve"> Miller (</w:t>
      </w:r>
      <w:r w:rsidRPr="00A14A44">
        <w:rPr>
          <w:rFonts w:eastAsiaTheme="minorEastAsia" w:cstheme="minorHAnsi"/>
          <w:color w:val="000000" w:themeColor="text1"/>
        </w:rPr>
        <w:t>2005)</w:t>
      </w:r>
      <w:r w:rsidRPr="00A14A44">
        <w:rPr>
          <w:rFonts w:eastAsiaTheme="minorEastAsia" w:cstheme="minorHAnsi"/>
          <w:color w:val="000000" w:themeColor="text1"/>
        </w:rPr>
        <w:t xml:space="preserve">. "The European Union: a guide to terminology procedures and sources" </w:t>
      </w:r>
      <w:r w:rsidRPr="00A14A44">
        <w:rPr>
          <w:rFonts w:eastAsiaTheme="minorEastAsia" w:cstheme="minorHAnsi"/>
          <w:color w:val="000000" w:themeColor="text1"/>
        </w:rPr>
        <w:t>Accessed- Aug 2021</w:t>
      </w:r>
    </w:p>
    <w:p w14:paraId="32733FAC" w14:textId="2D53B780" w:rsidR="007E4E97" w:rsidRPr="00A14A44" w:rsidRDefault="007E4E97"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Eur-lex.europa.eu. 2011. EUR-Lex - l26073 - EN - EUR-Lex. [online] Available at: &lt;https://eur-lex.europa.eu/legal-content/EN/TXT/?uri=LEGISSUM:l26073&gt; [Accessed 6 August 2021].</w:t>
      </w:r>
    </w:p>
    <w:p w14:paraId="1F930843" w14:textId="21ADE84A" w:rsidR="00D14F8B" w:rsidRPr="00A14A44" w:rsidRDefault="00D14F8B" w:rsidP="1FD09425">
      <w:pPr>
        <w:spacing w:line="240" w:lineRule="auto"/>
        <w:rPr>
          <w:rFonts w:eastAsiaTheme="minorEastAsia" w:cstheme="minorHAnsi"/>
          <w:color w:val="000000" w:themeColor="text1"/>
        </w:rPr>
      </w:pPr>
      <w:proofErr w:type="spellStart"/>
      <w:r w:rsidRPr="00A14A44">
        <w:rPr>
          <w:rFonts w:eastAsiaTheme="minorEastAsia" w:cstheme="minorHAnsi"/>
          <w:color w:val="000000" w:themeColor="text1"/>
        </w:rPr>
        <w:t>Sabbatini</w:t>
      </w:r>
      <w:proofErr w:type="spellEnd"/>
      <w:r w:rsidRPr="00A14A44">
        <w:rPr>
          <w:rFonts w:eastAsiaTheme="minorEastAsia" w:cstheme="minorHAnsi"/>
          <w:color w:val="000000" w:themeColor="text1"/>
        </w:rPr>
        <w:t xml:space="preserve">, </w:t>
      </w:r>
      <w:proofErr w:type="spellStart"/>
      <w:r w:rsidRPr="00A14A44">
        <w:rPr>
          <w:rFonts w:eastAsiaTheme="minorEastAsia" w:cstheme="minorHAnsi"/>
          <w:color w:val="000000" w:themeColor="text1"/>
        </w:rPr>
        <w:t>Pierluigi</w:t>
      </w:r>
      <w:proofErr w:type="spellEnd"/>
      <w:r w:rsidRPr="00A14A44">
        <w:rPr>
          <w:rFonts w:eastAsiaTheme="minorEastAsia" w:cstheme="minorHAnsi"/>
          <w:color w:val="000000" w:themeColor="text1"/>
        </w:rPr>
        <w:t>,</w:t>
      </w:r>
      <w:r w:rsidRPr="00A14A44">
        <w:rPr>
          <w:rFonts w:eastAsiaTheme="minorEastAsia" w:cstheme="minorHAnsi"/>
          <w:color w:val="000000" w:themeColor="text1"/>
        </w:rPr>
        <w:t xml:space="preserve"> </w:t>
      </w:r>
      <w:r w:rsidRPr="00A14A44">
        <w:rPr>
          <w:rFonts w:eastAsiaTheme="minorEastAsia" w:cstheme="minorHAnsi"/>
          <w:color w:val="000000" w:themeColor="text1"/>
        </w:rPr>
        <w:t>2001 The Cellophane and Merger Guidelines Fallacies Again). Available at SSRN: https://ssrn.com/abstract=271113 or http://dx.doi.org/10.2139/ssrn.271113</w:t>
      </w:r>
    </w:p>
    <w:p w14:paraId="56C9589B" w14:textId="77777777" w:rsidR="000A6106" w:rsidRPr="00A14A44" w:rsidRDefault="000A6106" w:rsidP="000A6106">
      <w:pPr>
        <w:spacing w:line="240" w:lineRule="auto"/>
        <w:rPr>
          <w:rFonts w:eastAsiaTheme="minorEastAsia" w:cstheme="minorHAnsi"/>
          <w:color w:val="000000" w:themeColor="text1"/>
        </w:rPr>
      </w:pPr>
      <w:r w:rsidRPr="00A14A44">
        <w:rPr>
          <w:rFonts w:eastAsiaTheme="minorEastAsia" w:cstheme="minorHAnsi"/>
          <w:color w:val="000000" w:themeColor="text1"/>
        </w:rPr>
        <w:t>Christian (2006). EU Law (9th ed.). Oxford: Oxford University Press. pp. 56–60. ISBN 978-0-19-927959-3</w:t>
      </w:r>
    </w:p>
    <w:p w14:paraId="1F56FA40" w14:textId="6A402518" w:rsidR="691C176D" w:rsidRPr="00A14A44" w:rsidRDefault="691C176D"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 xml:space="preserve">European Union. 2018. </w:t>
      </w:r>
      <w:r w:rsidRPr="00A14A44">
        <w:rPr>
          <w:rFonts w:eastAsiaTheme="minorEastAsia" w:cstheme="minorHAnsi"/>
          <w:i/>
          <w:iCs/>
          <w:color w:val="000000" w:themeColor="text1"/>
        </w:rPr>
        <w:t>Competition | European Union</w:t>
      </w:r>
      <w:r w:rsidRPr="00A14A44">
        <w:rPr>
          <w:rFonts w:eastAsiaTheme="minorEastAsia" w:cstheme="minorHAnsi"/>
          <w:color w:val="000000" w:themeColor="text1"/>
        </w:rPr>
        <w:t>. [online] Available at: &lt;https://europa.eu/european-union/topics/competition_en&gt; [Accessed 3 May 2021].</w:t>
      </w:r>
    </w:p>
    <w:p w14:paraId="71173D24" w14:textId="2D80DCD2" w:rsidR="4C2E896B" w:rsidRPr="00A14A44" w:rsidRDefault="4C2E896B"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COMMON RULES ON COMPETITION, TAXATION AND APPROXIMATION OF LAWS - Chapter 1: Rules on competition - Section 1: Rules applying to undertakings - Article 101 (</w:t>
      </w:r>
      <w:proofErr w:type="spellStart"/>
      <w:r w:rsidRPr="00A14A44">
        <w:rPr>
          <w:rFonts w:eastAsiaTheme="minorEastAsia" w:cstheme="minorHAnsi"/>
          <w:color w:val="000000" w:themeColor="text1"/>
        </w:rPr>
        <w:t>ex Article</w:t>
      </w:r>
      <w:proofErr w:type="spellEnd"/>
      <w:r w:rsidRPr="00A14A44">
        <w:rPr>
          <w:rFonts w:eastAsiaTheme="minorEastAsia" w:cstheme="minorHAnsi"/>
          <w:color w:val="000000" w:themeColor="text1"/>
        </w:rPr>
        <w:t xml:space="preserve"> 81 TEC)</w:t>
      </w:r>
      <w:r w:rsidRPr="00A14A44">
        <w:rPr>
          <w:rFonts w:cstheme="minorHAnsi"/>
        </w:rPr>
        <w:br/>
      </w:r>
      <w:r w:rsidRPr="00A14A44">
        <w:rPr>
          <w:rFonts w:eastAsiaTheme="minorEastAsia" w:cstheme="minorHAnsi"/>
          <w:color w:val="000000" w:themeColor="text1"/>
        </w:rPr>
        <w:t xml:space="preserve">Official Journal </w:t>
      </w:r>
      <w:proofErr w:type="gramStart"/>
      <w:r w:rsidRPr="00A14A44">
        <w:rPr>
          <w:rFonts w:eastAsiaTheme="minorEastAsia" w:cstheme="minorHAnsi"/>
          <w:color w:val="000000" w:themeColor="text1"/>
        </w:rPr>
        <w:t>115 ,</w:t>
      </w:r>
      <w:proofErr w:type="gramEnd"/>
      <w:r w:rsidRPr="00A14A44">
        <w:rPr>
          <w:rFonts w:eastAsiaTheme="minorEastAsia" w:cstheme="minorHAnsi"/>
          <w:color w:val="000000" w:themeColor="text1"/>
        </w:rPr>
        <w:t xml:space="preserve"> 09/05/2008 P. 0088</w:t>
      </w:r>
      <w:r w:rsidR="2EE8C61E" w:rsidRPr="00A14A44">
        <w:rPr>
          <w:rFonts w:eastAsiaTheme="minorEastAsia" w:cstheme="minorHAnsi"/>
          <w:color w:val="000000" w:themeColor="text1"/>
        </w:rPr>
        <w:t xml:space="preserve"> – </w:t>
      </w:r>
      <w:r w:rsidRPr="00A14A44">
        <w:rPr>
          <w:rFonts w:eastAsiaTheme="minorEastAsia" w:cstheme="minorHAnsi"/>
          <w:color w:val="000000" w:themeColor="text1"/>
        </w:rPr>
        <w:t>0089</w:t>
      </w:r>
    </w:p>
    <w:p w14:paraId="25E5D408" w14:textId="6CC0245A" w:rsidR="00771475" w:rsidRPr="00A14A44" w:rsidRDefault="316AA950" w:rsidP="1FD09425">
      <w:pPr>
        <w:spacing w:line="240" w:lineRule="auto"/>
        <w:rPr>
          <w:rFonts w:eastAsiaTheme="minorEastAsia" w:cstheme="minorHAnsi"/>
        </w:rPr>
      </w:pPr>
      <w:r w:rsidRPr="00A14A44">
        <w:rPr>
          <w:rFonts w:eastAsiaTheme="minorEastAsia" w:cstheme="minorHAnsi"/>
          <w:color w:val="000000" w:themeColor="text1"/>
        </w:rPr>
        <w:t xml:space="preserve">Eur-lex.europa.eu. 2008. </w:t>
      </w:r>
      <w:r w:rsidRPr="00A14A44">
        <w:rPr>
          <w:rFonts w:eastAsiaTheme="minorEastAsia" w:cstheme="minorHAnsi"/>
          <w:i/>
          <w:iCs/>
          <w:color w:val="000000" w:themeColor="text1"/>
        </w:rPr>
        <w:t>EUR-Lex - 12008E102 - EN - EUR-Lex</w:t>
      </w:r>
      <w:r w:rsidRPr="00A14A44">
        <w:rPr>
          <w:rFonts w:eastAsiaTheme="minorEastAsia" w:cstheme="minorHAnsi"/>
          <w:color w:val="000000" w:themeColor="text1"/>
        </w:rPr>
        <w:t>. [online] Available at: &lt;https://eur-lex.europa.eu/legal-content/EN/ALL/?uri=CELEX%3A12008E102&gt; [Accessed 4 May 2021].</w:t>
      </w:r>
      <w:r w:rsidRPr="00A14A44">
        <w:rPr>
          <w:rFonts w:cstheme="minorHAnsi"/>
        </w:rPr>
        <w:br/>
      </w:r>
      <w:r w:rsidR="1C0C0042" w:rsidRPr="00A14A44">
        <w:rPr>
          <w:rFonts w:eastAsiaTheme="minorEastAsia" w:cstheme="minorHAnsi"/>
          <w:color w:val="000000" w:themeColor="text1"/>
        </w:rPr>
        <w:t>Altalex.eu. 2015. Article 101 TFEU, notion of undertaking and succession of undertakings | Altalex.eu. [online] Available at: &lt;http://www.altalex.eu/content/article-101-tfeu-notion-undertaking-and-succession-undertakings&gt; [Accessed 7 May 2021].</w:t>
      </w:r>
      <w:r w:rsidR="1C0C0042" w:rsidRPr="00A14A44">
        <w:rPr>
          <w:rFonts w:cstheme="minorHAnsi"/>
        </w:rPr>
        <w:br/>
      </w:r>
    </w:p>
    <w:p w14:paraId="1DC17B0E" w14:textId="77777777" w:rsidR="00771475" w:rsidRPr="00A14A44" w:rsidRDefault="00771475" w:rsidP="1FD09425">
      <w:pPr>
        <w:spacing w:line="240" w:lineRule="auto"/>
        <w:rPr>
          <w:rFonts w:eastAsiaTheme="minorEastAsia" w:cstheme="minorHAnsi"/>
        </w:rPr>
      </w:pPr>
    </w:p>
    <w:p w14:paraId="1EDBAE73" w14:textId="77777777" w:rsidR="00771475" w:rsidRPr="00A14A44" w:rsidRDefault="00771475" w:rsidP="1FD09425">
      <w:pPr>
        <w:spacing w:line="240" w:lineRule="auto"/>
        <w:rPr>
          <w:rFonts w:eastAsiaTheme="minorEastAsia" w:cstheme="minorHAnsi"/>
        </w:rPr>
      </w:pPr>
    </w:p>
    <w:p w14:paraId="53967795" w14:textId="229A91E4" w:rsidR="1C0C0042" w:rsidRPr="00A14A44" w:rsidRDefault="211799EA" w:rsidP="1FD09425">
      <w:pPr>
        <w:spacing w:line="240" w:lineRule="auto"/>
        <w:rPr>
          <w:rFonts w:eastAsiaTheme="minorEastAsia" w:cstheme="minorHAnsi"/>
        </w:rPr>
      </w:pPr>
      <w:r w:rsidRPr="00A14A44">
        <w:rPr>
          <w:rFonts w:eastAsiaTheme="minorEastAsia" w:cstheme="minorHAnsi"/>
        </w:rPr>
        <w:t>Question 2:</w:t>
      </w:r>
    </w:p>
    <w:p w14:paraId="1B2E2D34" w14:textId="27377310" w:rsidR="171C96CC" w:rsidRPr="00A14A44" w:rsidRDefault="171C96CC"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English special edition: Series I Volume 1968(II) P. 475 - 484</w:t>
      </w:r>
    </w:p>
    <w:p w14:paraId="25873874" w14:textId="4DBADB86" w:rsidR="211799EA" w:rsidRPr="00A14A44" w:rsidRDefault="211799EA"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 xml:space="preserve">Citizensinformation.ie. 2021. </w:t>
      </w:r>
      <w:r w:rsidRPr="00A14A44">
        <w:rPr>
          <w:rFonts w:eastAsiaTheme="minorEastAsia" w:cstheme="minorHAnsi"/>
          <w:i/>
          <w:iCs/>
          <w:color w:val="000000" w:themeColor="text1"/>
        </w:rPr>
        <w:t>Freedom of movement in the EU</w:t>
      </w:r>
      <w:r w:rsidRPr="00A14A44">
        <w:rPr>
          <w:rFonts w:eastAsiaTheme="minorEastAsia" w:cstheme="minorHAnsi"/>
          <w:color w:val="000000" w:themeColor="text1"/>
        </w:rPr>
        <w:t xml:space="preserve">. [online] Available at: &lt;https://www.citizensinformation.ie/en/government_in_ireland/european_government/european_union/freedom_of_movement_in_the_eu.html&gt; [Accessed 3 May 2021]. </w:t>
      </w:r>
    </w:p>
    <w:p w14:paraId="564BCBD8" w14:textId="6635F10C" w:rsidR="62E6F88A" w:rsidRPr="00A14A44" w:rsidRDefault="62E6F88A" w:rsidP="1FD09425">
      <w:pPr>
        <w:spacing w:line="240" w:lineRule="auto"/>
        <w:rPr>
          <w:rFonts w:eastAsiaTheme="minorEastAsia" w:cstheme="minorHAnsi"/>
          <w:color w:val="000000" w:themeColor="text1"/>
        </w:rPr>
      </w:pPr>
      <w:r w:rsidRPr="00A14A44">
        <w:rPr>
          <w:rFonts w:eastAsiaTheme="minorEastAsia" w:cstheme="minorHAnsi"/>
          <w:color w:val="000000" w:themeColor="text1"/>
        </w:rPr>
        <w:lastRenderedPageBreak/>
        <w:t>Legislation.gov.uk. 2004. Directive 2004/38/EC of the European Parliament and of the Council of 29 April 2004 on the right of citizens of the Union and their family members to move and reside freely within the territory of the Member States amending Regulation (EEC) No 1612/68 and repealing Directives 64/221/EEC, 68/360/EEC, 72/194/EEC, 73/148/EEC, 75/34/EEC, 75/35/EEC, 90/364/EEC, 90/365/</w:t>
      </w:r>
      <w:proofErr w:type="gramStart"/>
      <w:r w:rsidRPr="00A14A44">
        <w:rPr>
          <w:rFonts w:eastAsiaTheme="minorEastAsia" w:cstheme="minorHAnsi"/>
          <w:color w:val="000000" w:themeColor="text1"/>
        </w:rPr>
        <w:t>EEC</w:t>
      </w:r>
      <w:proofErr w:type="gramEnd"/>
      <w:r w:rsidRPr="00A14A44">
        <w:rPr>
          <w:rFonts w:eastAsiaTheme="minorEastAsia" w:cstheme="minorHAnsi"/>
          <w:color w:val="000000" w:themeColor="text1"/>
        </w:rPr>
        <w:t xml:space="preserve"> and 93/96/EEC (Text with EEA relevance). [online] Available at: &lt;https://www.legislation.gov.uk/eudr/2004/38&gt; [Accessed 5 May 2021]. </w:t>
      </w:r>
    </w:p>
    <w:p w14:paraId="271482E8" w14:textId="5B1BF38D" w:rsidR="57FAAFD6" w:rsidRPr="00A14A44" w:rsidRDefault="57FAAFD6"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European Union Agency for Fundamental Rights. 2016. Article 21 - Non-discrimination. [online] Available at: &lt;https://fra.europa.eu/en/eu-charter/article/21-non-discrimination&gt; [Accessed 6 May 2021].</w:t>
      </w:r>
    </w:p>
    <w:p w14:paraId="66B08FE2" w14:textId="3037BEA3" w:rsidR="464C52B2" w:rsidRPr="00A14A44" w:rsidRDefault="464C52B2"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Regulation (EEC) No 1612/68 of the Council of 15 October 1968 on freedom of movement for workers within the Community, OJ L 257, 19.10.1968, p. 2–12</w:t>
      </w:r>
    </w:p>
    <w:p w14:paraId="659937D9" w14:textId="4B4A3023" w:rsidR="00A14A44" w:rsidRPr="00A14A44" w:rsidRDefault="00A14A44"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European Union Agency for Fundamental Rights. 2007. Article 21 - Non-discrimination. [online] Available at: &lt;https://fra.europa.eu/en/eu-charter/article/21-non-discrimination&gt; [Accessed 6 August 2021].</w:t>
      </w:r>
    </w:p>
    <w:p w14:paraId="2D5ED7E2" w14:textId="0CA517E3" w:rsidR="57FAAFD6" w:rsidRPr="00A14A44" w:rsidRDefault="57FAAFD6"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European Union Agency for Fundamental Rights. 2019. Article 45 - Freedom of movement and of residence. [online] Available at: &lt;https://fra.europa.eu/en/eu-charter/article/45-freedom-movement-and-residence#:~:text=Article%2045%20%2D%20Freedom%20of%20movement%20and%20of%20residence,-1.&amp;text=Freedom%20of%20movement%20and%20residence,territory%20of%20a%20Member%20State.&gt; [Accessed 6 May 2021].</w:t>
      </w:r>
    </w:p>
    <w:p w14:paraId="1F12F386" w14:textId="38FEF716" w:rsidR="66F9E019" w:rsidRPr="00A14A44" w:rsidRDefault="66F9E019" w:rsidP="1FD09425">
      <w:pPr>
        <w:spacing w:line="240" w:lineRule="auto"/>
        <w:rPr>
          <w:rFonts w:eastAsiaTheme="minorEastAsia" w:cstheme="minorHAnsi"/>
          <w:color w:val="000000" w:themeColor="text1"/>
        </w:rPr>
      </w:pPr>
      <w:r w:rsidRPr="00A14A44">
        <w:rPr>
          <w:rFonts w:eastAsiaTheme="minorEastAsia" w:cstheme="minorHAnsi"/>
          <w:color w:val="000000" w:themeColor="text1"/>
        </w:rPr>
        <w:t>Appellant v the Board of Directors of the Social Security Bank (</w:t>
      </w:r>
      <w:proofErr w:type="spellStart"/>
      <w:r w:rsidRPr="00A14A44">
        <w:rPr>
          <w:rFonts w:eastAsiaTheme="minorEastAsia" w:cstheme="minorHAnsi"/>
          <w:color w:val="000000" w:themeColor="text1"/>
        </w:rPr>
        <w:t>Sociale</w:t>
      </w:r>
      <w:proofErr w:type="spellEnd"/>
      <w:r w:rsidRPr="00A14A44">
        <w:rPr>
          <w:rFonts w:eastAsiaTheme="minorEastAsia" w:cstheme="minorHAnsi"/>
          <w:color w:val="000000" w:themeColor="text1"/>
        </w:rPr>
        <w:t xml:space="preserve"> </w:t>
      </w:r>
      <w:proofErr w:type="spellStart"/>
      <w:r w:rsidRPr="00A14A44">
        <w:rPr>
          <w:rFonts w:eastAsiaTheme="minorEastAsia" w:cstheme="minorHAnsi"/>
          <w:color w:val="000000" w:themeColor="text1"/>
        </w:rPr>
        <w:t>Verzekeringsbank</w:t>
      </w:r>
      <w:proofErr w:type="spellEnd"/>
      <w:r w:rsidRPr="00A14A44">
        <w:rPr>
          <w:rFonts w:eastAsiaTheme="minorEastAsia" w:cstheme="minorHAnsi"/>
          <w:color w:val="000000" w:themeColor="text1"/>
        </w:rPr>
        <w:t xml:space="preserve">, </w:t>
      </w:r>
      <w:proofErr w:type="spellStart"/>
      <w:r w:rsidRPr="00A14A44">
        <w:rPr>
          <w:rFonts w:eastAsiaTheme="minorEastAsia" w:cstheme="minorHAnsi"/>
          <w:color w:val="000000" w:themeColor="text1"/>
        </w:rPr>
        <w:t>Svb</w:t>
      </w:r>
      <w:proofErr w:type="spellEnd"/>
      <w:r w:rsidRPr="00A14A44">
        <w:rPr>
          <w:rFonts w:eastAsiaTheme="minorEastAsia" w:cstheme="minorHAnsi"/>
          <w:color w:val="000000" w:themeColor="text1"/>
        </w:rPr>
        <w:t>) (2020)</w:t>
      </w:r>
    </w:p>
    <w:p w14:paraId="6E2A07A4" w14:textId="0B5A0DAB" w:rsidR="193538B9" w:rsidRPr="00A14A44" w:rsidRDefault="193538B9" w:rsidP="1FD09425">
      <w:pPr>
        <w:spacing w:line="240" w:lineRule="auto"/>
        <w:rPr>
          <w:rFonts w:eastAsiaTheme="minorEastAsia" w:cstheme="minorHAnsi"/>
          <w:b/>
          <w:bCs/>
        </w:rPr>
      </w:pPr>
      <w:r w:rsidRPr="00A14A44">
        <w:rPr>
          <w:rFonts w:eastAsiaTheme="minorEastAsia" w:cstheme="minorHAnsi"/>
          <w:b/>
          <w:bCs/>
        </w:rPr>
        <w:t>Case Law:</w:t>
      </w:r>
      <w:proofErr w:type="gramStart"/>
      <w:r w:rsidR="5784B6CE" w:rsidRPr="00A14A44">
        <w:rPr>
          <w:rFonts w:eastAsiaTheme="minorEastAsia" w:cstheme="minorHAnsi"/>
          <w:b/>
          <w:bCs/>
        </w:rPr>
        <w:t xml:space="preserve">   (</w:t>
      </w:r>
      <w:proofErr w:type="gramEnd"/>
      <w:r w:rsidR="5784B6CE" w:rsidRPr="00A14A44">
        <w:rPr>
          <w:rFonts w:eastAsiaTheme="minorEastAsia" w:cstheme="minorHAnsi"/>
          <w:b/>
          <w:bCs/>
        </w:rPr>
        <w:t>Information regarding cases cited above)</w:t>
      </w:r>
    </w:p>
    <w:p w14:paraId="55DC4EF1" w14:textId="5C1E3587" w:rsidR="23D4468F" w:rsidRPr="00A14A44" w:rsidRDefault="23D4468F" w:rsidP="1FD09425">
      <w:pPr>
        <w:spacing w:line="240" w:lineRule="auto"/>
        <w:rPr>
          <w:rFonts w:eastAsiaTheme="minorEastAsia" w:cstheme="minorHAnsi"/>
          <w:i/>
          <w:iCs/>
        </w:rPr>
      </w:pPr>
      <w:r w:rsidRPr="00A14A44">
        <w:rPr>
          <w:rFonts w:eastAsiaTheme="minorEastAsia" w:cstheme="minorHAnsi"/>
          <w:i/>
          <w:iCs/>
        </w:rPr>
        <w:t>British Airways v Commission (2004)</w:t>
      </w:r>
    </w:p>
    <w:p w14:paraId="7681A561" w14:textId="472043B1" w:rsidR="28A4DCDB" w:rsidRPr="00A14A44" w:rsidRDefault="28A4DCDB" w:rsidP="1FD09425">
      <w:pPr>
        <w:spacing w:line="240" w:lineRule="auto"/>
        <w:rPr>
          <w:rFonts w:eastAsiaTheme="minorEastAsia" w:cstheme="minorHAnsi"/>
          <w:i/>
          <w:iCs/>
        </w:rPr>
      </w:pPr>
      <w:proofErr w:type="spellStart"/>
      <w:r w:rsidRPr="00A14A44">
        <w:rPr>
          <w:rFonts w:eastAsiaTheme="minorEastAsia" w:cstheme="minorHAnsi"/>
          <w:i/>
          <w:iCs/>
        </w:rPr>
        <w:t>Poucet</w:t>
      </w:r>
      <w:proofErr w:type="spellEnd"/>
      <w:r w:rsidRPr="00A14A44">
        <w:rPr>
          <w:rFonts w:eastAsiaTheme="minorEastAsia" w:cstheme="minorHAnsi"/>
          <w:i/>
          <w:iCs/>
        </w:rPr>
        <w:t xml:space="preserve"> v Assurances G é n é rales de France (1993)</w:t>
      </w:r>
    </w:p>
    <w:p w14:paraId="59345881" w14:textId="472E26C9" w:rsidR="28A4DCDB" w:rsidRPr="00A14A44" w:rsidRDefault="28A4DCDB" w:rsidP="1FD09425">
      <w:pPr>
        <w:spacing w:line="240" w:lineRule="auto"/>
        <w:rPr>
          <w:rFonts w:eastAsiaTheme="minorEastAsia" w:cstheme="minorHAnsi"/>
          <w:i/>
          <w:iCs/>
        </w:rPr>
      </w:pPr>
      <w:proofErr w:type="spellStart"/>
      <w:r w:rsidRPr="00A14A44">
        <w:rPr>
          <w:rFonts w:eastAsiaTheme="minorEastAsia" w:cstheme="minorHAnsi"/>
          <w:i/>
          <w:iCs/>
        </w:rPr>
        <w:t>Hofner</w:t>
      </w:r>
      <w:proofErr w:type="spellEnd"/>
      <w:r w:rsidRPr="00A14A44">
        <w:rPr>
          <w:rFonts w:eastAsiaTheme="minorEastAsia" w:cstheme="minorHAnsi"/>
          <w:i/>
          <w:iCs/>
        </w:rPr>
        <w:t xml:space="preserve"> and </w:t>
      </w:r>
      <w:proofErr w:type="spellStart"/>
      <w:r w:rsidRPr="00A14A44">
        <w:rPr>
          <w:rFonts w:eastAsiaTheme="minorEastAsia" w:cstheme="minorHAnsi"/>
          <w:i/>
          <w:iCs/>
        </w:rPr>
        <w:t>Elser</w:t>
      </w:r>
      <w:proofErr w:type="spellEnd"/>
      <w:r w:rsidRPr="00A14A44">
        <w:rPr>
          <w:rFonts w:eastAsiaTheme="minorEastAsia" w:cstheme="minorHAnsi"/>
          <w:i/>
          <w:iCs/>
        </w:rPr>
        <w:t xml:space="preserve"> v </w:t>
      </w:r>
      <w:proofErr w:type="spellStart"/>
      <w:r w:rsidRPr="00A14A44">
        <w:rPr>
          <w:rFonts w:eastAsiaTheme="minorEastAsia" w:cstheme="minorHAnsi"/>
          <w:i/>
          <w:iCs/>
        </w:rPr>
        <w:t>Macrotron</w:t>
      </w:r>
      <w:proofErr w:type="spellEnd"/>
      <w:r w:rsidRPr="00A14A44">
        <w:rPr>
          <w:rFonts w:eastAsiaTheme="minorEastAsia" w:cstheme="minorHAnsi"/>
          <w:i/>
          <w:iCs/>
        </w:rPr>
        <w:t xml:space="preserve"> (Judgment): ECJ 23 Apr 1991</w:t>
      </w:r>
    </w:p>
    <w:p w14:paraId="56DDA0DF" w14:textId="55E9052A" w:rsidR="28A4DCDB" w:rsidRPr="00A14A44" w:rsidRDefault="28A4DCDB" w:rsidP="1FD09425">
      <w:pPr>
        <w:spacing w:line="240" w:lineRule="auto"/>
        <w:rPr>
          <w:rFonts w:eastAsiaTheme="minorEastAsia" w:cstheme="minorHAnsi"/>
          <w:i/>
          <w:iCs/>
        </w:rPr>
      </w:pPr>
      <w:r w:rsidRPr="00A14A44">
        <w:rPr>
          <w:rFonts w:eastAsiaTheme="minorEastAsia" w:cstheme="minorHAnsi"/>
          <w:i/>
          <w:iCs/>
        </w:rPr>
        <w:t xml:space="preserve">United Brands (UB) v </w:t>
      </w:r>
      <w:proofErr w:type="spellStart"/>
      <w:r w:rsidRPr="00A14A44">
        <w:rPr>
          <w:rFonts w:eastAsiaTheme="minorEastAsia" w:cstheme="minorHAnsi"/>
          <w:i/>
          <w:iCs/>
        </w:rPr>
        <w:t>Commision</w:t>
      </w:r>
      <w:proofErr w:type="spellEnd"/>
      <w:r w:rsidRPr="00A14A44">
        <w:rPr>
          <w:rFonts w:eastAsiaTheme="minorEastAsia" w:cstheme="minorHAnsi"/>
          <w:i/>
          <w:iCs/>
        </w:rPr>
        <w:t xml:space="preserve"> (1978)</w:t>
      </w:r>
    </w:p>
    <w:p w14:paraId="2C4EC4C7" w14:textId="7AB969F4" w:rsidR="28A4DCDB" w:rsidRPr="00A14A44" w:rsidRDefault="28A4DCDB" w:rsidP="1FD09425">
      <w:pPr>
        <w:spacing w:line="240" w:lineRule="auto"/>
        <w:rPr>
          <w:rFonts w:eastAsiaTheme="minorEastAsia" w:cstheme="minorHAnsi"/>
        </w:rPr>
      </w:pPr>
      <w:r w:rsidRPr="00A14A44">
        <w:rPr>
          <w:rFonts w:eastAsiaTheme="minorEastAsia" w:cstheme="minorHAnsi"/>
          <w:i/>
          <w:iCs/>
        </w:rPr>
        <w:t>Quinine Cartel case (1970)</w:t>
      </w:r>
    </w:p>
    <w:p w14:paraId="5BD8188A" w14:textId="603D4F2B" w:rsidR="5CD2974F" w:rsidRPr="00A14A44" w:rsidRDefault="5CD2974F" w:rsidP="1FD09425">
      <w:pPr>
        <w:spacing w:line="240" w:lineRule="auto"/>
        <w:rPr>
          <w:rFonts w:eastAsiaTheme="minorEastAsia" w:cstheme="minorHAnsi"/>
        </w:rPr>
      </w:pPr>
      <w:r w:rsidRPr="00A14A44">
        <w:rPr>
          <w:rFonts w:eastAsiaTheme="minorEastAsia" w:cstheme="minorHAnsi"/>
          <w:i/>
          <w:iCs/>
        </w:rPr>
        <w:t>Hoffman La Roche (1979),</w:t>
      </w:r>
    </w:p>
    <w:p w14:paraId="29CB66C3" w14:textId="007562D0" w:rsidR="1A16CF4B" w:rsidRPr="00A14A44" w:rsidRDefault="1A16CF4B" w:rsidP="1FD09425">
      <w:pPr>
        <w:spacing w:line="240" w:lineRule="auto"/>
        <w:rPr>
          <w:rFonts w:eastAsiaTheme="minorEastAsia" w:cstheme="minorHAnsi"/>
        </w:rPr>
      </w:pPr>
      <w:r w:rsidRPr="00A14A44">
        <w:rPr>
          <w:rFonts w:eastAsiaTheme="minorEastAsia" w:cstheme="minorHAnsi"/>
          <w:i/>
          <w:iCs/>
        </w:rPr>
        <w:t>Commission Notice (1997)</w:t>
      </w:r>
    </w:p>
    <w:p w14:paraId="347FFF4B" w14:textId="5D9A2984" w:rsidR="1A16CF4B" w:rsidRPr="00A14A44" w:rsidRDefault="1A16CF4B" w:rsidP="1FD09425">
      <w:pPr>
        <w:spacing w:line="240" w:lineRule="auto"/>
        <w:rPr>
          <w:rFonts w:eastAsiaTheme="minorEastAsia" w:cstheme="minorHAnsi"/>
        </w:rPr>
      </w:pPr>
      <w:r w:rsidRPr="00A14A44">
        <w:rPr>
          <w:rFonts w:eastAsiaTheme="minorEastAsia" w:cstheme="minorHAnsi"/>
          <w:i/>
          <w:iCs/>
        </w:rPr>
        <w:t>Napier Brown- British Sugar (1988)</w:t>
      </w:r>
    </w:p>
    <w:p w14:paraId="2944E1AB" w14:textId="1274B09C" w:rsidR="5916143D" w:rsidRPr="00A14A44" w:rsidRDefault="5916143D" w:rsidP="1FD09425">
      <w:pPr>
        <w:spacing w:line="240" w:lineRule="auto"/>
        <w:rPr>
          <w:rFonts w:eastAsiaTheme="minorEastAsia" w:cstheme="minorHAnsi"/>
        </w:rPr>
      </w:pPr>
      <w:r w:rsidRPr="00A14A44">
        <w:rPr>
          <w:rFonts w:eastAsiaTheme="minorEastAsia" w:cstheme="minorHAnsi"/>
          <w:i/>
          <w:iCs/>
        </w:rPr>
        <w:t>Continental v Commission (1973)</w:t>
      </w:r>
    </w:p>
    <w:p w14:paraId="06BF4C16" w14:textId="035CF366" w:rsidR="1FD09425" w:rsidRPr="00A14A44" w:rsidRDefault="1FD09425" w:rsidP="1FD09425">
      <w:pPr>
        <w:spacing w:line="240" w:lineRule="auto"/>
        <w:rPr>
          <w:rFonts w:eastAsiaTheme="minorEastAsia" w:cstheme="minorHAnsi"/>
          <w:i/>
          <w:iCs/>
        </w:rPr>
      </w:pPr>
    </w:p>
    <w:p w14:paraId="331A64B0" w14:textId="461F0A97" w:rsidR="1FD09425" w:rsidRPr="00A14A44" w:rsidRDefault="1FD09425" w:rsidP="1FD09425">
      <w:pPr>
        <w:spacing w:line="240" w:lineRule="auto"/>
        <w:rPr>
          <w:rFonts w:eastAsiaTheme="minorEastAsia" w:cstheme="minorHAnsi"/>
          <w:i/>
          <w:iCs/>
        </w:rPr>
      </w:pPr>
    </w:p>
    <w:p w14:paraId="390CD32A" w14:textId="2475F6AB" w:rsidR="1FD09425" w:rsidRPr="00A14A44" w:rsidRDefault="1FD09425" w:rsidP="1FD09425">
      <w:pPr>
        <w:spacing w:line="240" w:lineRule="auto"/>
        <w:rPr>
          <w:rFonts w:eastAsiaTheme="minorEastAsia" w:cstheme="minorHAnsi"/>
          <w:i/>
          <w:iCs/>
        </w:rPr>
      </w:pPr>
    </w:p>
    <w:p w14:paraId="7A47C815" w14:textId="051DBD63" w:rsidR="1FD09425" w:rsidRPr="00A14A44" w:rsidRDefault="1FD09425" w:rsidP="1FD09425">
      <w:pPr>
        <w:spacing w:line="240" w:lineRule="auto"/>
        <w:rPr>
          <w:rFonts w:eastAsiaTheme="minorEastAsia" w:cstheme="minorHAnsi"/>
          <w:i/>
          <w:iCs/>
        </w:rPr>
      </w:pPr>
    </w:p>
    <w:sectPr w:rsidR="1FD09425" w:rsidRPr="00A14A4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33099"/>
    <w:multiLevelType w:val="hybridMultilevel"/>
    <w:tmpl w:val="1DE41EC6"/>
    <w:lvl w:ilvl="0" w:tplc="17BA88A8">
      <w:start w:val="1"/>
      <w:numFmt w:val="decimal"/>
      <w:lvlText w:val="%1."/>
      <w:lvlJc w:val="left"/>
      <w:pPr>
        <w:ind w:left="720" w:hanging="360"/>
      </w:pPr>
    </w:lvl>
    <w:lvl w:ilvl="1" w:tplc="39FC09D4">
      <w:start w:val="1"/>
      <w:numFmt w:val="lowerLetter"/>
      <w:lvlText w:val="%2."/>
      <w:lvlJc w:val="left"/>
      <w:pPr>
        <w:ind w:left="1440" w:hanging="360"/>
      </w:pPr>
    </w:lvl>
    <w:lvl w:ilvl="2" w:tplc="5FE4050C">
      <w:start w:val="1"/>
      <w:numFmt w:val="lowerRoman"/>
      <w:lvlText w:val="%3."/>
      <w:lvlJc w:val="right"/>
      <w:pPr>
        <w:ind w:left="2160" w:hanging="180"/>
      </w:pPr>
    </w:lvl>
    <w:lvl w:ilvl="3" w:tplc="1FC8AD58">
      <w:start w:val="1"/>
      <w:numFmt w:val="decimal"/>
      <w:lvlText w:val="%4."/>
      <w:lvlJc w:val="left"/>
      <w:pPr>
        <w:ind w:left="2880" w:hanging="360"/>
      </w:pPr>
    </w:lvl>
    <w:lvl w:ilvl="4" w:tplc="B3FE9C7A">
      <w:start w:val="1"/>
      <w:numFmt w:val="lowerLetter"/>
      <w:lvlText w:val="%5."/>
      <w:lvlJc w:val="left"/>
      <w:pPr>
        <w:ind w:left="3600" w:hanging="360"/>
      </w:pPr>
    </w:lvl>
    <w:lvl w:ilvl="5" w:tplc="9A9CF322">
      <w:start w:val="1"/>
      <w:numFmt w:val="lowerRoman"/>
      <w:lvlText w:val="%6."/>
      <w:lvlJc w:val="right"/>
      <w:pPr>
        <w:ind w:left="4320" w:hanging="180"/>
      </w:pPr>
    </w:lvl>
    <w:lvl w:ilvl="6" w:tplc="0C8CD868">
      <w:start w:val="1"/>
      <w:numFmt w:val="decimal"/>
      <w:lvlText w:val="%7."/>
      <w:lvlJc w:val="left"/>
      <w:pPr>
        <w:ind w:left="5040" w:hanging="360"/>
      </w:pPr>
    </w:lvl>
    <w:lvl w:ilvl="7" w:tplc="A1524F4A">
      <w:start w:val="1"/>
      <w:numFmt w:val="lowerLetter"/>
      <w:lvlText w:val="%8."/>
      <w:lvlJc w:val="left"/>
      <w:pPr>
        <w:ind w:left="5760" w:hanging="360"/>
      </w:pPr>
    </w:lvl>
    <w:lvl w:ilvl="8" w:tplc="4B3A673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096FA4"/>
    <w:rsid w:val="00076057"/>
    <w:rsid w:val="0008040A"/>
    <w:rsid w:val="000A6106"/>
    <w:rsid w:val="000C645C"/>
    <w:rsid w:val="000D388F"/>
    <w:rsid w:val="002227AE"/>
    <w:rsid w:val="00291249"/>
    <w:rsid w:val="002D7835"/>
    <w:rsid w:val="004C6BB7"/>
    <w:rsid w:val="005326D1"/>
    <w:rsid w:val="0055C5DB"/>
    <w:rsid w:val="00630E89"/>
    <w:rsid w:val="006A49B9"/>
    <w:rsid w:val="006E63FF"/>
    <w:rsid w:val="00771475"/>
    <w:rsid w:val="00782A82"/>
    <w:rsid w:val="007E4E97"/>
    <w:rsid w:val="008002B3"/>
    <w:rsid w:val="00830AB0"/>
    <w:rsid w:val="009435E3"/>
    <w:rsid w:val="009C9778"/>
    <w:rsid w:val="00A14A44"/>
    <w:rsid w:val="00B02DCD"/>
    <w:rsid w:val="00B0313A"/>
    <w:rsid w:val="00B13C18"/>
    <w:rsid w:val="00B55CF9"/>
    <w:rsid w:val="00B7E817"/>
    <w:rsid w:val="00C427AD"/>
    <w:rsid w:val="00C93BB5"/>
    <w:rsid w:val="00D14F8B"/>
    <w:rsid w:val="00F16C65"/>
    <w:rsid w:val="00F80CCE"/>
    <w:rsid w:val="00FC7E4E"/>
    <w:rsid w:val="0121549E"/>
    <w:rsid w:val="0130DB3B"/>
    <w:rsid w:val="01EA0F46"/>
    <w:rsid w:val="02001935"/>
    <w:rsid w:val="024E9295"/>
    <w:rsid w:val="027901EC"/>
    <w:rsid w:val="0304332B"/>
    <w:rsid w:val="03240B70"/>
    <w:rsid w:val="038C5FD9"/>
    <w:rsid w:val="039BD45E"/>
    <w:rsid w:val="03D4383A"/>
    <w:rsid w:val="03D94515"/>
    <w:rsid w:val="04193116"/>
    <w:rsid w:val="047E8ED2"/>
    <w:rsid w:val="0484332E"/>
    <w:rsid w:val="04DAB56B"/>
    <w:rsid w:val="050053DA"/>
    <w:rsid w:val="0504C832"/>
    <w:rsid w:val="057E9403"/>
    <w:rsid w:val="06096FA4"/>
    <w:rsid w:val="0646BF68"/>
    <w:rsid w:val="06F87597"/>
    <w:rsid w:val="06FC0C14"/>
    <w:rsid w:val="070BD8FC"/>
    <w:rsid w:val="0742BE73"/>
    <w:rsid w:val="077210EA"/>
    <w:rsid w:val="081EE3B1"/>
    <w:rsid w:val="088B1632"/>
    <w:rsid w:val="08FA41F2"/>
    <w:rsid w:val="0914C6FD"/>
    <w:rsid w:val="096FFF86"/>
    <w:rsid w:val="0975FB7C"/>
    <w:rsid w:val="09905796"/>
    <w:rsid w:val="09EE6D6F"/>
    <w:rsid w:val="0A21A6DD"/>
    <w:rsid w:val="0A66429C"/>
    <w:rsid w:val="0B2E8E30"/>
    <w:rsid w:val="0BDF6A68"/>
    <w:rsid w:val="0BED570A"/>
    <w:rsid w:val="0C58D422"/>
    <w:rsid w:val="0CF4C1C5"/>
    <w:rsid w:val="0D295D56"/>
    <w:rsid w:val="0D2F173D"/>
    <w:rsid w:val="0D7B1A80"/>
    <w:rsid w:val="0DF7A90E"/>
    <w:rsid w:val="0E7F574F"/>
    <w:rsid w:val="0EEEF644"/>
    <w:rsid w:val="0F3C15EA"/>
    <w:rsid w:val="0F413BF1"/>
    <w:rsid w:val="0F609CE2"/>
    <w:rsid w:val="1027D2CC"/>
    <w:rsid w:val="10CA0187"/>
    <w:rsid w:val="111858B7"/>
    <w:rsid w:val="114086D1"/>
    <w:rsid w:val="1162B636"/>
    <w:rsid w:val="118C94DD"/>
    <w:rsid w:val="119DCFB4"/>
    <w:rsid w:val="12384C3E"/>
    <w:rsid w:val="126A277C"/>
    <w:rsid w:val="12786A4A"/>
    <w:rsid w:val="1328653E"/>
    <w:rsid w:val="1334181B"/>
    <w:rsid w:val="137795B4"/>
    <w:rsid w:val="13B20D60"/>
    <w:rsid w:val="13FB0283"/>
    <w:rsid w:val="14DAF10B"/>
    <w:rsid w:val="154DDDC1"/>
    <w:rsid w:val="15549907"/>
    <w:rsid w:val="15CEB3FE"/>
    <w:rsid w:val="16D73008"/>
    <w:rsid w:val="16F50ABE"/>
    <w:rsid w:val="171C96CC"/>
    <w:rsid w:val="1729EA4C"/>
    <w:rsid w:val="177BBF36"/>
    <w:rsid w:val="189EE2A2"/>
    <w:rsid w:val="191E2ECD"/>
    <w:rsid w:val="193538B9"/>
    <w:rsid w:val="1A16CF4B"/>
    <w:rsid w:val="1A3356AA"/>
    <w:rsid w:val="1A840B54"/>
    <w:rsid w:val="1A85BF97"/>
    <w:rsid w:val="1A9A379B"/>
    <w:rsid w:val="1AA22521"/>
    <w:rsid w:val="1B018379"/>
    <w:rsid w:val="1B2C95C4"/>
    <w:rsid w:val="1B340648"/>
    <w:rsid w:val="1C0C0042"/>
    <w:rsid w:val="1C1BB623"/>
    <w:rsid w:val="1C393514"/>
    <w:rsid w:val="1C4F3059"/>
    <w:rsid w:val="1CA568DD"/>
    <w:rsid w:val="1CCF4784"/>
    <w:rsid w:val="1D8DC78C"/>
    <w:rsid w:val="1DD9C5E3"/>
    <w:rsid w:val="1FC3B5C0"/>
    <w:rsid w:val="1FD09425"/>
    <w:rsid w:val="1FF22AD1"/>
    <w:rsid w:val="2006E846"/>
    <w:rsid w:val="201BD798"/>
    <w:rsid w:val="20484354"/>
    <w:rsid w:val="204B8526"/>
    <w:rsid w:val="204EEED0"/>
    <w:rsid w:val="20C0094D"/>
    <w:rsid w:val="211799EA"/>
    <w:rsid w:val="21461EF9"/>
    <w:rsid w:val="218FAFF7"/>
    <w:rsid w:val="21D7E20B"/>
    <w:rsid w:val="222330FB"/>
    <w:rsid w:val="22276476"/>
    <w:rsid w:val="22398B3E"/>
    <w:rsid w:val="22FC21C0"/>
    <w:rsid w:val="2305FE00"/>
    <w:rsid w:val="235CA819"/>
    <w:rsid w:val="23D4468F"/>
    <w:rsid w:val="24086D54"/>
    <w:rsid w:val="24DAE88E"/>
    <w:rsid w:val="25478FE5"/>
    <w:rsid w:val="255E960B"/>
    <w:rsid w:val="25C62ED6"/>
    <w:rsid w:val="25DCEA42"/>
    <w:rsid w:val="26096058"/>
    <w:rsid w:val="26878741"/>
    <w:rsid w:val="26E0C112"/>
    <w:rsid w:val="27400E16"/>
    <w:rsid w:val="2761FF37"/>
    <w:rsid w:val="2796859D"/>
    <w:rsid w:val="27C14425"/>
    <w:rsid w:val="28A4DCDB"/>
    <w:rsid w:val="2A4CBB3A"/>
    <w:rsid w:val="2BA8DFDB"/>
    <w:rsid w:val="2BE361E1"/>
    <w:rsid w:val="2BEDB7DF"/>
    <w:rsid w:val="2C4C2BC6"/>
    <w:rsid w:val="2C5A8382"/>
    <w:rsid w:val="2C5D669D"/>
    <w:rsid w:val="2C94B548"/>
    <w:rsid w:val="2DC005E4"/>
    <w:rsid w:val="2DD140BB"/>
    <w:rsid w:val="2DEFE9AD"/>
    <w:rsid w:val="2DF5CB52"/>
    <w:rsid w:val="2E0277B5"/>
    <w:rsid w:val="2E984882"/>
    <w:rsid w:val="2EA50ED3"/>
    <w:rsid w:val="2EE8C61E"/>
    <w:rsid w:val="2EF15B14"/>
    <w:rsid w:val="2F7291B1"/>
    <w:rsid w:val="301DCD0B"/>
    <w:rsid w:val="30674A20"/>
    <w:rsid w:val="30714BCA"/>
    <w:rsid w:val="30E6F05C"/>
    <w:rsid w:val="31278A6F"/>
    <w:rsid w:val="316AA950"/>
    <w:rsid w:val="318CAB64"/>
    <w:rsid w:val="31B99D6C"/>
    <w:rsid w:val="32C0A6FE"/>
    <w:rsid w:val="32C35AD0"/>
    <w:rsid w:val="32CF35D5"/>
    <w:rsid w:val="32DE4C5D"/>
    <w:rsid w:val="335D5B53"/>
    <w:rsid w:val="33B051F6"/>
    <w:rsid w:val="33B5CF73"/>
    <w:rsid w:val="33FB9AAE"/>
    <w:rsid w:val="343326BB"/>
    <w:rsid w:val="34483A76"/>
    <w:rsid w:val="346A8B64"/>
    <w:rsid w:val="34D78C1D"/>
    <w:rsid w:val="35078519"/>
    <w:rsid w:val="355436BD"/>
    <w:rsid w:val="358C7920"/>
    <w:rsid w:val="3694FC15"/>
    <w:rsid w:val="3704BADF"/>
    <w:rsid w:val="373AC99D"/>
    <w:rsid w:val="3767774F"/>
    <w:rsid w:val="37DF5575"/>
    <w:rsid w:val="380E2715"/>
    <w:rsid w:val="38583E2C"/>
    <w:rsid w:val="38697903"/>
    <w:rsid w:val="390347B0"/>
    <w:rsid w:val="395E97A1"/>
    <w:rsid w:val="39CC9CD7"/>
    <w:rsid w:val="3A50F154"/>
    <w:rsid w:val="3A717C59"/>
    <w:rsid w:val="3A831057"/>
    <w:rsid w:val="3A86E13B"/>
    <w:rsid w:val="3A9E88EC"/>
    <w:rsid w:val="3AA73FB4"/>
    <w:rsid w:val="3ABA7654"/>
    <w:rsid w:val="3BE4A556"/>
    <w:rsid w:val="3BF5B5FB"/>
    <w:rsid w:val="3C3480E4"/>
    <w:rsid w:val="3C3A594D"/>
    <w:rsid w:val="3C7B77ED"/>
    <w:rsid w:val="3CD2AC90"/>
    <w:rsid w:val="3CFD908B"/>
    <w:rsid w:val="3D2BAF4F"/>
    <w:rsid w:val="3D9D365A"/>
    <w:rsid w:val="3DB91007"/>
    <w:rsid w:val="3E3B54F3"/>
    <w:rsid w:val="3E6C76DB"/>
    <w:rsid w:val="3E953F02"/>
    <w:rsid w:val="3EC142BE"/>
    <w:rsid w:val="3EE0A80D"/>
    <w:rsid w:val="3F0D5A8C"/>
    <w:rsid w:val="3FCF39D5"/>
    <w:rsid w:val="4041FDC0"/>
    <w:rsid w:val="41B2110F"/>
    <w:rsid w:val="4274213C"/>
    <w:rsid w:val="42ADE0FB"/>
    <w:rsid w:val="42D19114"/>
    <w:rsid w:val="43A7C02D"/>
    <w:rsid w:val="43D8A1C0"/>
    <w:rsid w:val="445E938F"/>
    <w:rsid w:val="45218674"/>
    <w:rsid w:val="4541D5E9"/>
    <w:rsid w:val="454FE991"/>
    <w:rsid w:val="45CA146F"/>
    <w:rsid w:val="45E92919"/>
    <w:rsid w:val="45ED5DA2"/>
    <w:rsid w:val="45FA63F0"/>
    <w:rsid w:val="464C52B2"/>
    <w:rsid w:val="4659A8DE"/>
    <w:rsid w:val="467C0E87"/>
    <w:rsid w:val="46A0046D"/>
    <w:rsid w:val="477C47A4"/>
    <w:rsid w:val="479F0ACD"/>
    <w:rsid w:val="4818A773"/>
    <w:rsid w:val="4846F040"/>
    <w:rsid w:val="4857A68A"/>
    <w:rsid w:val="49831BB3"/>
    <w:rsid w:val="49C99844"/>
    <w:rsid w:val="49F3D193"/>
    <w:rsid w:val="4A074DD5"/>
    <w:rsid w:val="4A5C2A08"/>
    <w:rsid w:val="4AA73867"/>
    <w:rsid w:val="4AAE4123"/>
    <w:rsid w:val="4AC2AF43"/>
    <w:rsid w:val="4ACC8D0E"/>
    <w:rsid w:val="4ACDD513"/>
    <w:rsid w:val="4AFA48A1"/>
    <w:rsid w:val="4BA602B8"/>
    <w:rsid w:val="4BD710DB"/>
    <w:rsid w:val="4C2E896B"/>
    <w:rsid w:val="4C821BE4"/>
    <w:rsid w:val="4C919BB7"/>
    <w:rsid w:val="4D013906"/>
    <w:rsid w:val="4D4503CD"/>
    <w:rsid w:val="4D64EE20"/>
    <w:rsid w:val="4D6CE500"/>
    <w:rsid w:val="4DA4F1D4"/>
    <w:rsid w:val="4DA6A366"/>
    <w:rsid w:val="4E3E3B75"/>
    <w:rsid w:val="4EB47659"/>
    <w:rsid w:val="4EC77733"/>
    <w:rsid w:val="4EEF86ED"/>
    <w:rsid w:val="4F9F3152"/>
    <w:rsid w:val="4FB801A2"/>
    <w:rsid w:val="4FFB5F09"/>
    <w:rsid w:val="502877B4"/>
    <w:rsid w:val="5062B86F"/>
    <w:rsid w:val="507BE0CC"/>
    <w:rsid w:val="50BFCBF1"/>
    <w:rsid w:val="50D5A427"/>
    <w:rsid w:val="50F34F62"/>
    <w:rsid w:val="513AA9A6"/>
    <w:rsid w:val="51482C8C"/>
    <w:rsid w:val="51EAF114"/>
    <w:rsid w:val="5201C91B"/>
    <w:rsid w:val="529FE7B4"/>
    <w:rsid w:val="52AF12E9"/>
    <w:rsid w:val="52C7AC21"/>
    <w:rsid w:val="52D2477E"/>
    <w:rsid w:val="530C218B"/>
    <w:rsid w:val="531CE978"/>
    <w:rsid w:val="533FB177"/>
    <w:rsid w:val="535C0DED"/>
    <w:rsid w:val="538BD9C4"/>
    <w:rsid w:val="53C36158"/>
    <w:rsid w:val="55633D3F"/>
    <w:rsid w:val="55A3F0C8"/>
    <w:rsid w:val="567CD244"/>
    <w:rsid w:val="57345D4F"/>
    <w:rsid w:val="574A673E"/>
    <w:rsid w:val="576424E2"/>
    <w:rsid w:val="5784B6CE"/>
    <w:rsid w:val="57E3232B"/>
    <w:rsid w:val="57FAAFD6"/>
    <w:rsid w:val="580C52EE"/>
    <w:rsid w:val="586DCA54"/>
    <w:rsid w:val="58BB9D26"/>
    <w:rsid w:val="58E4AB1C"/>
    <w:rsid w:val="5916143D"/>
    <w:rsid w:val="597EBFA3"/>
    <w:rsid w:val="5A3E4001"/>
    <w:rsid w:val="5B70FBEA"/>
    <w:rsid w:val="5C1A4C8C"/>
    <w:rsid w:val="5CD2974F"/>
    <w:rsid w:val="5D6931BA"/>
    <w:rsid w:val="5D7FEE86"/>
    <w:rsid w:val="5D84E7CB"/>
    <w:rsid w:val="5D9A6F5B"/>
    <w:rsid w:val="5E0A5EC8"/>
    <w:rsid w:val="5EEACF90"/>
    <w:rsid w:val="5F1E2A78"/>
    <w:rsid w:val="5F441778"/>
    <w:rsid w:val="5F5EDB62"/>
    <w:rsid w:val="5F8128CA"/>
    <w:rsid w:val="5FE6FC79"/>
    <w:rsid w:val="61004337"/>
    <w:rsid w:val="61191DD0"/>
    <w:rsid w:val="6128D72D"/>
    <w:rsid w:val="61E7A007"/>
    <w:rsid w:val="6204F26F"/>
    <w:rsid w:val="621C9A20"/>
    <w:rsid w:val="622B6806"/>
    <w:rsid w:val="622DD4F7"/>
    <w:rsid w:val="6255CB3A"/>
    <w:rsid w:val="62E6F88A"/>
    <w:rsid w:val="62E71698"/>
    <w:rsid w:val="630F3C29"/>
    <w:rsid w:val="633EF28C"/>
    <w:rsid w:val="63C73867"/>
    <w:rsid w:val="63D8733E"/>
    <w:rsid w:val="63DAFE69"/>
    <w:rsid w:val="63E060C4"/>
    <w:rsid w:val="6428EA46"/>
    <w:rsid w:val="642D2803"/>
    <w:rsid w:val="647A6147"/>
    <w:rsid w:val="64A3210B"/>
    <w:rsid w:val="64C43DE0"/>
    <w:rsid w:val="64CB921F"/>
    <w:rsid w:val="64F53826"/>
    <w:rsid w:val="65413FA4"/>
    <w:rsid w:val="654C4D5C"/>
    <w:rsid w:val="659D4C35"/>
    <w:rsid w:val="66D86392"/>
    <w:rsid w:val="66F9E019"/>
    <w:rsid w:val="66FED929"/>
    <w:rsid w:val="67180186"/>
    <w:rsid w:val="6772CD91"/>
    <w:rsid w:val="67F96277"/>
    <w:rsid w:val="68083CE3"/>
    <w:rsid w:val="684DE89C"/>
    <w:rsid w:val="687BA763"/>
    <w:rsid w:val="68A7D2AF"/>
    <w:rsid w:val="68ABE461"/>
    <w:rsid w:val="68F7AD57"/>
    <w:rsid w:val="691C176D"/>
    <w:rsid w:val="6A40CF6A"/>
    <w:rsid w:val="6A4FA248"/>
    <w:rsid w:val="6A93DA00"/>
    <w:rsid w:val="6B2A3CDE"/>
    <w:rsid w:val="6B7FB077"/>
    <w:rsid w:val="6BBC2BCC"/>
    <w:rsid w:val="6BE38523"/>
    <w:rsid w:val="6BEB72A9"/>
    <w:rsid w:val="6C3EBE18"/>
    <w:rsid w:val="6C6E9018"/>
    <w:rsid w:val="6CBACE55"/>
    <w:rsid w:val="6D15DAEA"/>
    <w:rsid w:val="6D4FC95E"/>
    <w:rsid w:val="6D87430A"/>
    <w:rsid w:val="6D964045"/>
    <w:rsid w:val="6DF4F3C7"/>
    <w:rsid w:val="6F6310F0"/>
    <w:rsid w:val="6F7E287F"/>
    <w:rsid w:val="6FBA327C"/>
    <w:rsid w:val="7083E4D9"/>
    <w:rsid w:val="71491E24"/>
    <w:rsid w:val="7188438B"/>
    <w:rsid w:val="732413EC"/>
    <w:rsid w:val="73FCD6A9"/>
    <w:rsid w:val="740C43F9"/>
    <w:rsid w:val="7426AB12"/>
    <w:rsid w:val="749C7C78"/>
    <w:rsid w:val="750B6CC4"/>
    <w:rsid w:val="7545584D"/>
    <w:rsid w:val="758165CC"/>
    <w:rsid w:val="75B399AB"/>
    <w:rsid w:val="76517E2F"/>
    <w:rsid w:val="76803D3E"/>
    <w:rsid w:val="76B28D08"/>
    <w:rsid w:val="76B30C46"/>
    <w:rsid w:val="76E97043"/>
    <w:rsid w:val="7727C76C"/>
    <w:rsid w:val="772E2550"/>
    <w:rsid w:val="776595D0"/>
    <w:rsid w:val="7776D820"/>
    <w:rsid w:val="77C4F7E7"/>
    <w:rsid w:val="77E4D583"/>
    <w:rsid w:val="7858359C"/>
    <w:rsid w:val="78B9E055"/>
    <w:rsid w:val="7901445C"/>
    <w:rsid w:val="79B7DE00"/>
    <w:rsid w:val="79D67E64"/>
    <w:rsid w:val="79E44F9D"/>
    <w:rsid w:val="7A944C2E"/>
    <w:rsid w:val="7A98BF87"/>
    <w:rsid w:val="7A9A007A"/>
    <w:rsid w:val="7AB778A4"/>
    <w:rsid w:val="7B2F25D1"/>
    <w:rsid w:val="7B69633A"/>
    <w:rsid w:val="7BE17898"/>
    <w:rsid w:val="7BF51D1F"/>
    <w:rsid w:val="7C38E51E"/>
    <w:rsid w:val="7C66BFD4"/>
    <w:rsid w:val="7CCAF632"/>
    <w:rsid w:val="7CED6BE0"/>
    <w:rsid w:val="7D8024B6"/>
    <w:rsid w:val="7DCC2C34"/>
    <w:rsid w:val="7DD4B57F"/>
    <w:rsid w:val="7E741F06"/>
    <w:rsid w:val="7F00C716"/>
    <w:rsid w:val="7F200ED8"/>
    <w:rsid w:val="7F41703A"/>
    <w:rsid w:val="7F7B2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96FA4"/>
  <w15:chartTrackingRefBased/>
  <w15:docId w15:val="{C3640E19-7068-4BF9-8564-962B92D7F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6BB7"/>
    <w:rPr>
      <w:color w:val="0563C1" w:themeColor="hyperlink"/>
      <w:u w:val="single"/>
    </w:rPr>
  </w:style>
  <w:style w:type="character" w:styleId="UnresolvedMention">
    <w:name w:val="Unresolved Mention"/>
    <w:basedOn w:val="DefaultParagraphFont"/>
    <w:uiPriority w:val="99"/>
    <w:semiHidden/>
    <w:unhideWhenUsed/>
    <w:rsid w:val="004C6BB7"/>
    <w:rPr>
      <w:color w:val="605E5C"/>
      <w:shd w:val="clear" w:color="auto" w:fill="E1DFDD"/>
    </w:rPr>
  </w:style>
  <w:style w:type="character" w:styleId="FollowedHyperlink">
    <w:name w:val="FollowedHyperlink"/>
    <w:basedOn w:val="DefaultParagraphFont"/>
    <w:uiPriority w:val="99"/>
    <w:semiHidden/>
    <w:unhideWhenUsed/>
    <w:rsid w:val="00B02D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oapen.org/bitstream/handle/20.500.12657/49756/9789004447493.pdf?sequence=1&amp;isAllowed=y" TargetMode="External"/><Relationship Id="rId5" Type="http://schemas.openxmlformats.org/officeDocument/2006/relationships/hyperlink" Target="https://doi-org.ezproxy.uwtsd.ac.uk/10.1093/joclec/nhy0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970</TotalTime>
  <Pages>6</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Jones (1902712)</dc:creator>
  <cp:keywords/>
  <dc:description/>
  <cp:lastModifiedBy>David Jones (1902712)</cp:lastModifiedBy>
  <cp:revision>6</cp:revision>
  <dcterms:created xsi:type="dcterms:W3CDTF">2021-05-14T02:19:00Z</dcterms:created>
  <dcterms:modified xsi:type="dcterms:W3CDTF">2021-08-10T14:23:00Z</dcterms:modified>
</cp:coreProperties>
</file>