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783A35" w14:textId="77777777" w:rsidR="00F37D20" w:rsidRDefault="00F37D20">
      <w:pPr>
        <w:rPr>
          <w:b/>
        </w:rPr>
      </w:pPr>
      <w:r w:rsidRPr="00F37D20">
        <w:rPr>
          <w:b/>
        </w:rPr>
        <w:t>HPPD7005</w:t>
      </w:r>
      <w:r>
        <w:rPr>
          <w:b/>
        </w:rPr>
        <w:t xml:space="preserve"> | Judaism: Texts and Traditions</w:t>
      </w:r>
    </w:p>
    <w:p w14:paraId="115DBA41" w14:textId="77777777" w:rsidR="00F37D20" w:rsidRDefault="00F37D20">
      <w:pPr>
        <w:rPr>
          <w:b/>
        </w:rPr>
      </w:pPr>
      <w:r>
        <w:rPr>
          <w:b/>
        </w:rPr>
        <w:t>Sem 2, April 2020</w:t>
      </w:r>
    </w:p>
    <w:p w14:paraId="53BF0F87" w14:textId="77777777" w:rsidR="00F37D20" w:rsidRDefault="00F37D20">
      <w:r>
        <w:rPr>
          <w:b/>
        </w:rPr>
        <w:t xml:space="preserve">Assignment 1: </w:t>
      </w:r>
      <w:r>
        <w:t xml:space="preserve">Textual analysis of </w:t>
      </w:r>
      <w:r w:rsidRPr="00771217">
        <w:rPr>
          <w:b/>
        </w:rPr>
        <w:t>Genesis 22</w:t>
      </w:r>
      <w:r w:rsidRPr="00F37D20">
        <w:t xml:space="preserve"> from </w:t>
      </w:r>
      <w:r>
        <w:t>the</w:t>
      </w:r>
      <w:r w:rsidRPr="00F37D20">
        <w:t xml:space="preserve"> Je</w:t>
      </w:r>
      <w:r>
        <w:t>wish and interfaith perspectives</w:t>
      </w:r>
    </w:p>
    <w:p w14:paraId="63C3858F" w14:textId="77777777" w:rsidR="009B0B55" w:rsidRPr="009B0B55" w:rsidRDefault="009B0B55">
      <w:r>
        <w:rPr>
          <w:b/>
        </w:rPr>
        <w:t xml:space="preserve">Word limit: </w:t>
      </w:r>
      <w:r w:rsidRPr="009B0B55">
        <w:t>3000</w:t>
      </w:r>
    </w:p>
    <w:p w14:paraId="5EE79EC8" w14:textId="77777777" w:rsidR="00F37D20" w:rsidRDefault="00F37D20">
      <w:r>
        <w:rPr>
          <w:b/>
        </w:rPr>
        <w:t xml:space="preserve">Facilitator: </w:t>
      </w:r>
      <w:r>
        <w:t>Dr. Catrin Williams</w:t>
      </w:r>
    </w:p>
    <w:p w14:paraId="76C344B5" w14:textId="77777777" w:rsidR="00F37D20" w:rsidRDefault="009B0B55">
      <w:r>
        <w:rPr>
          <w:b/>
        </w:rPr>
        <w:t>P</w:t>
      </w:r>
      <w:r w:rsidR="00F37D20">
        <w:rPr>
          <w:b/>
        </w:rPr>
        <w:t xml:space="preserve">rogram: </w:t>
      </w:r>
      <w:r>
        <w:t>Professional Doctorate in Interfaith Studies</w:t>
      </w:r>
    </w:p>
    <w:p w14:paraId="3C2FBCBB" w14:textId="77777777" w:rsidR="009B0B55" w:rsidRPr="009B0B55" w:rsidRDefault="009B0B55">
      <w:r>
        <w:rPr>
          <w:b/>
        </w:rPr>
        <w:t xml:space="preserve">Student ID: </w:t>
      </w:r>
      <w:r>
        <w:t>1907527</w:t>
      </w:r>
    </w:p>
    <w:p w14:paraId="0E6817D8" w14:textId="77777777" w:rsidR="009B0B55" w:rsidRDefault="009B0B55"/>
    <w:p w14:paraId="4A677F00" w14:textId="77777777" w:rsidR="009B0B55" w:rsidRPr="009B0B55" w:rsidRDefault="009B0B55">
      <w:pPr>
        <w:rPr>
          <w:b/>
        </w:rPr>
      </w:pPr>
      <w:r>
        <w:t>Candidate:</w:t>
      </w:r>
      <w:r>
        <w:rPr>
          <w:b/>
        </w:rPr>
        <w:t xml:space="preserve"> Urmi Chanda</w:t>
      </w:r>
    </w:p>
    <w:p w14:paraId="7F80126A" w14:textId="77777777" w:rsidR="00F37D20" w:rsidRDefault="00F37D20">
      <w:pPr>
        <w:pBdr>
          <w:bottom w:val="single" w:sz="6" w:space="1" w:color="auto"/>
        </w:pBdr>
      </w:pPr>
    </w:p>
    <w:p w14:paraId="2CCE6CB6" w14:textId="77777777" w:rsidR="007A06F5" w:rsidRDefault="007A06F5"/>
    <w:p w14:paraId="062D3D3D" w14:textId="18CD15FC" w:rsidR="007A06F5" w:rsidRPr="00494365" w:rsidRDefault="00FC20D1">
      <w:pPr>
        <w:rPr>
          <w:b/>
        </w:rPr>
      </w:pPr>
      <w:r w:rsidRPr="00494365">
        <w:rPr>
          <w:b/>
        </w:rPr>
        <w:t>INTRODUCTION</w:t>
      </w:r>
    </w:p>
    <w:p w14:paraId="0118359A" w14:textId="77777777" w:rsidR="00FC20D1" w:rsidRDefault="00FC20D1"/>
    <w:p w14:paraId="0ED13181" w14:textId="49BE0F60" w:rsidR="00FC20D1" w:rsidRDefault="00FC20D1">
      <w:r>
        <w:t xml:space="preserve">In the 2018 Hollywood film, ‘Infinity War’, the </w:t>
      </w:r>
      <w:r w:rsidR="00220DF5">
        <w:t>super villain</w:t>
      </w:r>
      <w:r>
        <w:t xml:space="preserve"> of the Marvel universe</w:t>
      </w:r>
      <w:r w:rsidR="00220DF5">
        <w:t xml:space="preserve">, Thanos, is posed with a peculiar dilemma. In order to acquire from Red Skull the Soul Stone – one of the six Infinity Stones that he is collecting for world domination – he must sacrifice something loves. Between his quest to end half the world and his deep love for his adopted daughter, Gamora, the former wins. Thanos pushes Gamora off the edge of a tall cliff, gets the stone and walks away. </w:t>
      </w:r>
    </w:p>
    <w:p w14:paraId="71F471C9" w14:textId="77777777" w:rsidR="00220DF5" w:rsidRDefault="00220DF5"/>
    <w:p w14:paraId="26BFC19D" w14:textId="2AFE070A" w:rsidR="00784052" w:rsidRDefault="003362B5" w:rsidP="00784052">
      <w:pPr>
        <w:rPr>
          <w:lang w:val="en-IN"/>
        </w:rPr>
      </w:pPr>
      <w:r>
        <w:t>Rewindi</w:t>
      </w:r>
      <w:r w:rsidR="00C36063">
        <w:t>ng far back to circa 1500 BCE, the</w:t>
      </w:r>
      <w:r>
        <w:t xml:space="preserve"> story</w:t>
      </w:r>
      <w:r w:rsidR="00C36063">
        <w:t xml:space="preserve"> of Sunahkshepa</w:t>
      </w:r>
      <w:r>
        <w:t xml:space="preserve"> from the oldest Hindu scripture – the Rig Veda – has similar resonances</w:t>
      </w:r>
      <w:sdt>
        <w:sdtPr>
          <w:id w:val="-14922152"/>
          <w:citation/>
        </w:sdtPr>
        <w:sdtContent>
          <w:r w:rsidR="00125788">
            <w:fldChar w:fldCharType="begin"/>
          </w:r>
          <w:r w:rsidR="00125788">
            <w:instrText xml:space="preserve"> CITATION Gre75 \l 1033 </w:instrText>
          </w:r>
          <w:r w:rsidR="00125788">
            <w:fldChar w:fldCharType="separate"/>
          </w:r>
          <w:r w:rsidR="00125788">
            <w:rPr>
              <w:noProof/>
            </w:rPr>
            <w:t xml:space="preserve"> (Green)</w:t>
          </w:r>
          <w:r w:rsidR="00125788">
            <w:fldChar w:fldCharType="end"/>
          </w:r>
        </w:sdtContent>
      </w:sdt>
      <w:r>
        <w:t xml:space="preserve">. </w:t>
      </w:r>
      <w:r w:rsidR="008D4505">
        <w:t>In its Aitareya Brahmana section, we read about the King Harishchandra</w:t>
      </w:r>
      <w:r w:rsidR="003F1FCE">
        <w:t xml:space="preserve"> of the Ikshvaku dynasty, who has a 100 wives but no son. A prayer to god Varuna yields him a male heir, Rohit. But Varuna’s blessing comes with the caveat of a sacrifice. A few years later, Varuna asks that Rohit be sacrificed to him, but Harishchandra refuses. He sends his son away and earns the ire of the god. Meanwhile, </w:t>
      </w:r>
      <w:r w:rsidR="00784052">
        <w:t>the wandering son finds a poor</w:t>
      </w:r>
      <w:r w:rsidR="003F1FCE">
        <w:t xml:space="preserve"> Brahmin named </w:t>
      </w:r>
      <w:r w:rsidR="00784052" w:rsidRPr="00784052">
        <w:rPr>
          <w:lang w:val="en-IN"/>
        </w:rPr>
        <w:t>Ajigarta Sauyavasi</w:t>
      </w:r>
      <w:r w:rsidR="00784052">
        <w:rPr>
          <w:lang w:val="en-IN"/>
        </w:rPr>
        <w:t xml:space="preserve">, who has three sons. Rohit asks the Brahmin if he would give one of his sons up to be sacrificed to Varuna in his stead. The Brahmin is loathe to give up his eldest son, and his wife refuses to part with her youngest; so the middle child, named Sunahkshepa is given up in lieu of a 100 cows. Varuna is happy with the replcement and the day of the sacrifice comes. When the officiating priests refuse to tie the boy Sunahkshepa to the sacrificial post, his father Ajigarta volunteers to do it for a 100 more cows. When the priests again refuse to slaughter the boy, the father says he would do it for another 100 cows. Sunahkshepa can only comply and pray for his life. Just as the moment of sacrifice comes, the Rig Vedic god of Dawn, Ushas, </w:t>
      </w:r>
      <w:r w:rsidR="005E79C4">
        <w:rPr>
          <w:lang w:val="en-IN"/>
        </w:rPr>
        <w:t xml:space="preserve">rescues the boy by loosening his bonds and </w:t>
      </w:r>
      <w:r w:rsidR="00793E94">
        <w:rPr>
          <w:lang w:val="en-IN"/>
        </w:rPr>
        <w:t xml:space="preserve">the gods exempt Harishchandra from the sacrifice. </w:t>
      </w:r>
    </w:p>
    <w:p w14:paraId="7E82C430" w14:textId="77777777" w:rsidR="00C341B7" w:rsidRDefault="00C341B7" w:rsidP="00784052">
      <w:pPr>
        <w:rPr>
          <w:lang w:val="en-IN"/>
        </w:rPr>
      </w:pPr>
    </w:p>
    <w:p w14:paraId="79AD7320" w14:textId="60E1DD52" w:rsidR="00C341B7" w:rsidRDefault="00C341B7" w:rsidP="00784052">
      <w:pPr>
        <w:rPr>
          <w:lang w:val="en-IN"/>
        </w:rPr>
      </w:pPr>
      <w:r>
        <w:rPr>
          <w:lang w:val="en-IN"/>
        </w:rPr>
        <w:t>In the Greek myth of Agamemnon too, he sacrifices his daughter, Iphigenia, to placate the irate goddess, Artemis, and thereby secure his progress in the war against the Trojans. In some versions of the 8</w:t>
      </w:r>
      <w:r w:rsidRPr="00C341B7">
        <w:rPr>
          <w:vertAlign w:val="superscript"/>
          <w:lang w:val="en-IN"/>
        </w:rPr>
        <w:t>th</w:t>
      </w:r>
      <w:r>
        <w:rPr>
          <w:lang w:val="en-IN"/>
        </w:rPr>
        <w:t xml:space="preserve"> century BCE story, Iphigenia dies at her father’s hands and in some others, she survives and goes off to find her brother, </w:t>
      </w:r>
      <w:r w:rsidR="007C059A">
        <w:rPr>
          <w:lang w:val="en-IN"/>
        </w:rPr>
        <w:t>Orestes and meet the Taurians, and in yet others, she is saved and rendered immortal by Atemis and is substituted by a deer in the sacrifice</w:t>
      </w:r>
      <w:sdt>
        <w:sdtPr>
          <w:rPr>
            <w:lang w:val="en-IN"/>
          </w:rPr>
          <w:id w:val="-306625258"/>
          <w:citation/>
        </w:sdtPr>
        <w:sdtContent>
          <w:r w:rsidR="007C059A">
            <w:rPr>
              <w:lang w:val="en-IN"/>
            </w:rPr>
            <w:fldChar w:fldCharType="begin"/>
          </w:r>
          <w:r w:rsidR="007C059A">
            <w:instrText xml:space="preserve"> CITATION Sim14 \l 1033 </w:instrText>
          </w:r>
          <w:r w:rsidR="007C059A">
            <w:rPr>
              <w:lang w:val="en-IN"/>
            </w:rPr>
            <w:fldChar w:fldCharType="separate"/>
          </w:r>
          <w:r w:rsidR="007C059A">
            <w:rPr>
              <w:noProof/>
            </w:rPr>
            <w:t xml:space="preserve"> (Simon Hornblower)</w:t>
          </w:r>
          <w:r w:rsidR="007C059A">
            <w:rPr>
              <w:lang w:val="en-IN"/>
            </w:rPr>
            <w:fldChar w:fldCharType="end"/>
          </w:r>
        </w:sdtContent>
      </w:sdt>
      <w:r w:rsidR="007C059A">
        <w:rPr>
          <w:lang w:val="en-IN"/>
        </w:rPr>
        <w:t xml:space="preserve">. </w:t>
      </w:r>
    </w:p>
    <w:p w14:paraId="54D6EF02" w14:textId="77777777" w:rsidR="00C341B7" w:rsidRDefault="00C341B7" w:rsidP="00784052">
      <w:pPr>
        <w:rPr>
          <w:lang w:val="en-IN"/>
        </w:rPr>
      </w:pPr>
    </w:p>
    <w:p w14:paraId="549EA17B" w14:textId="3A6315DD" w:rsidR="00494365" w:rsidRDefault="00C766EC" w:rsidP="00784052">
      <w:pPr>
        <w:rPr>
          <w:lang w:val="en-IN"/>
        </w:rPr>
      </w:pPr>
      <w:r>
        <w:rPr>
          <w:lang w:val="en-IN"/>
        </w:rPr>
        <w:lastRenderedPageBreak/>
        <w:t xml:space="preserve">Across a long timeline and a diverse set of cultures, the motif of father wanting to sacrifice/ sacrificing his offsprint child seems to occur over and over. </w:t>
      </w:r>
      <w:r w:rsidR="00494365">
        <w:rPr>
          <w:lang w:val="en-IN"/>
        </w:rPr>
        <w:t xml:space="preserve">Parents sacrificing their children at the altar of beliefs or ideologies is hardly uncommon – whether it is pushing a child into a career a parent wanted for oneself, </w:t>
      </w:r>
      <w:r w:rsidR="00477A98">
        <w:rPr>
          <w:lang w:val="en-IN"/>
        </w:rPr>
        <w:t xml:space="preserve"> an ‘ideal’ marriage alliance, </w:t>
      </w:r>
      <w:r w:rsidR="00494365">
        <w:rPr>
          <w:lang w:val="en-IN"/>
        </w:rPr>
        <w:t>or se</w:t>
      </w:r>
      <w:r w:rsidR="00477A98">
        <w:rPr>
          <w:lang w:val="en-IN"/>
        </w:rPr>
        <w:t xml:space="preserve">nding them to serve in the army, there are many ways in which parents continue to sacrifice of the life of their children, although it may not always end in visible death. </w:t>
      </w:r>
    </w:p>
    <w:p w14:paraId="45CB6089" w14:textId="77777777" w:rsidR="00494365" w:rsidRDefault="00494365" w:rsidP="00784052">
      <w:pPr>
        <w:rPr>
          <w:lang w:val="en-IN"/>
        </w:rPr>
      </w:pPr>
    </w:p>
    <w:p w14:paraId="549BF7EB" w14:textId="39609B89" w:rsidR="00C341B7" w:rsidRPr="00784052" w:rsidRDefault="00C766EC" w:rsidP="00784052">
      <w:pPr>
        <w:rPr>
          <w:lang w:val="en-IN"/>
        </w:rPr>
      </w:pPr>
      <w:r>
        <w:rPr>
          <w:lang w:val="en-IN"/>
        </w:rPr>
        <w:t xml:space="preserve">But </w:t>
      </w:r>
      <w:r w:rsidR="0022610F">
        <w:rPr>
          <w:lang w:val="en-IN"/>
        </w:rPr>
        <w:t xml:space="preserve">in literal terms, </w:t>
      </w:r>
      <w:r>
        <w:rPr>
          <w:lang w:val="en-IN"/>
        </w:rPr>
        <w:t>the best known</w:t>
      </w:r>
      <w:r w:rsidR="007C059A">
        <w:rPr>
          <w:lang w:val="en-IN"/>
        </w:rPr>
        <w:t xml:space="preserve"> and </w:t>
      </w:r>
      <w:r w:rsidR="00B02801">
        <w:rPr>
          <w:lang w:val="en-IN"/>
        </w:rPr>
        <w:t>highly</w:t>
      </w:r>
      <w:r w:rsidR="0022610F">
        <w:rPr>
          <w:lang w:val="en-IN"/>
        </w:rPr>
        <w:t xml:space="preserve"> </w:t>
      </w:r>
      <w:r w:rsidR="00B02801">
        <w:rPr>
          <w:lang w:val="en-IN"/>
        </w:rPr>
        <w:t>morally vexing story of this template is perhaps</w:t>
      </w:r>
      <w:r>
        <w:rPr>
          <w:lang w:val="en-IN"/>
        </w:rPr>
        <w:t xml:space="preserve"> the Biblical Akedah. </w:t>
      </w:r>
      <w:r w:rsidR="00B02801">
        <w:rPr>
          <w:lang w:val="en-IN"/>
        </w:rPr>
        <w:t>This paper attempts to understand the basic structure and contexts of Chapter 22 of the Genesis, which chronicles the most dramatic episode of the Akedah</w:t>
      </w:r>
      <w:r w:rsidR="001A09FC">
        <w:rPr>
          <w:lang w:val="en-IN"/>
        </w:rPr>
        <w:t xml:space="preserve"> (or Aqedah)</w:t>
      </w:r>
      <w:r w:rsidR="00B02801">
        <w:rPr>
          <w:lang w:val="en-IN"/>
        </w:rPr>
        <w:t xml:space="preserve"> or ‘The Binding” (of Isaac by Abraham). </w:t>
      </w:r>
    </w:p>
    <w:p w14:paraId="0542A6BB" w14:textId="77777777" w:rsidR="009738AC" w:rsidRDefault="009738AC">
      <w:pPr>
        <w:rPr>
          <w:b/>
        </w:rPr>
      </w:pPr>
    </w:p>
    <w:p w14:paraId="1B60AA52" w14:textId="5D218F48" w:rsidR="00220DF5" w:rsidRDefault="00EE202F">
      <w:pPr>
        <w:rPr>
          <w:b/>
        </w:rPr>
      </w:pPr>
      <w:r>
        <w:rPr>
          <w:b/>
        </w:rPr>
        <w:t xml:space="preserve">Textual </w:t>
      </w:r>
      <w:r w:rsidR="00307F66">
        <w:rPr>
          <w:b/>
        </w:rPr>
        <w:t>location and</w:t>
      </w:r>
      <w:r w:rsidR="00F7419C">
        <w:rPr>
          <w:b/>
        </w:rPr>
        <w:t xml:space="preserve"> synopsis</w:t>
      </w:r>
    </w:p>
    <w:p w14:paraId="0B9A8529" w14:textId="77777777" w:rsidR="000923AC" w:rsidRPr="00B02801" w:rsidRDefault="000923AC"/>
    <w:p w14:paraId="154F416F" w14:textId="3FD0254B" w:rsidR="00294CFE" w:rsidRDefault="0086640B" w:rsidP="00294CFE">
      <w:pPr>
        <w:rPr>
          <w:lang w:val="en-IN"/>
        </w:rPr>
      </w:pPr>
      <w:r>
        <w:t xml:space="preserve">The Akedah occurs in the </w:t>
      </w:r>
      <w:r w:rsidR="00294CFE">
        <w:t xml:space="preserve">very first book of the </w:t>
      </w:r>
      <w:r>
        <w:t xml:space="preserve">Tanakh or the Hebrew Bible, also known as the Old Testament in Christian parlance. </w:t>
      </w:r>
      <w:r w:rsidR="00294CFE">
        <w:t xml:space="preserve">The first book, called the Bereishit or the Book of Genesis is part of the Pentateuch – or the first five books of the Bible (the other four being </w:t>
      </w:r>
      <w:r w:rsidR="00294CFE" w:rsidRPr="00294CFE">
        <w:rPr>
          <w:lang w:val="en-IN"/>
        </w:rPr>
        <w:t>Exodus, Leviticus, Numbers, and Deuteronomy</w:t>
      </w:r>
      <w:r w:rsidR="00294CFE">
        <w:rPr>
          <w:lang w:val="en-IN"/>
        </w:rPr>
        <w:t xml:space="preserve">).  </w:t>
      </w:r>
      <w:r w:rsidR="005F5ABE">
        <w:rPr>
          <w:lang w:val="en-IN"/>
        </w:rPr>
        <w:t>The chapter under discussion is numbered 22, and has 24 verses in all, and forms among the earliest known scriptures/ myths of Judaism.</w:t>
      </w:r>
    </w:p>
    <w:p w14:paraId="637AAB18" w14:textId="77777777" w:rsidR="005F5ABE" w:rsidRDefault="005F5ABE" w:rsidP="00294CFE">
      <w:pPr>
        <w:rPr>
          <w:lang w:val="en-IN"/>
        </w:rPr>
      </w:pPr>
    </w:p>
    <w:p w14:paraId="74029933" w14:textId="4B994610" w:rsidR="005F5ABE" w:rsidRDefault="00387B43" w:rsidP="00294CFE">
      <w:pPr>
        <w:rPr>
          <w:lang w:val="en-IN"/>
        </w:rPr>
      </w:pPr>
      <w:r>
        <w:rPr>
          <w:lang w:val="en-IN"/>
        </w:rPr>
        <w:t xml:space="preserve">The chapter begins with what seems like an abrupt </w:t>
      </w:r>
      <w:r w:rsidR="005146C5">
        <w:rPr>
          <w:lang w:val="en-IN"/>
        </w:rPr>
        <w:t xml:space="preserve">call to test for Abraham, one of the Bible’s foremost prophets and patriarchs. </w:t>
      </w:r>
      <w:r w:rsidR="00B97D50">
        <w:rPr>
          <w:lang w:val="en-IN"/>
        </w:rPr>
        <w:t xml:space="preserve">God orders Abraham to take his son, Isaac, up a hill in Moriah and sacrifice him as a burnt offering. With unquestioning obedience, Abraham accepts God’s command and sets off to do His bidding. With chopped wood, a couple of servants, a donkey to carry the load, and Isaac, Abraham reaches the base of the </w:t>
      </w:r>
      <w:r w:rsidR="007B0174">
        <w:rPr>
          <w:lang w:val="en-IN"/>
        </w:rPr>
        <w:t xml:space="preserve">designated spot. He bids his servants to remain there with the donkey, and proceeds to climb the hill with the wood and his unsuspecting son. When Isaac asks him what of the missing lamb, Abraham cryptically answers that God would provide for the offering himself. </w:t>
      </w:r>
      <w:r w:rsidR="00F136A4">
        <w:rPr>
          <w:lang w:val="en-IN"/>
        </w:rPr>
        <w:t xml:space="preserve"> Isaac asks no further questions and follows through obediently – like father, like son – including when Abraham binds him to the altar. As the patriarch lifts his knife to slay his son, an angel’s voice bids him to stop thus:</w:t>
      </w:r>
    </w:p>
    <w:p w14:paraId="0D9C98A9" w14:textId="77777777" w:rsidR="00F136A4" w:rsidRDefault="00F136A4" w:rsidP="00294CFE">
      <w:pPr>
        <w:rPr>
          <w:lang w:val="en-IN"/>
        </w:rPr>
      </w:pPr>
    </w:p>
    <w:p w14:paraId="5A5CE8F8" w14:textId="4E10F183" w:rsidR="00F136A4" w:rsidRPr="00F136A4" w:rsidRDefault="00F136A4" w:rsidP="00F136A4">
      <w:pPr>
        <w:rPr>
          <w:i/>
          <w:lang w:val="en-IN"/>
        </w:rPr>
      </w:pPr>
      <w:r w:rsidRPr="00F136A4">
        <w:rPr>
          <w:i/>
          <w:lang w:val="en-IN"/>
        </w:rPr>
        <w:t xml:space="preserve">"…Abraham! Abraham!" And he said, "Here I am." </w:t>
      </w:r>
    </w:p>
    <w:p w14:paraId="03C9CA51" w14:textId="2BCF95FB" w:rsidR="00F136A4" w:rsidRDefault="00F136A4" w:rsidP="00F136A4">
      <w:pPr>
        <w:rPr>
          <w:i/>
          <w:lang w:val="en-IN"/>
        </w:rPr>
      </w:pPr>
      <w:r w:rsidRPr="00F136A4">
        <w:rPr>
          <w:i/>
          <w:lang w:val="en-IN"/>
        </w:rPr>
        <w:t>And he said, "Do not stretch forth your hand to the lad, nor do the slightest thing to him, for now I know that you are a God fearing man, and you did not withhold your son, your only one, from Me." (Gen. 22:11-12)</w:t>
      </w:r>
      <w:sdt>
        <w:sdtPr>
          <w:rPr>
            <w:i/>
            <w:lang w:val="en-IN"/>
          </w:rPr>
          <w:id w:val="-2037959695"/>
          <w:citation/>
        </w:sdtPr>
        <w:sdtContent>
          <w:r w:rsidR="009E3029">
            <w:rPr>
              <w:i/>
              <w:lang w:val="en-IN"/>
            </w:rPr>
            <w:fldChar w:fldCharType="begin"/>
          </w:r>
          <w:r w:rsidR="009E3029">
            <w:rPr>
              <w:i/>
            </w:rPr>
            <w:instrText xml:space="preserve"> CITATION Cha93 \l 1033 </w:instrText>
          </w:r>
          <w:r w:rsidR="009E3029">
            <w:rPr>
              <w:i/>
              <w:lang w:val="en-IN"/>
            </w:rPr>
            <w:fldChar w:fldCharType="separate"/>
          </w:r>
          <w:r w:rsidR="009E3029">
            <w:rPr>
              <w:i/>
              <w:noProof/>
            </w:rPr>
            <w:t xml:space="preserve"> </w:t>
          </w:r>
          <w:r w:rsidR="009E3029">
            <w:rPr>
              <w:noProof/>
            </w:rPr>
            <w:t>(Chabad)</w:t>
          </w:r>
          <w:r w:rsidR="009E3029">
            <w:rPr>
              <w:i/>
              <w:lang w:val="en-IN"/>
            </w:rPr>
            <w:fldChar w:fldCharType="end"/>
          </w:r>
        </w:sdtContent>
      </w:sdt>
    </w:p>
    <w:p w14:paraId="16F54DC1" w14:textId="77777777" w:rsidR="00F136A4" w:rsidRDefault="00F136A4" w:rsidP="00F136A4">
      <w:pPr>
        <w:rPr>
          <w:i/>
          <w:lang w:val="en-IN"/>
        </w:rPr>
      </w:pPr>
    </w:p>
    <w:p w14:paraId="5BB49404" w14:textId="01829A63" w:rsidR="00F136A4" w:rsidRDefault="009E3029" w:rsidP="00F136A4">
      <w:pPr>
        <w:rPr>
          <w:lang w:val="en-IN"/>
        </w:rPr>
      </w:pPr>
      <w:r>
        <w:rPr>
          <w:lang w:val="en-IN"/>
        </w:rPr>
        <w:t xml:space="preserve">As this divine proclamation is made, Abraham spots a ram in the bush and catching it by its horns, he sacrifices it to God. He names the mountain ‘The Lord will see (also translated as ‘The Lord will provide)’. Having thus obeyed God’s command, Abraham hears His voice again. </w:t>
      </w:r>
    </w:p>
    <w:p w14:paraId="4FE78FC0" w14:textId="77777777" w:rsidR="009E3029" w:rsidRDefault="009E3029" w:rsidP="00F136A4">
      <w:pPr>
        <w:rPr>
          <w:lang w:val="en-IN"/>
        </w:rPr>
      </w:pPr>
    </w:p>
    <w:p w14:paraId="7E1810D1" w14:textId="401DDF90" w:rsidR="009E3029" w:rsidRPr="009E3029" w:rsidRDefault="009E3029" w:rsidP="009E3029">
      <w:pPr>
        <w:rPr>
          <w:i/>
          <w:lang w:val="en-IN"/>
        </w:rPr>
      </w:pPr>
      <w:r w:rsidRPr="009E3029">
        <w:rPr>
          <w:i/>
          <w:lang w:val="en-IN"/>
        </w:rPr>
        <w:t>“By Myself have I sworn, says the Lord, that because you have done this thing and you did not withhold your son, your only one,</w:t>
      </w:r>
    </w:p>
    <w:p w14:paraId="1CE60022" w14:textId="77777777" w:rsidR="009E3029" w:rsidRPr="009E3029" w:rsidRDefault="009E3029" w:rsidP="009E3029">
      <w:pPr>
        <w:rPr>
          <w:i/>
          <w:lang w:val="en-IN"/>
        </w:rPr>
      </w:pPr>
      <w:r w:rsidRPr="009E3029">
        <w:rPr>
          <w:i/>
          <w:lang w:val="en-IN"/>
        </w:rPr>
        <w:t>That I will surely bless you, and I will greatly multiply your seed as the stars of the heavens and as the sand that is on the seashore, and your descendants will inherit the cities of their enemies.</w:t>
      </w:r>
    </w:p>
    <w:p w14:paraId="326D6A1A" w14:textId="61A5DFB5" w:rsidR="009E3029" w:rsidRDefault="009E3029" w:rsidP="009E3029">
      <w:pPr>
        <w:rPr>
          <w:i/>
          <w:lang w:val="en-IN"/>
        </w:rPr>
      </w:pPr>
      <w:r w:rsidRPr="009E3029">
        <w:rPr>
          <w:i/>
          <w:lang w:val="en-IN"/>
        </w:rPr>
        <w:t>And through your children shall be blessed all the nations of the world, because you hearkened to My voice."</w:t>
      </w:r>
      <w:r>
        <w:rPr>
          <w:i/>
          <w:lang w:val="en-IN"/>
        </w:rPr>
        <w:t xml:space="preserve"> (Gen. 22: 16-18)</w:t>
      </w:r>
    </w:p>
    <w:p w14:paraId="33840CA1" w14:textId="77777777" w:rsidR="009E3029" w:rsidRDefault="009E3029" w:rsidP="009E3029">
      <w:pPr>
        <w:rPr>
          <w:i/>
          <w:lang w:val="en-IN"/>
        </w:rPr>
      </w:pPr>
    </w:p>
    <w:p w14:paraId="6BE54936" w14:textId="328F246C" w:rsidR="009E3029" w:rsidRPr="009E3029" w:rsidRDefault="009E3029" w:rsidP="009E3029">
      <w:pPr>
        <w:rPr>
          <w:lang w:val="en-IN"/>
        </w:rPr>
      </w:pPr>
      <w:r>
        <w:rPr>
          <w:lang w:val="en-IN"/>
        </w:rPr>
        <w:t xml:space="preserve">The promise and the providence, thus, having been delivered, the rest of the chapter is dedicated to Abraham’s acquiantance with numerous descendents of his family, who would rule the earth, as promised by God. </w:t>
      </w:r>
    </w:p>
    <w:p w14:paraId="0A696F15" w14:textId="5E59777F" w:rsidR="009E3029" w:rsidRPr="00F136A4" w:rsidRDefault="009E3029" w:rsidP="00F136A4">
      <w:pPr>
        <w:rPr>
          <w:lang w:val="en-IN"/>
        </w:rPr>
      </w:pPr>
    </w:p>
    <w:p w14:paraId="5221B644" w14:textId="462196A1" w:rsidR="00F136A4" w:rsidRDefault="002A032E" w:rsidP="00294CFE">
      <w:pPr>
        <w:rPr>
          <w:b/>
          <w:lang w:val="en-IN"/>
        </w:rPr>
      </w:pPr>
      <w:r>
        <w:rPr>
          <w:b/>
          <w:lang w:val="en-IN"/>
        </w:rPr>
        <w:t>Motifs</w:t>
      </w:r>
      <w:r w:rsidR="00ED35FE">
        <w:rPr>
          <w:b/>
          <w:lang w:val="en-IN"/>
        </w:rPr>
        <w:t xml:space="preserve"> and f</w:t>
      </w:r>
      <w:r w:rsidR="009738AC">
        <w:rPr>
          <w:b/>
          <w:lang w:val="en-IN"/>
        </w:rPr>
        <w:t>unction</w:t>
      </w:r>
      <w:r>
        <w:rPr>
          <w:b/>
          <w:lang w:val="en-IN"/>
        </w:rPr>
        <w:t>s</w:t>
      </w:r>
      <w:r w:rsidR="00B46597">
        <w:rPr>
          <w:b/>
          <w:lang w:val="en-IN"/>
        </w:rPr>
        <w:t xml:space="preserve"> of the Akedah</w:t>
      </w:r>
    </w:p>
    <w:p w14:paraId="60E4FEF1" w14:textId="77777777" w:rsidR="00B46597" w:rsidRDefault="00B46597" w:rsidP="00294CFE">
      <w:pPr>
        <w:rPr>
          <w:b/>
          <w:lang w:val="en-IN"/>
        </w:rPr>
      </w:pPr>
    </w:p>
    <w:p w14:paraId="37261E09" w14:textId="77777777" w:rsidR="00467F1E" w:rsidRDefault="00704D0C" w:rsidP="00294CFE">
      <w:pPr>
        <w:rPr>
          <w:lang w:val="en-IN"/>
        </w:rPr>
      </w:pPr>
      <w:r w:rsidRPr="00704D0C">
        <w:rPr>
          <w:lang w:val="en-IN"/>
        </w:rPr>
        <w:t xml:space="preserve">The </w:t>
      </w:r>
      <w:r w:rsidR="001A09FC">
        <w:rPr>
          <w:lang w:val="en-IN"/>
        </w:rPr>
        <w:t>Akedah story is somewhat paradigmatic wit</w:t>
      </w:r>
      <w:r w:rsidR="00467F1E">
        <w:rPr>
          <w:lang w:val="en-IN"/>
        </w:rPr>
        <w:t>h themes such as</w:t>
      </w:r>
      <w:r w:rsidR="001A09FC">
        <w:rPr>
          <w:lang w:val="en-IN"/>
        </w:rPr>
        <w:t xml:space="preserve"> </w:t>
      </w:r>
      <w:r w:rsidR="001A09FC" w:rsidRPr="00771217">
        <w:rPr>
          <w:u w:val="single"/>
          <w:lang w:val="en-IN"/>
        </w:rPr>
        <w:t>divine command and obedience</w:t>
      </w:r>
      <w:r w:rsidR="00467F1E">
        <w:rPr>
          <w:lang w:val="en-IN"/>
        </w:rPr>
        <w:t xml:space="preserve">, and </w:t>
      </w:r>
      <w:r w:rsidR="00467F1E" w:rsidRPr="00771217">
        <w:rPr>
          <w:u w:val="single"/>
          <w:lang w:val="en-IN"/>
        </w:rPr>
        <w:t>human sacrifice</w:t>
      </w:r>
      <w:r w:rsidR="001A09FC">
        <w:rPr>
          <w:lang w:val="en-IN"/>
        </w:rPr>
        <w:t xml:space="preserve"> recurring throughout the Bible. </w:t>
      </w:r>
      <w:r w:rsidR="00CB1DF7">
        <w:rPr>
          <w:lang w:val="en-IN"/>
        </w:rPr>
        <w:t>Similarit</w:t>
      </w:r>
      <w:r w:rsidR="0037243A">
        <w:rPr>
          <w:lang w:val="en-IN"/>
        </w:rPr>
        <w:t xml:space="preserve">ies have been noted between </w:t>
      </w:r>
      <w:r w:rsidR="00CB1DF7">
        <w:rPr>
          <w:lang w:val="en-IN"/>
        </w:rPr>
        <w:t xml:space="preserve">Isaac’s binding and Jesus’ binding </w:t>
      </w:r>
      <w:sdt>
        <w:sdtPr>
          <w:rPr>
            <w:lang w:val="en-IN"/>
          </w:rPr>
          <w:id w:val="384222528"/>
          <w:citation/>
        </w:sdtPr>
        <w:sdtContent>
          <w:r w:rsidR="00CB1DF7">
            <w:rPr>
              <w:lang w:val="en-IN"/>
            </w:rPr>
            <w:fldChar w:fldCharType="begin"/>
          </w:r>
          <w:r w:rsidR="00CB1DF7">
            <w:instrText xml:space="preserve"> CITATION Kel17 \l 1033 </w:instrText>
          </w:r>
          <w:r w:rsidR="00CB1DF7">
            <w:rPr>
              <w:lang w:val="en-IN"/>
            </w:rPr>
            <w:fldChar w:fldCharType="separate"/>
          </w:r>
          <w:r w:rsidR="00CB1DF7">
            <w:rPr>
              <w:noProof/>
            </w:rPr>
            <w:t>(Kerr)</w:t>
          </w:r>
          <w:r w:rsidR="00CB1DF7">
            <w:rPr>
              <w:lang w:val="en-IN"/>
            </w:rPr>
            <w:fldChar w:fldCharType="end"/>
          </w:r>
        </w:sdtContent>
      </w:sdt>
      <w:r w:rsidR="00AF4E14">
        <w:rPr>
          <w:lang w:val="en-IN"/>
        </w:rPr>
        <w:t>;</w:t>
      </w:r>
      <w:r w:rsidR="0037243A">
        <w:rPr>
          <w:lang w:val="en-IN"/>
        </w:rPr>
        <w:t xml:space="preserve"> between Isaac’s suffering and Ismail’s suffering </w:t>
      </w:r>
      <w:sdt>
        <w:sdtPr>
          <w:rPr>
            <w:lang w:val="en-IN"/>
          </w:rPr>
          <w:id w:val="229818416"/>
          <w:citation/>
        </w:sdtPr>
        <w:sdtContent>
          <w:r w:rsidR="0037243A">
            <w:rPr>
              <w:lang w:val="en-IN"/>
            </w:rPr>
            <w:fldChar w:fldCharType="begin"/>
          </w:r>
          <w:r w:rsidR="0037243A">
            <w:instrText xml:space="preserve"> CITATION Nei15 \l 1033 </w:instrText>
          </w:r>
          <w:r w:rsidR="0037243A">
            <w:rPr>
              <w:lang w:val="en-IN"/>
            </w:rPr>
            <w:fldChar w:fldCharType="separate"/>
          </w:r>
          <w:r w:rsidR="0037243A">
            <w:rPr>
              <w:noProof/>
            </w:rPr>
            <w:t>(Taylor)</w:t>
          </w:r>
          <w:r w:rsidR="0037243A">
            <w:rPr>
              <w:lang w:val="en-IN"/>
            </w:rPr>
            <w:fldChar w:fldCharType="end"/>
          </w:r>
        </w:sdtContent>
      </w:sdt>
      <w:r w:rsidR="00AF4E14">
        <w:rPr>
          <w:lang w:val="en-IN"/>
        </w:rPr>
        <w:t xml:space="preserve">; and even Abraham’s ritual behaviour on Mt. Moriah and Elijah’s (and the other prophets’) ritual behaviour on Mt. Carmel </w:t>
      </w:r>
      <w:sdt>
        <w:sdtPr>
          <w:rPr>
            <w:lang w:val="en-IN"/>
          </w:rPr>
          <w:id w:val="1208303593"/>
          <w:citation/>
        </w:sdtPr>
        <w:sdtContent>
          <w:r w:rsidR="00AF4E14">
            <w:rPr>
              <w:lang w:val="en-IN"/>
            </w:rPr>
            <w:fldChar w:fldCharType="begin"/>
          </w:r>
          <w:r w:rsidR="00AF4E14">
            <w:instrText xml:space="preserve"> CITATION Dal77 \l 1033 </w:instrText>
          </w:r>
          <w:r w:rsidR="00AF4E14">
            <w:rPr>
              <w:lang w:val="en-IN"/>
            </w:rPr>
            <w:fldChar w:fldCharType="separate"/>
          </w:r>
          <w:r w:rsidR="00AF4E14">
            <w:rPr>
              <w:noProof/>
            </w:rPr>
            <w:t>(Daly)</w:t>
          </w:r>
          <w:r w:rsidR="00AF4E14">
            <w:rPr>
              <w:lang w:val="en-IN"/>
            </w:rPr>
            <w:fldChar w:fldCharType="end"/>
          </w:r>
        </w:sdtContent>
      </w:sdt>
      <w:r w:rsidR="00AF4E14">
        <w:rPr>
          <w:lang w:val="en-IN"/>
        </w:rPr>
        <w:t xml:space="preserve">. </w:t>
      </w:r>
    </w:p>
    <w:p w14:paraId="5D7A7D5E" w14:textId="77777777" w:rsidR="00467F1E" w:rsidRDefault="00467F1E" w:rsidP="00294CFE">
      <w:pPr>
        <w:rPr>
          <w:lang w:val="en-IN"/>
        </w:rPr>
      </w:pPr>
    </w:p>
    <w:p w14:paraId="442D3FCC" w14:textId="5F44CF74" w:rsidR="00F136A4" w:rsidRDefault="00A62430" w:rsidP="00294CFE">
      <w:pPr>
        <w:rPr>
          <w:lang w:val="en-IN"/>
        </w:rPr>
      </w:pPr>
      <w:r>
        <w:rPr>
          <w:lang w:val="en-IN"/>
        </w:rPr>
        <w:t>Although many Jewish scholars have interpreted Isaac’s stor</w:t>
      </w:r>
      <w:r w:rsidR="00503B2F">
        <w:rPr>
          <w:lang w:val="en-IN"/>
        </w:rPr>
        <w:t>y to demonstrate that Elohim</w:t>
      </w:r>
      <w:r>
        <w:rPr>
          <w:lang w:val="en-IN"/>
        </w:rPr>
        <w:t xml:space="preserve"> was indeed against the heathen practice of human sacrifices, the argument is undone in the face of God’s own declations in Exodus 13 and 22 where he commands that “</w:t>
      </w:r>
      <w:r w:rsidRPr="00A62430">
        <w:rPr>
          <w:i/>
          <w:lang w:val="en-IN"/>
        </w:rPr>
        <w:t>You shall give Me the first-born among your sons</w:t>
      </w:r>
      <w:r>
        <w:rPr>
          <w:lang w:val="en-IN"/>
        </w:rPr>
        <w:t>.”</w:t>
      </w:r>
      <w:r w:rsidR="00AE62CC">
        <w:rPr>
          <w:lang w:val="en-IN"/>
        </w:rPr>
        <w:t xml:space="preserve"> Goodman cites interpretations from as far back as the 13</w:t>
      </w:r>
      <w:r w:rsidR="00AE62CC" w:rsidRPr="00AE62CC">
        <w:rPr>
          <w:vertAlign w:val="superscript"/>
          <w:lang w:val="en-IN"/>
        </w:rPr>
        <w:t>th</w:t>
      </w:r>
      <w:r w:rsidR="00AE62CC">
        <w:rPr>
          <w:lang w:val="en-IN"/>
        </w:rPr>
        <w:t xml:space="preserve"> century, by philosophers and theologicians like Joseph Ibn Kaspi, who argued that the story of Isaac was meant to “</w:t>
      </w:r>
      <w:r w:rsidR="00AE62CC" w:rsidRPr="00B8639D">
        <w:t xml:space="preserve">uproot, undermine, and weaken </w:t>
      </w:r>
      <w:r w:rsidR="00AE62CC">
        <w:t xml:space="preserve">(not only) </w:t>
      </w:r>
      <w:r w:rsidR="00AE62CC" w:rsidRPr="00B8639D">
        <w:t>the heathen practice of child sacrifice, but also that Abraham himself understood that child sacrifice was an abomination to God.</w:t>
      </w:r>
      <w:r w:rsidR="00AE62CC">
        <w:t xml:space="preserve">” </w:t>
      </w:r>
      <w:sdt>
        <w:sdtPr>
          <w:rPr>
            <w:lang w:val="en-IN"/>
          </w:rPr>
          <w:id w:val="816004479"/>
          <w:citation/>
        </w:sdtPr>
        <w:sdtContent>
          <w:r w:rsidR="00AE62CC">
            <w:rPr>
              <w:lang w:val="en-IN"/>
            </w:rPr>
            <w:fldChar w:fldCharType="begin"/>
          </w:r>
          <w:r w:rsidR="00AE62CC">
            <w:instrText xml:space="preserve"> CITATION Jam13 \l 1033 </w:instrText>
          </w:r>
          <w:r w:rsidR="00AE62CC">
            <w:rPr>
              <w:lang w:val="en-IN"/>
            </w:rPr>
            <w:fldChar w:fldCharType="separate"/>
          </w:r>
          <w:r w:rsidR="00AE62CC">
            <w:rPr>
              <w:noProof/>
            </w:rPr>
            <w:t>(Goodman)</w:t>
          </w:r>
          <w:r w:rsidR="00AE62CC">
            <w:rPr>
              <w:lang w:val="en-IN"/>
            </w:rPr>
            <w:fldChar w:fldCharType="end"/>
          </w:r>
        </w:sdtContent>
      </w:sdt>
      <w:r w:rsidR="00AE62CC">
        <w:rPr>
          <w:lang w:val="en-IN"/>
        </w:rPr>
        <w:t xml:space="preserve"> </w:t>
      </w:r>
    </w:p>
    <w:p w14:paraId="3F2875AF" w14:textId="77777777" w:rsidR="00467F1E" w:rsidRDefault="00467F1E" w:rsidP="00294CFE">
      <w:pPr>
        <w:rPr>
          <w:lang w:val="en-IN"/>
        </w:rPr>
      </w:pPr>
    </w:p>
    <w:p w14:paraId="1AFCAC6F" w14:textId="22144733" w:rsidR="00F912F3" w:rsidRDefault="00503B2F" w:rsidP="00294CFE">
      <w:pPr>
        <w:rPr>
          <w:lang w:val="en-IN"/>
        </w:rPr>
      </w:pPr>
      <w:r>
        <w:rPr>
          <w:lang w:val="en-IN"/>
        </w:rPr>
        <w:t xml:space="preserve">The Akedah has also been analysed for its literary narrative function and its chiastic structures. Of note are </w:t>
      </w:r>
      <w:r w:rsidR="00374EDD">
        <w:rPr>
          <w:lang w:val="en-IN"/>
        </w:rPr>
        <w:t xml:space="preserve">Jacques </w:t>
      </w:r>
      <w:r>
        <w:rPr>
          <w:lang w:val="en-IN"/>
        </w:rPr>
        <w:t xml:space="preserve">Doukhan’s </w:t>
      </w:r>
      <w:r w:rsidR="00374EDD">
        <w:rPr>
          <w:lang w:val="en-IN"/>
        </w:rPr>
        <w:t>1993 study, which suggestes that the story may have been composed center first – where the tragic dialogue between Isaac and Abraham takes place in verse 17 and 18. Levels were probably added as concentric circles, alternating action and implication. The following</w:t>
      </w:r>
      <w:r w:rsidR="0097372B">
        <w:rPr>
          <w:lang w:val="en-IN"/>
        </w:rPr>
        <w:t xml:space="preserve"> extract (pg. 4)</w:t>
      </w:r>
      <w:r w:rsidR="00374EDD">
        <w:rPr>
          <w:lang w:val="en-IN"/>
        </w:rPr>
        <w:t xml:space="preserve"> from Doukhan’s paper demonstrates this structure </w:t>
      </w:r>
      <w:sdt>
        <w:sdtPr>
          <w:rPr>
            <w:lang w:val="en-IN"/>
          </w:rPr>
          <w:id w:val="1859845313"/>
          <w:citation/>
        </w:sdtPr>
        <w:sdtContent>
          <w:r w:rsidR="00374EDD">
            <w:rPr>
              <w:lang w:val="en-IN"/>
            </w:rPr>
            <w:fldChar w:fldCharType="begin"/>
          </w:r>
          <w:r w:rsidR="00374EDD">
            <w:instrText xml:space="preserve"> CITATION Dou93 \l 1033 </w:instrText>
          </w:r>
          <w:r w:rsidR="00374EDD">
            <w:rPr>
              <w:lang w:val="en-IN"/>
            </w:rPr>
            <w:fldChar w:fldCharType="separate"/>
          </w:r>
          <w:r w:rsidR="00374EDD">
            <w:rPr>
              <w:noProof/>
            </w:rPr>
            <w:t>(Doukhan)</w:t>
          </w:r>
          <w:r w:rsidR="00374EDD">
            <w:rPr>
              <w:lang w:val="en-IN"/>
            </w:rPr>
            <w:fldChar w:fldCharType="end"/>
          </w:r>
        </w:sdtContent>
      </w:sdt>
      <w:r w:rsidR="00374EDD">
        <w:rPr>
          <w:lang w:val="en-IN"/>
        </w:rPr>
        <w:t>.</w:t>
      </w:r>
      <w:r w:rsidR="00F912F3">
        <w:rPr>
          <w:lang w:val="en-IN"/>
        </w:rPr>
        <w:t xml:space="preserve"> However, what he notes importantly, if briefly, in his conclusion is about the many silences in the Akedah. </w:t>
      </w:r>
    </w:p>
    <w:p w14:paraId="7EFC44DE" w14:textId="77777777" w:rsidR="00F912F3" w:rsidRDefault="00F912F3" w:rsidP="00294CFE">
      <w:pPr>
        <w:rPr>
          <w:lang w:val="en-IN"/>
        </w:rPr>
      </w:pPr>
    </w:p>
    <w:p w14:paraId="36E43FEA" w14:textId="66E8465B" w:rsidR="00900D58" w:rsidRPr="00D1250D" w:rsidRDefault="00F912F3" w:rsidP="00900D58">
      <w:pPr>
        <w:rPr>
          <w:lang w:val="en-IN"/>
        </w:rPr>
      </w:pPr>
      <w:r>
        <w:rPr>
          <w:lang w:val="en-IN"/>
        </w:rPr>
        <w:t>More than what the Akedah says, it is what it doesn’t say</w:t>
      </w:r>
      <w:r w:rsidR="00410D9E">
        <w:rPr>
          <w:lang w:val="en-IN"/>
        </w:rPr>
        <w:t>,</w:t>
      </w:r>
      <w:r>
        <w:rPr>
          <w:lang w:val="en-IN"/>
        </w:rPr>
        <w:t xml:space="preserve"> makes an episode so emotional strangely enigmatic. </w:t>
      </w:r>
      <w:r w:rsidR="00924FA6">
        <w:rPr>
          <w:lang w:val="en-IN"/>
        </w:rPr>
        <w:t xml:space="preserve">There are indeed many </w:t>
      </w:r>
      <w:r w:rsidR="00924FA6" w:rsidRPr="00BA1DD2">
        <w:rPr>
          <w:u w:val="single"/>
          <w:lang w:val="en-IN"/>
        </w:rPr>
        <w:t>silences</w:t>
      </w:r>
      <w:r w:rsidR="00924FA6">
        <w:rPr>
          <w:lang w:val="en-IN"/>
        </w:rPr>
        <w:t xml:space="preserve"> in this episode – that of Sarah’s, who Abraham may have confided in about God’s command; that of Isaac, who did not question his father upon being laid on the sacrificial altar; and mostly, that of Abraham, who did not question God why such a cruel demand was made of him. </w:t>
      </w:r>
      <w:r w:rsidR="00B72CC4">
        <w:rPr>
          <w:lang w:val="en-IN"/>
        </w:rPr>
        <w:t xml:space="preserve">Moreover, the story itself is silent about context. Why did God ask Abraham to sacrifice a son he himself had given him after such a long wait? Why did God change his mind? Why could He not have tested faith in any other way? </w:t>
      </w:r>
      <w:r w:rsidR="00900D58">
        <w:rPr>
          <w:lang w:val="en-IN"/>
        </w:rPr>
        <w:t xml:space="preserve">These silences and questions have been famously examined by Danish philosopher, </w:t>
      </w:r>
      <w:r w:rsidR="00900D58" w:rsidRPr="00D1250D">
        <w:rPr>
          <w:lang w:val="en-IN"/>
        </w:rPr>
        <w:t>Søren Kierkegaard</w:t>
      </w:r>
      <w:r w:rsidR="00900D58">
        <w:rPr>
          <w:lang w:val="en-IN"/>
        </w:rPr>
        <w:t xml:space="preserve"> in his work, ‘Fear and Trembling’ (1843). </w:t>
      </w:r>
    </w:p>
    <w:p w14:paraId="05090E04" w14:textId="4C7C93A3" w:rsidR="00F912F3" w:rsidRDefault="00F912F3" w:rsidP="00294CFE">
      <w:pPr>
        <w:rPr>
          <w:lang w:val="en-IN"/>
        </w:rPr>
      </w:pPr>
    </w:p>
    <w:p w14:paraId="585907A8" w14:textId="6DF9A96C" w:rsidR="0097372B" w:rsidRPr="00294CFE" w:rsidRDefault="0097372B" w:rsidP="008E5093">
      <w:pPr>
        <w:ind w:left="-284"/>
        <w:rPr>
          <w:lang w:val="en-IN"/>
        </w:rPr>
      </w:pPr>
      <w:r>
        <w:rPr>
          <w:noProof/>
        </w:rPr>
        <w:drawing>
          <wp:inline distT="0" distB="0" distL="0" distR="0" wp14:anchorId="1DE58BBF" wp14:editId="78A594C1">
            <wp:extent cx="5561502" cy="8395855"/>
            <wp:effectExtent l="177800" t="177800" r="382270" b="393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20-04-06 at 4.35.40 PM.png"/>
                    <pic:cNvPicPr/>
                  </pic:nvPicPr>
                  <pic:blipFill>
                    <a:blip r:embed="rId8">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5563415" cy="8398743"/>
                    </a:xfrm>
                    <a:prstGeom prst="rect">
                      <a:avLst/>
                    </a:prstGeom>
                    <a:ln>
                      <a:noFill/>
                    </a:ln>
                    <a:effectLst>
                      <a:outerShdw blurRad="292100" dist="139700" dir="2700000" algn="tl" rotWithShape="0">
                        <a:srgbClr val="333333">
                          <a:alpha val="65000"/>
                        </a:srgbClr>
                      </a:outerShdw>
                    </a:effectLst>
                  </pic:spPr>
                </pic:pic>
              </a:graphicData>
            </a:graphic>
          </wp:inline>
        </w:drawing>
      </w:r>
    </w:p>
    <w:p w14:paraId="46F8F6A0" w14:textId="013A21F6" w:rsidR="00FC20D1" w:rsidRPr="00756457" w:rsidRDefault="00D1250D">
      <w:pPr>
        <w:rPr>
          <w:b/>
        </w:rPr>
      </w:pPr>
      <w:r>
        <w:rPr>
          <w:b/>
        </w:rPr>
        <w:t xml:space="preserve">Christian Vs. </w:t>
      </w:r>
      <w:r w:rsidR="00CC3FD7">
        <w:rPr>
          <w:b/>
        </w:rPr>
        <w:t xml:space="preserve">Midrashic exegesis </w:t>
      </w:r>
    </w:p>
    <w:p w14:paraId="581A3961" w14:textId="77777777" w:rsidR="00FC20D1" w:rsidRDefault="00FC20D1"/>
    <w:p w14:paraId="1F622FDE" w14:textId="56C07533" w:rsidR="00EB5443" w:rsidRDefault="00C43ADB" w:rsidP="00C43ADB">
      <w:pPr>
        <w:rPr>
          <w:lang w:val="en-IN"/>
        </w:rPr>
      </w:pPr>
      <w:r>
        <w:rPr>
          <w:lang w:val="en-IN"/>
        </w:rPr>
        <w:t>Kierkegaard’s examination of the question of ethics Vs. faith came largely from a Christian perspective. Other typically Christian interpretations of the Akedah can be classified in two major groups – one, based in faith, and the other in the belief in resurection</w:t>
      </w:r>
      <w:r w:rsidR="00681D4A">
        <w:rPr>
          <w:lang w:val="en-IN"/>
        </w:rPr>
        <w:t xml:space="preserve"> </w:t>
      </w:r>
      <w:sdt>
        <w:sdtPr>
          <w:rPr>
            <w:lang w:val="en-IN"/>
          </w:rPr>
          <w:id w:val="217704006"/>
          <w:citation/>
        </w:sdtPr>
        <w:sdtContent>
          <w:r w:rsidR="00681D4A">
            <w:rPr>
              <w:lang w:val="en-IN"/>
            </w:rPr>
            <w:fldChar w:fldCharType="begin"/>
          </w:r>
          <w:r w:rsidR="00681D4A">
            <w:instrText xml:space="preserve"> CITATION Dev17 \l 1033 </w:instrText>
          </w:r>
          <w:r w:rsidR="00681D4A">
            <w:rPr>
              <w:lang w:val="en-IN"/>
            </w:rPr>
            <w:fldChar w:fldCharType="separate"/>
          </w:r>
          <w:r w:rsidR="00681D4A">
            <w:rPr>
              <w:noProof/>
            </w:rPr>
            <w:t>(Schoenfeld)</w:t>
          </w:r>
          <w:r w:rsidR="00681D4A">
            <w:rPr>
              <w:lang w:val="en-IN"/>
            </w:rPr>
            <w:fldChar w:fldCharType="end"/>
          </w:r>
        </w:sdtContent>
      </w:sdt>
      <w:r>
        <w:rPr>
          <w:lang w:val="en-IN"/>
        </w:rPr>
        <w:t xml:space="preserve">. </w:t>
      </w:r>
      <w:r w:rsidR="00EB5443">
        <w:rPr>
          <w:lang w:val="en-IN"/>
        </w:rPr>
        <w:t xml:space="preserve">Others, such as </w:t>
      </w:r>
      <w:r w:rsidR="005952D6">
        <w:rPr>
          <w:lang w:val="en-IN"/>
        </w:rPr>
        <w:t xml:space="preserve">Louis </w:t>
      </w:r>
      <w:r w:rsidR="006E5E60">
        <w:rPr>
          <w:lang w:val="en-IN"/>
        </w:rPr>
        <w:t xml:space="preserve">A. </w:t>
      </w:r>
      <w:r w:rsidR="005952D6">
        <w:rPr>
          <w:lang w:val="en-IN"/>
        </w:rPr>
        <w:t>Berman, have offered etiological interpretations of Isaac’s story serving to justify the replacement of animal sacrifices for human ones</w:t>
      </w:r>
      <w:r w:rsidR="006E5E60">
        <w:rPr>
          <w:lang w:val="en-IN"/>
        </w:rPr>
        <w:t xml:space="preserve"> in that milieu</w:t>
      </w:r>
      <w:r w:rsidR="005952D6">
        <w:rPr>
          <w:lang w:val="en-IN"/>
        </w:rPr>
        <w:t xml:space="preserve">. </w:t>
      </w:r>
    </w:p>
    <w:p w14:paraId="00B4ACE9" w14:textId="77777777" w:rsidR="00EB5443" w:rsidRDefault="00EB5443" w:rsidP="00C43ADB">
      <w:pPr>
        <w:rPr>
          <w:lang w:val="en-IN"/>
        </w:rPr>
      </w:pPr>
    </w:p>
    <w:p w14:paraId="3F67D97D" w14:textId="14D3140B" w:rsidR="00C43ADB" w:rsidRDefault="00681D4A" w:rsidP="00C43ADB">
      <w:pPr>
        <w:rPr>
          <w:lang w:val="en-IN"/>
        </w:rPr>
      </w:pPr>
      <w:r>
        <w:rPr>
          <w:lang w:val="en-IN"/>
        </w:rPr>
        <w:t xml:space="preserve">While such theological and ethical interpretations seem to be fairly straightforward and constant in the Christian worldview, </w:t>
      </w:r>
      <w:r w:rsidR="00C43ADB">
        <w:rPr>
          <w:lang w:val="en-IN"/>
        </w:rPr>
        <w:t xml:space="preserve">Judaic exegetical texts or </w:t>
      </w:r>
      <w:r w:rsidR="00C43ADB" w:rsidRPr="00244BD2">
        <w:rPr>
          <w:i/>
          <w:lang w:val="en-IN"/>
        </w:rPr>
        <w:t>midrashim</w:t>
      </w:r>
      <w:r w:rsidR="00C43ADB">
        <w:rPr>
          <w:lang w:val="en-IN"/>
        </w:rPr>
        <w:t xml:space="preserve"> have attempted to fill gaps</w:t>
      </w:r>
      <w:r>
        <w:rPr>
          <w:lang w:val="en-IN"/>
        </w:rPr>
        <w:t xml:space="preserve"> in narrative and logic, many of which are highly imaginitive. Some of the midrashic exegetical points of view </w:t>
      </w:r>
      <w:r w:rsidR="00AA5D51">
        <w:rPr>
          <w:lang w:val="en-IN"/>
        </w:rPr>
        <w:t xml:space="preserve">from the Rabbinic period have been noted below. </w:t>
      </w:r>
      <w:r w:rsidR="00C43ADB">
        <w:rPr>
          <w:lang w:val="en-IN"/>
        </w:rPr>
        <w:t xml:space="preserve"> </w:t>
      </w:r>
    </w:p>
    <w:p w14:paraId="2EE67735" w14:textId="77777777" w:rsidR="00AA5D51" w:rsidRDefault="00AA5D51" w:rsidP="00C43ADB">
      <w:pPr>
        <w:rPr>
          <w:lang w:val="en-IN"/>
        </w:rPr>
      </w:pPr>
    </w:p>
    <w:p w14:paraId="46CD028C" w14:textId="6D9DB695" w:rsidR="009F1F5B" w:rsidRDefault="00AA5D51" w:rsidP="00C43ADB">
      <w:pPr>
        <w:rPr>
          <w:lang w:val="en-IN"/>
        </w:rPr>
      </w:pPr>
      <w:r>
        <w:rPr>
          <w:lang w:val="en-IN"/>
        </w:rPr>
        <w:t xml:space="preserve">In </w:t>
      </w:r>
      <w:r w:rsidR="00EB5443">
        <w:rPr>
          <w:lang w:val="en-IN"/>
        </w:rPr>
        <w:t xml:space="preserve">Sanhedrin Daf 89b </w:t>
      </w:r>
      <w:sdt>
        <w:sdtPr>
          <w:rPr>
            <w:lang w:val="en-IN"/>
          </w:rPr>
          <w:id w:val="1590966977"/>
          <w:citation/>
        </w:sdtPr>
        <w:sdtContent>
          <w:r w:rsidR="00EB5443">
            <w:rPr>
              <w:lang w:val="en-IN"/>
            </w:rPr>
            <w:fldChar w:fldCharType="begin"/>
          </w:r>
          <w:r w:rsidR="00EB5443">
            <w:instrText xml:space="preserve"> CITATION Wil \l 1033 </w:instrText>
          </w:r>
          <w:r w:rsidR="00EB5443">
            <w:rPr>
              <w:lang w:val="en-IN"/>
            </w:rPr>
            <w:fldChar w:fldCharType="separate"/>
          </w:r>
          <w:r w:rsidR="00EB5443">
            <w:rPr>
              <w:noProof/>
            </w:rPr>
            <w:t>(Davidson)</w:t>
          </w:r>
          <w:r w:rsidR="00EB5443">
            <w:rPr>
              <w:lang w:val="en-IN"/>
            </w:rPr>
            <w:fldChar w:fldCharType="end"/>
          </w:r>
        </w:sdtContent>
      </w:sdt>
      <w:r w:rsidR="00EB5443">
        <w:rPr>
          <w:lang w:val="en-IN"/>
        </w:rPr>
        <w:t xml:space="preserve"> of </w:t>
      </w:r>
      <w:r>
        <w:rPr>
          <w:lang w:val="en-IN"/>
        </w:rPr>
        <w:t>the Talmud, one finds a preceding narrative that explains why God decided to put Abraham to th</w:t>
      </w:r>
      <w:r w:rsidR="00EB5443">
        <w:rPr>
          <w:lang w:val="en-IN"/>
        </w:rPr>
        <w:t xml:space="preserve">e test. </w:t>
      </w:r>
    </w:p>
    <w:p w14:paraId="6BA4F756" w14:textId="77777777" w:rsidR="009F1F5B" w:rsidRDefault="009F1F5B" w:rsidP="00C43ADB">
      <w:pPr>
        <w:rPr>
          <w:lang w:val="en-IN"/>
        </w:rPr>
      </w:pPr>
    </w:p>
    <w:p w14:paraId="5448E57A" w14:textId="5000C60A" w:rsidR="009F1F5B" w:rsidRPr="00EB5443" w:rsidRDefault="009F1F5B" w:rsidP="009F1F5B">
      <w:pPr>
        <w:rPr>
          <w:i/>
          <w:lang w:val="en-IN"/>
        </w:rPr>
      </w:pPr>
      <w:r w:rsidRPr="00EB5443">
        <w:rPr>
          <w:bCs/>
          <w:i/>
          <w:lang w:val="en-IN"/>
        </w:rPr>
        <w:t>Rabbi Yoḥanan said in the name of Rabbi Yosei ben Zimra:</w:t>
      </w:r>
      <w:r w:rsidRPr="00EB5443">
        <w:rPr>
          <w:i/>
          <w:lang w:val="en-IN"/>
        </w:rPr>
        <w:t xml:space="preserve"> This means </w:t>
      </w:r>
      <w:r w:rsidRPr="00EB5443">
        <w:rPr>
          <w:bCs/>
          <w:i/>
          <w:lang w:val="en-IN"/>
        </w:rPr>
        <w:t>after the statement [</w:t>
      </w:r>
      <w:r w:rsidRPr="00EB5443">
        <w:rPr>
          <w:bCs/>
          <w:i/>
          <w:iCs/>
          <w:lang w:val="en-IN"/>
        </w:rPr>
        <w:t>devarav</w:t>
      </w:r>
      <w:r w:rsidRPr="00EB5443">
        <w:rPr>
          <w:bCs/>
          <w:i/>
          <w:lang w:val="en-IN"/>
        </w:rPr>
        <w:t>] of Satan, as it is written: “And the child grew, and was weaned,</w:t>
      </w:r>
      <w:r w:rsidRPr="00EB5443">
        <w:rPr>
          <w:i/>
          <w:lang w:val="en-IN"/>
        </w:rPr>
        <w:t xml:space="preserve"> and Abraham prepared a great feast on the day that Isaac was weaned”. </w:t>
      </w:r>
      <w:r w:rsidRPr="00EB5443">
        <w:rPr>
          <w:bCs/>
          <w:i/>
          <w:lang w:val="en-IN"/>
        </w:rPr>
        <w:t>Satan said before the Holy One, Blessed be He: Master of the Universe, this old man, you favored him with a product of the womb,</w:t>
      </w:r>
      <w:r w:rsidRPr="00EB5443">
        <w:rPr>
          <w:i/>
          <w:lang w:val="en-IN"/>
        </w:rPr>
        <w:t xml:space="preserve"> i.e., a child, </w:t>
      </w:r>
      <w:r w:rsidRPr="00EB5443">
        <w:rPr>
          <w:bCs/>
          <w:i/>
          <w:lang w:val="en-IN"/>
        </w:rPr>
        <w:t>at one hundred years</w:t>
      </w:r>
      <w:r w:rsidRPr="00EB5443">
        <w:rPr>
          <w:i/>
          <w:lang w:val="en-IN"/>
        </w:rPr>
        <w:t xml:space="preserve"> of age. </w:t>
      </w:r>
      <w:r w:rsidRPr="00EB5443">
        <w:rPr>
          <w:bCs/>
          <w:i/>
          <w:lang w:val="en-IN"/>
        </w:rPr>
        <w:t>From the entire feast that he prepared, did he not have</w:t>
      </w:r>
      <w:r w:rsidRPr="00EB5443">
        <w:rPr>
          <w:i/>
          <w:lang w:val="en-IN"/>
        </w:rPr>
        <w:t xml:space="preserve"> even </w:t>
      </w:r>
      <w:r w:rsidRPr="00EB5443">
        <w:rPr>
          <w:bCs/>
          <w:i/>
          <w:lang w:val="en-IN"/>
        </w:rPr>
        <w:t>one dove or one pigeon to sacrifice before You</w:t>
      </w:r>
      <w:r w:rsidRPr="00EB5443">
        <w:rPr>
          <w:i/>
          <w:lang w:val="en-IN"/>
        </w:rPr>
        <w:t xml:space="preserve"> as a thanks-offering? God </w:t>
      </w:r>
      <w:r w:rsidRPr="00EB5443">
        <w:rPr>
          <w:bCs/>
          <w:i/>
          <w:lang w:val="en-IN"/>
        </w:rPr>
        <w:t>said to</w:t>
      </w:r>
      <w:r w:rsidRPr="00EB5443">
        <w:rPr>
          <w:i/>
          <w:lang w:val="en-IN"/>
        </w:rPr>
        <w:t xml:space="preserve"> Satan: </w:t>
      </w:r>
      <w:r w:rsidRPr="00EB5443">
        <w:rPr>
          <w:bCs/>
          <w:i/>
          <w:lang w:val="en-IN"/>
        </w:rPr>
        <w:t>Did</w:t>
      </w:r>
      <w:r w:rsidRPr="00EB5443">
        <w:rPr>
          <w:i/>
          <w:lang w:val="en-IN"/>
        </w:rPr>
        <w:t xml:space="preserve"> Abraham </w:t>
      </w:r>
      <w:r w:rsidRPr="00EB5443">
        <w:rPr>
          <w:bCs/>
          <w:i/>
          <w:lang w:val="en-IN"/>
        </w:rPr>
        <w:t>prepare</w:t>
      </w:r>
      <w:r w:rsidRPr="00EB5443">
        <w:rPr>
          <w:i/>
          <w:lang w:val="en-IN"/>
        </w:rPr>
        <w:t xml:space="preserve"> the feast for any reason </w:t>
      </w:r>
      <w:r w:rsidRPr="00EB5443">
        <w:rPr>
          <w:bCs/>
          <w:i/>
          <w:lang w:val="en-IN"/>
        </w:rPr>
        <w:t>but for his son? If I say to him: Sacrifice your son before Me,</w:t>
      </w:r>
      <w:r w:rsidRPr="00EB5443">
        <w:rPr>
          <w:i/>
          <w:lang w:val="en-IN"/>
        </w:rPr>
        <w:t xml:space="preserve"> he would </w:t>
      </w:r>
      <w:r w:rsidRPr="00EB5443">
        <w:rPr>
          <w:bCs/>
          <w:i/>
          <w:lang w:val="en-IN"/>
        </w:rPr>
        <w:t>immediately slaughter him. Immediately,</w:t>
      </w:r>
      <w:r w:rsidRPr="00EB5443">
        <w:rPr>
          <w:i/>
          <w:lang w:val="en-IN"/>
        </w:rPr>
        <w:t xml:space="preserve"> after these matters, the verse states: </w:t>
      </w:r>
      <w:r w:rsidRPr="00EB5443">
        <w:rPr>
          <w:bCs/>
          <w:i/>
          <w:lang w:val="en-IN"/>
        </w:rPr>
        <w:t>“And God tried Abraham.”</w:t>
      </w:r>
    </w:p>
    <w:p w14:paraId="5A77F874" w14:textId="41E790A6" w:rsidR="00AA5D51" w:rsidRPr="00D1250D" w:rsidRDefault="009F1F5B" w:rsidP="00C43ADB">
      <w:pPr>
        <w:rPr>
          <w:lang w:val="en-IN"/>
        </w:rPr>
      </w:pPr>
      <w:r>
        <w:rPr>
          <w:lang w:val="en-IN"/>
        </w:rPr>
        <w:t xml:space="preserve"> </w:t>
      </w:r>
    </w:p>
    <w:p w14:paraId="582931C9" w14:textId="2F8F1695" w:rsidR="00C43ADB" w:rsidRDefault="00EB5443">
      <w:r>
        <w:t>What follows Satan’s goading in this explanation seems more like God’s demonstration of Abraham’s faith rather than its test. Here, it feels like a foregone conclusion that God didn’t ever mean for Abraham to kill Isaac, but wanted to merely show that He is feared and that His command – no matter how irrational or impossible – would never be disobeyed. This is in line with the Rabbinic belief that God demands only submission and not sacrifice</w:t>
      </w:r>
      <w:sdt>
        <w:sdtPr>
          <w:id w:val="-646432993"/>
          <w:citation/>
        </w:sdtPr>
        <w:sdtContent>
          <w:r>
            <w:fldChar w:fldCharType="begin"/>
          </w:r>
          <w:r>
            <w:instrText xml:space="preserve"> CITATION Nei15 \l 1033 </w:instrText>
          </w:r>
          <w:r>
            <w:fldChar w:fldCharType="separate"/>
          </w:r>
          <w:r>
            <w:rPr>
              <w:noProof/>
            </w:rPr>
            <w:t xml:space="preserve"> (Taylor)</w:t>
          </w:r>
          <w:r>
            <w:fldChar w:fldCharType="end"/>
          </w:r>
        </w:sdtContent>
      </w:sdt>
      <w:r>
        <w:t xml:space="preserve">. </w:t>
      </w:r>
    </w:p>
    <w:p w14:paraId="5566F2B1" w14:textId="77777777" w:rsidR="008E5093" w:rsidRDefault="008E5093"/>
    <w:p w14:paraId="011E3D7F" w14:textId="44BF8CCD" w:rsidR="008E5093" w:rsidRDefault="00D7080F">
      <w:r>
        <w:t xml:space="preserve">Other Jewish interpretations </w:t>
      </w:r>
      <w:r w:rsidR="00B06CB9">
        <w:t>try to grapple with the issue of seeming contradictions in God’s words</w:t>
      </w:r>
      <w:r w:rsidR="007C397A">
        <w:t>. It imagines</w:t>
      </w:r>
      <w:r w:rsidR="00B06CB9">
        <w:t xml:space="preserve"> a dialogue between God and Abraham, as found in </w:t>
      </w:r>
      <w:hyperlink r:id="rId9" w:history="1">
        <w:r w:rsidR="00B06CB9" w:rsidRPr="00E859FB">
          <w:rPr>
            <w:rStyle w:val="Hyperlink"/>
          </w:rPr>
          <w:t>Genesis Rabbah</w:t>
        </w:r>
      </w:hyperlink>
      <w:r w:rsidR="00B06CB9">
        <w:t xml:space="preserve"> (56:8), which goes as follows:</w:t>
      </w:r>
    </w:p>
    <w:p w14:paraId="47044CDA" w14:textId="77777777" w:rsidR="00B06CB9" w:rsidRDefault="00B06CB9"/>
    <w:p w14:paraId="117A7CE9" w14:textId="77777777" w:rsidR="00B06CB9" w:rsidRDefault="00B06CB9" w:rsidP="00B06CB9">
      <w:pPr>
        <w:rPr>
          <w:i/>
          <w:lang w:val="en-IN"/>
        </w:rPr>
      </w:pPr>
      <w:r w:rsidRPr="00B06CB9">
        <w:rPr>
          <w:i/>
          <w:lang w:val="en-IN"/>
        </w:rPr>
        <w:t>“Now I know” (Gen 22:12) – Rabbi Abba said: Abraham said to him [God]: I will set my words before you. Yesterday you said to me: “In Isaac will be called your seed” (Gen 21:12). Then you went back and said, “Take your son” (22:1). Now you say to me, “Do not send forth your hand against the boy” (22:12).</w:t>
      </w:r>
    </w:p>
    <w:p w14:paraId="27938CF6" w14:textId="77777777" w:rsidR="00B06CB9" w:rsidRDefault="00B06CB9" w:rsidP="00B06CB9">
      <w:pPr>
        <w:rPr>
          <w:i/>
          <w:lang w:val="en-IN"/>
        </w:rPr>
      </w:pPr>
    </w:p>
    <w:p w14:paraId="78C3045A" w14:textId="41C42AF4" w:rsidR="00B06CB9" w:rsidRPr="00B06CB9" w:rsidRDefault="00B06CB9" w:rsidP="00B06CB9">
      <w:pPr>
        <w:rPr>
          <w:i/>
          <w:lang w:val="en-IN"/>
        </w:rPr>
      </w:pPr>
      <w:r>
        <w:rPr>
          <w:i/>
          <w:lang w:val="en-IN"/>
        </w:rPr>
        <w:t>God</w:t>
      </w:r>
      <w:r w:rsidRPr="00B06CB9">
        <w:rPr>
          <w:i/>
          <w:lang w:val="en-IN"/>
        </w:rPr>
        <w:t xml:space="preserve"> said to him: “I will not profane my covenant and the utterance of my lips will not change” (Ps 89:35). When I said to you, “take,” the utterance of my lips will not change. I did not say “slaughter him” but rather “bring him up.” You brought him up, now bring him down.</w:t>
      </w:r>
      <w:r w:rsidR="00E859FB">
        <w:rPr>
          <w:i/>
          <w:lang w:val="en-IN"/>
        </w:rPr>
        <w:t xml:space="preserve"> </w:t>
      </w:r>
    </w:p>
    <w:p w14:paraId="37301CF2" w14:textId="0279E864" w:rsidR="00B06CB9" w:rsidRPr="00971DBD" w:rsidRDefault="00971DBD" w:rsidP="00B06CB9">
      <w:pPr>
        <w:rPr>
          <w:lang w:val="en-IN"/>
        </w:rPr>
      </w:pPr>
      <w:r>
        <w:t xml:space="preserve">Turning Abraham into a Rabbinic interlocutor, it </w:t>
      </w:r>
      <w:r w:rsidR="00122830">
        <w:t>tries to</w:t>
      </w:r>
      <w:r>
        <w:t xml:space="preserve"> </w:t>
      </w:r>
      <w:r w:rsidR="00122830">
        <w:t>prove</w:t>
      </w:r>
      <w:r>
        <w:t xml:space="preserve"> that God never really contradicts himself and always keeps his </w:t>
      </w:r>
      <w:r w:rsidR="00122830">
        <w:t>word.</w:t>
      </w:r>
      <w:r>
        <w:t xml:space="preserve">  </w:t>
      </w:r>
    </w:p>
    <w:p w14:paraId="60E4F004" w14:textId="77777777" w:rsidR="00B06CB9" w:rsidRPr="00B06CB9" w:rsidRDefault="00B06CB9">
      <w:pPr>
        <w:rPr>
          <w:i/>
        </w:rPr>
      </w:pPr>
    </w:p>
    <w:p w14:paraId="0F1A0AA4" w14:textId="3B36DC7D" w:rsidR="00793B51" w:rsidRPr="007A06F5" w:rsidRDefault="00E859FB" w:rsidP="007A06F5">
      <w:r>
        <w:t xml:space="preserve">This is, by no means, representative of the Jewish perspective, for subsequent interpreters have held different views </w:t>
      </w:r>
      <w:sdt>
        <w:sdtPr>
          <w:id w:val="-1944609813"/>
          <w:citation/>
        </w:sdtPr>
        <w:sdtContent>
          <w:r w:rsidR="00F00352">
            <w:fldChar w:fldCharType="begin"/>
          </w:r>
          <w:r w:rsidR="00F00352">
            <w:instrText xml:space="preserve"> CITATION Dev17 \l 1033 </w:instrText>
          </w:r>
          <w:r w:rsidR="00F00352">
            <w:fldChar w:fldCharType="separate"/>
          </w:r>
          <w:r w:rsidR="00F00352">
            <w:rPr>
              <w:noProof/>
            </w:rPr>
            <w:t>(Schoenfeld)</w:t>
          </w:r>
          <w:r w:rsidR="00F00352">
            <w:fldChar w:fldCharType="end"/>
          </w:r>
        </w:sdtContent>
      </w:sdt>
      <w:r w:rsidR="00F00352">
        <w:t xml:space="preserve"> </w:t>
      </w:r>
      <w:r>
        <w:t>such as God changing his word sometimes</w:t>
      </w:r>
      <w:r w:rsidR="00F00352">
        <w:t xml:space="preserve"> (Ibn Ezra)</w:t>
      </w:r>
      <w:r>
        <w:t>, or God punishing those who do not fear him</w:t>
      </w:r>
      <w:r w:rsidR="00F00352">
        <w:t xml:space="preserve"> (Rashbam)</w:t>
      </w:r>
      <w:r>
        <w:t>, or God making examples of his favourite devotees</w:t>
      </w:r>
      <w:r w:rsidR="00166A1F">
        <w:t xml:space="preserve"> for nations at large</w:t>
      </w:r>
      <w:r w:rsidR="00F00352">
        <w:t xml:space="preserve"> (Radak). </w:t>
      </w:r>
    </w:p>
    <w:p w14:paraId="24BAC96F" w14:textId="3BEBBE33" w:rsidR="007A06F5" w:rsidRDefault="007A06F5">
      <w:r>
        <w:t xml:space="preserve"> </w:t>
      </w:r>
    </w:p>
    <w:p w14:paraId="349CE0FA" w14:textId="016F9790" w:rsidR="00DC60BB" w:rsidRDefault="00DC60BB">
      <w:pPr>
        <w:rPr>
          <w:b/>
        </w:rPr>
      </w:pPr>
      <w:r w:rsidRPr="00DC60BB">
        <w:rPr>
          <w:b/>
        </w:rPr>
        <w:t>The Akedah in Islam</w:t>
      </w:r>
    </w:p>
    <w:p w14:paraId="31162064" w14:textId="77777777" w:rsidR="00DC60BB" w:rsidRDefault="00DC60BB">
      <w:pPr>
        <w:rPr>
          <w:b/>
        </w:rPr>
      </w:pPr>
    </w:p>
    <w:p w14:paraId="38E57532" w14:textId="59622939" w:rsidR="00DC60BB" w:rsidRDefault="00DC60BB">
      <w:r>
        <w:t xml:space="preserve">Speaking of varying interpretations, it is important to make a brief note of the Akedah story as it occurs in the Koran. </w:t>
      </w:r>
      <w:r w:rsidR="00115EB9">
        <w:t xml:space="preserve">In the </w:t>
      </w:r>
      <w:r w:rsidR="00115EB9" w:rsidRPr="00115EB9">
        <w:rPr>
          <w:i/>
        </w:rPr>
        <w:t>As-Saffat</w:t>
      </w:r>
      <w:r w:rsidR="00115EB9">
        <w:t>, the 37</w:t>
      </w:r>
      <w:r w:rsidR="00115EB9" w:rsidRPr="00115EB9">
        <w:rPr>
          <w:vertAlign w:val="superscript"/>
        </w:rPr>
        <w:t>th</w:t>
      </w:r>
      <w:r w:rsidR="00115EB9">
        <w:t xml:space="preserve"> chapter of the Holy Book of the Muslims, verses 100-111 recall a similar story of sacrifice. The text is as follows:</w:t>
      </w:r>
    </w:p>
    <w:p w14:paraId="0A78DA7A" w14:textId="77777777" w:rsidR="00115EB9" w:rsidRDefault="00115EB9"/>
    <w:p w14:paraId="1041357C" w14:textId="11341E99" w:rsidR="00115EB9" w:rsidRPr="00115EB9" w:rsidRDefault="00115EB9" w:rsidP="00115EB9">
      <w:pPr>
        <w:rPr>
          <w:i/>
        </w:rPr>
      </w:pPr>
      <w:r w:rsidRPr="00115EB9">
        <w:rPr>
          <w:i/>
        </w:rPr>
        <w:t>Lord, grant me a righteou</w:t>
      </w:r>
      <w:r>
        <w:rPr>
          <w:i/>
        </w:rPr>
        <w:t xml:space="preserve">s son,’ </w:t>
      </w:r>
      <w:r w:rsidRPr="00115EB9">
        <w:rPr>
          <w:i/>
        </w:rPr>
        <w:t xml:space="preserve">so We gave him the good news that </w:t>
      </w:r>
      <w:r>
        <w:rPr>
          <w:i/>
        </w:rPr>
        <w:t xml:space="preserve">he would have a patient son. </w:t>
      </w:r>
      <w:r w:rsidRPr="00115EB9">
        <w:rPr>
          <w:i/>
        </w:rPr>
        <w:t>When the boy was old enough to work with his father, Abraham said, ‘My</w:t>
      </w:r>
      <w:r>
        <w:rPr>
          <w:i/>
        </w:rPr>
        <w:t xml:space="preserve"> son, I have seen myself sacri</w:t>
      </w:r>
      <w:r w:rsidRPr="00115EB9">
        <w:rPr>
          <w:i/>
        </w:rPr>
        <w:t xml:space="preserve">ficing you in a dream. What do you think?’ He said, ‘Father, do as you are commanded and, God willing, </w:t>
      </w:r>
      <w:r>
        <w:rPr>
          <w:i/>
        </w:rPr>
        <w:t xml:space="preserve">you will find me steadfast.’ </w:t>
      </w:r>
      <w:r w:rsidRPr="00115EB9">
        <w:rPr>
          <w:i/>
        </w:rPr>
        <w:t>When they had both submitted to God, and he had laid his son d</w:t>
      </w:r>
      <w:r>
        <w:rPr>
          <w:i/>
        </w:rPr>
        <w:t xml:space="preserve">own on the side of his face, </w:t>
      </w:r>
      <w:r w:rsidRPr="00115EB9">
        <w:rPr>
          <w:i/>
        </w:rPr>
        <w:t xml:space="preserve">We </w:t>
      </w:r>
      <w:r>
        <w:rPr>
          <w:i/>
        </w:rPr>
        <w:t xml:space="preserve">called out to him, ‘Abraham, </w:t>
      </w:r>
      <w:r w:rsidRPr="00115EB9">
        <w:rPr>
          <w:i/>
        </w:rPr>
        <w:t>you have fulfilled the dream.’ This is how We reward those who do goo</w:t>
      </w:r>
      <w:r>
        <w:rPr>
          <w:i/>
        </w:rPr>
        <w:t xml:space="preserve">d– </w:t>
      </w:r>
      <w:r w:rsidRPr="00115EB9">
        <w:rPr>
          <w:i/>
        </w:rPr>
        <w:t>it was a test to pr</w:t>
      </w:r>
      <w:r>
        <w:rPr>
          <w:i/>
        </w:rPr>
        <w:t xml:space="preserve">ove [their true characters]– </w:t>
      </w:r>
      <w:r w:rsidRPr="00115EB9">
        <w:rPr>
          <w:i/>
        </w:rPr>
        <w:t>We ransomed his son</w:t>
      </w:r>
      <w:r>
        <w:rPr>
          <w:i/>
        </w:rPr>
        <w:t xml:space="preserve"> with a momentous sacrifice, </w:t>
      </w:r>
      <w:r w:rsidRPr="00115EB9">
        <w:rPr>
          <w:i/>
        </w:rPr>
        <w:t xml:space="preserve">and We let him be praised by succeeding generations: </w:t>
      </w:r>
      <w:r>
        <w:rPr>
          <w:i/>
        </w:rPr>
        <w:t xml:space="preserve">‘Peace be upon Abraham!’ </w:t>
      </w:r>
      <w:r w:rsidRPr="00115EB9">
        <w:rPr>
          <w:i/>
        </w:rPr>
        <w:t xml:space="preserve">This is how </w:t>
      </w:r>
      <w:r>
        <w:rPr>
          <w:i/>
        </w:rPr>
        <w:t>We reward those who do good:</w:t>
      </w:r>
      <w:r w:rsidRPr="00115EB9">
        <w:rPr>
          <w:i/>
        </w:rPr>
        <w:t xml:space="preserve"> truly he was one of Our faithful servants. </w:t>
      </w:r>
      <w:sdt>
        <w:sdtPr>
          <w:rPr>
            <w:i/>
          </w:rPr>
          <w:id w:val="-2088914846"/>
          <w:citation/>
        </w:sdtPr>
        <w:sdtContent>
          <w:r w:rsidR="00F17419">
            <w:rPr>
              <w:i/>
            </w:rPr>
            <w:fldChar w:fldCharType="begin"/>
          </w:r>
          <w:r w:rsidR="00F17419">
            <w:rPr>
              <w:i/>
            </w:rPr>
            <w:instrText xml:space="preserve"> CITATION MAS04 \l 1033 </w:instrText>
          </w:r>
          <w:r w:rsidR="00F17419">
            <w:rPr>
              <w:i/>
            </w:rPr>
            <w:fldChar w:fldCharType="separate"/>
          </w:r>
          <w:r w:rsidR="00F17419">
            <w:rPr>
              <w:noProof/>
            </w:rPr>
            <w:t>(Haleem)</w:t>
          </w:r>
          <w:r w:rsidR="00F17419">
            <w:rPr>
              <w:i/>
            </w:rPr>
            <w:fldChar w:fldCharType="end"/>
          </w:r>
        </w:sdtContent>
      </w:sdt>
    </w:p>
    <w:p w14:paraId="25D464AC" w14:textId="77777777" w:rsidR="00115EB9" w:rsidRDefault="00115EB9"/>
    <w:p w14:paraId="212DE096" w14:textId="77777777" w:rsidR="00FC0313" w:rsidRDefault="00115EB9">
      <w:r>
        <w:t xml:space="preserve">The story of Abraham’s (Ibrahim in the Islamic context) sacrifice may sound much the same in the Koran, but there is one big difference. The son in question, though not named, is </w:t>
      </w:r>
      <w:r w:rsidR="00F17419">
        <w:t xml:space="preserve">believed by </w:t>
      </w:r>
      <w:r w:rsidR="00541F31">
        <w:t>many</w:t>
      </w:r>
      <w:r w:rsidR="00F17419">
        <w:t xml:space="preserve"> Muslims to be Ishmael (</w:t>
      </w:r>
      <w:r>
        <w:t>Ismail</w:t>
      </w:r>
      <w:r w:rsidR="00F17419">
        <w:t>)</w:t>
      </w:r>
      <w:r>
        <w:t xml:space="preserve"> – Abraham’s older son by Hagar, and not Isaac</w:t>
      </w:r>
      <w:r w:rsidR="00541F31">
        <w:t xml:space="preserve"> </w:t>
      </w:r>
      <w:sdt>
        <w:sdtPr>
          <w:id w:val="-1835062304"/>
          <w:citation/>
        </w:sdtPr>
        <w:sdtContent>
          <w:r w:rsidR="00541F31">
            <w:fldChar w:fldCharType="begin"/>
          </w:r>
          <w:r w:rsidR="00541F31">
            <w:instrText xml:space="preserve"> CITATION Abd10 \l 1033 </w:instrText>
          </w:r>
          <w:r w:rsidR="00541F31">
            <w:fldChar w:fldCharType="separate"/>
          </w:r>
          <w:r w:rsidR="00541F31">
            <w:rPr>
              <w:noProof/>
            </w:rPr>
            <w:t>(Abdus Sattar Ghawri)</w:t>
          </w:r>
          <w:r w:rsidR="00541F31">
            <w:fldChar w:fldCharType="end"/>
          </w:r>
        </w:sdtContent>
      </w:sdt>
      <w:r w:rsidR="009A4C64">
        <w:t xml:space="preserve">. </w:t>
      </w:r>
    </w:p>
    <w:p w14:paraId="3F257C91" w14:textId="77777777" w:rsidR="00FC0313" w:rsidRDefault="00FC0313"/>
    <w:p w14:paraId="3B14A21B" w14:textId="74268E3B" w:rsidR="00115EB9" w:rsidRDefault="00541F31">
      <w:r>
        <w:t>In fact, it forms the basis of one of Islam’s most important festivals – the Eid al-Adha or Eid Qurban, mean</w:t>
      </w:r>
      <w:r w:rsidR="0004070C">
        <w:t xml:space="preserve">ing the Festival of Sacrifice. An important ritual aspect of this festival is the sacrificing of a goat, emulating Abraham’s sacrifice of the animal that Allah provided him with, in lieu of his ‘only son’. </w:t>
      </w:r>
      <w:r w:rsidR="00BC5E37">
        <w:t>A goat that has been looked after for a while (resulting in attachment) is expected to be sacrificed</w:t>
      </w:r>
      <w:r w:rsidR="003F54F6">
        <w:t xml:space="preserve"> by the devout</w:t>
      </w:r>
      <w:r w:rsidR="00BC5E37">
        <w:t xml:space="preserve">, and later a feast is prepared using the meat. </w:t>
      </w:r>
      <w:r w:rsidR="00B8441D">
        <w:t>Another ritual related to the Koranic version of the Akedah is ‘The Stoning</w:t>
      </w:r>
      <w:r w:rsidR="003778B7">
        <w:t xml:space="preserve"> of the Devil’ during the Hajj p</w:t>
      </w:r>
      <w:r w:rsidR="00B8441D">
        <w:t>ilgrimage</w:t>
      </w:r>
      <w:r w:rsidR="003778B7">
        <w:t xml:space="preserve"> in Mecca</w:t>
      </w:r>
      <w:sdt>
        <w:sdtPr>
          <w:id w:val="-1655598984"/>
          <w:citation/>
        </w:sdtPr>
        <w:sdtContent>
          <w:r w:rsidR="003778B7">
            <w:fldChar w:fldCharType="begin"/>
          </w:r>
          <w:r w:rsidR="003778B7">
            <w:instrText xml:space="preserve"> CITATION Eri13 \l 1033 </w:instrText>
          </w:r>
          <w:r w:rsidR="003778B7">
            <w:fldChar w:fldCharType="separate"/>
          </w:r>
          <w:r w:rsidR="003778B7">
            <w:rPr>
              <w:noProof/>
            </w:rPr>
            <w:t xml:space="preserve"> (Tagliacozzo)</w:t>
          </w:r>
          <w:r w:rsidR="003778B7">
            <w:fldChar w:fldCharType="end"/>
          </w:r>
        </w:sdtContent>
      </w:sdt>
      <w:r w:rsidR="00B8441D">
        <w:t xml:space="preserve">. In this, pilgrims enact Abraham stoning the </w:t>
      </w:r>
      <w:r w:rsidR="00B8441D">
        <w:rPr>
          <w:i/>
        </w:rPr>
        <w:t xml:space="preserve">shaytaan </w:t>
      </w:r>
      <w:r w:rsidR="00B8441D">
        <w:t xml:space="preserve">(devil), when the latter tries to dissuade him from following Allah’s command. </w:t>
      </w:r>
    </w:p>
    <w:p w14:paraId="6D2C693D" w14:textId="77777777" w:rsidR="00802119" w:rsidRDefault="00802119"/>
    <w:p w14:paraId="5BCE367B" w14:textId="00249858" w:rsidR="00802119" w:rsidRDefault="00802119">
      <w:r>
        <w:t xml:space="preserve">The story of Abraham’s sacrifice, thus, forms an important cultural basis for the Islamic faith too. It is clear to see that the story of Abraham’s sacrifice is essentially the same in the Torah and the Koran (as also the Bible), but for the one big difference of key character. </w:t>
      </w:r>
      <w:r w:rsidR="003778B7">
        <w:t xml:space="preserve">That Muslims who descended from Ishmael would imagine him to be the ‘lamb’, as Jews who descended from Isaac imagined his piety is obvious. </w:t>
      </w:r>
      <w:r w:rsidR="00E73580">
        <w:t>The conflict</w:t>
      </w:r>
      <w:r w:rsidR="003778B7">
        <w:t xml:space="preserve">, if any, </w:t>
      </w:r>
      <w:r w:rsidR="006C7BE5">
        <w:t xml:space="preserve">pertains to </w:t>
      </w:r>
      <w:r w:rsidR="003778B7">
        <w:t xml:space="preserve">primacy and </w:t>
      </w:r>
      <w:r w:rsidR="006C7BE5">
        <w:t>ancestry rather than theology and does not in any way challenge the extent or greatness of Abraham’</w:t>
      </w:r>
      <w:r w:rsidR="00DE5632">
        <w:t xml:space="preserve">s actions or his position as the great patriarch of the three ‘Abrahamic faiths’. </w:t>
      </w:r>
      <w:r w:rsidR="00FC0313">
        <w:t xml:space="preserve">Interestingly though, one Jewish interpretation (Targum) also accounts for this Ishmael-Isaac </w:t>
      </w:r>
      <w:r w:rsidR="000226D0">
        <w:t>rivalry and</w:t>
      </w:r>
      <w:r w:rsidR="005357B5">
        <w:t xml:space="preserve"> offers it up as the very provocation</w:t>
      </w:r>
      <w:r w:rsidR="000226D0">
        <w:t xml:space="preserve"> for God’s decision to throw such a challenge at the family. </w:t>
      </w:r>
    </w:p>
    <w:p w14:paraId="089F32D4" w14:textId="77777777" w:rsidR="003778B7" w:rsidRDefault="003778B7"/>
    <w:p w14:paraId="2355E1C2" w14:textId="33DF5194" w:rsidR="003778B7" w:rsidRPr="00FD6495" w:rsidRDefault="003778B7" w:rsidP="003778B7">
      <w:pPr>
        <w:rPr>
          <w:lang w:val="en-IN"/>
        </w:rPr>
      </w:pPr>
      <w:r w:rsidRPr="003778B7">
        <w:rPr>
          <w:i/>
          <w:lang w:val="en-IN"/>
        </w:rPr>
        <w:t>“And it came to pass </w:t>
      </w:r>
      <w:r w:rsidRPr="003778B7">
        <w:rPr>
          <w:i/>
          <w:iCs/>
          <w:lang w:val="en-IN"/>
        </w:rPr>
        <w:t>after these words</w:t>
      </w:r>
      <w:r w:rsidRPr="003778B7">
        <w:rPr>
          <w:i/>
          <w:lang w:val="en-IN"/>
        </w:rPr>
        <w:t>” that Isaac and Ishmael were in dispute.  Ishmael said: “It is right for me to be the heir of my father, since I am his first-born son.”  But Isaac said: “It is right for me to be the heir of my father, since I am the son of Sarah his wife, but you are the son of Hagar, the handmaid of my mother.”  Ishmael answered and said: “I am more righteous than you, because I was circumcised when thirteen years old; and if it had been my wish to refuse, I would not have handed myself over to be circumcised.”  Isaac answered and said: “Am I not now thirty-seven years old?  If the Holy One, blessed be He, demanded all my members I would not hesitate.”  Immediately, these words were heard before the Lord of the universe, and immediately, the word of the Lord tested Abraham, and said unto him, “Abraham,” and he said, “Here I am.”</w:t>
      </w:r>
      <w:r>
        <w:rPr>
          <w:i/>
          <w:lang w:val="en-IN"/>
        </w:rPr>
        <w:t xml:space="preserve"> </w:t>
      </w:r>
      <w:sdt>
        <w:sdtPr>
          <w:rPr>
            <w:i/>
            <w:lang w:val="en-IN"/>
          </w:rPr>
          <w:id w:val="1741668983"/>
          <w:citation/>
        </w:sdtPr>
        <w:sdtContent>
          <w:r w:rsidR="00FD6495">
            <w:rPr>
              <w:i/>
              <w:lang w:val="en-IN"/>
            </w:rPr>
            <w:fldChar w:fldCharType="begin"/>
          </w:r>
          <w:r w:rsidR="00FD6495">
            <w:instrText xml:space="preserve"> CITATION Kal15 \l 1033 </w:instrText>
          </w:r>
          <w:r w:rsidR="00FD6495">
            <w:rPr>
              <w:i/>
              <w:lang w:val="en-IN"/>
            </w:rPr>
            <w:fldChar w:fldCharType="separate"/>
          </w:r>
          <w:r w:rsidR="00FD6495">
            <w:rPr>
              <w:noProof/>
            </w:rPr>
            <w:t>(Kalimi)</w:t>
          </w:r>
          <w:r w:rsidR="00FD6495">
            <w:rPr>
              <w:i/>
              <w:lang w:val="en-IN"/>
            </w:rPr>
            <w:fldChar w:fldCharType="end"/>
          </w:r>
        </w:sdtContent>
      </w:sdt>
    </w:p>
    <w:p w14:paraId="5E6D960D" w14:textId="77777777" w:rsidR="003778B7" w:rsidRDefault="003778B7"/>
    <w:p w14:paraId="75D30B5B" w14:textId="69084C2D" w:rsidR="00EC14D2" w:rsidRDefault="007065D7">
      <w:r>
        <w:t>This Midrashic expansion touches upon the sensitive topic of circumcision, and naturally casts Isaac in a better light than Ishmael because of its Jewish context. However, it also establishes a unity of ritual in both religious communities. This mitigates that one fundamental point of difference – circumcision – that has historically caused immense discord between the Jews and Christians</w:t>
      </w:r>
    </w:p>
    <w:p w14:paraId="3C679E71" w14:textId="77777777" w:rsidR="00EC14D2" w:rsidRDefault="00EC14D2"/>
    <w:p w14:paraId="7E5F3CBA" w14:textId="6A5A77A7" w:rsidR="007065D7" w:rsidRDefault="00A95346">
      <w:pPr>
        <w:rPr>
          <w:b/>
        </w:rPr>
      </w:pPr>
      <w:r w:rsidRPr="00A95346">
        <w:rPr>
          <w:b/>
        </w:rPr>
        <w:t>Like father, like son</w:t>
      </w:r>
    </w:p>
    <w:p w14:paraId="2BAD21F4" w14:textId="77777777" w:rsidR="00A95346" w:rsidRDefault="00A95346">
      <w:pPr>
        <w:rPr>
          <w:b/>
        </w:rPr>
      </w:pPr>
    </w:p>
    <w:p w14:paraId="7582628F" w14:textId="547F4F0F" w:rsidR="00A95346" w:rsidRDefault="00A95346" w:rsidP="00A95346">
      <w:r>
        <w:t xml:space="preserve">The Akedah story in the Bible has inspired myriad interpretations across time and cultures and continues to flummox new readers, spawning even more interpretations. The story of a seemingly cruel god, a frighteningly faithful (and heartless) patriarch, and an unsuspecting child continues to shock, awe and confuse. In addition to many theological angles, scholars like E Wellisch have explored the psychological angles such as in his book ‘Isaac and Oedipus: </w:t>
      </w:r>
      <w:r w:rsidRPr="00A95346">
        <w:t>A Study in Biblical Psychology of the Sacrifice of Isaac The Akedah</w:t>
      </w:r>
      <w:r>
        <w:t xml:space="preserve">’. </w:t>
      </w:r>
    </w:p>
    <w:p w14:paraId="2509FD59" w14:textId="77777777" w:rsidR="00496868" w:rsidRDefault="00496868" w:rsidP="00A95346"/>
    <w:p w14:paraId="0B490AB7" w14:textId="21A89DE7" w:rsidR="00496868" w:rsidRDefault="00496868" w:rsidP="00A95346">
      <w:r>
        <w:t xml:space="preserve">However, despite its many layers and conundrums, the central takeaway of the text seems to be a simple one of patriarchal authority. </w:t>
      </w:r>
      <w:r w:rsidR="00A73D6E">
        <w:t xml:space="preserve">A patriarchal god makes an impossible request of his prophet, who in turn must make an impossible request of his son. </w:t>
      </w:r>
      <w:r w:rsidR="000F3787">
        <w:t xml:space="preserve">In the face of authority, there must be fear and unquestioning obedience and these are upheld as values that must be followed by society at large. </w:t>
      </w:r>
      <w:r w:rsidR="002D285A">
        <w:t xml:space="preserve">Obedience alone ensures protection, and a son must follow in his father’s footsteps. Stripped of all divine mystery and piety, the paradigmatic story of a father (being willing to sacrifice) sacrificing his child – whether Abraham, or Agamemnon, or Ajigarta or Thanos, is essentially stated and reinstated to establish one central rule of survival in a patriarchal society – like father, like son. </w:t>
      </w:r>
    </w:p>
    <w:p w14:paraId="74B065E6" w14:textId="77777777" w:rsidR="00B15CCD" w:rsidRDefault="00B15CCD" w:rsidP="00A95346"/>
    <w:sdt>
      <w:sdtPr>
        <w:id w:val="-559023059"/>
        <w:docPartObj>
          <w:docPartGallery w:val="Bibliographies"/>
          <w:docPartUnique/>
        </w:docPartObj>
      </w:sdtPr>
      <w:sdtEndPr>
        <w:rPr>
          <w:rFonts w:asciiTheme="minorHAnsi" w:eastAsiaTheme="minorEastAsia" w:hAnsiTheme="minorHAnsi" w:cstheme="minorBidi"/>
          <w:color w:val="auto"/>
          <w:sz w:val="24"/>
          <w:szCs w:val="24"/>
          <w:lang w:bidi="ar-SA"/>
        </w:rPr>
      </w:sdtEndPr>
      <w:sdtContent>
        <w:p w14:paraId="3A00195C" w14:textId="40AAB10E" w:rsidR="00B15CCD" w:rsidRDefault="00B15CCD">
          <w:pPr>
            <w:pStyle w:val="Heading1"/>
          </w:pPr>
          <w:r>
            <w:t>Works Cited</w:t>
          </w:r>
        </w:p>
        <w:p w14:paraId="394F71CB" w14:textId="77777777" w:rsidR="00B15CCD" w:rsidRDefault="00B15CCD" w:rsidP="00B15CCD">
          <w:pPr>
            <w:pStyle w:val="Bibliography"/>
            <w:rPr>
              <w:noProof/>
            </w:rPr>
          </w:pPr>
          <w:r>
            <w:fldChar w:fldCharType="begin"/>
          </w:r>
          <w:r>
            <w:instrText xml:space="preserve"> BIBLIOGRAPHY </w:instrText>
          </w:r>
          <w:r>
            <w:fldChar w:fldCharType="separate"/>
          </w:r>
          <w:r>
            <w:rPr>
              <w:noProof/>
            </w:rPr>
            <w:t xml:space="preserve">Green, Alberto Ravinell Whitney. </w:t>
          </w:r>
          <w:r>
            <w:rPr>
              <w:noProof/>
              <w:u w:val="single"/>
            </w:rPr>
            <w:t>The role of human sacrifice in the ancient Near East</w:t>
          </w:r>
          <w:r>
            <w:rPr>
              <w:noProof/>
            </w:rPr>
            <w:t>. Missoula: Scholars Press for the American Schools of Oriental Researc , 1975.</w:t>
          </w:r>
        </w:p>
        <w:p w14:paraId="37CD5968" w14:textId="77777777" w:rsidR="00B15CCD" w:rsidRDefault="00B15CCD" w:rsidP="00B15CCD">
          <w:pPr>
            <w:pStyle w:val="Bibliography"/>
            <w:rPr>
              <w:noProof/>
            </w:rPr>
          </w:pPr>
          <w:r>
            <w:rPr>
              <w:noProof/>
            </w:rPr>
            <w:t xml:space="preserve">Simon Hornblower, Antony Spawforth, Esther Eidinow. </w:t>
          </w:r>
          <w:r>
            <w:rPr>
              <w:noProof/>
              <w:u w:val="single"/>
            </w:rPr>
            <w:t>The Oxford Companion to Classical Civilization</w:t>
          </w:r>
          <w:r>
            <w:rPr>
              <w:noProof/>
            </w:rPr>
            <w:t>. Oxford: Oxford University Publications, 2014.</w:t>
          </w:r>
        </w:p>
        <w:p w14:paraId="5BEBAA65" w14:textId="77777777" w:rsidR="00B15CCD" w:rsidRDefault="00B15CCD" w:rsidP="00B15CCD">
          <w:pPr>
            <w:pStyle w:val="Bibliography"/>
            <w:rPr>
              <w:noProof/>
            </w:rPr>
          </w:pPr>
          <w:r>
            <w:rPr>
              <w:noProof/>
            </w:rPr>
            <w:t xml:space="preserve">Chabad. </w:t>
          </w:r>
          <w:r>
            <w:rPr>
              <w:noProof/>
              <w:u w:val="single"/>
            </w:rPr>
            <w:t>Chabad.org</w:t>
          </w:r>
          <w:r>
            <w:rPr>
              <w:noProof/>
            </w:rPr>
            <w:t>. 1993. Chabad-Lubavitch Media Center. 5 April 2020 &lt;https://www.chabad.org/library/bible_cdo/aid/8217&gt;.</w:t>
          </w:r>
        </w:p>
        <w:p w14:paraId="7AF4C6B2" w14:textId="77777777" w:rsidR="00B15CCD" w:rsidRDefault="00B15CCD" w:rsidP="00B15CCD">
          <w:pPr>
            <w:pStyle w:val="Bibliography"/>
            <w:rPr>
              <w:noProof/>
            </w:rPr>
          </w:pPr>
          <w:r>
            <w:rPr>
              <w:noProof/>
            </w:rPr>
            <w:t xml:space="preserve">Kerr, Kelly. </w:t>
          </w:r>
          <w:r>
            <w:rPr>
              <w:noProof/>
              <w:u w:val="single"/>
            </w:rPr>
            <w:t>Theopolis</w:t>
          </w:r>
          <w:r>
            <w:rPr>
              <w:noProof/>
            </w:rPr>
            <w:t>. 15 August 2017. 5 April 2020 &lt;https://theopolisinstitute.com/on-the-structure-of-genesis-22-part-1/&gt;.</w:t>
          </w:r>
        </w:p>
        <w:p w14:paraId="1B778AFC" w14:textId="77777777" w:rsidR="00B15CCD" w:rsidRDefault="00B15CCD" w:rsidP="00B15CCD">
          <w:pPr>
            <w:pStyle w:val="Bibliography"/>
            <w:rPr>
              <w:noProof/>
            </w:rPr>
          </w:pPr>
          <w:r>
            <w:rPr>
              <w:noProof/>
            </w:rPr>
            <w:t xml:space="preserve">Taylor, Neil. "Academia." 15 June 2015. </w:t>
          </w:r>
          <w:r>
            <w:rPr>
              <w:noProof/>
              <w:u w:val="single"/>
            </w:rPr>
            <w:t>Academia</w:t>
          </w:r>
          <w:r>
            <w:rPr>
              <w:noProof/>
            </w:rPr>
            <w:t>. 5 April 2020 &lt;https://www.academia.edu/14358321/THE_AKEDAH&gt;.</w:t>
          </w:r>
        </w:p>
        <w:p w14:paraId="541BA3D0" w14:textId="77777777" w:rsidR="00B15CCD" w:rsidRDefault="00B15CCD" w:rsidP="00B15CCD">
          <w:pPr>
            <w:pStyle w:val="Bibliography"/>
            <w:rPr>
              <w:noProof/>
            </w:rPr>
          </w:pPr>
          <w:r>
            <w:rPr>
              <w:noProof/>
            </w:rPr>
            <w:t xml:space="preserve">Daly, Robert J. "The Soteriological Significance of the Sacrifice of Isaac." </w:t>
          </w:r>
          <w:r>
            <w:rPr>
              <w:noProof/>
              <w:u w:val="single"/>
            </w:rPr>
            <w:t>The Catholic Biblical Quarterly</w:t>
          </w:r>
          <w:r>
            <w:rPr>
              <w:noProof/>
            </w:rPr>
            <w:t xml:space="preserve"> 39.1 (1977): 45-75.</w:t>
          </w:r>
        </w:p>
        <w:p w14:paraId="43683A3B" w14:textId="77777777" w:rsidR="00B15CCD" w:rsidRDefault="00B15CCD" w:rsidP="00B15CCD">
          <w:pPr>
            <w:pStyle w:val="Bibliography"/>
            <w:rPr>
              <w:noProof/>
            </w:rPr>
          </w:pPr>
          <w:r>
            <w:rPr>
              <w:noProof/>
            </w:rPr>
            <w:t xml:space="preserve">Goodman, James. </w:t>
          </w:r>
          <w:r>
            <w:rPr>
              <w:noProof/>
              <w:u w:val="single"/>
            </w:rPr>
            <w:t>Understanding Genesis 22: God and Child Sacrifice</w:t>
          </w:r>
          <w:r>
            <w:rPr>
              <w:noProof/>
            </w:rPr>
            <w:t>. 11 09 2013. 5 April 2020 &lt;https://www.myjewishlearning.com/members-of-the-scribe/understanding-genesis-22-god-and-child-sacrifice/&gt;.</w:t>
          </w:r>
        </w:p>
        <w:p w14:paraId="108EB0D8" w14:textId="77777777" w:rsidR="00B15CCD" w:rsidRDefault="00B15CCD" w:rsidP="00B15CCD">
          <w:pPr>
            <w:pStyle w:val="Bibliography"/>
            <w:rPr>
              <w:noProof/>
            </w:rPr>
          </w:pPr>
          <w:r>
            <w:rPr>
              <w:noProof/>
            </w:rPr>
            <w:t xml:space="preserve">Doukhan, Jaques. "The Center of the Aqedah: A Study of the Literary Structure of Genesis 22: 1-19." </w:t>
          </w:r>
          <w:r>
            <w:rPr>
              <w:noProof/>
              <w:u w:val="single"/>
            </w:rPr>
            <w:t xml:space="preserve">Andrews University Seminary Studies </w:t>
          </w:r>
          <w:r>
            <w:rPr>
              <w:noProof/>
            </w:rPr>
            <w:t>31.1 (1993): 17-28.</w:t>
          </w:r>
        </w:p>
        <w:p w14:paraId="4D2305EA" w14:textId="77777777" w:rsidR="00B15CCD" w:rsidRDefault="00B15CCD" w:rsidP="00B15CCD">
          <w:pPr>
            <w:pStyle w:val="Bibliography"/>
            <w:rPr>
              <w:noProof/>
            </w:rPr>
          </w:pPr>
          <w:r>
            <w:rPr>
              <w:noProof/>
            </w:rPr>
            <w:t xml:space="preserve">Schoenfeld, Devorah. </w:t>
          </w:r>
          <w:r>
            <w:rPr>
              <w:noProof/>
              <w:u w:val="single"/>
            </w:rPr>
            <w:t>Akedah: How Jews and Christians Explained Abraham's Faith</w:t>
          </w:r>
          <w:r>
            <w:rPr>
              <w:noProof/>
            </w:rPr>
            <w:t>. 30 October 2017. 5 April 2020 &lt;https://www.thetorah.com/article/akedah-how-jews-and-christians-explained-abrahams-faith&gt;.</w:t>
          </w:r>
        </w:p>
        <w:p w14:paraId="53A6CBBB" w14:textId="77777777" w:rsidR="00B15CCD" w:rsidRDefault="00B15CCD" w:rsidP="00B15CCD">
          <w:pPr>
            <w:pStyle w:val="Bibliography"/>
            <w:rPr>
              <w:noProof/>
            </w:rPr>
          </w:pPr>
          <w:r>
            <w:rPr>
              <w:noProof/>
            </w:rPr>
            <w:t xml:space="preserve">Davidson, William. </w:t>
          </w:r>
          <w:r>
            <w:rPr>
              <w:noProof/>
              <w:u w:val="single"/>
            </w:rPr>
            <w:t>Sanhedrin - The William Davidson Talmud</w:t>
          </w:r>
          <w:r>
            <w:rPr>
              <w:noProof/>
            </w:rPr>
            <w:t>. &lt;https://www.sefaria.org/Sanhedrin.89b.9?lang=bi&gt;.</w:t>
          </w:r>
        </w:p>
        <w:p w14:paraId="40E2AA16" w14:textId="77777777" w:rsidR="00B15CCD" w:rsidRDefault="00B15CCD" w:rsidP="00B15CCD">
          <w:pPr>
            <w:pStyle w:val="Bibliography"/>
            <w:rPr>
              <w:noProof/>
            </w:rPr>
          </w:pPr>
          <w:r>
            <w:rPr>
              <w:noProof/>
            </w:rPr>
            <w:t xml:space="preserve">Haleem, MAS Abdel. </w:t>
          </w:r>
          <w:r>
            <w:rPr>
              <w:noProof/>
              <w:u w:val="single"/>
            </w:rPr>
            <w:t>The Qur'an</w:t>
          </w:r>
          <w:r>
            <w:rPr>
              <w:noProof/>
            </w:rPr>
            <w:t>. New York: Oxford University Press, 2004.</w:t>
          </w:r>
        </w:p>
        <w:p w14:paraId="52A3F013" w14:textId="77777777" w:rsidR="00B15CCD" w:rsidRDefault="00B15CCD" w:rsidP="00B15CCD">
          <w:pPr>
            <w:pStyle w:val="Bibliography"/>
            <w:rPr>
              <w:noProof/>
            </w:rPr>
          </w:pPr>
          <w:r>
            <w:rPr>
              <w:noProof/>
            </w:rPr>
            <w:t xml:space="preserve">Abdus Sattar Ghawri, Ihsanur Rahman Ghauri. </w:t>
          </w:r>
          <w:r>
            <w:rPr>
              <w:noProof/>
              <w:u w:val="single"/>
            </w:rPr>
            <w:t>The only son offered for sacrifice, Isaac or Ishmael</w:t>
          </w:r>
          <w:r>
            <w:rPr>
              <w:noProof/>
            </w:rPr>
            <w:t>. Delhi: Gyan Publishing House, 2010.</w:t>
          </w:r>
        </w:p>
        <w:p w14:paraId="763DD9D2" w14:textId="77777777" w:rsidR="00B15CCD" w:rsidRDefault="00B15CCD" w:rsidP="00B15CCD">
          <w:pPr>
            <w:pStyle w:val="Bibliography"/>
            <w:rPr>
              <w:noProof/>
            </w:rPr>
          </w:pPr>
          <w:r>
            <w:rPr>
              <w:noProof/>
            </w:rPr>
            <w:t xml:space="preserve">Tagliacozzo, Eric. </w:t>
          </w:r>
          <w:r>
            <w:rPr>
              <w:noProof/>
              <w:u w:val="single"/>
            </w:rPr>
            <w:t>The Longest Journey: Southeast Asians and the Pilgrimage to Mecca</w:t>
          </w:r>
          <w:r>
            <w:rPr>
              <w:noProof/>
            </w:rPr>
            <w:t>. New York: Oxford University Press, 2013.</w:t>
          </w:r>
        </w:p>
        <w:p w14:paraId="3DDA5416" w14:textId="77777777" w:rsidR="00B15CCD" w:rsidRDefault="00B15CCD" w:rsidP="00B15CCD">
          <w:pPr>
            <w:pStyle w:val="Bibliography"/>
            <w:rPr>
              <w:noProof/>
            </w:rPr>
          </w:pPr>
          <w:r>
            <w:rPr>
              <w:noProof/>
            </w:rPr>
            <w:t xml:space="preserve">Kalimi, Isaac. </w:t>
          </w:r>
          <w:r>
            <w:rPr>
              <w:noProof/>
              <w:u w:val="single"/>
            </w:rPr>
            <w:t>Mitigating the Akedah</w:t>
          </w:r>
          <w:r>
            <w:rPr>
              <w:noProof/>
            </w:rPr>
            <w:t>. 2015. 2020 &lt;https://www.thetorah.com/article/mitigating-the-akedah&gt;.</w:t>
          </w:r>
        </w:p>
        <w:p w14:paraId="30D9BFFB" w14:textId="7BD8A123" w:rsidR="00B15CCD" w:rsidRDefault="00B15CCD" w:rsidP="00B15CCD">
          <w:r>
            <w:rPr>
              <w:b/>
              <w:bCs/>
            </w:rPr>
            <w:fldChar w:fldCharType="end"/>
          </w:r>
        </w:p>
      </w:sdtContent>
    </w:sdt>
    <w:p w14:paraId="2E422131" w14:textId="77777777" w:rsidR="00B15CCD" w:rsidRPr="00A95346" w:rsidRDefault="00B15CCD" w:rsidP="00A95346">
      <w:bookmarkStart w:id="0" w:name="_GoBack"/>
      <w:bookmarkEnd w:id="0"/>
    </w:p>
    <w:p w14:paraId="2BFC50C7" w14:textId="485FB2D5" w:rsidR="00A95346" w:rsidRPr="00A95346" w:rsidRDefault="00A95346"/>
    <w:sectPr w:rsidR="00A95346" w:rsidRPr="00A95346" w:rsidSect="002962A1">
      <w:footerReference w:type="even" r:id="rId10"/>
      <w:foot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D938A3" w14:textId="77777777" w:rsidR="007065D7" w:rsidRDefault="007065D7" w:rsidP="0097372B">
      <w:r>
        <w:separator/>
      </w:r>
    </w:p>
  </w:endnote>
  <w:endnote w:type="continuationSeparator" w:id="0">
    <w:p w14:paraId="2BA8738A" w14:textId="77777777" w:rsidR="007065D7" w:rsidRDefault="007065D7" w:rsidP="009737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55E49E" w14:textId="77777777" w:rsidR="007065D7" w:rsidRDefault="007065D7" w:rsidP="00410D9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BFB3610" w14:textId="77777777" w:rsidR="007065D7" w:rsidRDefault="007065D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660A98" w14:textId="77777777" w:rsidR="007065D7" w:rsidRDefault="007065D7" w:rsidP="00410D9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15CCD">
      <w:rPr>
        <w:rStyle w:val="PageNumber"/>
        <w:noProof/>
      </w:rPr>
      <w:t>1</w:t>
    </w:r>
    <w:r>
      <w:rPr>
        <w:rStyle w:val="PageNumber"/>
      </w:rPr>
      <w:fldChar w:fldCharType="end"/>
    </w:r>
  </w:p>
  <w:p w14:paraId="671157E6" w14:textId="77777777" w:rsidR="007065D7" w:rsidRDefault="007065D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154F05" w14:textId="77777777" w:rsidR="007065D7" w:rsidRDefault="007065D7" w:rsidP="0097372B">
      <w:r>
        <w:separator/>
      </w:r>
    </w:p>
  </w:footnote>
  <w:footnote w:type="continuationSeparator" w:id="0">
    <w:p w14:paraId="6F20D696" w14:textId="77777777" w:rsidR="007065D7" w:rsidRDefault="007065D7" w:rsidP="0097372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2"/>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37D20"/>
    <w:rsid w:val="000226D0"/>
    <w:rsid w:val="0004070C"/>
    <w:rsid w:val="000923AC"/>
    <w:rsid w:val="000F3787"/>
    <w:rsid w:val="00115EB9"/>
    <w:rsid w:val="00122830"/>
    <w:rsid w:val="00125788"/>
    <w:rsid w:val="00166A1F"/>
    <w:rsid w:val="001A09FC"/>
    <w:rsid w:val="001D5B31"/>
    <w:rsid w:val="00220DF5"/>
    <w:rsid w:val="0022610F"/>
    <w:rsid w:val="00244BD2"/>
    <w:rsid w:val="00294CFE"/>
    <w:rsid w:val="002962A1"/>
    <w:rsid w:val="002A032E"/>
    <w:rsid w:val="002D285A"/>
    <w:rsid w:val="00307F66"/>
    <w:rsid w:val="00317968"/>
    <w:rsid w:val="003362B5"/>
    <w:rsid w:val="0037243A"/>
    <w:rsid w:val="00374EDD"/>
    <w:rsid w:val="003778B7"/>
    <w:rsid w:val="00387B43"/>
    <w:rsid w:val="003F1FCE"/>
    <w:rsid w:val="003F54F6"/>
    <w:rsid w:val="00410D9E"/>
    <w:rsid w:val="004379EF"/>
    <w:rsid w:val="00447ACC"/>
    <w:rsid w:val="00467F1E"/>
    <w:rsid w:val="00477A98"/>
    <w:rsid w:val="00494365"/>
    <w:rsid w:val="00496868"/>
    <w:rsid w:val="00503B2F"/>
    <w:rsid w:val="005146C5"/>
    <w:rsid w:val="005357B5"/>
    <w:rsid w:val="00541F31"/>
    <w:rsid w:val="005744AA"/>
    <w:rsid w:val="005952D6"/>
    <w:rsid w:val="005A037C"/>
    <w:rsid w:val="005E79C4"/>
    <w:rsid w:val="005F5ABE"/>
    <w:rsid w:val="00681D4A"/>
    <w:rsid w:val="006C7BE5"/>
    <w:rsid w:val="006E5E60"/>
    <w:rsid w:val="00704D0C"/>
    <w:rsid w:val="007065D7"/>
    <w:rsid w:val="00756457"/>
    <w:rsid w:val="00771217"/>
    <w:rsid w:val="00784052"/>
    <w:rsid w:val="00793B51"/>
    <w:rsid w:val="00793E94"/>
    <w:rsid w:val="007A06F5"/>
    <w:rsid w:val="007B0174"/>
    <w:rsid w:val="007C059A"/>
    <w:rsid w:val="007C397A"/>
    <w:rsid w:val="00802119"/>
    <w:rsid w:val="0086640B"/>
    <w:rsid w:val="008A7D2B"/>
    <w:rsid w:val="008D4505"/>
    <w:rsid w:val="008E5093"/>
    <w:rsid w:val="00900D58"/>
    <w:rsid w:val="00924FA6"/>
    <w:rsid w:val="00971DBD"/>
    <w:rsid w:val="0097372B"/>
    <w:rsid w:val="009738AC"/>
    <w:rsid w:val="009A4C64"/>
    <w:rsid w:val="009B0B55"/>
    <w:rsid w:val="009B0BA6"/>
    <w:rsid w:val="009E2C66"/>
    <w:rsid w:val="009E3029"/>
    <w:rsid w:val="009F1F5B"/>
    <w:rsid w:val="00A62430"/>
    <w:rsid w:val="00A73D6E"/>
    <w:rsid w:val="00A95346"/>
    <w:rsid w:val="00AA5D51"/>
    <w:rsid w:val="00AD37AF"/>
    <w:rsid w:val="00AE62CC"/>
    <w:rsid w:val="00AF4E14"/>
    <w:rsid w:val="00B02801"/>
    <w:rsid w:val="00B06CB9"/>
    <w:rsid w:val="00B15CCD"/>
    <w:rsid w:val="00B46597"/>
    <w:rsid w:val="00B72CC4"/>
    <w:rsid w:val="00B8441D"/>
    <w:rsid w:val="00B8639D"/>
    <w:rsid w:val="00B97D50"/>
    <w:rsid w:val="00BA1DD2"/>
    <w:rsid w:val="00BB533A"/>
    <w:rsid w:val="00BC5E37"/>
    <w:rsid w:val="00C341B7"/>
    <w:rsid w:val="00C36063"/>
    <w:rsid w:val="00C43ADB"/>
    <w:rsid w:val="00C766EC"/>
    <w:rsid w:val="00CB1DF7"/>
    <w:rsid w:val="00CC3FD7"/>
    <w:rsid w:val="00D1250D"/>
    <w:rsid w:val="00D7080F"/>
    <w:rsid w:val="00DC60BB"/>
    <w:rsid w:val="00DE5632"/>
    <w:rsid w:val="00DE6D5C"/>
    <w:rsid w:val="00E70734"/>
    <w:rsid w:val="00E73580"/>
    <w:rsid w:val="00E77A74"/>
    <w:rsid w:val="00E859FB"/>
    <w:rsid w:val="00EB5443"/>
    <w:rsid w:val="00EC14D2"/>
    <w:rsid w:val="00ED35FE"/>
    <w:rsid w:val="00EE202F"/>
    <w:rsid w:val="00F00352"/>
    <w:rsid w:val="00F136A4"/>
    <w:rsid w:val="00F17419"/>
    <w:rsid w:val="00F37D20"/>
    <w:rsid w:val="00F71701"/>
    <w:rsid w:val="00F7419C"/>
    <w:rsid w:val="00F912F3"/>
    <w:rsid w:val="00FC0313"/>
    <w:rsid w:val="00FC20D1"/>
    <w:rsid w:val="00FD0586"/>
    <w:rsid w:val="00FD649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04A1E0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15CC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639D"/>
    <w:rPr>
      <w:color w:val="0000FF" w:themeColor="hyperlink"/>
      <w:u w:val="single"/>
    </w:rPr>
  </w:style>
  <w:style w:type="character" w:styleId="FollowedHyperlink">
    <w:name w:val="FollowedHyperlink"/>
    <w:basedOn w:val="DefaultParagraphFont"/>
    <w:uiPriority w:val="99"/>
    <w:semiHidden/>
    <w:unhideWhenUsed/>
    <w:rsid w:val="00E70734"/>
    <w:rPr>
      <w:color w:val="800080" w:themeColor="followedHyperlink"/>
      <w:u w:val="single"/>
    </w:rPr>
  </w:style>
  <w:style w:type="paragraph" w:styleId="ListParagraph">
    <w:name w:val="List Paragraph"/>
    <w:basedOn w:val="Normal"/>
    <w:uiPriority w:val="34"/>
    <w:qFormat/>
    <w:rsid w:val="00F71701"/>
    <w:pPr>
      <w:ind w:left="720"/>
      <w:contextualSpacing/>
    </w:pPr>
  </w:style>
  <w:style w:type="paragraph" w:styleId="BalloonText">
    <w:name w:val="Balloon Text"/>
    <w:basedOn w:val="Normal"/>
    <w:link w:val="BalloonTextChar"/>
    <w:uiPriority w:val="99"/>
    <w:semiHidden/>
    <w:unhideWhenUsed/>
    <w:rsid w:val="0012578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25788"/>
    <w:rPr>
      <w:rFonts w:ascii="Lucida Grande" w:hAnsi="Lucida Grande" w:cs="Lucida Grande"/>
      <w:sz w:val="18"/>
      <w:szCs w:val="18"/>
    </w:rPr>
  </w:style>
  <w:style w:type="paragraph" w:styleId="Footer">
    <w:name w:val="footer"/>
    <w:basedOn w:val="Normal"/>
    <w:link w:val="FooterChar"/>
    <w:uiPriority w:val="99"/>
    <w:unhideWhenUsed/>
    <w:rsid w:val="0097372B"/>
    <w:pPr>
      <w:tabs>
        <w:tab w:val="center" w:pos="4320"/>
        <w:tab w:val="right" w:pos="8640"/>
      </w:tabs>
    </w:pPr>
  </w:style>
  <w:style w:type="character" w:customStyle="1" w:styleId="FooterChar">
    <w:name w:val="Footer Char"/>
    <w:basedOn w:val="DefaultParagraphFont"/>
    <w:link w:val="Footer"/>
    <w:uiPriority w:val="99"/>
    <w:rsid w:val="0097372B"/>
  </w:style>
  <w:style w:type="character" w:styleId="PageNumber">
    <w:name w:val="page number"/>
    <w:basedOn w:val="DefaultParagraphFont"/>
    <w:uiPriority w:val="99"/>
    <w:semiHidden/>
    <w:unhideWhenUsed/>
    <w:rsid w:val="0097372B"/>
  </w:style>
  <w:style w:type="character" w:customStyle="1" w:styleId="Heading1Char">
    <w:name w:val="Heading 1 Char"/>
    <w:basedOn w:val="DefaultParagraphFont"/>
    <w:link w:val="Heading1"/>
    <w:uiPriority w:val="9"/>
    <w:rsid w:val="00B15CCD"/>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B15CC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15CC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639D"/>
    <w:rPr>
      <w:color w:val="0000FF" w:themeColor="hyperlink"/>
      <w:u w:val="single"/>
    </w:rPr>
  </w:style>
  <w:style w:type="character" w:styleId="FollowedHyperlink">
    <w:name w:val="FollowedHyperlink"/>
    <w:basedOn w:val="DefaultParagraphFont"/>
    <w:uiPriority w:val="99"/>
    <w:semiHidden/>
    <w:unhideWhenUsed/>
    <w:rsid w:val="00E70734"/>
    <w:rPr>
      <w:color w:val="800080" w:themeColor="followedHyperlink"/>
      <w:u w:val="single"/>
    </w:rPr>
  </w:style>
  <w:style w:type="paragraph" w:styleId="ListParagraph">
    <w:name w:val="List Paragraph"/>
    <w:basedOn w:val="Normal"/>
    <w:uiPriority w:val="34"/>
    <w:qFormat/>
    <w:rsid w:val="00F71701"/>
    <w:pPr>
      <w:ind w:left="720"/>
      <w:contextualSpacing/>
    </w:pPr>
  </w:style>
  <w:style w:type="paragraph" w:styleId="BalloonText">
    <w:name w:val="Balloon Text"/>
    <w:basedOn w:val="Normal"/>
    <w:link w:val="BalloonTextChar"/>
    <w:uiPriority w:val="99"/>
    <w:semiHidden/>
    <w:unhideWhenUsed/>
    <w:rsid w:val="0012578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25788"/>
    <w:rPr>
      <w:rFonts w:ascii="Lucida Grande" w:hAnsi="Lucida Grande" w:cs="Lucida Grande"/>
      <w:sz w:val="18"/>
      <w:szCs w:val="18"/>
    </w:rPr>
  </w:style>
  <w:style w:type="paragraph" w:styleId="Footer">
    <w:name w:val="footer"/>
    <w:basedOn w:val="Normal"/>
    <w:link w:val="FooterChar"/>
    <w:uiPriority w:val="99"/>
    <w:unhideWhenUsed/>
    <w:rsid w:val="0097372B"/>
    <w:pPr>
      <w:tabs>
        <w:tab w:val="center" w:pos="4320"/>
        <w:tab w:val="right" w:pos="8640"/>
      </w:tabs>
    </w:pPr>
  </w:style>
  <w:style w:type="character" w:customStyle="1" w:styleId="FooterChar">
    <w:name w:val="Footer Char"/>
    <w:basedOn w:val="DefaultParagraphFont"/>
    <w:link w:val="Footer"/>
    <w:uiPriority w:val="99"/>
    <w:rsid w:val="0097372B"/>
  </w:style>
  <w:style w:type="character" w:styleId="PageNumber">
    <w:name w:val="page number"/>
    <w:basedOn w:val="DefaultParagraphFont"/>
    <w:uiPriority w:val="99"/>
    <w:semiHidden/>
    <w:unhideWhenUsed/>
    <w:rsid w:val="0097372B"/>
  </w:style>
  <w:style w:type="character" w:customStyle="1" w:styleId="Heading1Char">
    <w:name w:val="Heading 1 Char"/>
    <w:basedOn w:val="DefaultParagraphFont"/>
    <w:link w:val="Heading1"/>
    <w:uiPriority w:val="9"/>
    <w:rsid w:val="00B15CCD"/>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B15C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018091">
      <w:bodyDiv w:val="1"/>
      <w:marLeft w:val="0"/>
      <w:marRight w:val="0"/>
      <w:marTop w:val="0"/>
      <w:marBottom w:val="0"/>
      <w:divBdr>
        <w:top w:val="none" w:sz="0" w:space="0" w:color="auto"/>
        <w:left w:val="none" w:sz="0" w:space="0" w:color="auto"/>
        <w:bottom w:val="none" w:sz="0" w:space="0" w:color="auto"/>
        <w:right w:val="none" w:sz="0" w:space="0" w:color="auto"/>
      </w:divBdr>
    </w:div>
    <w:div w:id="202912456">
      <w:bodyDiv w:val="1"/>
      <w:marLeft w:val="0"/>
      <w:marRight w:val="0"/>
      <w:marTop w:val="0"/>
      <w:marBottom w:val="0"/>
      <w:divBdr>
        <w:top w:val="none" w:sz="0" w:space="0" w:color="auto"/>
        <w:left w:val="none" w:sz="0" w:space="0" w:color="auto"/>
        <w:bottom w:val="none" w:sz="0" w:space="0" w:color="auto"/>
        <w:right w:val="none" w:sz="0" w:space="0" w:color="auto"/>
      </w:divBdr>
    </w:div>
    <w:div w:id="303701149">
      <w:bodyDiv w:val="1"/>
      <w:marLeft w:val="0"/>
      <w:marRight w:val="0"/>
      <w:marTop w:val="0"/>
      <w:marBottom w:val="0"/>
      <w:divBdr>
        <w:top w:val="none" w:sz="0" w:space="0" w:color="auto"/>
        <w:left w:val="none" w:sz="0" w:space="0" w:color="auto"/>
        <w:bottom w:val="none" w:sz="0" w:space="0" w:color="auto"/>
        <w:right w:val="none" w:sz="0" w:space="0" w:color="auto"/>
      </w:divBdr>
    </w:div>
    <w:div w:id="515509345">
      <w:bodyDiv w:val="1"/>
      <w:marLeft w:val="0"/>
      <w:marRight w:val="0"/>
      <w:marTop w:val="0"/>
      <w:marBottom w:val="0"/>
      <w:divBdr>
        <w:top w:val="none" w:sz="0" w:space="0" w:color="auto"/>
        <w:left w:val="none" w:sz="0" w:space="0" w:color="auto"/>
        <w:bottom w:val="none" w:sz="0" w:space="0" w:color="auto"/>
        <w:right w:val="none" w:sz="0" w:space="0" w:color="auto"/>
      </w:divBdr>
      <w:divsChild>
        <w:div w:id="586765329">
          <w:marLeft w:val="0"/>
          <w:marRight w:val="0"/>
          <w:marTop w:val="90"/>
          <w:marBottom w:val="0"/>
          <w:divBdr>
            <w:top w:val="none" w:sz="0" w:space="0" w:color="auto"/>
            <w:left w:val="none" w:sz="0" w:space="0" w:color="auto"/>
            <w:bottom w:val="none" w:sz="0" w:space="0" w:color="auto"/>
            <w:right w:val="none" w:sz="0" w:space="0" w:color="auto"/>
          </w:divBdr>
          <w:divsChild>
            <w:div w:id="101345585">
              <w:marLeft w:val="0"/>
              <w:marRight w:val="0"/>
              <w:marTop w:val="0"/>
              <w:marBottom w:val="420"/>
              <w:divBdr>
                <w:top w:val="none" w:sz="0" w:space="0" w:color="auto"/>
                <w:left w:val="none" w:sz="0" w:space="0" w:color="auto"/>
                <w:bottom w:val="none" w:sz="0" w:space="0" w:color="auto"/>
                <w:right w:val="none" w:sz="0" w:space="0" w:color="auto"/>
              </w:divBdr>
              <w:divsChild>
                <w:div w:id="1273439682">
                  <w:marLeft w:val="0"/>
                  <w:marRight w:val="0"/>
                  <w:marTop w:val="0"/>
                  <w:marBottom w:val="0"/>
                  <w:divBdr>
                    <w:top w:val="none" w:sz="0" w:space="0" w:color="auto"/>
                    <w:left w:val="none" w:sz="0" w:space="0" w:color="auto"/>
                    <w:bottom w:val="none" w:sz="0" w:space="0" w:color="auto"/>
                    <w:right w:val="none" w:sz="0" w:space="0" w:color="auto"/>
                  </w:divBdr>
                  <w:divsChild>
                    <w:div w:id="117926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8417320">
      <w:bodyDiv w:val="1"/>
      <w:marLeft w:val="0"/>
      <w:marRight w:val="0"/>
      <w:marTop w:val="0"/>
      <w:marBottom w:val="0"/>
      <w:divBdr>
        <w:top w:val="none" w:sz="0" w:space="0" w:color="auto"/>
        <w:left w:val="none" w:sz="0" w:space="0" w:color="auto"/>
        <w:bottom w:val="none" w:sz="0" w:space="0" w:color="auto"/>
        <w:right w:val="none" w:sz="0" w:space="0" w:color="auto"/>
      </w:divBdr>
    </w:div>
    <w:div w:id="590894286">
      <w:bodyDiv w:val="1"/>
      <w:marLeft w:val="0"/>
      <w:marRight w:val="0"/>
      <w:marTop w:val="0"/>
      <w:marBottom w:val="0"/>
      <w:divBdr>
        <w:top w:val="none" w:sz="0" w:space="0" w:color="auto"/>
        <w:left w:val="none" w:sz="0" w:space="0" w:color="auto"/>
        <w:bottom w:val="none" w:sz="0" w:space="0" w:color="auto"/>
        <w:right w:val="none" w:sz="0" w:space="0" w:color="auto"/>
      </w:divBdr>
    </w:div>
    <w:div w:id="739786587">
      <w:bodyDiv w:val="1"/>
      <w:marLeft w:val="0"/>
      <w:marRight w:val="0"/>
      <w:marTop w:val="0"/>
      <w:marBottom w:val="0"/>
      <w:divBdr>
        <w:top w:val="none" w:sz="0" w:space="0" w:color="auto"/>
        <w:left w:val="none" w:sz="0" w:space="0" w:color="auto"/>
        <w:bottom w:val="none" w:sz="0" w:space="0" w:color="auto"/>
        <w:right w:val="none" w:sz="0" w:space="0" w:color="auto"/>
      </w:divBdr>
    </w:div>
    <w:div w:id="744035241">
      <w:bodyDiv w:val="1"/>
      <w:marLeft w:val="0"/>
      <w:marRight w:val="0"/>
      <w:marTop w:val="0"/>
      <w:marBottom w:val="0"/>
      <w:divBdr>
        <w:top w:val="none" w:sz="0" w:space="0" w:color="auto"/>
        <w:left w:val="none" w:sz="0" w:space="0" w:color="auto"/>
        <w:bottom w:val="none" w:sz="0" w:space="0" w:color="auto"/>
        <w:right w:val="none" w:sz="0" w:space="0" w:color="auto"/>
      </w:divBdr>
    </w:div>
    <w:div w:id="812023005">
      <w:bodyDiv w:val="1"/>
      <w:marLeft w:val="0"/>
      <w:marRight w:val="0"/>
      <w:marTop w:val="0"/>
      <w:marBottom w:val="0"/>
      <w:divBdr>
        <w:top w:val="none" w:sz="0" w:space="0" w:color="auto"/>
        <w:left w:val="none" w:sz="0" w:space="0" w:color="auto"/>
        <w:bottom w:val="none" w:sz="0" w:space="0" w:color="auto"/>
        <w:right w:val="none" w:sz="0" w:space="0" w:color="auto"/>
      </w:divBdr>
    </w:div>
    <w:div w:id="812410194">
      <w:bodyDiv w:val="1"/>
      <w:marLeft w:val="0"/>
      <w:marRight w:val="0"/>
      <w:marTop w:val="0"/>
      <w:marBottom w:val="0"/>
      <w:divBdr>
        <w:top w:val="none" w:sz="0" w:space="0" w:color="auto"/>
        <w:left w:val="none" w:sz="0" w:space="0" w:color="auto"/>
        <w:bottom w:val="none" w:sz="0" w:space="0" w:color="auto"/>
        <w:right w:val="none" w:sz="0" w:space="0" w:color="auto"/>
      </w:divBdr>
    </w:div>
    <w:div w:id="879126088">
      <w:bodyDiv w:val="1"/>
      <w:marLeft w:val="0"/>
      <w:marRight w:val="0"/>
      <w:marTop w:val="0"/>
      <w:marBottom w:val="0"/>
      <w:divBdr>
        <w:top w:val="none" w:sz="0" w:space="0" w:color="auto"/>
        <w:left w:val="none" w:sz="0" w:space="0" w:color="auto"/>
        <w:bottom w:val="none" w:sz="0" w:space="0" w:color="auto"/>
        <w:right w:val="none" w:sz="0" w:space="0" w:color="auto"/>
      </w:divBdr>
    </w:div>
    <w:div w:id="925918274">
      <w:bodyDiv w:val="1"/>
      <w:marLeft w:val="0"/>
      <w:marRight w:val="0"/>
      <w:marTop w:val="0"/>
      <w:marBottom w:val="0"/>
      <w:divBdr>
        <w:top w:val="none" w:sz="0" w:space="0" w:color="auto"/>
        <w:left w:val="none" w:sz="0" w:space="0" w:color="auto"/>
        <w:bottom w:val="none" w:sz="0" w:space="0" w:color="auto"/>
        <w:right w:val="none" w:sz="0" w:space="0" w:color="auto"/>
      </w:divBdr>
    </w:div>
    <w:div w:id="957830937">
      <w:bodyDiv w:val="1"/>
      <w:marLeft w:val="0"/>
      <w:marRight w:val="0"/>
      <w:marTop w:val="0"/>
      <w:marBottom w:val="0"/>
      <w:divBdr>
        <w:top w:val="none" w:sz="0" w:space="0" w:color="auto"/>
        <w:left w:val="none" w:sz="0" w:space="0" w:color="auto"/>
        <w:bottom w:val="none" w:sz="0" w:space="0" w:color="auto"/>
        <w:right w:val="none" w:sz="0" w:space="0" w:color="auto"/>
      </w:divBdr>
    </w:div>
    <w:div w:id="1019967411">
      <w:bodyDiv w:val="1"/>
      <w:marLeft w:val="0"/>
      <w:marRight w:val="0"/>
      <w:marTop w:val="0"/>
      <w:marBottom w:val="0"/>
      <w:divBdr>
        <w:top w:val="none" w:sz="0" w:space="0" w:color="auto"/>
        <w:left w:val="none" w:sz="0" w:space="0" w:color="auto"/>
        <w:bottom w:val="none" w:sz="0" w:space="0" w:color="auto"/>
        <w:right w:val="none" w:sz="0" w:space="0" w:color="auto"/>
      </w:divBdr>
    </w:div>
    <w:div w:id="1023551194">
      <w:bodyDiv w:val="1"/>
      <w:marLeft w:val="0"/>
      <w:marRight w:val="0"/>
      <w:marTop w:val="0"/>
      <w:marBottom w:val="0"/>
      <w:divBdr>
        <w:top w:val="none" w:sz="0" w:space="0" w:color="auto"/>
        <w:left w:val="none" w:sz="0" w:space="0" w:color="auto"/>
        <w:bottom w:val="none" w:sz="0" w:space="0" w:color="auto"/>
        <w:right w:val="none" w:sz="0" w:space="0" w:color="auto"/>
      </w:divBdr>
    </w:div>
    <w:div w:id="1114787541">
      <w:bodyDiv w:val="1"/>
      <w:marLeft w:val="0"/>
      <w:marRight w:val="0"/>
      <w:marTop w:val="0"/>
      <w:marBottom w:val="0"/>
      <w:divBdr>
        <w:top w:val="none" w:sz="0" w:space="0" w:color="auto"/>
        <w:left w:val="none" w:sz="0" w:space="0" w:color="auto"/>
        <w:bottom w:val="none" w:sz="0" w:space="0" w:color="auto"/>
        <w:right w:val="none" w:sz="0" w:space="0" w:color="auto"/>
      </w:divBdr>
    </w:div>
    <w:div w:id="1133403394">
      <w:bodyDiv w:val="1"/>
      <w:marLeft w:val="0"/>
      <w:marRight w:val="0"/>
      <w:marTop w:val="0"/>
      <w:marBottom w:val="0"/>
      <w:divBdr>
        <w:top w:val="none" w:sz="0" w:space="0" w:color="auto"/>
        <w:left w:val="none" w:sz="0" w:space="0" w:color="auto"/>
        <w:bottom w:val="none" w:sz="0" w:space="0" w:color="auto"/>
        <w:right w:val="none" w:sz="0" w:space="0" w:color="auto"/>
      </w:divBdr>
    </w:div>
    <w:div w:id="1189298281">
      <w:bodyDiv w:val="1"/>
      <w:marLeft w:val="0"/>
      <w:marRight w:val="0"/>
      <w:marTop w:val="0"/>
      <w:marBottom w:val="0"/>
      <w:divBdr>
        <w:top w:val="none" w:sz="0" w:space="0" w:color="auto"/>
        <w:left w:val="none" w:sz="0" w:space="0" w:color="auto"/>
        <w:bottom w:val="none" w:sz="0" w:space="0" w:color="auto"/>
        <w:right w:val="none" w:sz="0" w:space="0" w:color="auto"/>
      </w:divBdr>
    </w:div>
    <w:div w:id="1308390176">
      <w:bodyDiv w:val="1"/>
      <w:marLeft w:val="0"/>
      <w:marRight w:val="0"/>
      <w:marTop w:val="0"/>
      <w:marBottom w:val="0"/>
      <w:divBdr>
        <w:top w:val="none" w:sz="0" w:space="0" w:color="auto"/>
        <w:left w:val="none" w:sz="0" w:space="0" w:color="auto"/>
        <w:bottom w:val="none" w:sz="0" w:space="0" w:color="auto"/>
        <w:right w:val="none" w:sz="0" w:space="0" w:color="auto"/>
      </w:divBdr>
    </w:div>
    <w:div w:id="1332220863">
      <w:bodyDiv w:val="1"/>
      <w:marLeft w:val="0"/>
      <w:marRight w:val="0"/>
      <w:marTop w:val="0"/>
      <w:marBottom w:val="0"/>
      <w:divBdr>
        <w:top w:val="none" w:sz="0" w:space="0" w:color="auto"/>
        <w:left w:val="none" w:sz="0" w:space="0" w:color="auto"/>
        <w:bottom w:val="none" w:sz="0" w:space="0" w:color="auto"/>
        <w:right w:val="none" w:sz="0" w:space="0" w:color="auto"/>
      </w:divBdr>
    </w:div>
    <w:div w:id="1349794476">
      <w:bodyDiv w:val="1"/>
      <w:marLeft w:val="0"/>
      <w:marRight w:val="0"/>
      <w:marTop w:val="0"/>
      <w:marBottom w:val="0"/>
      <w:divBdr>
        <w:top w:val="none" w:sz="0" w:space="0" w:color="auto"/>
        <w:left w:val="none" w:sz="0" w:space="0" w:color="auto"/>
        <w:bottom w:val="none" w:sz="0" w:space="0" w:color="auto"/>
        <w:right w:val="none" w:sz="0" w:space="0" w:color="auto"/>
      </w:divBdr>
    </w:div>
    <w:div w:id="1352341079">
      <w:bodyDiv w:val="1"/>
      <w:marLeft w:val="0"/>
      <w:marRight w:val="0"/>
      <w:marTop w:val="0"/>
      <w:marBottom w:val="0"/>
      <w:divBdr>
        <w:top w:val="none" w:sz="0" w:space="0" w:color="auto"/>
        <w:left w:val="none" w:sz="0" w:space="0" w:color="auto"/>
        <w:bottom w:val="none" w:sz="0" w:space="0" w:color="auto"/>
        <w:right w:val="none" w:sz="0" w:space="0" w:color="auto"/>
      </w:divBdr>
    </w:div>
    <w:div w:id="1378630134">
      <w:bodyDiv w:val="1"/>
      <w:marLeft w:val="0"/>
      <w:marRight w:val="0"/>
      <w:marTop w:val="0"/>
      <w:marBottom w:val="0"/>
      <w:divBdr>
        <w:top w:val="none" w:sz="0" w:space="0" w:color="auto"/>
        <w:left w:val="none" w:sz="0" w:space="0" w:color="auto"/>
        <w:bottom w:val="none" w:sz="0" w:space="0" w:color="auto"/>
        <w:right w:val="none" w:sz="0" w:space="0" w:color="auto"/>
      </w:divBdr>
    </w:div>
    <w:div w:id="1381517098">
      <w:bodyDiv w:val="1"/>
      <w:marLeft w:val="0"/>
      <w:marRight w:val="0"/>
      <w:marTop w:val="0"/>
      <w:marBottom w:val="0"/>
      <w:divBdr>
        <w:top w:val="none" w:sz="0" w:space="0" w:color="auto"/>
        <w:left w:val="none" w:sz="0" w:space="0" w:color="auto"/>
        <w:bottom w:val="none" w:sz="0" w:space="0" w:color="auto"/>
        <w:right w:val="none" w:sz="0" w:space="0" w:color="auto"/>
      </w:divBdr>
    </w:div>
    <w:div w:id="1420173519">
      <w:bodyDiv w:val="1"/>
      <w:marLeft w:val="0"/>
      <w:marRight w:val="0"/>
      <w:marTop w:val="0"/>
      <w:marBottom w:val="0"/>
      <w:divBdr>
        <w:top w:val="none" w:sz="0" w:space="0" w:color="auto"/>
        <w:left w:val="none" w:sz="0" w:space="0" w:color="auto"/>
        <w:bottom w:val="none" w:sz="0" w:space="0" w:color="auto"/>
        <w:right w:val="none" w:sz="0" w:space="0" w:color="auto"/>
      </w:divBdr>
    </w:div>
    <w:div w:id="1496022797">
      <w:bodyDiv w:val="1"/>
      <w:marLeft w:val="0"/>
      <w:marRight w:val="0"/>
      <w:marTop w:val="0"/>
      <w:marBottom w:val="0"/>
      <w:divBdr>
        <w:top w:val="none" w:sz="0" w:space="0" w:color="auto"/>
        <w:left w:val="none" w:sz="0" w:space="0" w:color="auto"/>
        <w:bottom w:val="none" w:sz="0" w:space="0" w:color="auto"/>
        <w:right w:val="none" w:sz="0" w:space="0" w:color="auto"/>
      </w:divBdr>
    </w:div>
    <w:div w:id="1730571335">
      <w:bodyDiv w:val="1"/>
      <w:marLeft w:val="0"/>
      <w:marRight w:val="0"/>
      <w:marTop w:val="0"/>
      <w:marBottom w:val="0"/>
      <w:divBdr>
        <w:top w:val="none" w:sz="0" w:space="0" w:color="auto"/>
        <w:left w:val="none" w:sz="0" w:space="0" w:color="auto"/>
        <w:bottom w:val="none" w:sz="0" w:space="0" w:color="auto"/>
        <w:right w:val="none" w:sz="0" w:space="0" w:color="auto"/>
      </w:divBdr>
      <w:divsChild>
        <w:div w:id="1280337179">
          <w:marLeft w:val="0"/>
          <w:marRight w:val="0"/>
          <w:marTop w:val="90"/>
          <w:marBottom w:val="0"/>
          <w:divBdr>
            <w:top w:val="none" w:sz="0" w:space="0" w:color="auto"/>
            <w:left w:val="none" w:sz="0" w:space="0" w:color="auto"/>
            <w:bottom w:val="none" w:sz="0" w:space="0" w:color="auto"/>
            <w:right w:val="none" w:sz="0" w:space="0" w:color="auto"/>
          </w:divBdr>
          <w:divsChild>
            <w:div w:id="955989979">
              <w:marLeft w:val="0"/>
              <w:marRight w:val="0"/>
              <w:marTop w:val="0"/>
              <w:marBottom w:val="420"/>
              <w:divBdr>
                <w:top w:val="none" w:sz="0" w:space="0" w:color="auto"/>
                <w:left w:val="none" w:sz="0" w:space="0" w:color="auto"/>
                <w:bottom w:val="none" w:sz="0" w:space="0" w:color="auto"/>
                <w:right w:val="none" w:sz="0" w:space="0" w:color="auto"/>
              </w:divBdr>
              <w:divsChild>
                <w:div w:id="1444036834">
                  <w:marLeft w:val="0"/>
                  <w:marRight w:val="0"/>
                  <w:marTop w:val="0"/>
                  <w:marBottom w:val="0"/>
                  <w:divBdr>
                    <w:top w:val="none" w:sz="0" w:space="0" w:color="auto"/>
                    <w:left w:val="none" w:sz="0" w:space="0" w:color="auto"/>
                    <w:bottom w:val="none" w:sz="0" w:space="0" w:color="auto"/>
                    <w:right w:val="none" w:sz="0" w:space="0" w:color="auto"/>
                  </w:divBdr>
                  <w:divsChild>
                    <w:div w:id="169345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254149">
      <w:bodyDiv w:val="1"/>
      <w:marLeft w:val="0"/>
      <w:marRight w:val="0"/>
      <w:marTop w:val="0"/>
      <w:marBottom w:val="0"/>
      <w:divBdr>
        <w:top w:val="none" w:sz="0" w:space="0" w:color="auto"/>
        <w:left w:val="none" w:sz="0" w:space="0" w:color="auto"/>
        <w:bottom w:val="none" w:sz="0" w:space="0" w:color="auto"/>
        <w:right w:val="none" w:sz="0" w:space="0" w:color="auto"/>
      </w:divBdr>
    </w:div>
    <w:div w:id="1746489439">
      <w:bodyDiv w:val="1"/>
      <w:marLeft w:val="0"/>
      <w:marRight w:val="0"/>
      <w:marTop w:val="0"/>
      <w:marBottom w:val="0"/>
      <w:divBdr>
        <w:top w:val="none" w:sz="0" w:space="0" w:color="auto"/>
        <w:left w:val="none" w:sz="0" w:space="0" w:color="auto"/>
        <w:bottom w:val="none" w:sz="0" w:space="0" w:color="auto"/>
        <w:right w:val="none" w:sz="0" w:space="0" w:color="auto"/>
      </w:divBdr>
    </w:div>
    <w:div w:id="1780638084">
      <w:bodyDiv w:val="1"/>
      <w:marLeft w:val="0"/>
      <w:marRight w:val="0"/>
      <w:marTop w:val="0"/>
      <w:marBottom w:val="0"/>
      <w:divBdr>
        <w:top w:val="none" w:sz="0" w:space="0" w:color="auto"/>
        <w:left w:val="none" w:sz="0" w:space="0" w:color="auto"/>
        <w:bottom w:val="none" w:sz="0" w:space="0" w:color="auto"/>
        <w:right w:val="none" w:sz="0" w:space="0" w:color="auto"/>
      </w:divBdr>
    </w:div>
    <w:div w:id="1840316696">
      <w:bodyDiv w:val="1"/>
      <w:marLeft w:val="0"/>
      <w:marRight w:val="0"/>
      <w:marTop w:val="0"/>
      <w:marBottom w:val="0"/>
      <w:divBdr>
        <w:top w:val="none" w:sz="0" w:space="0" w:color="auto"/>
        <w:left w:val="none" w:sz="0" w:space="0" w:color="auto"/>
        <w:bottom w:val="none" w:sz="0" w:space="0" w:color="auto"/>
        <w:right w:val="none" w:sz="0" w:space="0" w:color="auto"/>
      </w:divBdr>
    </w:div>
    <w:div w:id="1851748937">
      <w:bodyDiv w:val="1"/>
      <w:marLeft w:val="0"/>
      <w:marRight w:val="0"/>
      <w:marTop w:val="0"/>
      <w:marBottom w:val="0"/>
      <w:divBdr>
        <w:top w:val="none" w:sz="0" w:space="0" w:color="auto"/>
        <w:left w:val="none" w:sz="0" w:space="0" w:color="auto"/>
        <w:bottom w:val="none" w:sz="0" w:space="0" w:color="auto"/>
        <w:right w:val="none" w:sz="0" w:space="0" w:color="auto"/>
      </w:divBdr>
    </w:div>
    <w:div w:id="1874070946">
      <w:bodyDiv w:val="1"/>
      <w:marLeft w:val="0"/>
      <w:marRight w:val="0"/>
      <w:marTop w:val="0"/>
      <w:marBottom w:val="0"/>
      <w:divBdr>
        <w:top w:val="none" w:sz="0" w:space="0" w:color="auto"/>
        <w:left w:val="none" w:sz="0" w:space="0" w:color="auto"/>
        <w:bottom w:val="none" w:sz="0" w:space="0" w:color="auto"/>
        <w:right w:val="none" w:sz="0" w:space="0" w:color="auto"/>
      </w:divBdr>
    </w:div>
    <w:div w:id="1922596182">
      <w:bodyDiv w:val="1"/>
      <w:marLeft w:val="0"/>
      <w:marRight w:val="0"/>
      <w:marTop w:val="0"/>
      <w:marBottom w:val="0"/>
      <w:divBdr>
        <w:top w:val="none" w:sz="0" w:space="0" w:color="auto"/>
        <w:left w:val="none" w:sz="0" w:space="0" w:color="auto"/>
        <w:bottom w:val="none" w:sz="0" w:space="0" w:color="auto"/>
        <w:right w:val="none" w:sz="0" w:space="0" w:color="auto"/>
      </w:divBdr>
    </w:div>
    <w:div w:id="2007589986">
      <w:bodyDiv w:val="1"/>
      <w:marLeft w:val="0"/>
      <w:marRight w:val="0"/>
      <w:marTop w:val="0"/>
      <w:marBottom w:val="0"/>
      <w:divBdr>
        <w:top w:val="none" w:sz="0" w:space="0" w:color="auto"/>
        <w:left w:val="none" w:sz="0" w:space="0" w:color="auto"/>
        <w:bottom w:val="none" w:sz="0" w:space="0" w:color="auto"/>
        <w:right w:val="none" w:sz="0" w:space="0" w:color="auto"/>
      </w:divBdr>
    </w:div>
    <w:div w:id="2114550279">
      <w:bodyDiv w:val="1"/>
      <w:marLeft w:val="0"/>
      <w:marRight w:val="0"/>
      <w:marTop w:val="0"/>
      <w:marBottom w:val="0"/>
      <w:divBdr>
        <w:top w:val="none" w:sz="0" w:space="0" w:color="auto"/>
        <w:left w:val="none" w:sz="0" w:space="0" w:color="auto"/>
        <w:bottom w:val="none" w:sz="0" w:space="0" w:color="auto"/>
        <w:right w:val="none" w:sz="0" w:space="0" w:color="auto"/>
      </w:divBdr>
    </w:div>
    <w:div w:id="21421141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thetorah.com/article/akedah-how-jews-and-christians-explained-abrahams-faith"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b:Source>
    <b:Tag>Gre75</b:Tag>
    <b:SourceType>Book</b:SourceType>
    <b:Guid>{736D754C-5635-1046-B956-E0F9BD348589}</b:Guid>
    <b:Author>
      <b:Author>
        <b:NameList>
          <b:Person>
            <b:Last>Green</b:Last>
            <b:First>Alberto</b:First>
            <b:Middle>Ravinell Whitney</b:Middle>
          </b:Person>
        </b:NameList>
      </b:Author>
    </b:Author>
    <b:Title>The role of human sacrifice in the ancient Near East</b:Title>
    <b:Publisher>Scholars Press for the American Schools of Oriental Researc  </b:Publisher>
    <b:City>Missoula</b:City>
    <b:Year>1975</b:Year>
    <b:Pages>99</b:Pages>
    <b:StateProvince>Montana</b:StateProvince>
    <b:RefOrder>1</b:RefOrder>
  </b:Source>
  <b:Source>
    <b:Tag>Sim14</b:Tag>
    <b:SourceType>Book</b:SourceType>
    <b:Guid>{47B94A40-2271-4F48-8A8D-6EA3B56C7D5D}</b:Guid>
    <b:Author>
      <b:Author>
        <b:NameList>
          <b:Person>
            <b:Last>Simon Hornblower</b:Last>
            <b:First>Antony</b:First>
            <b:Middle>Spawforth, Esther Eidinow</b:Middle>
          </b:Person>
        </b:NameList>
      </b:Author>
    </b:Author>
    <b:Title> The Oxford Companion to Classical Civilization</b:Title>
    <b:City>Oxford</b:City>
    <b:Publisher>Oxford University Publications</b:Publisher>
    <b:Year>2014</b:Year>
    <b:RefOrder>2</b:RefOrder>
  </b:Source>
  <b:Source>
    <b:Tag>Cha93</b:Tag>
    <b:SourceType>InternetSite</b:SourceType>
    <b:Guid>{199FA4EE-D668-5844-913D-A100EAE0254D}</b:Guid>
    <b:Title>Chabad.org</b:Title>
    <b:Year>1993</b:Year>
    <b:Author>
      <b:Author>
        <b:Corporate>Chabad</b:Corporate>
      </b:Author>
    </b:Author>
    <b:InternetSiteTitle>The Complete Jewish Bible</b:InternetSiteTitle>
    <b:URL>https://www.chabad.org/library/bible_cdo/aid/8217</b:URL>
    <b:ProductionCompany>Chabad-Lubavitch Media Center</b:ProductionCompany>
    <b:YearAccessed>2020</b:YearAccessed>
    <b:MonthAccessed>April</b:MonthAccessed>
    <b:DayAccessed>5</b:DayAccessed>
    <b:RefOrder>3</b:RefOrder>
  </b:Source>
  <b:Source>
    <b:Tag>Kel17</b:Tag>
    <b:SourceType>InternetSite</b:SourceType>
    <b:Guid>{44EC1B46-3512-B749-8999-E0DBF49F5EE5}</b:Guid>
    <b:Author>
      <b:Author>
        <b:NameList>
          <b:Person>
            <b:Last>Kerr</b:Last>
            <b:First>Kelly</b:First>
          </b:Person>
        </b:NameList>
      </b:Author>
    </b:Author>
    <b:Title>Theopolis</b:Title>
    <b:InternetSiteTitle>Theopolis Institute</b:InternetSiteTitle>
    <b:URL>https://theopolisinstitute.com/on-the-structure-of-genesis-22-part-1/</b:URL>
    <b:Year>2017</b:Year>
    <b:Month>August</b:Month>
    <b:Day>15</b:Day>
    <b:YearAccessed>2020</b:YearAccessed>
    <b:MonthAccessed>April</b:MonthAccessed>
    <b:DayAccessed>5</b:DayAccessed>
    <b:RefOrder>4</b:RefOrder>
  </b:Source>
  <b:Source>
    <b:Tag>Nei15</b:Tag>
    <b:SourceType>DocumentFromInternetSite</b:SourceType>
    <b:Guid>{2CC14F57-369C-F74C-A154-94478C6980F7}</b:Guid>
    <b:Title>Academia</b:Title>
    <b:InternetSiteTitle>Academia</b:InternetSiteTitle>
    <b:URL>https://www.academia.edu/14358321/THE_AKEDAH</b:URL>
    <b:Year>2015</b:Year>
    <b:Month>June</b:Month>
    <b:Day>15</b:Day>
    <b:YearAccessed>2020</b:YearAccessed>
    <b:MonthAccessed>April</b:MonthAccessed>
    <b:DayAccessed>5</b:DayAccessed>
    <b:Author>
      <b:Author>
        <b:NameList>
          <b:Person>
            <b:Last>Taylor</b:Last>
            <b:First>Neil</b:First>
          </b:Person>
        </b:NameList>
      </b:Author>
    </b:Author>
    <b:RefOrder>5</b:RefOrder>
  </b:Source>
  <b:Source>
    <b:Tag>Dal77</b:Tag>
    <b:SourceType>JournalArticle</b:SourceType>
    <b:Guid>{BDF09C22-5201-224E-B1B1-134E8D8F1EBC}</b:Guid>
    <b:Author>
      <b:Author>
        <b:NameList>
          <b:Person>
            <b:Last>Daly</b:Last>
            <b:First>Robert</b:First>
            <b:Middle>J.</b:Middle>
          </b:Person>
        </b:NameList>
      </b:Author>
    </b:Author>
    <b:Title>The Soteriological Significance of the Sacrifice of Isaac</b:Title>
    <b:Year>1977</b:Year>
    <b:Month>January</b:Month>
    <b:Comments>via JStor</b:Comments>
    <b:JournalName>The Catholic Biblical Quarterly</b:JournalName>
    <b:Publisher>Catholic Biblical Association</b:Publisher>
    <b:Volume>39</b:Volume>
    <b:Issue>1</b:Issue>
    <b:Pages>45-75</b:Pages>
    <b:RefOrder>6</b:RefOrder>
  </b:Source>
  <b:Source>
    <b:Tag>Jam13</b:Tag>
    <b:SourceType>InternetSite</b:SourceType>
    <b:Guid>{5495D3BD-3414-1941-8024-FC8A94A4A9F5}</b:Guid>
    <b:Title>Understanding Genesis 22: God and Child Sacrifice</b:Title>
    <b:Year>2013</b:Year>
    <b:Month>09</b:Month>
    <b:Day>11</b:Day>
    <b:Author>
      <b:Author>
        <b:NameList>
          <b:Person>
            <b:Last>Goodman</b:Last>
            <b:First>James</b:First>
          </b:Person>
        </b:NameList>
      </b:Author>
    </b:Author>
    <b:InternetSiteTitle>My Jewish Learning</b:InternetSiteTitle>
    <b:URL>https://www.myjewishlearning.com/members-of-the-scribe/understanding-genesis-22-god-and-child-sacrifice/</b:URL>
    <b:YearAccessed>2020</b:YearAccessed>
    <b:MonthAccessed>April</b:MonthAccessed>
    <b:DayAccessed>5</b:DayAccessed>
    <b:RefOrder>7</b:RefOrder>
  </b:Source>
  <b:Source>
    <b:Tag>Dou93</b:Tag>
    <b:SourceType>JournalArticle</b:SourceType>
    <b:Guid>{B82870C5-BD9C-0640-AAF9-3658FB24E6B3}</b:Guid>
    <b:Author>
      <b:Author>
        <b:NameList>
          <b:Person>
            <b:Last>Doukhan</b:Last>
            <b:First>Jaques</b:First>
          </b:Person>
        </b:NameList>
      </b:Author>
    </b:Author>
    <b:Title>The Center of the Aqedah: A Study of the Literary Structure of Genesis 22: 1-19</b:Title>
    <b:Year>1993</b:Year>
    <b:Month>Spring</b:Month>
    <b:JournalName>Andrews University Seminary Studies </b:JournalName>
    <b:Publisher>Andrews University Press </b:Publisher>
    <b:Volume>31</b:Volume>
    <b:Issue>1</b:Issue>
    <b:Pages>17-28</b:Pages>
    <b:RefOrder>8</b:RefOrder>
  </b:Source>
  <b:Source>
    <b:Tag>Dev17</b:Tag>
    <b:SourceType>InternetSite</b:SourceType>
    <b:Guid>{F9643948-B195-1249-8E64-1ACEB23A25C1}</b:Guid>
    <b:Title>Akedah: How Jews and Christians Explained Abraham's Faith</b:Title>
    <b:Year>2017</b:Year>
    <b:Month>October</b:Month>
    <b:Day>30</b:Day>
    <b:Author>
      <b:Author>
        <b:NameList>
          <b:Person>
            <b:Last>Schoenfeld</b:Last>
            <b:First>Devorah</b:First>
          </b:Person>
        </b:NameList>
      </b:Author>
    </b:Author>
    <b:InternetSiteTitle>The Torah </b:InternetSiteTitle>
    <b:URL>https://www.thetorah.com/article/akedah-how-jews-and-christians-explained-abrahams-faith</b:URL>
    <b:YearAccessed>2020</b:YearAccessed>
    <b:MonthAccessed>April</b:MonthAccessed>
    <b:DayAccessed>5</b:DayAccessed>
    <b:RefOrder>9</b:RefOrder>
  </b:Source>
  <b:Source>
    <b:Tag>Wil</b:Tag>
    <b:SourceType>InternetSite</b:SourceType>
    <b:Guid>{59DB6547-0590-2F41-8D38-C38B1D59688F}</b:Guid>
    <b:Author>
      <b:Author>
        <b:NameList>
          <b:Person>
            <b:Last>Davidson</b:Last>
            <b:First>William</b:First>
          </b:Person>
        </b:NameList>
      </b:Author>
    </b:Author>
    <b:Title>Sanhedrin - The William Davidson Talmud</b:Title>
    <b:InternetSiteTitle>Sefaria dot org</b:InternetSiteTitle>
    <b:URL>https://www.sefaria.org/Sanhedrin.89b.9?lang=bi</b:URL>
    <b:RefOrder>10</b:RefOrder>
  </b:Source>
  <b:Source>
    <b:Tag>MAS04</b:Tag>
    <b:SourceType>Book</b:SourceType>
    <b:Guid>{AEEA0334-2721-0C45-8F7E-D3A618A5F1A4}</b:Guid>
    <b:Title>The Qur'an</b:Title>
    <b:Year>2004</b:Year>
    <b:Author>
      <b:Author>
        <b:NameList>
          <b:Person>
            <b:Last>Haleem</b:Last>
            <b:First>MAS</b:First>
            <b:Middle>Abdel</b:Middle>
          </b:Person>
        </b:NameList>
      </b:Author>
    </b:Author>
    <b:City>New York</b:City>
    <b:Publisher>Oxford University Press</b:Publisher>
    <b:Pages>287</b:Pages>
    <b:RefOrder>11</b:RefOrder>
  </b:Source>
  <b:Source>
    <b:Tag>Abd10</b:Tag>
    <b:SourceType>Book</b:SourceType>
    <b:Guid>{79E0AF1A-387D-7243-BF40-53EE0AF1F2F3}</b:Guid>
    <b:Author>
      <b:Author>
        <b:NameList>
          <b:Person>
            <b:Last>Abdus Sattar Ghawri</b:Last>
            <b:First>Ihsanur</b:First>
            <b:Middle>Rahman Ghauri</b:Middle>
          </b:Person>
        </b:NameList>
      </b:Author>
    </b:Author>
    <b:Title>The only son offered for sacrifice, Isaac or Ishmael</b:Title>
    <b:City>Delhi</b:City>
    <b:Publisher>Gyan Publishing House</b:Publisher>
    <b:Year>2010</b:Year>
    <b:RefOrder>12</b:RefOrder>
  </b:Source>
  <b:Source>
    <b:Tag>Eri13</b:Tag>
    <b:SourceType>Book</b:SourceType>
    <b:Guid>{F507CA91-9E72-854C-8582-D239AD877DCD}</b:Guid>
    <b:Author>
      <b:Author>
        <b:NameList>
          <b:Person>
            <b:Last>Tagliacozzo</b:Last>
            <b:First>Eric</b:First>
          </b:Person>
        </b:NameList>
      </b:Author>
    </b:Author>
    <b:Title>The Longest Journey: Southeast Asians and the Pilgrimage to Mecca</b:Title>
    <b:City>New York</b:City>
    <b:CountryRegion>USA</b:CountryRegion>
    <b:Publisher>Oxford University Press</b:Publisher>
    <b:Year>2013</b:Year>
    <b:Pages>4</b:Pages>
    <b:RefOrder>13</b:RefOrder>
  </b:Source>
  <b:Source>
    <b:Tag>Kal15</b:Tag>
    <b:SourceType>InternetSite</b:SourceType>
    <b:Guid>{1D621490-8B7F-C046-8D33-0B10046F3F6D}</b:Guid>
    <b:Author>
      <b:Author>
        <b:NameList>
          <b:Person>
            <b:Last>Kalimi</b:Last>
            <b:First>Isaac</b:First>
          </b:Person>
        </b:NameList>
      </b:Author>
    </b:Author>
    <b:Title>Mitigating the Akedah</b:Title>
    <b:Year>2015</b:Year>
    <b:InternetSiteTitle>The Torah dot com</b:InternetSiteTitle>
    <b:URL>https://www.thetorah.com/article/mitigating-the-akedah</b:URL>
    <b:YearAccessed>2020</b:YearAccessed>
    <b:RefOrder>14</b:RefOrder>
  </b:Source>
</b:Sources>
</file>

<file path=customXml/itemProps1.xml><?xml version="1.0" encoding="utf-8"?>
<ds:datastoreItem xmlns:ds="http://schemas.openxmlformats.org/officeDocument/2006/customXml" ds:itemID="{BE1EA7E0-69E2-5F47-8048-A16A6F61A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8</Pages>
  <Words>3027</Words>
  <Characters>17254</Characters>
  <Application>Microsoft Macintosh Word</Application>
  <DocSecurity>0</DocSecurity>
  <Lines>143</Lines>
  <Paragraphs>40</Paragraphs>
  <ScaleCrop>false</ScaleCrop>
  <Company/>
  <LinksUpToDate>false</LinksUpToDate>
  <CharactersWithSpaces>20241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Geet Sagar</dc:creator>
  <cp:keywords/>
  <dc:description/>
  <cp:lastModifiedBy>Geet Sagar</cp:lastModifiedBy>
  <cp:revision>77</cp:revision>
  <dcterms:created xsi:type="dcterms:W3CDTF">2020-03-28T10:03:00Z</dcterms:created>
  <dcterms:modified xsi:type="dcterms:W3CDTF">2020-04-06T16:59:00Z</dcterms:modified>
</cp:coreProperties>
</file>