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93BD85E" wp14:paraId="14380D63" wp14:textId="474423CA">
      <w:pPr>
        <w:jc w:val="right"/>
        <w:rPr>
          <w:rFonts w:ascii="Calibri" w:hAnsi="Calibri" w:eastAsia="Calibri" w:cs="Calibri"/>
          <w:b w:val="0"/>
          <w:bCs w:val="0"/>
          <w:i w:val="0"/>
          <w:iCs w:val="0"/>
          <w:caps w:val="0"/>
          <w:smallCaps w:val="0"/>
          <w:noProof w:val="0"/>
          <w:color w:val="000000" w:themeColor="text1" w:themeTint="FF" w:themeShade="FF"/>
          <w:sz w:val="22"/>
          <w:szCs w:val="22"/>
          <w:lang w:val="en-US"/>
        </w:rPr>
      </w:pPr>
      <w:r w:rsidR="60F40746">
        <w:drawing>
          <wp:inline xmlns:wp14="http://schemas.microsoft.com/office/word/2010/wordprocessingDrawing" wp14:editId="593ED632" wp14:anchorId="4EE3A72B">
            <wp:extent cx="2257425" cy="895350"/>
            <wp:effectExtent l="0" t="0" r="0" b="0"/>
            <wp:docPr id="2081090939" name="drawing" title="A close-up of black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81090939" name="Picture 2081090939"/>
                    <pic:cNvPicPr/>
                  </pic:nvPicPr>
                  <pic:blipFill>
                    <a:blip xmlns:r="http://schemas.openxmlformats.org/officeDocument/2006/relationships" r:embed="rId499333381">
                      <a:extLst>
                        <a:ext uri="{28A0092B-C50C-407E-A947-70E740481C1C}">
                          <a14:useLocalDpi xmlns:a14="http://schemas.microsoft.com/office/drawing/2010/main"/>
                        </a:ext>
                      </a:extLst>
                    </a:blip>
                    <a:stretch>
                      <a:fillRect/>
                    </a:stretch>
                  </pic:blipFill>
                  <pic:spPr>
                    <a:xfrm>
                      <a:off x="0" y="0"/>
                      <a:ext cx="2257425" cy="895350"/>
                    </a:xfrm>
                    <a:prstGeom prst="rect">
                      <a:avLst/>
                    </a:prstGeom>
                  </pic:spPr>
                </pic:pic>
              </a:graphicData>
            </a:graphic>
          </wp:inline>
        </w:drawing>
      </w:r>
      <w:r w:rsidRPr="593BD85E" w:rsidR="60F40746">
        <w:rPr>
          <w:rFonts w:ascii="Calibri" w:hAnsi="Calibri" w:eastAsia="Calibri" w:cs="Calibri"/>
          <w:b w:val="0"/>
          <w:bCs w:val="0"/>
          <w:i w:val="0"/>
          <w:iCs w:val="0"/>
          <w:caps w:val="0"/>
          <w:smallCaps w:val="0"/>
          <w:noProof w:val="0"/>
          <w:color w:val="000000" w:themeColor="text1" w:themeTint="FF" w:themeShade="FF"/>
          <w:sz w:val="22"/>
          <w:szCs w:val="22"/>
          <w:lang w:val="en-GB"/>
        </w:rPr>
        <w:t> </w:t>
      </w:r>
    </w:p>
    <w:p xmlns:wp14="http://schemas.microsoft.com/office/word/2010/wordml" w:rsidP="593BD85E" wp14:paraId="011458D0" wp14:textId="3AD9100B">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593BD85E" w:rsidR="60F40746">
        <w:rPr>
          <w:rFonts w:ascii="Calibri" w:hAnsi="Calibri" w:eastAsia="Calibri" w:cs="Calibri"/>
          <w:b w:val="1"/>
          <w:bCs w:val="1"/>
          <w:i w:val="0"/>
          <w:iCs w:val="0"/>
          <w:caps w:val="0"/>
          <w:smallCaps w:val="0"/>
          <w:noProof w:val="0"/>
          <w:color w:val="000000" w:themeColor="text1" w:themeTint="FF" w:themeShade="FF"/>
          <w:sz w:val="22"/>
          <w:szCs w:val="22"/>
          <w:lang w:val="en-GB"/>
        </w:rPr>
        <w:t xml:space="preserve">MODULE CODE: </w:t>
      </w:r>
      <w:r w:rsidRPr="593BD85E" w:rsidR="60F40746">
        <w:rPr>
          <w:rFonts w:ascii="Arial" w:hAnsi="Arial" w:eastAsia="Arial" w:cs="Arial"/>
          <w:b w:val="1"/>
          <w:bCs w:val="1"/>
          <w:i w:val="0"/>
          <w:iCs w:val="0"/>
          <w:caps w:val="0"/>
          <w:smallCaps w:val="0"/>
          <w:noProof w:val="0"/>
          <w:color w:val="000000" w:themeColor="text1" w:themeTint="FF" w:themeShade="FF"/>
          <w:sz w:val="22"/>
          <w:szCs w:val="22"/>
          <w:lang w:val="en-GB"/>
        </w:rPr>
        <w:t>ECPT6009</w:t>
      </w:r>
    </w:p>
    <w:p xmlns:wp14="http://schemas.microsoft.com/office/word/2010/wordml" w:rsidP="593BD85E" wp14:paraId="77A1AC3F" wp14:textId="7257B373">
      <w:pP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93BD85E" wp14:paraId="5168B21F" wp14:textId="108A9154">
      <w:pPr>
        <w:rPr>
          <w:rFonts w:ascii="Calibri" w:hAnsi="Calibri" w:eastAsia="Calibri" w:cs="Calibri"/>
          <w:b w:val="0"/>
          <w:bCs w:val="0"/>
          <w:i w:val="0"/>
          <w:iCs w:val="0"/>
          <w:caps w:val="0"/>
          <w:smallCaps w:val="0"/>
          <w:noProof w:val="0"/>
          <w:color w:val="000000" w:themeColor="text1" w:themeTint="FF" w:themeShade="FF"/>
          <w:sz w:val="22"/>
          <w:szCs w:val="22"/>
          <w:lang w:val="en-US"/>
        </w:rPr>
      </w:pPr>
      <w:r w:rsidRPr="593BD85E" w:rsidR="60F40746">
        <w:rPr>
          <w:rFonts w:ascii="Calibri" w:hAnsi="Calibri" w:eastAsia="Calibri" w:cs="Calibri"/>
          <w:b w:val="0"/>
          <w:bCs w:val="0"/>
          <w:i w:val="0"/>
          <w:iCs w:val="0"/>
          <w:caps w:val="0"/>
          <w:smallCaps w:val="0"/>
          <w:noProof w:val="0"/>
          <w:color w:val="000000" w:themeColor="text1" w:themeTint="FF" w:themeShade="FF"/>
          <w:sz w:val="22"/>
          <w:szCs w:val="22"/>
          <w:lang w:val="en-GB"/>
        </w:rPr>
        <w:t> </w:t>
      </w:r>
    </w:p>
    <w:p xmlns:wp14="http://schemas.microsoft.com/office/word/2010/wordml" w:rsidP="593BD85E" wp14:paraId="6A67FCEE" wp14:textId="09895CEF">
      <w:pPr>
        <w:rPr>
          <w:rFonts w:ascii="Calibri" w:hAnsi="Calibri" w:eastAsia="Calibri" w:cs="Calibri"/>
          <w:b w:val="0"/>
          <w:bCs w:val="0"/>
          <w:i w:val="0"/>
          <w:iCs w:val="0"/>
          <w:caps w:val="0"/>
          <w:smallCaps w:val="0"/>
          <w:noProof w:val="0"/>
          <w:color w:val="000000" w:themeColor="text1" w:themeTint="FF" w:themeShade="FF"/>
          <w:sz w:val="22"/>
          <w:szCs w:val="22"/>
          <w:lang w:val="en-US"/>
        </w:rPr>
      </w:pPr>
      <w:r w:rsidRPr="593BD85E" w:rsidR="60F40746">
        <w:rPr>
          <w:rFonts w:ascii="Calibri" w:hAnsi="Calibri" w:eastAsia="Calibri" w:cs="Calibri"/>
          <w:b w:val="1"/>
          <w:bCs w:val="1"/>
          <w:i w:val="0"/>
          <w:iCs w:val="0"/>
          <w:caps w:val="0"/>
          <w:smallCaps w:val="0"/>
          <w:noProof w:val="0"/>
          <w:color w:val="000000" w:themeColor="text1" w:themeTint="FF" w:themeShade="FF"/>
          <w:sz w:val="22"/>
          <w:szCs w:val="22"/>
          <w:lang w:val="en-GB"/>
        </w:rPr>
        <w:t xml:space="preserve">ASSESSMENT COMPONENT: </w:t>
      </w:r>
    </w:p>
    <w:p xmlns:wp14="http://schemas.microsoft.com/office/word/2010/wordml" w:rsidP="593BD85E" wp14:paraId="23C0E74C" wp14:textId="65829B39">
      <w:pPr>
        <w:rPr>
          <w:rFonts w:ascii="Calibri" w:hAnsi="Calibri" w:eastAsia="Calibri" w:cs="Calibri"/>
          <w:b w:val="0"/>
          <w:bCs w:val="0"/>
          <w:i w:val="0"/>
          <w:iCs w:val="0"/>
          <w:caps w:val="0"/>
          <w:smallCaps w:val="0"/>
          <w:noProof w:val="0"/>
          <w:color w:val="000000" w:themeColor="text1" w:themeTint="FF" w:themeShade="FF"/>
          <w:sz w:val="22"/>
          <w:szCs w:val="22"/>
          <w:lang w:val="en-US"/>
        </w:rPr>
      </w:pPr>
      <w:r w:rsidRPr="593BD85E" w:rsidR="60F40746">
        <w:rPr>
          <w:rFonts w:ascii="Calibri" w:hAnsi="Calibri" w:eastAsia="Calibri" w:cs="Calibri"/>
          <w:b w:val="0"/>
          <w:bCs w:val="0"/>
          <w:i w:val="0"/>
          <w:iCs w:val="0"/>
          <w:caps w:val="0"/>
          <w:smallCaps w:val="0"/>
          <w:noProof w:val="0"/>
          <w:color w:val="000000" w:themeColor="text1" w:themeTint="FF" w:themeShade="FF"/>
          <w:sz w:val="22"/>
          <w:szCs w:val="22"/>
          <w:lang w:val="en-GB"/>
        </w:rPr>
        <w:t> </w:t>
      </w:r>
    </w:p>
    <w:p xmlns:wp14="http://schemas.microsoft.com/office/word/2010/wordml" w:rsidP="593BD85E" wp14:paraId="4DA0E249" wp14:textId="4BA1AC61">
      <w:pPr>
        <w:rPr>
          <w:rFonts w:ascii="Calibri" w:hAnsi="Calibri" w:eastAsia="Calibri" w:cs="Calibri"/>
          <w:b w:val="0"/>
          <w:bCs w:val="0"/>
          <w:i w:val="0"/>
          <w:iCs w:val="0"/>
          <w:caps w:val="0"/>
          <w:smallCaps w:val="0"/>
          <w:noProof w:val="0"/>
          <w:color w:val="000000" w:themeColor="text1" w:themeTint="FF" w:themeShade="FF"/>
          <w:sz w:val="22"/>
          <w:szCs w:val="22"/>
          <w:lang w:val="en-US"/>
        </w:rPr>
      </w:pPr>
      <w:r w:rsidRPr="593BD85E" w:rsidR="60F40746">
        <w:rPr>
          <w:rFonts w:ascii="Calibri" w:hAnsi="Calibri" w:eastAsia="Calibri" w:cs="Calibri"/>
          <w:b w:val="1"/>
          <w:bCs w:val="1"/>
          <w:i w:val="0"/>
          <w:iCs w:val="0"/>
          <w:caps w:val="0"/>
          <w:smallCaps w:val="0"/>
          <w:noProof w:val="0"/>
          <w:color w:val="000000" w:themeColor="text1" w:themeTint="FF" w:themeShade="FF"/>
          <w:sz w:val="22"/>
          <w:szCs w:val="22"/>
          <w:lang w:val="en-GB"/>
        </w:rPr>
        <w:t>STUDENT NAME:</w:t>
      </w:r>
      <w:r w:rsidRPr="593BD85E" w:rsidR="60F40746">
        <w:rPr>
          <w:rFonts w:ascii="Calibri" w:hAnsi="Calibri" w:eastAsia="Calibri" w:cs="Calibri"/>
          <w:b w:val="0"/>
          <w:bCs w:val="0"/>
          <w:i w:val="0"/>
          <w:iCs w:val="0"/>
          <w:caps w:val="0"/>
          <w:smallCaps w:val="0"/>
          <w:noProof w:val="0"/>
          <w:color w:val="000000" w:themeColor="text1" w:themeTint="FF" w:themeShade="FF"/>
          <w:sz w:val="22"/>
          <w:szCs w:val="22"/>
          <w:lang w:val="en-GB"/>
        </w:rPr>
        <w:t> Aimee leigh Jenkins</w:t>
      </w:r>
    </w:p>
    <w:p xmlns:wp14="http://schemas.microsoft.com/office/word/2010/wordml" w:rsidP="593BD85E" wp14:paraId="658A64DB" wp14:textId="17976D4D">
      <w:pPr>
        <w:rPr>
          <w:rFonts w:ascii="Calibri" w:hAnsi="Calibri" w:eastAsia="Calibri" w:cs="Calibri"/>
          <w:b w:val="0"/>
          <w:bCs w:val="0"/>
          <w:i w:val="0"/>
          <w:iCs w:val="0"/>
          <w:caps w:val="0"/>
          <w:smallCaps w:val="0"/>
          <w:noProof w:val="0"/>
          <w:color w:val="000000" w:themeColor="text1" w:themeTint="FF" w:themeShade="FF"/>
          <w:sz w:val="22"/>
          <w:szCs w:val="22"/>
          <w:lang w:val="en-US"/>
        </w:rPr>
      </w:pPr>
      <w:r w:rsidRPr="593BD85E" w:rsidR="60F40746">
        <w:rPr>
          <w:rFonts w:ascii="Calibri" w:hAnsi="Calibri" w:eastAsia="Calibri" w:cs="Calibri"/>
          <w:b w:val="0"/>
          <w:bCs w:val="0"/>
          <w:i w:val="0"/>
          <w:iCs w:val="0"/>
          <w:caps w:val="0"/>
          <w:smallCaps w:val="0"/>
          <w:noProof w:val="0"/>
          <w:color w:val="000000" w:themeColor="text1" w:themeTint="FF" w:themeShade="FF"/>
          <w:sz w:val="22"/>
          <w:szCs w:val="22"/>
          <w:lang w:val="en-GB"/>
        </w:rPr>
        <w:t> </w:t>
      </w:r>
    </w:p>
    <w:p xmlns:wp14="http://schemas.microsoft.com/office/word/2010/wordml" w:rsidP="593BD85E" wp14:paraId="4C0C99C7" wp14:textId="7A4CD6A7">
      <w:pPr>
        <w:rPr>
          <w:rFonts w:ascii="Calibri" w:hAnsi="Calibri" w:eastAsia="Calibri" w:cs="Calibri"/>
          <w:b w:val="0"/>
          <w:bCs w:val="0"/>
          <w:i w:val="0"/>
          <w:iCs w:val="0"/>
          <w:caps w:val="0"/>
          <w:smallCaps w:val="0"/>
          <w:noProof w:val="0"/>
          <w:color w:val="000000" w:themeColor="text1" w:themeTint="FF" w:themeShade="FF"/>
          <w:sz w:val="22"/>
          <w:szCs w:val="22"/>
          <w:lang w:val="en-US"/>
        </w:rPr>
      </w:pPr>
      <w:r w:rsidRPr="593BD85E" w:rsidR="60F40746">
        <w:rPr>
          <w:rFonts w:ascii="Calibri" w:hAnsi="Calibri" w:eastAsia="Calibri" w:cs="Calibri"/>
          <w:b w:val="1"/>
          <w:bCs w:val="1"/>
          <w:i w:val="0"/>
          <w:iCs w:val="0"/>
          <w:caps w:val="0"/>
          <w:smallCaps w:val="0"/>
          <w:noProof w:val="0"/>
          <w:color w:val="000000" w:themeColor="text1" w:themeTint="FF" w:themeShade="FF"/>
          <w:sz w:val="22"/>
          <w:szCs w:val="22"/>
          <w:lang w:val="en-GB"/>
        </w:rPr>
        <w:t>STUDENT NUMBER:</w:t>
      </w:r>
      <w:r w:rsidRPr="593BD85E" w:rsidR="60F40746">
        <w:rPr>
          <w:rFonts w:ascii="Calibri" w:hAnsi="Calibri" w:eastAsia="Calibri" w:cs="Calibri"/>
          <w:b w:val="0"/>
          <w:bCs w:val="0"/>
          <w:i w:val="0"/>
          <w:iCs w:val="0"/>
          <w:caps w:val="0"/>
          <w:smallCaps w:val="0"/>
          <w:noProof w:val="0"/>
          <w:color w:val="000000" w:themeColor="text1" w:themeTint="FF" w:themeShade="FF"/>
          <w:sz w:val="22"/>
          <w:szCs w:val="22"/>
          <w:lang w:val="en-GB"/>
        </w:rPr>
        <w:t>  2400509</w:t>
      </w:r>
    </w:p>
    <w:p xmlns:wp14="http://schemas.microsoft.com/office/word/2010/wordml" w:rsidP="593BD85E" wp14:paraId="08EFFEC5" wp14:textId="03D46993">
      <w:pPr>
        <w:rPr>
          <w:rFonts w:ascii="Calibri" w:hAnsi="Calibri" w:eastAsia="Calibri" w:cs="Calibri"/>
          <w:b w:val="0"/>
          <w:bCs w:val="0"/>
          <w:i w:val="0"/>
          <w:iCs w:val="0"/>
          <w:caps w:val="0"/>
          <w:smallCaps w:val="0"/>
          <w:noProof w:val="0"/>
          <w:color w:val="000000" w:themeColor="text1" w:themeTint="FF" w:themeShade="FF"/>
          <w:sz w:val="22"/>
          <w:szCs w:val="22"/>
          <w:lang w:val="en-US"/>
        </w:rPr>
      </w:pPr>
      <w:r w:rsidRPr="593BD85E" w:rsidR="60F40746">
        <w:rPr>
          <w:rFonts w:ascii="Calibri" w:hAnsi="Calibri" w:eastAsia="Calibri" w:cs="Calibri"/>
          <w:b w:val="0"/>
          <w:bCs w:val="0"/>
          <w:i w:val="0"/>
          <w:iCs w:val="0"/>
          <w:caps w:val="0"/>
          <w:smallCaps w:val="0"/>
          <w:noProof w:val="0"/>
          <w:color w:val="000000" w:themeColor="text1" w:themeTint="FF" w:themeShade="FF"/>
          <w:sz w:val="22"/>
          <w:szCs w:val="22"/>
          <w:lang w:val="en-GB"/>
        </w:rPr>
        <w:t> </w:t>
      </w:r>
    </w:p>
    <w:p xmlns:wp14="http://schemas.microsoft.com/office/word/2010/wordml" w:rsidP="593BD85E" wp14:paraId="01363EA6" wp14:textId="479A1852">
      <w:pPr>
        <w:rPr>
          <w:rFonts w:ascii="Calibri" w:hAnsi="Calibri" w:eastAsia="Calibri" w:cs="Calibri"/>
          <w:b w:val="0"/>
          <w:bCs w:val="0"/>
          <w:i w:val="0"/>
          <w:iCs w:val="0"/>
          <w:caps w:val="0"/>
          <w:smallCaps w:val="0"/>
          <w:noProof w:val="0"/>
          <w:color w:val="000000" w:themeColor="text1" w:themeTint="FF" w:themeShade="FF"/>
          <w:sz w:val="22"/>
          <w:szCs w:val="22"/>
          <w:lang w:val="en-US"/>
        </w:rPr>
      </w:pPr>
      <w:r w:rsidRPr="593BD85E" w:rsidR="60F40746">
        <w:rPr>
          <w:rFonts w:ascii="Calibri" w:hAnsi="Calibri" w:eastAsia="Calibri" w:cs="Calibri"/>
          <w:b w:val="1"/>
          <w:bCs w:val="1"/>
          <w:i w:val="0"/>
          <w:iCs w:val="0"/>
          <w:caps w:val="0"/>
          <w:smallCaps w:val="0"/>
          <w:noProof w:val="0"/>
          <w:color w:val="000000" w:themeColor="text1" w:themeTint="FF" w:themeShade="FF"/>
          <w:sz w:val="22"/>
          <w:szCs w:val="22"/>
          <w:lang w:val="en-GB"/>
        </w:rPr>
        <w:t>Use of Generative AI in Assessment</w:t>
      </w:r>
      <w:r w:rsidRPr="593BD85E" w:rsidR="60F40746">
        <w:rPr>
          <w:rFonts w:ascii="Calibri" w:hAnsi="Calibri" w:eastAsia="Calibri" w:cs="Calibri"/>
          <w:b w:val="0"/>
          <w:bCs w:val="0"/>
          <w:i w:val="0"/>
          <w:iCs w:val="0"/>
          <w:caps w:val="0"/>
          <w:smallCaps w:val="0"/>
          <w:noProof w:val="0"/>
          <w:color w:val="000000" w:themeColor="text1" w:themeTint="FF" w:themeShade="FF"/>
          <w:sz w:val="22"/>
          <w:szCs w:val="22"/>
          <w:lang w:val="en-GB"/>
        </w:rPr>
        <w:t>  </w:t>
      </w:r>
    </w:p>
    <w:p xmlns:wp14="http://schemas.microsoft.com/office/word/2010/wordml" w:rsidP="593BD85E" wp14:paraId="7AB3746A" wp14:textId="23F87675">
      <w:pPr>
        <w:rPr>
          <w:rFonts w:ascii="Calibri" w:hAnsi="Calibri" w:eastAsia="Calibri" w:cs="Calibri"/>
          <w:b w:val="0"/>
          <w:bCs w:val="0"/>
          <w:i w:val="0"/>
          <w:iCs w:val="0"/>
          <w:caps w:val="0"/>
          <w:smallCaps w:val="0"/>
          <w:noProof w:val="0"/>
          <w:color w:val="FF0000"/>
          <w:sz w:val="22"/>
          <w:szCs w:val="22"/>
          <w:lang w:val="en-US"/>
        </w:rPr>
      </w:pPr>
      <w:r w:rsidRPr="593BD85E" w:rsidR="60F40746">
        <w:rPr>
          <w:rFonts w:ascii="Calibri" w:hAnsi="Calibri" w:eastAsia="Calibri" w:cs="Calibri"/>
          <w:b w:val="0"/>
          <w:bCs w:val="0"/>
          <w:i w:val="0"/>
          <w:iCs w:val="0"/>
          <w:caps w:val="0"/>
          <w:smallCaps w:val="0"/>
          <w:noProof w:val="0"/>
          <w:color w:val="FF0000"/>
          <w:sz w:val="22"/>
          <w:szCs w:val="22"/>
          <w:lang w:val="en-GB"/>
        </w:rPr>
        <w:t>(Lecturer to indicate Yes or Not against each element)  </w:t>
      </w:r>
    </w:p>
    <w:p xmlns:wp14="http://schemas.microsoft.com/office/word/2010/wordml" w:rsidP="593BD85E" wp14:paraId="28562D86" wp14:textId="594CB25B">
      <w:pPr>
        <w:rPr>
          <w:rFonts w:ascii="Calibri" w:hAnsi="Calibri" w:eastAsia="Calibri" w:cs="Calibri"/>
          <w:b w:val="0"/>
          <w:bCs w:val="0"/>
          <w:i w:val="0"/>
          <w:iCs w:val="0"/>
          <w:caps w:val="0"/>
          <w:smallCaps w:val="0"/>
          <w:noProof w:val="0"/>
          <w:color w:val="000000" w:themeColor="text1" w:themeTint="FF" w:themeShade="FF"/>
          <w:sz w:val="22"/>
          <w:szCs w:val="22"/>
          <w:lang w:val="en-US"/>
        </w:rPr>
      </w:pPr>
      <w:r w:rsidRPr="593BD85E" w:rsidR="60F40746">
        <w:rPr>
          <w:rFonts w:ascii="Calibri" w:hAnsi="Calibri" w:eastAsia="Calibri" w:cs="Calibri"/>
          <w:b w:val="0"/>
          <w:bCs w:val="0"/>
          <w:i w:val="0"/>
          <w:iCs w:val="0"/>
          <w:caps w:val="0"/>
          <w:smallCaps w:val="0"/>
          <w:noProof w:val="0"/>
          <w:color w:val="000000" w:themeColor="text1" w:themeTint="FF" w:themeShade="FF"/>
          <w:sz w:val="22"/>
          <w:szCs w:val="22"/>
          <w:lang w:val="en-GB"/>
        </w:rPr>
        <w:t> </w:t>
      </w:r>
    </w:p>
    <w:tbl>
      <w:tblPr>
        <w:tblStyle w:val="TableNormal"/>
        <w:bidiVisual w:val="0"/>
        <w:tblW w:w="0" w:type="auto"/>
        <w:tblInd w:w="600" w:type="dxa"/>
        <w:tblBorders>
          <w:top w:val="single" w:sz="6"/>
          <w:left w:val="single" w:sz="6"/>
          <w:bottom w:val="single" w:sz="6"/>
          <w:right w:val="single" w:sz="6"/>
        </w:tblBorders>
        <w:tblLook w:val="04A0" w:firstRow="1" w:lastRow="0" w:firstColumn="1" w:lastColumn="0" w:noHBand="0" w:noVBand="1"/>
      </w:tblPr>
      <w:tblGrid>
        <w:gridCol w:w="2505"/>
        <w:gridCol w:w="5190"/>
        <w:gridCol w:w="1605"/>
      </w:tblGrid>
      <w:tr w:rsidR="593BD85E" w:rsidTr="593BD85E" w14:paraId="7DFB55C7">
        <w:trPr>
          <w:trHeight w:val="1110"/>
        </w:trPr>
        <w:tc>
          <w:tcPr>
            <w:tcW w:w="2505" w:type="dxa"/>
            <w:tcBorders>
              <w:top w:val="single" w:sz="6"/>
              <w:left w:val="single" w:sz="6"/>
              <w:bottom w:val="single" w:color="000000" w:themeColor="text1" w:sz="6"/>
              <w:right w:val="single" w:color="000000" w:themeColor="text1" w:sz="6"/>
            </w:tcBorders>
            <w:tcMar>
              <w:left w:w="105" w:type="dxa"/>
              <w:right w:w="105" w:type="dxa"/>
            </w:tcMar>
            <w:vAlign w:val="top"/>
          </w:tcPr>
          <w:p w:rsidR="593BD85E" w:rsidP="593BD85E" w:rsidRDefault="593BD85E" w14:paraId="5A887903" w14:textId="21471D01">
            <w:pPr>
              <w:rPr>
                <w:rFonts w:ascii="Calibri" w:hAnsi="Calibri" w:eastAsia="Calibri" w:cs="Calibri"/>
                <w:b w:val="0"/>
                <w:bCs w:val="0"/>
                <w:i w:val="0"/>
                <w:iCs w:val="0"/>
                <w:sz w:val="22"/>
                <w:szCs w:val="22"/>
                <w:lang w:val="en-US"/>
              </w:rPr>
            </w:pPr>
            <w:r w:rsidRPr="593BD85E" w:rsidR="593BD85E">
              <w:rPr>
                <w:rFonts w:ascii="Calibri" w:hAnsi="Calibri" w:eastAsia="Calibri" w:cs="Calibri"/>
                <w:b w:val="0"/>
                <w:bCs w:val="0"/>
                <w:i w:val="0"/>
                <w:iCs w:val="0"/>
                <w:sz w:val="22"/>
                <w:szCs w:val="22"/>
                <w:lang w:val="en-GB"/>
              </w:rPr>
              <w:t>RESEARCH  </w:t>
            </w:r>
          </w:p>
        </w:tc>
        <w:tc>
          <w:tcPr>
            <w:tcW w:w="5190" w:type="dxa"/>
            <w:tcBorders>
              <w:top w:val="single" w:sz="6"/>
              <w:left w:val="single" w:color="000000" w:themeColor="text1" w:sz="6"/>
              <w:bottom w:val="single" w:color="000000" w:themeColor="text1" w:sz="6"/>
              <w:right w:val="single" w:color="000000" w:themeColor="text1" w:sz="6"/>
            </w:tcBorders>
            <w:tcMar>
              <w:left w:w="105" w:type="dxa"/>
              <w:right w:w="105" w:type="dxa"/>
            </w:tcMar>
            <w:vAlign w:val="top"/>
          </w:tcPr>
          <w:p w:rsidR="593BD85E" w:rsidP="593BD85E" w:rsidRDefault="593BD85E" w14:paraId="3C8CA4A1" w14:textId="71A3D78A">
            <w:pPr>
              <w:rPr>
                <w:rFonts w:ascii="Calibri" w:hAnsi="Calibri" w:eastAsia="Calibri" w:cs="Calibri"/>
                <w:b w:val="0"/>
                <w:bCs w:val="0"/>
                <w:i w:val="0"/>
                <w:iCs w:val="0"/>
                <w:sz w:val="22"/>
                <w:szCs w:val="22"/>
                <w:lang w:val="en-US"/>
              </w:rPr>
            </w:pPr>
            <w:r w:rsidRPr="593BD85E" w:rsidR="593BD85E">
              <w:rPr>
                <w:rFonts w:ascii="Calibri" w:hAnsi="Calibri" w:eastAsia="Calibri" w:cs="Calibri"/>
                <w:b w:val="0"/>
                <w:bCs w:val="0"/>
                <w:i w:val="0"/>
                <w:iCs w:val="0"/>
                <w:sz w:val="22"/>
                <w:szCs w:val="22"/>
                <w:lang w:val="en-GB"/>
              </w:rPr>
              <w:t>For this assessment, you can use Generative AI to support you in research and data analysis. </w:t>
            </w:r>
          </w:p>
        </w:tc>
        <w:tc>
          <w:tcPr>
            <w:tcW w:w="1605" w:type="dxa"/>
            <w:tcBorders>
              <w:top w:val="single" w:sz="6"/>
              <w:left w:val="single" w:color="000000" w:themeColor="text1" w:sz="6"/>
              <w:bottom w:val="single" w:color="000000" w:themeColor="text1" w:sz="6"/>
              <w:right w:val="single" w:sz="6"/>
            </w:tcBorders>
            <w:tcMar>
              <w:left w:w="105" w:type="dxa"/>
              <w:right w:w="105" w:type="dxa"/>
            </w:tcMar>
            <w:vAlign w:val="top"/>
          </w:tcPr>
          <w:p w:rsidR="593BD85E" w:rsidP="593BD85E" w:rsidRDefault="593BD85E" w14:paraId="49046C16" w14:textId="57948AE9">
            <w:pPr>
              <w:rPr>
                <w:rFonts w:ascii="Calibri" w:hAnsi="Calibri" w:eastAsia="Calibri" w:cs="Calibri"/>
                <w:b w:val="0"/>
                <w:bCs w:val="0"/>
                <w:i w:val="0"/>
                <w:iCs w:val="0"/>
                <w:sz w:val="22"/>
                <w:szCs w:val="22"/>
                <w:lang w:val="en-US"/>
              </w:rPr>
            </w:pPr>
            <w:r w:rsidRPr="593BD85E" w:rsidR="593BD85E">
              <w:rPr>
                <w:rFonts w:ascii="Calibri" w:hAnsi="Calibri" w:eastAsia="Calibri" w:cs="Calibri"/>
                <w:b w:val="0"/>
                <w:bCs w:val="0"/>
                <w:i w:val="0"/>
                <w:iCs w:val="0"/>
                <w:sz w:val="22"/>
                <w:szCs w:val="22"/>
                <w:lang w:val="en-GB"/>
              </w:rPr>
              <w:t xml:space="preserve">Yes  </w:t>
            </w:r>
            <w:r w:rsidRPr="593BD85E" w:rsidR="593BD85E">
              <w:rPr>
                <w:rFonts w:ascii="Segoe UI Symbol" w:hAnsi="Segoe UI Symbol" w:eastAsia="Segoe UI Symbol" w:cs="Segoe UI Symbol"/>
                <w:b w:val="0"/>
                <w:bCs w:val="0"/>
                <w:i w:val="0"/>
                <w:iCs w:val="0"/>
                <w:sz w:val="22"/>
                <w:szCs w:val="22"/>
                <w:lang w:val="en-GB"/>
              </w:rPr>
              <w:t>☐</w:t>
            </w:r>
            <w:r w:rsidRPr="593BD85E" w:rsidR="593BD85E">
              <w:rPr>
                <w:rFonts w:ascii="Calibri" w:hAnsi="Calibri" w:eastAsia="Calibri" w:cs="Calibri"/>
                <w:b w:val="0"/>
                <w:bCs w:val="0"/>
                <w:i w:val="0"/>
                <w:iCs w:val="0"/>
                <w:sz w:val="22"/>
                <w:szCs w:val="22"/>
                <w:lang w:val="en-GB"/>
              </w:rPr>
              <w:t xml:space="preserve">  </w:t>
            </w:r>
          </w:p>
          <w:p w:rsidR="593BD85E" w:rsidP="593BD85E" w:rsidRDefault="593BD85E" w14:paraId="094722DB" w14:textId="0DCC8CC0">
            <w:pPr>
              <w:rPr>
                <w:rFonts w:ascii="Calibri" w:hAnsi="Calibri" w:eastAsia="Calibri" w:cs="Calibri"/>
                <w:b w:val="0"/>
                <w:bCs w:val="0"/>
                <w:i w:val="0"/>
                <w:iCs w:val="0"/>
                <w:sz w:val="22"/>
                <w:szCs w:val="22"/>
                <w:lang w:val="en-US"/>
              </w:rPr>
            </w:pPr>
            <w:r w:rsidRPr="593BD85E" w:rsidR="593BD85E">
              <w:rPr>
                <w:rFonts w:ascii="Calibri" w:hAnsi="Calibri" w:eastAsia="Calibri" w:cs="Calibri"/>
                <w:b w:val="0"/>
                <w:bCs w:val="0"/>
                <w:i w:val="0"/>
                <w:iCs w:val="0"/>
                <w:sz w:val="22"/>
                <w:szCs w:val="22"/>
                <w:lang w:val="en-GB"/>
              </w:rPr>
              <w:t xml:space="preserve">No   </w:t>
            </w:r>
            <w:r w:rsidRPr="593BD85E" w:rsidR="593BD85E">
              <w:rPr>
                <w:rFonts w:ascii="Segoe UI Symbol" w:hAnsi="Segoe UI Symbol" w:eastAsia="Segoe UI Symbol" w:cs="Segoe UI Symbol"/>
                <w:b w:val="0"/>
                <w:bCs w:val="0"/>
                <w:i w:val="0"/>
                <w:iCs w:val="0"/>
                <w:sz w:val="22"/>
                <w:szCs w:val="22"/>
                <w:lang w:val="en-GB"/>
              </w:rPr>
              <w:t>☐</w:t>
            </w:r>
            <w:r w:rsidRPr="593BD85E" w:rsidR="593BD85E">
              <w:rPr>
                <w:rFonts w:ascii="Calibri" w:hAnsi="Calibri" w:eastAsia="Calibri" w:cs="Calibri"/>
                <w:b w:val="0"/>
                <w:bCs w:val="0"/>
                <w:i w:val="0"/>
                <w:iCs w:val="0"/>
                <w:sz w:val="22"/>
                <w:szCs w:val="22"/>
                <w:lang w:val="en-GB"/>
              </w:rPr>
              <w:t xml:space="preserve">  </w:t>
            </w:r>
          </w:p>
        </w:tc>
      </w:tr>
      <w:tr w:rsidR="593BD85E" w:rsidTr="593BD85E" w14:paraId="75513D4C">
        <w:trPr>
          <w:trHeight w:val="300"/>
        </w:trPr>
        <w:tc>
          <w:tcPr>
            <w:tcW w:w="2505"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top"/>
          </w:tcPr>
          <w:p w:rsidR="593BD85E" w:rsidP="593BD85E" w:rsidRDefault="593BD85E" w14:paraId="3C47DBB3" w14:textId="7AA158AD">
            <w:pPr>
              <w:rPr>
                <w:rFonts w:ascii="Calibri" w:hAnsi="Calibri" w:eastAsia="Calibri" w:cs="Calibri"/>
                <w:b w:val="0"/>
                <w:bCs w:val="0"/>
                <w:i w:val="0"/>
                <w:iCs w:val="0"/>
                <w:sz w:val="22"/>
                <w:szCs w:val="22"/>
                <w:lang w:val="en-US"/>
              </w:rPr>
            </w:pPr>
            <w:r w:rsidRPr="593BD85E" w:rsidR="593BD85E">
              <w:rPr>
                <w:rFonts w:ascii="Calibri" w:hAnsi="Calibri" w:eastAsia="Calibri" w:cs="Calibri"/>
                <w:b w:val="0"/>
                <w:bCs w:val="0"/>
                <w:i w:val="0"/>
                <w:iCs w:val="0"/>
                <w:sz w:val="22"/>
                <w:szCs w:val="22"/>
                <w:lang w:val="en-GB"/>
              </w:rPr>
              <w:t>STRUCTURE  </w:t>
            </w:r>
          </w:p>
        </w:tc>
        <w:tc>
          <w:tcPr>
            <w:tcW w:w="519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93BD85E" w:rsidP="593BD85E" w:rsidRDefault="593BD85E" w14:paraId="2A84D0AE" w14:textId="1C97415E">
            <w:pPr>
              <w:rPr>
                <w:rFonts w:ascii="Calibri" w:hAnsi="Calibri" w:eastAsia="Calibri" w:cs="Calibri"/>
                <w:b w:val="0"/>
                <w:bCs w:val="0"/>
                <w:i w:val="0"/>
                <w:iCs w:val="0"/>
                <w:sz w:val="22"/>
                <w:szCs w:val="22"/>
                <w:lang w:val="en-US"/>
              </w:rPr>
            </w:pPr>
            <w:r w:rsidRPr="593BD85E" w:rsidR="593BD85E">
              <w:rPr>
                <w:rFonts w:ascii="Calibri" w:hAnsi="Calibri" w:eastAsia="Calibri" w:cs="Calibri"/>
                <w:b w:val="0"/>
                <w:bCs w:val="0"/>
                <w:i w:val="0"/>
                <w:iCs w:val="0"/>
                <w:sz w:val="22"/>
                <w:szCs w:val="22"/>
                <w:lang w:val="en-GB"/>
              </w:rPr>
              <w:t>For this assessment, you can use Generative AI to support you in structuring your submission, including creating a draft argument structure, identifying parts and headings, etc.  </w:t>
            </w:r>
          </w:p>
        </w:tc>
        <w:tc>
          <w:tcPr>
            <w:tcW w:w="1605"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593BD85E" w:rsidP="593BD85E" w:rsidRDefault="593BD85E" w14:paraId="5C860B77" w14:textId="18520ADD">
            <w:pPr>
              <w:rPr>
                <w:rFonts w:ascii="Calibri" w:hAnsi="Calibri" w:eastAsia="Calibri" w:cs="Calibri"/>
                <w:b w:val="0"/>
                <w:bCs w:val="0"/>
                <w:i w:val="0"/>
                <w:iCs w:val="0"/>
                <w:sz w:val="22"/>
                <w:szCs w:val="22"/>
                <w:lang w:val="en-US"/>
              </w:rPr>
            </w:pPr>
            <w:r w:rsidRPr="593BD85E" w:rsidR="593BD85E">
              <w:rPr>
                <w:rFonts w:ascii="Calibri" w:hAnsi="Calibri" w:eastAsia="Calibri" w:cs="Calibri"/>
                <w:b w:val="0"/>
                <w:bCs w:val="0"/>
                <w:i w:val="0"/>
                <w:iCs w:val="0"/>
                <w:sz w:val="22"/>
                <w:szCs w:val="22"/>
                <w:lang w:val="en-GB"/>
              </w:rPr>
              <w:t xml:space="preserve">Yes  </w:t>
            </w:r>
            <w:r w:rsidRPr="593BD85E" w:rsidR="593BD85E">
              <w:rPr>
                <w:rFonts w:ascii="Segoe UI Symbol" w:hAnsi="Segoe UI Symbol" w:eastAsia="Segoe UI Symbol" w:cs="Segoe UI Symbol"/>
                <w:b w:val="0"/>
                <w:bCs w:val="0"/>
                <w:i w:val="0"/>
                <w:iCs w:val="0"/>
                <w:sz w:val="22"/>
                <w:szCs w:val="22"/>
                <w:lang w:val="en-GB"/>
              </w:rPr>
              <w:t>☐</w:t>
            </w:r>
            <w:r w:rsidRPr="593BD85E" w:rsidR="593BD85E">
              <w:rPr>
                <w:rFonts w:ascii="Calibri" w:hAnsi="Calibri" w:eastAsia="Calibri" w:cs="Calibri"/>
                <w:b w:val="0"/>
                <w:bCs w:val="0"/>
                <w:i w:val="0"/>
                <w:iCs w:val="0"/>
                <w:sz w:val="22"/>
                <w:szCs w:val="22"/>
                <w:lang w:val="en-GB"/>
              </w:rPr>
              <w:t xml:space="preserve">  </w:t>
            </w:r>
          </w:p>
          <w:p w:rsidR="593BD85E" w:rsidP="593BD85E" w:rsidRDefault="593BD85E" w14:paraId="6A509223" w14:textId="1F9E3B2F">
            <w:pPr>
              <w:rPr>
                <w:rFonts w:ascii="Calibri" w:hAnsi="Calibri" w:eastAsia="Calibri" w:cs="Calibri"/>
                <w:b w:val="0"/>
                <w:bCs w:val="0"/>
                <w:i w:val="0"/>
                <w:iCs w:val="0"/>
                <w:sz w:val="22"/>
                <w:szCs w:val="22"/>
                <w:lang w:val="en-US"/>
              </w:rPr>
            </w:pPr>
            <w:r w:rsidRPr="593BD85E" w:rsidR="593BD85E">
              <w:rPr>
                <w:rFonts w:ascii="Calibri" w:hAnsi="Calibri" w:eastAsia="Calibri" w:cs="Calibri"/>
                <w:b w:val="0"/>
                <w:bCs w:val="0"/>
                <w:i w:val="0"/>
                <w:iCs w:val="0"/>
                <w:sz w:val="22"/>
                <w:szCs w:val="22"/>
                <w:lang w:val="en-GB"/>
              </w:rPr>
              <w:t xml:space="preserve">No   </w:t>
            </w:r>
            <w:r w:rsidRPr="593BD85E" w:rsidR="593BD85E">
              <w:rPr>
                <w:rFonts w:ascii="Segoe UI Symbol" w:hAnsi="Segoe UI Symbol" w:eastAsia="Segoe UI Symbol" w:cs="Segoe UI Symbol"/>
                <w:b w:val="0"/>
                <w:bCs w:val="0"/>
                <w:i w:val="0"/>
                <w:iCs w:val="0"/>
                <w:sz w:val="22"/>
                <w:szCs w:val="22"/>
                <w:lang w:val="en-GB"/>
              </w:rPr>
              <w:t>☐</w:t>
            </w:r>
            <w:r w:rsidRPr="593BD85E" w:rsidR="593BD85E">
              <w:rPr>
                <w:rFonts w:ascii="Calibri" w:hAnsi="Calibri" w:eastAsia="Calibri" w:cs="Calibri"/>
                <w:b w:val="0"/>
                <w:bCs w:val="0"/>
                <w:i w:val="0"/>
                <w:iCs w:val="0"/>
                <w:sz w:val="22"/>
                <w:szCs w:val="22"/>
                <w:lang w:val="en-GB"/>
              </w:rPr>
              <w:t xml:space="preserve">  </w:t>
            </w:r>
          </w:p>
        </w:tc>
      </w:tr>
      <w:tr w:rsidR="593BD85E" w:rsidTr="593BD85E" w14:paraId="37514480">
        <w:trPr>
          <w:trHeight w:val="300"/>
        </w:trPr>
        <w:tc>
          <w:tcPr>
            <w:tcW w:w="2505"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top"/>
          </w:tcPr>
          <w:p w:rsidR="593BD85E" w:rsidP="593BD85E" w:rsidRDefault="593BD85E" w14:paraId="084F4D8C" w14:textId="0DA7814F">
            <w:pPr>
              <w:rPr>
                <w:rFonts w:ascii="Calibri" w:hAnsi="Calibri" w:eastAsia="Calibri" w:cs="Calibri"/>
                <w:b w:val="0"/>
                <w:bCs w:val="0"/>
                <w:i w:val="0"/>
                <w:iCs w:val="0"/>
                <w:sz w:val="22"/>
                <w:szCs w:val="22"/>
                <w:lang w:val="en-US"/>
              </w:rPr>
            </w:pPr>
            <w:r w:rsidRPr="593BD85E" w:rsidR="593BD85E">
              <w:rPr>
                <w:rFonts w:ascii="Calibri" w:hAnsi="Calibri" w:eastAsia="Calibri" w:cs="Calibri"/>
                <w:b w:val="0"/>
                <w:bCs w:val="0"/>
                <w:i w:val="0"/>
                <w:iCs w:val="0"/>
                <w:sz w:val="22"/>
                <w:szCs w:val="22"/>
                <w:lang w:val="en-GB"/>
              </w:rPr>
              <w:t>PROOFREADING  </w:t>
            </w:r>
          </w:p>
        </w:tc>
        <w:tc>
          <w:tcPr>
            <w:tcW w:w="519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93BD85E" w:rsidP="593BD85E" w:rsidRDefault="593BD85E" w14:paraId="34F2D6AF" w14:textId="5DD2C817">
            <w:pPr>
              <w:rPr>
                <w:rFonts w:ascii="Calibri" w:hAnsi="Calibri" w:eastAsia="Calibri" w:cs="Calibri"/>
                <w:b w:val="0"/>
                <w:bCs w:val="0"/>
                <w:i w:val="0"/>
                <w:iCs w:val="0"/>
                <w:sz w:val="22"/>
                <w:szCs w:val="22"/>
                <w:lang w:val="en-US"/>
              </w:rPr>
            </w:pPr>
            <w:r w:rsidRPr="593BD85E" w:rsidR="593BD85E">
              <w:rPr>
                <w:rFonts w:ascii="Calibri" w:hAnsi="Calibri" w:eastAsia="Calibri" w:cs="Calibri"/>
                <w:b w:val="0"/>
                <w:bCs w:val="0"/>
                <w:i w:val="0"/>
                <w:iCs w:val="0"/>
                <w:sz w:val="22"/>
                <w:szCs w:val="22"/>
                <w:lang w:val="en-GB"/>
              </w:rPr>
              <w:t>For this assessment, you can use Generative AI to check your own text/creation for grammatical and syntactical mistakes, including getting suggestions to rephrase your work.  </w:t>
            </w:r>
          </w:p>
        </w:tc>
        <w:tc>
          <w:tcPr>
            <w:tcW w:w="1605"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593BD85E" w:rsidP="593BD85E" w:rsidRDefault="593BD85E" w14:paraId="126C81AE" w14:textId="7B0C7C1A">
            <w:pPr>
              <w:rPr>
                <w:rFonts w:ascii="Calibri" w:hAnsi="Calibri" w:eastAsia="Calibri" w:cs="Calibri"/>
                <w:b w:val="0"/>
                <w:bCs w:val="0"/>
                <w:i w:val="0"/>
                <w:iCs w:val="0"/>
                <w:sz w:val="22"/>
                <w:szCs w:val="22"/>
                <w:lang w:val="en-US"/>
              </w:rPr>
            </w:pPr>
            <w:r w:rsidRPr="593BD85E" w:rsidR="593BD85E">
              <w:rPr>
                <w:rFonts w:ascii="Calibri" w:hAnsi="Calibri" w:eastAsia="Calibri" w:cs="Calibri"/>
                <w:b w:val="0"/>
                <w:bCs w:val="0"/>
                <w:i w:val="0"/>
                <w:iCs w:val="0"/>
                <w:sz w:val="22"/>
                <w:szCs w:val="22"/>
                <w:lang w:val="en-GB"/>
              </w:rPr>
              <w:t xml:space="preserve">Yes  </w:t>
            </w:r>
            <w:r w:rsidRPr="593BD85E" w:rsidR="593BD85E">
              <w:rPr>
                <w:rFonts w:ascii="Segoe UI Symbol" w:hAnsi="Segoe UI Symbol" w:eastAsia="Segoe UI Symbol" w:cs="Segoe UI Symbol"/>
                <w:b w:val="0"/>
                <w:bCs w:val="0"/>
                <w:i w:val="0"/>
                <w:iCs w:val="0"/>
                <w:sz w:val="22"/>
                <w:szCs w:val="22"/>
                <w:lang w:val="en-GB"/>
              </w:rPr>
              <w:t>☐</w:t>
            </w:r>
            <w:r w:rsidRPr="593BD85E" w:rsidR="593BD85E">
              <w:rPr>
                <w:rFonts w:ascii="Calibri" w:hAnsi="Calibri" w:eastAsia="Calibri" w:cs="Calibri"/>
                <w:b w:val="0"/>
                <w:bCs w:val="0"/>
                <w:i w:val="0"/>
                <w:iCs w:val="0"/>
                <w:sz w:val="22"/>
                <w:szCs w:val="22"/>
                <w:lang w:val="en-GB"/>
              </w:rPr>
              <w:t xml:space="preserve">  </w:t>
            </w:r>
          </w:p>
          <w:p w:rsidR="593BD85E" w:rsidP="593BD85E" w:rsidRDefault="593BD85E" w14:paraId="47A82099" w14:textId="169F604D">
            <w:pPr>
              <w:rPr>
                <w:rFonts w:ascii="Calibri" w:hAnsi="Calibri" w:eastAsia="Calibri" w:cs="Calibri"/>
                <w:b w:val="0"/>
                <w:bCs w:val="0"/>
                <w:i w:val="0"/>
                <w:iCs w:val="0"/>
                <w:sz w:val="22"/>
                <w:szCs w:val="22"/>
                <w:lang w:val="en-US"/>
              </w:rPr>
            </w:pPr>
            <w:r w:rsidRPr="593BD85E" w:rsidR="593BD85E">
              <w:rPr>
                <w:rFonts w:ascii="Calibri" w:hAnsi="Calibri" w:eastAsia="Calibri" w:cs="Calibri"/>
                <w:b w:val="0"/>
                <w:bCs w:val="0"/>
                <w:i w:val="0"/>
                <w:iCs w:val="0"/>
                <w:sz w:val="22"/>
                <w:szCs w:val="22"/>
                <w:lang w:val="en-GB"/>
              </w:rPr>
              <w:t xml:space="preserve">No   </w:t>
            </w:r>
            <w:r w:rsidRPr="593BD85E" w:rsidR="593BD85E">
              <w:rPr>
                <w:rFonts w:ascii="Segoe UI Symbol" w:hAnsi="Segoe UI Symbol" w:eastAsia="Segoe UI Symbol" w:cs="Segoe UI Symbol"/>
                <w:b w:val="0"/>
                <w:bCs w:val="0"/>
                <w:i w:val="0"/>
                <w:iCs w:val="0"/>
                <w:sz w:val="22"/>
                <w:szCs w:val="22"/>
                <w:lang w:val="en-GB"/>
              </w:rPr>
              <w:t>☐</w:t>
            </w:r>
            <w:r w:rsidRPr="593BD85E" w:rsidR="593BD85E">
              <w:rPr>
                <w:rFonts w:ascii="Calibri" w:hAnsi="Calibri" w:eastAsia="Calibri" w:cs="Calibri"/>
                <w:b w:val="0"/>
                <w:bCs w:val="0"/>
                <w:i w:val="0"/>
                <w:iCs w:val="0"/>
                <w:sz w:val="22"/>
                <w:szCs w:val="22"/>
                <w:lang w:val="en-GB"/>
              </w:rPr>
              <w:t xml:space="preserve">  </w:t>
            </w:r>
          </w:p>
        </w:tc>
      </w:tr>
      <w:tr w:rsidR="593BD85E" w:rsidTr="593BD85E" w14:paraId="441D5C1D">
        <w:trPr>
          <w:trHeight w:val="300"/>
        </w:trPr>
        <w:tc>
          <w:tcPr>
            <w:tcW w:w="2505"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top"/>
          </w:tcPr>
          <w:p w:rsidR="593BD85E" w:rsidP="593BD85E" w:rsidRDefault="593BD85E" w14:paraId="3A8A7810" w14:textId="34AFF789">
            <w:pPr>
              <w:rPr>
                <w:rFonts w:ascii="Calibri" w:hAnsi="Calibri" w:eastAsia="Calibri" w:cs="Calibri"/>
                <w:b w:val="0"/>
                <w:bCs w:val="0"/>
                <w:i w:val="0"/>
                <w:iCs w:val="0"/>
                <w:sz w:val="22"/>
                <w:szCs w:val="22"/>
                <w:lang w:val="en-US"/>
              </w:rPr>
            </w:pPr>
            <w:r w:rsidRPr="593BD85E" w:rsidR="593BD85E">
              <w:rPr>
                <w:rFonts w:ascii="Calibri" w:hAnsi="Calibri" w:eastAsia="Calibri" w:cs="Calibri"/>
                <w:b w:val="0"/>
                <w:bCs w:val="0"/>
                <w:i w:val="0"/>
                <w:iCs w:val="0"/>
                <w:sz w:val="22"/>
                <w:szCs w:val="22"/>
                <w:lang w:val="en-GB"/>
              </w:rPr>
              <w:t>WRITING  </w:t>
            </w:r>
          </w:p>
        </w:tc>
        <w:tc>
          <w:tcPr>
            <w:tcW w:w="519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93BD85E" w:rsidP="593BD85E" w:rsidRDefault="593BD85E" w14:paraId="48C56153" w14:textId="6839D62C">
            <w:pPr>
              <w:rPr>
                <w:rFonts w:ascii="Calibri" w:hAnsi="Calibri" w:eastAsia="Calibri" w:cs="Calibri"/>
                <w:b w:val="0"/>
                <w:bCs w:val="0"/>
                <w:i w:val="0"/>
                <w:iCs w:val="0"/>
                <w:sz w:val="22"/>
                <w:szCs w:val="22"/>
                <w:lang w:val="en-US"/>
              </w:rPr>
            </w:pPr>
            <w:r w:rsidRPr="593BD85E" w:rsidR="593BD85E">
              <w:rPr>
                <w:rFonts w:ascii="Calibri" w:hAnsi="Calibri" w:eastAsia="Calibri" w:cs="Calibri"/>
                <w:b w:val="0"/>
                <w:bCs w:val="0"/>
                <w:i w:val="0"/>
                <w:iCs w:val="0"/>
                <w:sz w:val="22"/>
                <w:szCs w:val="22"/>
                <w:lang w:val="en-GB"/>
              </w:rPr>
              <w:t>For this assessment, you can use Generative AI to create text for submission.  </w:t>
            </w:r>
          </w:p>
        </w:tc>
        <w:tc>
          <w:tcPr>
            <w:tcW w:w="1605"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593BD85E" w:rsidP="593BD85E" w:rsidRDefault="593BD85E" w14:paraId="4C15EE9C" w14:textId="3E7C7C8F">
            <w:pPr>
              <w:rPr>
                <w:rFonts w:ascii="Calibri" w:hAnsi="Calibri" w:eastAsia="Calibri" w:cs="Calibri"/>
                <w:b w:val="0"/>
                <w:bCs w:val="0"/>
                <w:i w:val="0"/>
                <w:iCs w:val="0"/>
                <w:sz w:val="22"/>
                <w:szCs w:val="22"/>
                <w:lang w:val="en-US"/>
              </w:rPr>
            </w:pPr>
            <w:r w:rsidRPr="593BD85E" w:rsidR="593BD85E">
              <w:rPr>
                <w:rFonts w:ascii="Calibri" w:hAnsi="Calibri" w:eastAsia="Calibri" w:cs="Calibri"/>
                <w:b w:val="0"/>
                <w:bCs w:val="0"/>
                <w:i w:val="0"/>
                <w:iCs w:val="0"/>
                <w:sz w:val="22"/>
                <w:szCs w:val="22"/>
                <w:lang w:val="en-GB"/>
              </w:rPr>
              <w:t xml:space="preserve">Yes  </w:t>
            </w:r>
            <w:r w:rsidRPr="593BD85E" w:rsidR="593BD85E">
              <w:rPr>
                <w:rFonts w:ascii="Segoe UI Symbol" w:hAnsi="Segoe UI Symbol" w:eastAsia="Segoe UI Symbol" w:cs="Segoe UI Symbol"/>
                <w:b w:val="0"/>
                <w:bCs w:val="0"/>
                <w:i w:val="0"/>
                <w:iCs w:val="0"/>
                <w:sz w:val="22"/>
                <w:szCs w:val="22"/>
                <w:lang w:val="en-GB"/>
              </w:rPr>
              <w:t>☐</w:t>
            </w:r>
            <w:r w:rsidRPr="593BD85E" w:rsidR="593BD85E">
              <w:rPr>
                <w:rFonts w:ascii="Calibri" w:hAnsi="Calibri" w:eastAsia="Calibri" w:cs="Calibri"/>
                <w:b w:val="0"/>
                <w:bCs w:val="0"/>
                <w:i w:val="0"/>
                <w:iCs w:val="0"/>
                <w:sz w:val="22"/>
                <w:szCs w:val="22"/>
                <w:lang w:val="en-GB"/>
              </w:rPr>
              <w:t xml:space="preserve">  </w:t>
            </w:r>
          </w:p>
          <w:p w:rsidR="593BD85E" w:rsidP="593BD85E" w:rsidRDefault="593BD85E" w14:paraId="360CBF6E" w14:textId="576C378F">
            <w:pPr>
              <w:rPr>
                <w:rFonts w:ascii="Calibri" w:hAnsi="Calibri" w:eastAsia="Calibri" w:cs="Calibri"/>
                <w:b w:val="0"/>
                <w:bCs w:val="0"/>
                <w:i w:val="0"/>
                <w:iCs w:val="0"/>
                <w:sz w:val="22"/>
                <w:szCs w:val="22"/>
                <w:lang w:val="en-US"/>
              </w:rPr>
            </w:pPr>
            <w:r w:rsidRPr="593BD85E" w:rsidR="593BD85E">
              <w:rPr>
                <w:rFonts w:ascii="Calibri" w:hAnsi="Calibri" w:eastAsia="Calibri" w:cs="Calibri"/>
                <w:b w:val="0"/>
                <w:bCs w:val="0"/>
                <w:i w:val="0"/>
                <w:iCs w:val="0"/>
                <w:sz w:val="22"/>
                <w:szCs w:val="22"/>
                <w:lang w:val="en-GB"/>
              </w:rPr>
              <w:t xml:space="preserve">No   </w:t>
            </w:r>
            <w:r w:rsidRPr="593BD85E" w:rsidR="593BD85E">
              <w:rPr>
                <w:rFonts w:ascii="Segoe UI Symbol" w:hAnsi="Segoe UI Symbol" w:eastAsia="Segoe UI Symbol" w:cs="Segoe UI Symbol"/>
                <w:b w:val="0"/>
                <w:bCs w:val="0"/>
                <w:i w:val="0"/>
                <w:iCs w:val="0"/>
                <w:sz w:val="22"/>
                <w:szCs w:val="22"/>
                <w:lang w:val="en-GB"/>
              </w:rPr>
              <w:t>☐</w:t>
            </w:r>
            <w:r w:rsidRPr="593BD85E" w:rsidR="593BD85E">
              <w:rPr>
                <w:rFonts w:ascii="Calibri" w:hAnsi="Calibri" w:eastAsia="Calibri" w:cs="Calibri"/>
                <w:b w:val="0"/>
                <w:bCs w:val="0"/>
                <w:i w:val="0"/>
                <w:iCs w:val="0"/>
                <w:sz w:val="22"/>
                <w:szCs w:val="22"/>
                <w:lang w:val="en-GB"/>
              </w:rPr>
              <w:t xml:space="preserve">  </w:t>
            </w:r>
          </w:p>
        </w:tc>
      </w:tr>
      <w:tr w:rsidR="593BD85E" w:rsidTr="593BD85E" w14:paraId="39B2D3A6">
        <w:trPr>
          <w:trHeight w:val="300"/>
        </w:trPr>
        <w:tc>
          <w:tcPr>
            <w:tcW w:w="2505"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top"/>
          </w:tcPr>
          <w:p w:rsidR="593BD85E" w:rsidP="593BD85E" w:rsidRDefault="593BD85E" w14:paraId="15059C1C" w14:textId="1284E6F1">
            <w:pPr>
              <w:rPr>
                <w:rFonts w:ascii="Calibri" w:hAnsi="Calibri" w:eastAsia="Calibri" w:cs="Calibri"/>
                <w:b w:val="0"/>
                <w:bCs w:val="0"/>
                <w:i w:val="0"/>
                <w:iCs w:val="0"/>
                <w:sz w:val="22"/>
                <w:szCs w:val="22"/>
                <w:lang w:val="en-US"/>
              </w:rPr>
            </w:pPr>
            <w:r w:rsidRPr="593BD85E" w:rsidR="593BD85E">
              <w:rPr>
                <w:rFonts w:ascii="Calibri" w:hAnsi="Calibri" w:eastAsia="Calibri" w:cs="Calibri"/>
                <w:b w:val="0"/>
                <w:bCs w:val="0"/>
                <w:i w:val="0"/>
                <w:iCs w:val="0"/>
                <w:sz w:val="22"/>
                <w:szCs w:val="22"/>
                <w:lang w:val="en-GB"/>
              </w:rPr>
              <w:t>CREATIVE  </w:t>
            </w:r>
          </w:p>
        </w:tc>
        <w:tc>
          <w:tcPr>
            <w:tcW w:w="519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93BD85E" w:rsidP="593BD85E" w:rsidRDefault="593BD85E" w14:paraId="0EE5547C" w14:textId="38F1A2FB">
            <w:pPr>
              <w:rPr>
                <w:rFonts w:ascii="Calibri" w:hAnsi="Calibri" w:eastAsia="Calibri" w:cs="Calibri"/>
                <w:b w:val="0"/>
                <w:bCs w:val="0"/>
                <w:i w:val="0"/>
                <w:iCs w:val="0"/>
                <w:sz w:val="22"/>
                <w:szCs w:val="22"/>
                <w:lang w:val="en-US"/>
              </w:rPr>
            </w:pPr>
            <w:r w:rsidRPr="593BD85E" w:rsidR="593BD85E">
              <w:rPr>
                <w:rFonts w:ascii="Calibri" w:hAnsi="Calibri" w:eastAsia="Calibri" w:cs="Calibri"/>
                <w:b w:val="0"/>
                <w:bCs w:val="0"/>
                <w:i w:val="0"/>
                <w:iCs w:val="0"/>
                <w:sz w:val="22"/>
                <w:szCs w:val="22"/>
                <w:lang w:val="en-GB"/>
              </w:rPr>
              <w:t>For this assessment, you can use Generative AI to create creative materials, such as images.  </w:t>
            </w:r>
          </w:p>
        </w:tc>
        <w:tc>
          <w:tcPr>
            <w:tcW w:w="1605"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593BD85E" w:rsidP="593BD85E" w:rsidRDefault="593BD85E" w14:paraId="50C194B6" w14:textId="1401EA10">
            <w:pPr>
              <w:rPr>
                <w:rFonts w:ascii="Calibri" w:hAnsi="Calibri" w:eastAsia="Calibri" w:cs="Calibri"/>
                <w:b w:val="0"/>
                <w:bCs w:val="0"/>
                <w:i w:val="0"/>
                <w:iCs w:val="0"/>
                <w:sz w:val="22"/>
                <w:szCs w:val="22"/>
                <w:lang w:val="en-US"/>
              </w:rPr>
            </w:pPr>
            <w:r w:rsidRPr="593BD85E" w:rsidR="593BD85E">
              <w:rPr>
                <w:rFonts w:ascii="Calibri" w:hAnsi="Calibri" w:eastAsia="Calibri" w:cs="Calibri"/>
                <w:b w:val="0"/>
                <w:bCs w:val="0"/>
                <w:i w:val="0"/>
                <w:iCs w:val="0"/>
                <w:sz w:val="22"/>
                <w:szCs w:val="22"/>
                <w:lang w:val="en-GB"/>
              </w:rPr>
              <w:t xml:space="preserve">Yes  </w:t>
            </w:r>
            <w:r w:rsidRPr="593BD85E" w:rsidR="593BD85E">
              <w:rPr>
                <w:rFonts w:ascii="Segoe UI Symbol" w:hAnsi="Segoe UI Symbol" w:eastAsia="Segoe UI Symbol" w:cs="Segoe UI Symbol"/>
                <w:b w:val="0"/>
                <w:bCs w:val="0"/>
                <w:i w:val="0"/>
                <w:iCs w:val="0"/>
                <w:sz w:val="22"/>
                <w:szCs w:val="22"/>
                <w:lang w:val="en-GB"/>
              </w:rPr>
              <w:t>☐</w:t>
            </w:r>
            <w:r w:rsidRPr="593BD85E" w:rsidR="593BD85E">
              <w:rPr>
                <w:rFonts w:ascii="Calibri" w:hAnsi="Calibri" w:eastAsia="Calibri" w:cs="Calibri"/>
                <w:b w:val="0"/>
                <w:bCs w:val="0"/>
                <w:i w:val="0"/>
                <w:iCs w:val="0"/>
                <w:sz w:val="22"/>
                <w:szCs w:val="22"/>
                <w:lang w:val="en-GB"/>
              </w:rPr>
              <w:t xml:space="preserve">  </w:t>
            </w:r>
          </w:p>
          <w:p w:rsidR="593BD85E" w:rsidP="593BD85E" w:rsidRDefault="593BD85E" w14:paraId="566B398E" w14:textId="3F8BA56D">
            <w:pPr>
              <w:rPr>
                <w:rFonts w:ascii="Calibri" w:hAnsi="Calibri" w:eastAsia="Calibri" w:cs="Calibri"/>
                <w:b w:val="0"/>
                <w:bCs w:val="0"/>
                <w:i w:val="0"/>
                <w:iCs w:val="0"/>
                <w:sz w:val="22"/>
                <w:szCs w:val="22"/>
                <w:lang w:val="en-US"/>
              </w:rPr>
            </w:pPr>
            <w:r w:rsidRPr="593BD85E" w:rsidR="593BD85E">
              <w:rPr>
                <w:rFonts w:ascii="Calibri" w:hAnsi="Calibri" w:eastAsia="Calibri" w:cs="Calibri"/>
                <w:b w:val="0"/>
                <w:bCs w:val="0"/>
                <w:i w:val="0"/>
                <w:iCs w:val="0"/>
                <w:sz w:val="22"/>
                <w:szCs w:val="22"/>
                <w:lang w:val="en-GB"/>
              </w:rPr>
              <w:t xml:space="preserve">No   </w:t>
            </w:r>
            <w:r w:rsidRPr="593BD85E" w:rsidR="593BD85E">
              <w:rPr>
                <w:rFonts w:ascii="Segoe UI Symbol" w:hAnsi="Segoe UI Symbol" w:eastAsia="Segoe UI Symbol" w:cs="Segoe UI Symbol"/>
                <w:b w:val="0"/>
                <w:bCs w:val="0"/>
                <w:i w:val="0"/>
                <w:iCs w:val="0"/>
                <w:sz w:val="22"/>
                <w:szCs w:val="22"/>
                <w:lang w:val="en-GB"/>
              </w:rPr>
              <w:t>☐</w:t>
            </w:r>
            <w:r w:rsidRPr="593BD85E" w:rsidR="593BD85E">
              <w:rPr>
                <w:rFonts w:ascii="Calibri" w:hAnsi="Calibri" w:eastAsia="Calibri" w:cs="Calibri"/>
                <w:b w:val="0"/>
                <w:bCs w:val="0"/>
                <w:i w:val="0"/>
                <w:iCs w:val="0"/>
                <w:sz w:val="22"/>
                <w:szCs w:val="22"/>
                <w:lang w:val="en-GB"/>
              </w:rPr>
              <w:t xml:space="preserve">  </w:t>
            </w:r>
          </w:p>
        </w:tc>
      </w:tr>
      <w:tr w:rsidR="593BD85E" w:rsidTr="593BD85E" w14:paraId="7C4F58F1">
        <w:trPr>
          <w:trHeight w:val="300"/>
        </w:trPr>
        <w:tc>
          <w:tcPr>
            <w:tcW w:w="2505"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top"/>
          </w:tcPr>
          <w:p w:rsidR="593BD85E" w:rsidP="593BD85E" w:rsidRDefault="593BD85E" w14:paraId="463EC958" w14:textId="5FC44063">
            <w:pPr>
              <w:rPr>
                <w:rFonts w:ascii="Calibri" w:hAnsi="Calibri" w:eastAsia="Calibri" w:cs="Calibri"/>
                <w:b w:val="0"/>
                <w:bCs w:val="0"/>
                <w:i w:val="0"/>
                <w:iCs w:val="0"/>
                <w:sz w:val="22"/>
                <w:szCs w:val="22"/>
                <w:lang w:val="en-US"/>
              </w:rPr>
            </w:pPr>
            <w:r w:rsidRPr="593BD85E" w:rsidR="593BD85E">
              <w:rPr>
                <w:rFonts w:ascii="Calibri" w:hAnsi="Calibri" w:eastAsia="Calibri" w:cs="Calibri"/>
                <w:b w:val="0"/>
                <w:bCs w:val="0"/>
                <w:i w:val="0"/>
                <w:iCs w:val="0"/>
                <w:sz w:val="22"/>
                <w:szCs w:val="22"/>
                <w:lang w:val="en-GB"/>
              </w:rPr>
              <w:t>PROGRAMING  </w:t>
            </w:r>
          </w:p>
        </w:tc>
        <w:tc>
          <w:tcPr>
            <w:tcW w:w="519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93BD85E" w:rsidP="593BD85E" w:rsidRDefault="593BD85E" w14:paraId="48776527" w14:textId="2B0B0159">
            <w:pPr>
              <w:rPr>
                <w:rFonts w:ascii="Calibri" w:hAnsi="Calibri" w:eastAsia="Calibri" w:cs="Calibri"/>
                <w:b w:val="0"/>
                <w:bCs w:val="0"/>
                <w:i w:val="0"/>
                <w:iCs w:val="0"/>
                <w:sz w:val="22"/>
                <w:szCs w:val="22"/>
                <w:lang w:val="en-US"/>
              </w:rPr>
            </w:pPr>
            <w:r w:rsidRPr="593BD85E" w:rsidR="593BD85E">
              <w:rPr>
                <w:rFonts w:ascii="Calibri" w:hAnsi="Calibri" w:eastAsia="Calibri" w:cs="Calibri"/>
                <w:b w:val="0"/>
                <w:bCs w:val="0"/>
                <w:i w:val="0"/>
                <w:iCs w:val="0"/>
                <w:sz w:val="22"/>
                <w:szCs w:val="22"/>
                <w:lang w:val="en-GB"/>
              </w:rPr>
              <w:t>For this assessment, you can use Generative AI to create and check code.  </w:t>
            </w:r>
          </w:p>
        </w:tc>
        <w:tc>
          <w:tcPr>
            <w:tcW w:w="1605"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593BD85E" w:rsidP="593BD85E" w:rsidRDefault="593BD85E" w14:paraId="2CC3285D" w14:textId="58CF6FD8">
            <w:pPr>
              <w:rPr>
                <w:rFonts w:ascii="Calibri" w:hAnsi="Calibri" w:eastAsia="Calibri" w:cs="Calibri"/>
                <w:b w:val="0"/>
                <w:bCs w:val="0"/>
                <w:i w:val="0"/>
                <w:iCs w:val="0"/>
                <w:sz w:val="22"/>
                <w:szCs w:val="22"/>
                <w:lang w:val="en-US"/>
              </w:rPr>
            </w:pPr>
            <w:r w:rsidRPr="593BD85E" w:rsidR="593BD85E">
              <w:rPr>
                <w:rFonts w:ascii="Calibri" w:hAnsi="Calibri" w:eastAsia="Calibri" w:cs="Calibri"/>
                <w:b w:val="0"/>
                <w:bCs w:val="0"/>
                <w:i w:val="0"/>
                <w:iCs w:val="0"/>
                <w:sz w:val="22"/>
                <w:szCs w:val="22"/>
                <w:lang w:val="en-GB"/>
              </w:rPr>
              <w:t xml:space="preserve">Yes  </w:t>
            </w:r>
            <w:r w:rsidRPr="593BD85E" w:rsidR="593BD85E">
              <w:rPr>
                <w:rFonts w:ascii="Segoe UI Symbol" w:hAnsi="Segoe UI Symbol" w:eastAsia="Segoe UI Symbol" w:cs="Segoe UI Symbol"/>
                <w:b w:val="0"/>
                <w:bCs w:val="0"/>
                <w:i w:val="0"/>
                <w:iCs w:val="0"/>
                <w:sz w:val="22"/>
                <w:szCs w:val="22"/>
                <w:lang w:val="en-GB"/>
              </w:rPr>
              <w:t>☐</w:t>
            </w:r>
            <w:r w:rsidRPr="593BD85E" w:rsidR="593BD85E">
              <w:rPr>
                <w:rFonts w:ascii="Calibri" w:hAnsi="Calibri" w:eastAsia="Calibri" w:cs="Calibri"/>
                <w:b w:val="0"/>
                <w:bCs w:val="0"/>
                <w:i w:val="0"/>
                <w:iCs w:val="0"/>
                <w:sz w:val="22"/>
                <w:szCs w:val="22"/>
                <w:lang w:val="en-GB"/>
              </w:rPr>
              <w:t xml:space="preserve">  </w:t>
            </w:r>
          </w:p>
          <w:p w:rsidR="593BD85E" w:rsidP="593BD85E" w:rsidRDefault="593BD85E" w14:paraId="1054833C" w14:textId="5059F44B">
            <w:pPr>
              <w:rPr>
                <w:rFonts w:ascii="Calibri" w:hAnsi="Calibri" w:eastAsia="Calibri" w:cs="Calibri"/>
                <w:b w:val="0"/>
                <w:bCs w:val="0"/>
                <w:i w:val="0"/>
                <w:iCs w:val="0"/>
                <w:sz w:val="22"/>
                <w:szCs w:val="22"/>
                <w:lang w:val="en-US"/>
              </w:rPr>
            </w:pPr>
            <w:r w:rsidRPr="593BD85E" w:rsidR="593BD85E">
              <w:rPr>
                <w:rFonts w:ascii="Calibri" w:hAnsi="Calibri" w:eastAsia="Calibri" w:cs="Calibri"/>
                <w:b w:val="0"/>
                <w:bCs w:val="0"/>
                <w:i w:val="0"/>
                <w:iCs w:val="0"/>
                <w:sz w:val="22"/>
                <w:szCs w:val="22"/>
                <w:lang w:val="en-GB"/>
              </w:rPr>
              <w:t xml:space="preserve">No   </w:t>
            </w:r>
            <w:r w:rsidRPr="593BD85E" w:rsidR="593BD85E">
              <w:rPr>
                <w:rFonts w:ascii="Segoe UI Symbol" w:hAnsi="Segoe UI Symbol" w:eastAsia="Segoe UI Symbol" w:cs="Segoe UI Symbol"/>
                <w:b w:val="0"/>
                <w:bCs w:val="0"/>
                <w:i w:val="0"/>
                <w:iCs w:val="0"/>
                <w:sz w:val="22"/>
                <w:szCs w:val="22"/>
                <w:lang w:val="en-GB"/>
              </w:rPr>
              <w:t>☐</w:t>
            </w:r>
            <w:r w:rsidRPr="593BD85E" w:rsidR="593BD85E">
              <w:rPr>
                <w:rFonts w:ascii="Calibri" w:hAnsi="Calibri" w:eastAsia="Calibri" w:cs="Calibri"/>
                <w:b w:val="0"/>
                <w:bCs w:val="0"/>
                <w:i w:val="0"/>
                <w:iCs w:val="0"/>
                <w:sz w:val="22"/>
                <w:szCs w:val="22"/>
                <w:lang w:val="en-GB"/>
              </w:rPr>
              <w:t xml:space="preserve">  </w:t>
            </w:r>
          </w:p>
        </w:tc>
      </w:tr>
      <w:tr w:rsidR="593BD85E" w:rsidTr="593BD85E" w14:paraId="3DF26807">
        <w:trPr>
          <w:trHeight w:val="300"/>
        </w:trPr>
        <w:tc>
          <w:tcPr>
            <w:tcW w:w="2505" w:type="dxa"/>
            <w:tcBorders>
              <w:top w:val="single" w:color="000000" w:themeColor="text1" w:sz="6"/>
              <w:left w:val="single" w:sz="6"/>
              <w:bottom w:val="single" w:sz="6"/>
              <w:right w:val="single" w:color="000000" w:themeColor="text1" w:sz="6"/>
            </w:tcBorders>
            <w:tcMar>
              <w:left w:w="105" w:type="dxa"/>
              <w:right w:w="105" w:type="dxa"/>
            </w:tcMar>
            <w:vAlign w:val="top"/>
          </w:tcPr>
          <w:p w:rsidR="593BD85E" w:rsidP="593BD85E" w:rsidRDefault="593BD85E" w14:paraId="76606A88" w14:textId="025630C8">
            <w:pPr>
              <w:rPr>
                <w:rFonts w:ascii="Calibri" w:hAnsi="Calibri" w:eastAsia="Calibri" w:cs="Calibri"/>
                <w:b w:val="0"/>
                <w:bCs w:val="0"/>
                <w:i w:val="0"/>
                <w:iCs w:val="0"/>
                <w:sz w:val="22"/>
                <w:szCs w:val="22"/>
                <w:lang w:val="en-US"/>
              </w:rPr>
            </w:pPr>
            <w:r w:rsidRPr="593BD85E" w:rsidR="593BD85E">
              <w:rPr>
                <w:rFonts w:ascii="Calibri" w:hAnsi="Calibri" w:eastAsia="Calibri" w:cs="Calibri"/>
                <w:b w:val="0"/>
                <w:bCs w:val="0"/>
                <w:i w:val="0"/>
                <w:iCs w:val="0"/>
                <w:sz w:val="22"/>
                <w:szCs w:val="22"/>
                <w:lang w:val="en-GB"/>
              </w:rPr>
              <w:t>NONE </w:t>
            </w:r>
          </w:p>
        </w:tc>
        <w:tc>
          <w:tcPr>
            <w:tcW w:w="5190" w:type="dxa"/>
            <w:tcBorders>
              <w:top w:val="single" w:color="000000" w:themeColor="text1" w:sz="6"/>
              <w:left w:val="single" w:color="000000" w:themeColor="text1" w:sz="6"/>
              <w:bottom w:val="single" w:sz="6"/>
              <w:right w:val="single" w:color="000000" w:themeColor="text1" w:sz="6"/>
            </w:tcBorders>
            <w:tcMar>
              <w:left w:w="105" w:type="dxa"/>
              <w:right w:w="105" w:type="dxa"/>
            </w:tcMar>
            <w:vAlign w:val="top"/>
          </w:tcPr>
          <w:p w:rsidR="593BD85E" w:rsidP="593BD85E" w:rsidRDefault="593BD85E" w14:paraId="0A7C0774" w14:textId="54AFCA00">
            <w:pPr>
              <w:rPr>
                <w:rFonts w:ascii="Calibri" w:hAnsi="Calibri" w:eastAsia="Calibri" w:cs="Calibri"/>
                <w:b w:val="0"/>
                <w:bCs w:val="0"/>
                <w:i w:val="0"/>
                <w:iCs w:val="0"/>
                <w:sz w:val="22"/>
                <w:szCs w:val="22"/>
                <w:lang w:val="en-US"/>
              </w:rPr>
            </w:pPr>
            <w:r w:rsidRPr="593BD85E" w:rsidR="593BD85E">
              <w:rPr>
                <w:rFonts w:ascii="Calibri" w:hAnsi="Calibri" w:eastAsia="Calibri" w:cs="Calibri"/>
                <w:b w:val="0"/>
                <w:bCs w:val="0"/>
                <w:i w:val="0"/>
                <w:iCs w:val="0"/>
                <w:sz w:val="22"/>
                <w:szCs w:val="22"/>
                <w:lang w:val="en-GB"/>
              </w:rPr>
              <w:t xml:space="preserve">For this assessment, you are not allowed to use </w:t>
            </w:r>
            <w:r w:rsidRPr="593BD85E" w:rsidR="593BD85E">
              <w:rPr>
                <w:rFonts w:ascii="Calibri" w:hAnsi="Calibri" w:eastAsia="Calibri" w:cs="Calibri"/>
                <w:b w:val="1"/>
                <w:bCs w:val="1"/>
                <w:i w:val="0"/>
                <w:iCs w:val="0"/>
                <w:sz w:val="22"/>
                <w:szCs w:val="22"/>
                <w:lang w:val="en-GB"/>
              </w:rPr>
              <w:t>any</w:t>
            </w:r>
            <w:r w:rsidRPr="593BD85E" w:rsidR="593BD85E">
              <w:rPr>
                <w:rFonts w:ascii="Calibri" w:hAnsi="Calibri" w:eastAsia="Calibri" w:cs="Calibri"/>
                <w:b w:val="0"/>
                <w:bCs w:val="0"/>
                <w:i w:val="0"/>
                <w:iCs w:val="0"/>
                <w:sz w:val="22"/>
                <w:szCs w:val="22"/>
                <w:lang w:val="en-GB"/>
              </w:rPr>
              <w:t xml:space="preserve"> type of Generative AI support. This includes research support, structure support, writing/proofreading support and creative support. </w:t>
            </w:r>
          </w:p>
        </w:tc>
        <w:tc>
          <w:tcPr>
            <w:tcW w:w="1605" w:type="dxa"/>
            <w:tcBorders>
              <w:top w:val="single" w:color="000000" w:themeColor="text1" w:sz="6"/>
              <w:left w:val="single" w:color="000000" w:themeColor="text1" w:sz="6"/>
              <w:bottom w:val="single" w:sz="6"/>
              <w:right w:val="single" w:sz="6"/>
            </w:tcBorders>
            <w:tcMar>
              <w:left w:w="105" w:type="dxa"/>
              <w:right w:w="105" w:type="dxa"/>
            </w:tcMar>
            <w:vAlign w:val="top"/>
          </w:tcPr>
          <w:p w:rsidR="593BD85E" w:rsidP="593BD85E" w:rsidRDefault="593BD85E" w14:paraId="18FF7835" w14:textId="0084FBBA">
            <w:pPr>
              <w:jc w:val="center"/>
              <w:rPr>
                <w:rFonts w:ascii="Segoe UI Symbol" w:hAnsi="Segoe UI Symbol" w:eastAsia="Segoe UI Symbol" w:cs="Segoe UI Symbol"/>
                <w:b w:val="0"/>
                <w:bCs w:val="0"/>
                <w:i w:val="0"/>
                <w:iCs w:val="0"/>
                <w:sz w:val="22"/>
                <w:szCs w:val="22"/>
                <w:lang w:val="en-US"/>
              </w:rPr>
            </w:pPr>
            <w:r w:rsidRPr="593BD85E" w:rsidR="593BD85E">
              <w:rPr>
                <w:rFonts w:ascii="Segoe UI Symbol" w:hAnsi="Segoe UI Symbol" w:eastAsia="Segoe UI Symbol" w:cs="Segoe UI Symbol"/>
                <w:b w:val="0"/>
                <w:bCs w:val="0"/>
                <w:i w:val="0"/>
                <w:iCs w:val="0"/>
                <w:sz w:val="22"/>
                <w:szCs w:val="22"/>
                <w:lang w:val="en-GB"/>
              </w:rPr>
              <w:t>☐</w:t>
            </w:r>
          </w:p>
          <w:p w:rsidR="593BD85E" w:rsidP="593BD85E" w:rsidRDefault="593BD85E" w14:paraId="2FADD9B7" w14:textId="56234D3F">
            <w:pPr>
              <w:jc w:val="center"/>
              <w:rPr>
                <w:rFonts w:ascii="Calibri" w:hAnsi="Calibri" w:eastAsia="Calibri" w:cs="Calibri"/>
                <w:b w:val="0"/>
                <w:bCs w:val="0"/>
                <w:i w:val="0"/>
                <w:iCs w:val="0"/>
                <w:sz w:val="22"/>
                <w:szCs w:val="22"/>
                <w:lang w:val="en-US"/>
              </w:rPr>
            </w:pPr>
          </w:p>
        </w:tc>
      </w:tr>
    </w:tbl>
    <w:p xmlns:wp14="http://schemas.microsoft.com/office/word/2010/wordml" w:rsidP="593BD85E" wp14:paraId="2607301B" wp14:textId="7692A96D">
      <w:pPr>
        <w:bidi w:val="0"/>
        <w:rPr>
          <w:rFonts w:ascii="Calibri" w:hAnsi="Calibri" w:eastAsia="Calibri" w:cs="Calibri"/>
          <w:b w:val="0"/>
          <w:bCs w:val="0"/>
          <w:i w:val="0"/>
          <w:iCs w:val="0"/>
          <w:caps w:val="0"/>
          <w:smallCaps w:val="0"/>
          <w:noProof w:val="0"/>
          <w:color w:val="000000" w:themeColor="text1" w:themeTint="FF" w:themeShade="FF"/>
          <w:sz w:val="22"/>
          <w:szCs w:val="22"/>
          <w:lang w:val="en-US"/>
        </w:rPr>
      </w:pPr>
      <w:r w:rsidRPr="593BD85E" w:rsidR="60F40746">
        <w:rPr>
          <w:rFonts w:ascii="Calibri" w:hAnsi="Calibri" w:eastAsia="Calibri" w:cs="Calibri"/>
          <w:b w:val="0"/>
          <w:bCs w:val="0"/>
          <w:i w:val="0"/>
          <w:iCs w:val="0"/>
          <w:caps w:val="0"/>
          <w:smallCaps w:val="0"/>
          <w:noProof w:val="0"/>
          <w:color w:val="000000" w:themeColor="text1" w:themeTint="FF" w:themeShade="FF"/>
          <w:sz w:val="22"/>
          <w:szCs w:val="22"/>
          <w:lang w:val="en-GB"/>
        </w:rPr>
        <w:t>  </w:t>
      </w:r>
    </w:p>
    <w:p xmlns:wp14="http://schemas.microsoft.com/office/word/2010/wordml" w:rsidP="593BD85E" wp14:paraId="59F24ADA" wp14:textId="23360727">
      <w:pPr>
        <w:bidi w:val="0"/>
        <w:rPr>
          <w:rFonts w:ascii="Calibri" w:hAnsi="Calibri" w:eastAsia="Calibri" w:cs="Calibri"/>
          <w:b w:val="0"/>
          <w:bCs w:val="0"/>
          <w:i w:val="0"/>
          <w:iCs w:val="0"/>
          <w:caps w:val="0"/>
          <w:smallCaps w:val="0"/>
          <w:noProof w:val="0"/>
          <w:color w:val="000000" w:themeColor="text1" w:themeTint="FF" w:themeShade="FF"/>
          <w:sz w:val="22"/>
          <w:szCs w:val="22"/>
          <w:lang w:val="en-US"/>
        </w:rPr>
      </w:pPr>
      <w:r w:rsidRPr="593BD85E" w:rsidR="60F40746">
        <w:rPr>
          <w:rFonts w:ascii="Calibri" w:hAnsi="Calibri" w:eastAsia="Calibri" w:cs="Calibri"/>
          <w:b w:val="0"/>
          <w:bCs w:val="0"/>
          <w:i w:val="0"/>
          <w:iCs w:val="0"/>
          <w:caps w:val="0"/>
          <w:smallCaps w:val="0"/>
          <w:noProof w:val="0"/>
          <w:color w:val="000000" w:themeColor="text1" w:themeTint="FF" w:themeShade="FF"/>
          <w:sz w:val="22"/>
          <w:szCs w:val="22"/>
          <w:lang w:val="en-GB"/>
        </w:rPr>
        <w:t> </w:t>
      </w:r>
    </w:p>
    <w:p xmlns:wp14="http://schemas.microsoft.com/office/word/2010/wordml" w:rsidP="593BD85E" wp14:paraId="033B4315" wp14:textId="46AC008C">
      <w:pPr>
        <w:bidi w:val="0"/>
        <w:rPr>
          <w:rFonts w:ascii="Calibri" w:hAnsi="Calibri" w:eastAsia="Calibri" w:cs="Calibri"/>
          <w:b w:val="0"/>
          <w:bCs w:val="0"/>
          <w:i w:val="0"/>
          <w:iCs w:val="0"/>
          <w:caps w:val="0"/>
          <w:smallCaps w:val="0"/>
          <w:noProof w:val="0"/>
          <w:color w:val="000000" w:themeColor="text1" w:themeTint="FF" w:themeShade="FF"/>
          <w:sz w:val="22"/>
          <w:szCs w:val="22"/>
          <w:lang w:val="en-US"/>
        </w:rPr>
      </w:pPr>
      <w:r w:rsidRPr="593BD85E" w:rsidR="60F40746">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AI Acknowledgement  </w:t>
      </w:r>
      <w:r w:rsidRPr="593BD85E" w:rsidR="60F40746">
        <w:rPr>
          <w:rFonts w:ascii="Calibri" w:hAnsi="Calibri" w:eastAsia="Calibri" w:cs="Calibri"/>
          <w:b w:val="0"/>
          <w:bCs w:val="0"/>
          <w:i w:val="0"/>
          <w:iCs w:val="0"/>
          <w:caps w:val="0"/>
          <w:smallCaps w:val="0"/>
          <w:noProof w:val="0"/>
          <w:color w:val="000000" w:themeColor="text1" w:themeTint="FF" w:themeShade="FF"/>
          <w:sz w:val="22"/>
          <w:szCs w:val="22"/>
          <w:lang w:val="en-GB"/>
        </w:rPr>
        <w:t> </w:t>
      </w:r>
    </w:p>
    <w:p xmlns:wp14="http://schemas.microsoft.com/office/word/2010/wordml" w:rsidP="593BD85E" wp14:paraId="253E4A60" wp14:textId="5384D316">
      <w:pPr>
        <w:bidi w:val="0"/>
        <w:rPr>
          <w:rFonts w:ascii="Calibri" w:hAnsi="Calibri" w:eastAsia="Calibri" w:cs="Calibri"/>
          <w:b w:val="0"/>
          <w:bCs w:val="0"/>
          <w:i w:val="0"/>
          <w:iCs w:val="0"/>
          <w:caps w:val="0"/>
          <w:smallCaps w:val="0"/>
          <w:noProof w:val="0"/>
          <w:color w:val="FF0000"/>
          <w:sz w:val="22"/>
          <w:szCs w:val="22"/>
          <w:lang w:val="en-US"/>
        </w:rPr>
      </w:pPr>
      <w:r w:rsidRPr="593BD85E" w:rsidR="60F40746">
        <w:rPr>
          <w:rFonts w:ascii="Calibri" w:hAnsi="Calibri" w:eastAsia="Calibri" w:cs="Calibri"/>
          <w:b w:val="1"/>
          <w:bCs w:val="1"/>
          <w:i w:val="0"/>
          <w:iCs w:val="0"/>
          <w:caps w:val="0"/>
          <w:smallCaps w:val="0"/>
          <w:noProof w:val="0"/>
          <w:color w:val="FF0000"/>
          <w:sz w:val="22"/>
          <w:szCs w:val="22"/>
          <w:lang w:val="en-GB"/>
        </w:rPr>
        <w:t>Students may need to be guided on what to delete before submission</w:t>
      </w:r>
      <w:r w:rsidRPr="593BD85E" w:rsidR="60F40746">
        <w:rPr>
          <w:rFonts w:ascii="Calibri" w:hAnsi="Calibri" w:eastAsia="Calibri" w:cs="Calibri"/>
          <w:b w:val="0"/>
          <w:bCs w:val="0"/>
          <w:i w:val="0"/>
          <w:iCs w:val="0"/>
          <w:caps w:val="0"/>
          <w:smallCaps w:val="0"/>
          <w:noProof w:val="0"/>
          <w:color w:val="FF0000"/>
          <w:sz w:val="22"/>
          <w:szCs w:val="22"/>
          <w:lang w:val="en-GB"/>
        </w:rPr>
        <w:t> </w:t>
      </w:r>
    </w:p>
    <w:p xmlns:wp14="http://schemas.microsoft.com/office/word/2010/wordml" w:rsidP="593BD85E" wp14:paraId="21E97C79" wp14:textId="46C4D06D">
      <w:pPr>
        <w:bidi w:val="0"/>
        <w:rPr>
          <w:rFonts w:ascii="Calibri" w:hAnsi="Calibri" w:eastAsia="Calibri" w:cs="Calibri"/>
          <w:b w:val="0"/>
          <w:bCs w:val="0"/>
          <w:i w:val="0"/>
          <w:iCs w:val="0"/>
          <w:caps w:val="0"/>
          <w:smallCaps w:val="0"/>
          <w:noProof w:val="0"/>
          <w:color w:val="000000" w:themeColor="text1" w:themeTint="FF" w:themeShade="FF"/>
          <w:sz w:val="22"/>
          <w:szCs w:val="22"/>
          <w:lang w:val="en-US"/>
        </w:rPr>
      </w:pPr>
      <w:r w:rsidRPr="593BD85E" w:rsidR="60F40746">
        <w:rPr>
          <w:rFonts w:ascii="Calibri" w:hAnsi="Calibri" w:eastAsia="Calibri" w:cs="Calibri"/>
          <w:b w:val="0"/>
          <w:bCs w:val="0"/>
          <w:i w:val="0"/>
          <w:iCs w:val="0"/>
          <w:caps w:val="0"/>
          <w:smallCaps w:val="0"/>
          <w:noProof w:val="0"/>
          <w:color w:val="000000" w:themeColor="text1" w:themeTint="FF" w:themeShade="FF"/>
          <w:sz w:val="22"/>
          <w:szCs w:val="22"/>
          <w:lang w:val="en-GB"/>
        </w:rPr>
        <w:t> </w:t>
      </w:r>
    </w:p>
    <w:p xmlns:wp14="http://schemas.microsoft.com/office/word/2010/wordml" w:rsidP="593BD85E" wp14:paraId="32A57D66" wp14:textId="6105441E">
      <w:pPr>
        <w:bidi w:val="0"/>
        <w:rPr>
          <w:rFonts w:ascii="Calibri" w:hAnsi="Calibri" w:eastAsia="Calibri" w:cs="Calibri"/>
          <w:b w:val="0"/>
          <w:bCs w:val="0"/>
          <w:i w:val="0"/>
          <w:iCs w:val="0"/>
          <w:caps w:val="0"/>
          <w:smallCaps w:val="0"/>
          <w:noProof w:val="0"/>
          <w:color w:val="000000" w:themeColor="text1" w:themeTint="FF" w:themeShade="FF"/>
          <w:sz w:val="22"/>
          <w:szCs w:val="22"/>
          <w:lang w:val="en-US"/>
        </w:rPr>
      </w:pPr>
      <w:r w:rsidRPr="593BD85E" w:rsidR="60F40746">
        <w:rPr>
          <w:rFonts w:ascii="Calibri" w:hAnsi="Calibri" w:eastAsia="Calibri" w:cs="Calibri"/>
          <w:b w:val="1"/>
          <w:bCs w:val="1"/>
          <w:i w:val="0"/>
          <w:iCs w:val="0"/>
          <w:caps w:val="0"/>
          <w:smallCaps w:val="0"/>
          <w:noProof w:val="0"/>
          <w:color w:val="000000" w:themeColor="text1" w:themeTint="FF" w:themeShade="FF"/>
          <w:sz w:val="22"/>
          <w:szCs w:val="22"/>
          <w:lang w:val="en-GB"/>
        </w:rPr>
        <w:t>Either:</w:t>
      </w:r>
      <w:r w:rsidRPr="593BD85E" w:rsidR="60F40746">
        <w:rPr>
          <w:rFonts w:ascii="Calibri" w:hAnsi="Calibri" w:eastAsia="Calibri" w:cs="Calibri"/>
          <w:b w:val="0"/>
          <w:bCs w:val="0"/>
          <w:i w:val="0"/>
          <w:iCs w:val="0"/>
          <w:caps w:val="0"/>
          <w:smallCaps w:val="0"/>
          <w:noProof w:val="0"/>
          <w:color w:val="000000" w:themeColor="text1" w:themeTint="FF" w:themeShade="FF"/>
          <w:sz w:val="22"/>
          <w:szCs w:val="22"/>
          <w:lang w:val="en-GB"/>
        </w:rPr>
        <w:t> </w:t>
      </w:r>
    </w:p>
    <w:p xmlns:wp14="http://schemas.microsoft.com/office/word/2010/wordml" w:rsidP="593BD85E" wp14:paraId="59033962" wp14:textId="7410D82E">
      <w:pPr>
        <w:bidi w:val="0"/>
        <w:rPr>
          <w:rFonts w:ascii="Calibri" w:hAnsi="Calibri" w:eastAsia="Calibri" w:cs="Calibri"/>
          <w:b w:val="0"/>
          <w:bCs w:val="0"/>
          <w:i w:val="0"/>
          <w:iCs w:val="0"/>
          <w:caps w:val="0"/>
          <w:smallCaps w:val="0"/>
          <w:noProof w:val="0"/>
          <w:color w:val="000000" w:themeColor="text1" w:themeTint="FF" w:themeShade="FF"/>
          <w:sz w:val="22"/>
          <w:szCs w:val="22"/>
          <w:lang w:val="en-US"/>
        </w:rPr>
      </w:pPr>
      <w:r w:rsidRPr="593BD85E" w:rsidR="60F40746">
        <w:rPr>
          <w:rFonts w:ascii="Calibri" w:hAnsi="Calibri" w:eastAsia="Calibri" w:cs="Calibri"/>
          <w:b w:val="0"/>
          <w:bCs w:val="0"/>
          <w:i w:val="0"/>
          <w:iCs w:val="0"/>
          <w:caps w:val="0"/>
          <w:smallCaps w:val="0"/>
          <w:noProof w:val="0"/>
          <w:color w:val="000000" w:themeColor="text1" w:themeTint="FF" w:themeShade="FF"/>
          <w:sz w:val="22"/>
          <w:szCs w:val="22"/>
          <w:lang w:val="en-GB"/>
        </w:rPr>
        <w:t>I confirm that I have not used any AI tools in the research and creation of this assignment.  </w:t>
      </w:r>
    </w:p>
    <w:p xmlns:wp14="http://schemas.microsoft.com/office/word/2010/wordml" w:rsidP="593BD85E" wp14:paraId="52CF95C9" wp14:textId="0A25B9CB">
      <w:pPr>
        <w:bidi w:val="0"/>
        <w:rPr>
          <w:rFonts w:ascii="Calibri" w:hAnsi="Calibri" w:eastAsia="Calibri" w:cs="Calibri"/>
          <w:b w:val="0"/>
          <w:bCs w:val="0"/>
          <w:i w:val="0"/>
          <w:iCs w:val="0"/>
          <w:caps w:val="0"/>
          <w:smallCaps w:val="0"/>
          <w:noProof w:val="0"/>
          <w:color w:val="000000" w:themeColor="text1" w:themeTint="FF" w:themeShade="FF"/>
          <w:sz w:val="22"/>
          <w:szCs w:val="22"/>
          <w:lang w:val="en-US"/>
        </w:rPr>
      </w:pPr>
      <w:r w:rsidRPr="593BD85E" w:rsidR="60F40746">
        <w:rPr>
          <w:rFonts w:ascii="Calibri" w:hAnsi="Calibri" w:eastAsia="Calibri" w:cs="Calibri"/>
          <w:b w:val="0"/>
          <w:bCs w:val="0"/>
          <w:i w:val="0"/>
          <w:iCs w:val="0"/>
          <w:caps w:val="0"/>
          <w:smallCaps w:val="0"/>
          <w:noProof w:val="0"/>
          <w:color w:val="000000" w:themeColor="text1" w:themeTint="FF" w:themeShade="FF"/>
          <w:sz w:val="22"/>
          <w:szCs w:val="22"/>
          <w:lang w:val="en-GB"/>
        </w:rPr>
        <w:t>I confirm that I have not presented any AI generated materials as my own work.  </w:t>
      </w:r>
    </w:p>
    <w:p xmlns:wp14="http://schemas.microsoft.com/office/word/2010/wordml" w:rsidP="593BD85E" wp14:paraId="6BA7B55F" wp14:textId="12B0A86D">
      <w:pPr>
        <w:bidi w:val="0"/>
        <w:rPr>
          <w:rFonts w:ascii="Aptos Display" w:hAnsi="Aptos Display" w:eastAsia="Aptos Display" w:cs="Aptos Display"/>
          <w:b w:val="0"/>
          <w:bCs w:val="0"/>
          <w:i w:val="0"/>
          <w:iCs w:val="0"/>
          <w:caps w:val="0"/>
          <w:smallCaps w:val="0"/>
          <w:noProof w:val="0"/>
          <w:color w:val="000000" w:themeColor="text1" w:themeTint="FF" w:themeShade="FF"/>
          <w:sz w:val="28"/>
          <w:szCs w:val="28"/>
          <w:lang w:val="en-US"/>
        </w:rPr>
      </w:pPr>
      <w:r w:rsidRPr="593BD85E" w:rsidR="60F40746">
        <w:rPr>
          <w:rFonts w:ascii="Calibri" w:hAnsi="Calibri" w:eastAsia="Calibri" w:cs="Calibri"/>
          <w:b w:val="0"/>
          <w:bCs w:val="0"/>
          <w:i w:val="0"/>
          <w:iCs w:val="0"/>
          <w:caps w:val="0"/>
          <w:smallCaps w:val="0"/>
          <w:noProof w:val="0"/>
          <w:color w:val="000000" w:themeColor="text1" w:themeTint="FF" w:themeShade="FF"/>
          <w:sz w:val="22"/>
          <w:szCs w:val="22"/>
          <w:lang w:val="en-GB"/>
        </w:rPr>
        <w:t>I confirm that I have copies of my drafts, notes, and other resources I used, which I may be asked to provide in evidence. </w:t>
      </w:r>
      <w:r w:rsidRPr="593BD85E" w:rsidR="60F40746">
        <w:rPr>
          <w:rFonts w:ascii="Aptos Display" w:hAnsi="Aptos Display" w:eastAsia="Aptos Display" w:cs="Aptos Display"/>
          <w:b w:val="1"/>
          <w:bCs w:val="1"/>
          <w:i w:val="0"/>
          <w:iCs w:val="0"/>
          <w:caps w:val="0"/>
          <w:smallCaps w:val="0"/>
          <w:noProof w:val="0"/>
          <w:color w:val="000000" w:themeColor="text1" w:themeTint="FF" w:themeShade="FF"/>
          <w:sz w:val="28"/>
          <w:szCs w:val="28"/>
          <w:lang w:val="en-US"/>
        </w:rPr>
        <w:t xml:space="preserve"> </w:t>
      </w:r>
    </w:p>
    <w:p xmlns:wp14="http://schemas.microsoft.com/office/word/2010/wordml" w:rsidP="593BD85E" wp14:paraId="0A502606" wp14:textId="46C12780">
      <w:pPr>
        <w:bidi w:val="0"/>
        <w:rPr>
          <w:rFonts w:ascii="Aptos Display" w:hAnsi="Aptos Display" w:eastAsia="Aptos Display" w:cs="Aptos Display"/>
          <w:b w:val="0"/>
          <w:bCs w:val="0"/>
          <w:i w:val="0"/>
          <w:iCs w:val="0"/>
          <w:caps w:val="0"/>
          <w:smallCaps w:val="0"/>
          <w:noProof w:val="0"/>
          <w:color w:val="000000" w:themeColor="text1" w:themeTint="FF" w:themeShade="FF"/>
          <w:sz w:val="28"/>
          <w:szCs w:val="28"/>
          <w:lang w:val="en-US"/>
        </w:rPr>
      </w:pPr>
    </w:p>
    <w:p xmlns:wp14="http://schemas.microsoft.com/office/word/2010/wordml" w:rsidP="593BD85E" wp14:paraId="2F401483" wp14:textId="735B28C5">
      <w:pPr>
        <w:bidi w:val="0"/>
        <w:rPr>
          <w:rFonts w:ascii="Aptos Display" w:hAnsi="Aptos Display" w:eastAsia="Aptos Display" w:cs="Aptos Display"/>
          <w:b w:val="0"/>
          <w:bCs w:val="0"/>
          <w:i w:val="0"/>
          <w:iCs w:val="0"/>
          <w:caps w:val="0"/>
          <w:smallCaps w:val="0"/>
          <w:noProof w:val="0"/>
          <w:color w:val="000000" w:themeColor="text1" w:themeTint="FF" w:themeShade="FF"/>
          <w:sz w:val="28"/>
          <w:szCs w:val="28"/>
          <w:lang w:val="en-US"/>
        </w:rPr>
      </w:pPr>
    </w:p>
    <w:p xmlns:wp14="http://schemas.microsoft.com/office/word/2010/wordml" w:rsidP="593BD85E" wp14:paraId="615393A3" wp14:textId="65DA0439">
      <w:pPr>
        <w:bidi w:val="0"/>
        <w:rPr>
          <w:rFonts w:ascii="Aptos Display" w:hAnsi="Aptos Display" w:eastAsia="Aptos Display" w:cs="Aptos Display"/>
          <w:b w:val="0"/>
          <w:bCs w:val="0"/>
          <w:i w:val="0"/>
          <w:iCs w:val="0"/>
          <w:caps w:val="0"/>
          <w:smallCaps w:val="0"/>
          <w:noProof w:val="0"/>
          <w:color w:val="000000" w:themeColor="text1" w:themeTint="FF" w:themeShade="FF"/>
          <w:sz w:val="28"/>
          <w:szCs w:val="28"/>
          <w:lang w:val="en-US"/>
        </w:rPr>
      </w:pPr>
    </w:p>
    <w:p xmlns:wp14="http://schemas.microsoft.com/office/word/2010/wordml" w:rsidP="593BD85E" wp14:paraId="6A53A9C6" wp14:textId="7AC5451B">
      <w:pPr>
        <w:bidi w:val="0"/>
        <w:rPr>
          <w:rFonts w:ascii="Aptos Display" w:hAnsi="Aptos Display" w:eastAsia="Aptos Display" w:cs="Aptos Display"/>
          <w:b w:val="0"/>
          <w:bCs w:val="0"/>
          <w:i w:val="0"/>
          <w:iCs w:val="0"/>
          <w:caps w:val="0"/>
          <w:smallCaps w:val="0"/>
          <w:noProof w:val="0"/>
          <w:color w:val="000000" w:themeColor="text1" w:themeTint="FF" w:themeShade="FF"/>
          <w:sz w:val="28"/>
          <w:szCs w:val="28"/>
          <w:lang w:val="en-US"/>
        </w:rPr>
      </w:pPr>
    </w:p>
    <w:p xmlns:wp14="http://schemas.microsoft.com/office/word/2010/wordml" w:rsidP="593BD85E" wp14:paraId="00D7177A" wp14:textId="50707949">
      <w:pPr>
        <w:pStyle w:val="Heading1"/>
        <w:bidi w:val="0"/>
        <w:rPr>
          <w:rFonts w:ascii="Aptos Display" w:hAnsi="Aptos Display" w:eastAsia="Aptos Display" w:cs="Aptos Display"/>
          <w:b w:val="0"/>
          <w:bCs w:val="0"/>
          <w:i w:val="0"/>
          <w:iCs w:val="0"/>
          <w:caps w:val="0"/>
          <w:smallCaps w:val="0"/>
          <w:noProof w:val="0"/>
          <w:color w:val="000000" w:themeColor="text1" w:themeTint="FF" w:themeShade="FF"/>
          <w:sz w:val="28"/>
          <w:szCs w:val="28"/>
          <w:lang w:val="en-US"/>
        </w:rPr>
      </w:pPr>
    </w:p>
    <w:p xmlns:wp14="http://schemas.microsoft.com/office/word/2010/wordml" w:rsidP="593BD85E" wp14:paraId="46966BD0" wp14:textId="47006D1C">
      <w:pPr>
        <w:pStyle w:val="Normal"/>
        <w:bidi w:val="0"/>
        <w:rPr>
          <w:noProof w:val="0"/>
          <w:lang w:val="en-US"/>
        </w:rPr>
      </w:pPr>
    </w:p>
    <w:p xmlns:wp14="http://schemas.microsoft.com/office/word/2010/wordml" w:rsidP="593BD85E" wp14:paraId="045EB429" wp14:textId="295EEB97">
      <w:pPr>
        <w:pStyle w:val="Normal"/>
        <w:bidi w:val="0"/>
        <w:rPr>
          <w:noProof w:val="0"/>
          <w:lang w:val="en-US"/>
        </w:rPr>
      </w:pPr>
    </w:p>
    <w:p xmlns:wp14="http://schemas.microsoft.com/office/word/2010/wordml" w:rsidP="593BD85E" wp14:paraId="37758B67" wp14:textId="000C4C48">
      <w:pPr>
        <w:pStyle w:val="Heading1"/>
        <w:keepNext w:val="1"/>
        <w:keepLines w:val="1"/>
        <w:bidi w:val="0"/>
        <w:spacing w:before="322" w:beforeAutospacing="off" w:after="322" w:afterAutospacing="off" w:line="360" w:lineRule="auto"/>
        <w:jc w:val="center"/>
        <w:rPr>
          <w:rFonts w:ascii="Aptos Display" w:hAnsi="Aptos Display" w:eastAsia="Aptos Display" w:cs="Aptos Display"/>
          <w:b w:val="0"/>
          <w:bCs w:val="0"/>
          <w:i w:val="0"/>
          <w:iCs w:val="0"/>
          <w:caps w:val="0"/>
          <w:smallCaps w:val="0"/>
          <w:noProof w:val="0"/>
          <w:color w:val="auto"/>
          <w:sz w:val="24"/>
          <w:szCs w:val="24"/>
          <w:lang w:val="en-US"/>
        </w:rPr>
      </w:pPr>
      <w:r w:rsidRPr="593BD85E" w:rsidR="60F40746">
        <w:rPr>
          <w:rFonts w:ascii="Aptos Display" w:hAnsi="Aptos Display" w:eastAsia="Aptos Display" w:cs="Aptos Display"/>
          <w:b w:val="1"/>
          <w:bCs w:val="1"/>
          <w:i w:val="0"/>
          <w:iCs w:val="0"/>
          <w:caps w:val="0"/>
          <w:smallCaps w:val="0"/>
          <w:noProof w:val="0"/>
          <w:color w:val="auto"/>
          <w:sz w:val="24"/>
          <w:szCs w:val="24"/>
          <w:lang w:val="en-US"/>
        </w:rPr>
        <w:t>Exploring the impact of Theatre in Education (TIE) strategies on engagement and critical thinking in post- 16 education.</w:t>
      </w:r>
    </w:p>
    <w:p xmlns:wp14="http://schemas.microsoft.com/office/word/2010/wordml" w:rsidP="593BD85E" wp14:paraId="7EF5809F" wp14:textId="4C192FA7">
      <w:pPr>
        <w:pStyle w:val="Heading2"/>
        <w:keepNext w:val="1"/>
        <w:keepLines w:val="1"/>
        <w:bidi w:val="0"/>
        <w:rPr>
          <w:rFonts w:ascii="Aptos" w:hAnsi="Aptos" w:eastAsia="Aptos" w:cs="Aptos"/>
          <w:b w:val="1"/>
          <w:bCs w:val="1"/>
          <w:i w:val="0"/>
          <w:iCs w:val="0"/>
          <w:caps w:val="0"/>
          <w:smallCaps w:val="0"/>
          <w:noProof w:val="0"/>
          <w:color w:val="auto"/>
          <w:sz w:val="24"/>
          <w:szCs w:val="24"/>
          <w:lang w:val="en-US"/>
        </w:rPr>
      </w:pPr>
    </w:p>
    <w:p xmlns:wp14="http://schemas.microsoft.com/office/word/2010/wordml" w:rsidP="593BD85E" wp14:paraId="4CA0DD0B" wp14:textId="7FCC8866">
      <w:pPr>
        <w:pStyle w:val="Heading2"/>
        <w:keepNext w:val="1"/>
        <w:keepLines w:val="1"/>
        <w:bidi w:val="0"/>
        <w:rPr>
          <w:rFonts w:ascii="Aptos" w:hAnsi="Aptos" w:eastAsia="Aptos" w:cs="Aptos"/>
          <w:b w:val="0"/>
          <w:bCs w:val="0"/>
          <w:i w:val="0"/>
          <w:iCs w:val="0"/>
          <w:caps w:val="0"/>
          <w:smallCaps w:val="0"/>
          <w:noProof w:val="0"/>
          <w:color w:val="auto"/>
          <w:sz w:val="24"/>
          <w:szCs w:val="24"/>
          <w:lang w:val="en-US"/>
        </w:rPr>
      </w:pPr>
      <w:r w:rsidRPr="593BD85E" w:rsidR="60F40746">
        <w:rPr>
          <w:rFonts w:ascii="Aptos" w:hAnsi="Aptos" w:eastAsia="Aptos" w:cs="Aptos"/>
          <w:b w:val="1"/>
          <w:bCs w:val="1"/>
          <w:i w:val="0"/>
          <w:iCs w:val="0"/>
          <w:caps w:val="0"/>
          <w:smallCaps w:val="0"/>
          <w:noProof w:val="0"/>
          <w:color w:val="auto"/>
          <w:sz w:val="24"/>
          <w:szCs w:val="24"/>
          <w:lang w:val="en-US"/>
        </w:rPr>
        <w:t>Introduction</w:t>
      </w:r>
    </w:p>
    <w:p xmlns:wp14="http://schemas.microsoft.com/office/word/2010/wordml" w:rsidP="593BD85E" wp14:paraId="5D361148" wp14:textId="2FF8D0E7">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Post-16 education presents a unique challenge for educators, as learners at this stage are expected to demonstrate increased independence, critical thinking, and sustained engagement with complex subject matter. However, many practitioners report declining levels of engagement, particularly in traditional, lecture-based teaching environments (Trowler, 2010). This has led to a growing interest in alternative pedagogical approaches that can better motivate learners and support the development of higher-order thinking skills (Race, 2015).</w:t>
      </w:r>
    </w:p>
    <w:p xmlns:wp14="http://schemas.microsoft.com/office/word/2010/wordml" w:rsidP="593BD85E" wp14:paraId="79B8429B" wp14:textId="35F80AC7">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Theatre in Education (TIE) strategies offer a dynamic and interactive approach to teaching, drawing on drama-based methodologies such as role-play, improvisation, and simulation. (O’Toole, 1992; Boal, 2002). These approaches encourage active participation, emotional engagement, and reflection, enabling learners to engage with content in a more meaningful way. While TIE has traditionally been associated with younger learners, its potential within post-16 education is increasingly recognised, particularly as educators seek to diversify their teaching practice and respond to a wider range of learner needs (Heathcote and Herbert, 1985).</w:t>
      </w:r>
    </w:p>
    <w:p xmlns:wp14="http://schemas.microsoft.com/office/word/2010/wordml" w:rsidP="593BD85E" wp14:paraId="613E1605" wp14:textId="40FD2CA3">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This action research project is situated within my own teaching practice in a post-16 setting and explores the impact of TIE strategies on student engagement and critical thinking. Specifically, I examine how these approaches influence levels of participation, the extent to which they support the development of higher-order thinking skills, and how they are perceived by learners as a teaching and learning method.</w:t>
      </w:r>
    </w:p>
    <w:p xmlns:wp14="http://schemas.microsoft.com/office/word/2010/wordml" w:rsidP="593BD85E" wp14:paraId="5D86A050" wp14:textId="12EFE3D4">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The rationale for undertaking this study is informed by my own teaching experience, where I have observed inconsistent levels of engagement, particularly during more traditional, teacher-led activities (Entwistle, 2018). This has prompted me to reflect critically on my current practice and consider how more interactive approaches could better support learner involvement and understanding.</w:t>
      </w:r>
    </w:p>
    <w:p xmlns:wp14="http://schemas.microsoft.com/office/word/2010/wordml" w:rsidP="593BD85E" wp14:paraId="750BBBA8" wp14:textId="657184FA">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By implementing TIE strategies within my classroom, I aim to evaluate their effectiveness in creating a more active and inclusive learning environment. In doing so, I seek to explore whether these approaches can move beyond surface-level participation to encourage deeper thinking, including analysis, evaluation, and reflection (Biggs and Tang, 2011).</w:t>
      </w:r>
    </w:p>
    <w:p xmlns:wp14="http://schemas.microsoft.com/office/word/2010/wordml" w:rsidP="593BD85E" wp14:paraId="37315B25" wp14:textId="2DD8BE9E">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Engaging in this action research process also provides an opportunity to develop my practice through structured reflection and evidence-informed decision-making (Kemmis and McTaggart, 1988). The findings will be used to adapt and refine my teaching approaches, with the intention of supporting more effective learning experiences within the post-16 sector.</w:t>
      </w:r>
    </w:p>
    <w:p xmlns:wp14="http://schemas.microsoft.com/office/word/2010/wordml" w:rsidP="593BD85E" wp14:paraId="6A8F9AFC" wp14:textId="70017295">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1"/>
          <w:bCs w:val="1"/>
          <w:i w:val="0"/>
          <w:iCs w:val="0"/>
          <w:caps w:val="0"/>
          <w:smallCaps w:val="0"/>
          <w:noProof w:val="0"/>
          <w:color w:val="000000" w:themeColor="text1" w:themeTint="FF" w:themeShade="FF"/>
          <w:sz w:val="24"/>
          <w:szCs w:val="24"/>
          <w:lang w:val="en-US"/>
        </w:rPr>
        <w:t>Literature review.</w:t>
      </w:r>
    </w:p>
    <w:p xmlns:wp14="http://schemas.microsoft.com/office/word/2010/wordml" w:rsidP="593BD85E" wp14:paraId="5528FEFE" wp14:textId="78021AE0">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Engagement and critical thinking are widely recognised as essential components of effective learning, particularly within the post‑16 educational context (Entwistle, 2018). Engagement refers to the level of interest, motivation, and active participation that students demonstrate during the learning process, which has been linked to improved retention, achievement, and learner satisfaction (Fredricks, Blumenfeld &amp; Paris, 2004). Critical thinking, by contrast, involves the ability to analyse, evaluate, and synthesize information in a reflective and reasoned manner, supporting informed decision‑making and autonomous learning (Brookfield, 2012). Although these constructs are often treated separately in the literature, they are interdependent. Learners who are more engaged are also more likely to exercise cognitive effort and vice versa (Trowler, 2010). Despite this theoretical consensus, traditional didactic teaching methods, such as lecture‑based instruction, have been criticised for their limited capacity to foster deep engagement and higher‑order thinking (Biggs &amp; Tang, 2011).</w:t>
      </w:r>
    </w:p>
    <w:p xmlns:wp14="http://schemas.microsoft.com/office/word/2010/wordml" w:rsidP="593BD85E" wp14:paraId="1EE3A871" wp14:textId="0CAF31B6">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Critics of traditional pedagogy argue that passive reception of information inhibits learner agency and reduces opportunities for meaningful interaction with content (Race, 2015). This has led to a renewed interest in more interactive, student‑centered pedagogies, including drama‑based approaches such as Theatre in Education (TIE). TIE is rooted in experiential learning theory (Dewey, 1938; Kolb, 1984), which suggests that learners construct knowledge most effectively through active participation and reflection on experience. This theoretical lens suggests that learning must involve iterative cycles of doing, observing, reflecting, and conceptualising (Kolb, 1984). While Dewey’s early work emphasised the importance of reflective experience in learning, Kolb later translated this into a cyclical model that continues to influence contemporary pedagogical practice.</w:t>
      </w:r>
    </w:p>
    <w:p xmlns:wp14="http://schemas.microsoft.com/office/word/2010/wordml" w:rsidP="593BD85E" wp14:paraId="47D03697" wp14:textId="5D51E5EF">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TIE strategies typically incorporate drama‑based techniques such as role‑play, improvisation, hot seating, and forum theatre. These methods encourage learners to engage both cognitively and emotionally with subject matter, creating opportunities for deeper understanding (O’Toole, 1992). For example, role‑play allows learners to explore different perspectives, while forum theatre invites learners to intervene in dramatic scenarios and consider alternative outcomes (Boal, 2002). However, it is important to acknowledge that the term ‘TIE’ is not uniformly defined across studies. Some researchers situate TIE within arts education contexts, while others adopt a broader definition that encompasses any drama‑infused teaching approach. This variation in conceptualisation can present challenges when comparing research findings (Heathcote &amp; Herbert, 1985).</w:t>
      </w:r>
    </w:p>
    <w:p xmlns:wp14="http://schemas.microsoft.com/office/word/2010/wordml" w:rsidP="593BD85E" wp14:paraId="1466A062" wp14:textId="2D7B7CAB">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The use of drama‑based methods can be grounded in constructivist theories of learning, which argue that learners actively construct knowledge through social interaction and experience (Vygotsky, 1978). Converging evidence suggests that active learning strategies, such as those employed in TIE, require learners to participate rather than passively receive information. This aligns with constructivist assumptions, which argues that learning is a collaborative process in which meaning is co‑constructed among learners and educators (Fosnot, 2013). By placing students at the center of the learning process, TIE strategies can theoretically increase motivation, attention, and participation. However, critics caution that engagement alone does not guarantee deep learning. Without intentional facilitation and reflection, active methods can become superficial or emotionally engaging yet cognitively shallow (Kahu, 2013).</w:t>
      </w:r>
    </w:p>
    <w:p xmlns:wp14="http://schemas.microsoft.com/office/word/2010/wordml" w:rsidP="593BD85E" wp14:paraId="32D966AA" wp14:textId="7373912B">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Empirical research suggests that drama‑based pedagogies can enhance student engagement. For instance, Anderson (2016) found that learners in post‑compulsory courses reported higher levels of participation and enthusiasm when drama techniques were integrated into lessons. Similarly, Jackson and Furnborough (2018) observed that students involved in role‑play and simulation activities demonstrated increased behavioural and affective engagement compared to control groups taught with traditional methods. These findings align with Fredricks et al.’s (2004) multidimensional conception of engagement, which highlights the importance of emotional, behavioural, and cognitive dimensions. Nevertheless, while these studies indicate positive trends, many are limited by small sample sizes or lack control for confounding variables, such as learners prior to attainment or teacher experience with drama methods. As a result, claims of universal engagement benefits must be interpreted with caution.</w:t>
      </w:r>
    </w:p>
    <w:p xmlns:wp14="http://schemas.microsoft.com/office/word/2010/wordml" w:rsidP="593BD85E" wp14:paraId="0E541705" wp14:textId="78AD16FF">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In addition to promoting engagement, TIE has been associated with the development of critical thinking skills. Drama‑based activities often require learners to adopt different perspectives, analyse complex situations, and make decisions in real‑time (Winston, 2000). For example, role‑play scenarios involving ethical dilemmas can prompt learners to justify their responses and reflect on alternative courses of action. Such activities align with Bloom’s taxonomy’s higher‑order cognitive processes, such as analysis, evaluation, and creation (Bloom et al., 1956). Indeed, Rigg (2012) argues that engaging in dramatic simulations can support learner’s ability to transfer skills to new contexts because they are required to adapt, evaluate, and synthesize information.</w:t>
      </w:r>
    </w:p>
    <w:p xmlns:wp14="http://schemas.microsoft.com/office/word/2010/wordml" w:rsidP="593BD85E" wp14:paraId="75FA622A" wp14:textId="014A2BE1">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Despite this, the evidence base for TIE’s impact on critical thinking is mixed. Some studies report significant improvements in critical analysis and problem‑solving following drama‑based interventions (e.g. Nicholson, 2018), while others find minimal effects compared to more traditional discussion‑based methods (e.g. Smith &amp; Smith, 2017). This inconsistency may be due, in part, to variation in how critical thinking is operationalised and measured. For example, quantitative measures such as standardised critical thinking tests may fail to capture the nuanced and context‑specific ways in which learners exercise judgement within dramatic contexts (Costa &amp; Kallick, 2008). Therefore, it is necessary to approach claims about TIE and critical thinking with a nuanced understanding of both methodological limitations and the multifaceted nature of critical thought.</w:t>
      </w:r>
    </w:p>
    <w:p xmlns:wp14="http://schemas.microsoft.com/office/word/2010/wordml" w:rsidP="593BD85E" wp14:paraId="4FF40576" wp14:textId="07FDCECB">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Beyond cognitive and behavioural outcomes, TIE strategies can create a supportive environment for risk‑taking and exploration. Drama’s inherent fictionality can reduce social anxiety and fear of judgement, enabling learners to articulate ideas more freely within a dramatic context rather than as themselves (Warren &amp; Davies, 2013). This distancing effect can be particularly valuable in post‑16 education, where learners may feel self‑conscious or hesitant to participate in conventional classroom discussions. By reducing affective barriers to participation, TIE can contribute to a more inclusive learning environment. However, it is important to note that this benefit is not universal. Some learners report discomfort or anxiety when required to perform or act publicly, particularly if they lack confidence or experience with drama (Jackson, 2014). As a result, educators must be sensitive to individual learner dispositions and scaffold engagement appropriately.</w:t>
      </w:r>
    </w:p>
    <w:p xmlns:wp14="http://schemas.microsoft.com/office/word/2010/wordml" w:rsidP="593BD85E" wp14:paraId="735B2BF7" wp14:textId="2CD1C879">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Implementation challenges also feature prominently in the literature. One recurring theme is that educators may lack confidence or specialised training in drama‑based techniques, which can limit the quality and consistency of implementation (O’Sullivan, 2005). Without adequate professional development, teachers may default to superficial or poorly integrated drama activities that fail to achieve their intended pedagogical outcomes. Time constraints and curriculum pressures can further exacerbate these challenges, particularly in contexts that prioritise content coverage over exploratory learning (Higgins, 2017). In such environments, drama‑based activities may be perceived as optional or peripheral rather than integral to learning.</w:t>
      </w:r>
    </w:p>
    <w:p xmlns:wp14="http://schemas.microsoft.com/office/word/2010/wordml" w:rsidP="593BD85E" wp14:paraId="76264A24" wp14:textId="510B1C66">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Another challenge relates to learner resistance. Some students may view drama activities as irrelevant, uncomfortable, or at odds with their expectations of formal education (Burns &amp; Kaufman, 2013). This resistance can influence participation and limit the potential benefits of TIE. Therefore, careful introduction, clear contextualisation, and explicit links to learning outcomes are essential for securing learner engagement. Without these, drama may be dismissed as entertainment rather than a tool for deep learning.</w:t>
      </w:r>
    </w:p>
    <w:p xmlns:wp14="http://schemas.microsoft.com/office/word/2010/wordml" w:rsidP="593BD85E" wp14:paraId="23748113" wp14:textId="19375C77">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Despite these challenges, the potential benefits of TIE in enhancing engagement and critical thinking make it an important area for continued investigation. There is growing recognition that post‑16 education must move beyond repetitive learning and knowledge transmission if learners are to develop the competencies required for an increasingly complex and uncertain world (Biesta, 2015). TIE, when thoughtfully implemented, aligns with broader educational aims of fostering creativity, communication, collaboration, and critical thinking skills that are valued in both academic and professional contexts.</w:t>
      </w:r>
    </w:p>
    <w:p xmlns:wp14="http://schemas.microsoft.com/office/word/2010/wordml" w:rsidP="593BD85E" wp14:paraId="2B1CE22B" wp14:textId="4D84DE79">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However, further research is needed to address limitations in the existing literature. Studies with larger, more diverse samples and rigorous designs would strengthen claims about TIE’s effectiveness. In addition, more research is required on how TIE can be adapted across different subject disciplines and learner populations. Current evidence is heavily weighted towards English and performing arts contexts, which may not easily generalise to STEM subjects or students with differing learning preferences.</w:t>
      </w:r>
    </w:p>
    <w:p xmlns:wp14="http://schemas.microsoft.com/office/word/2010/wordml" w:rsidP="593BD85E" wp14:paraId="41580587" wp14:textId="5619255E">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This study contributes to the literature by exploring the application of TIE within a specific post‑16 context, focusing on its impact on learner engagement and critical thinking. By conducting action research within my own teaching practice, this study offers practical insight into how TIE strategies can be implemented, adapted, and evaluated in real classroom settings. This practitioner‑centred approach complements existing research by foregrounding context‑specific factors that influence implementation and outcomes.</w:t>
      </w:r>
    </w:p>
    <w:p xmlns:wp14="http://schemas.microsoft.com/office/word/2010/wordml" w:rsidP="593BD85E" wp14:paraId="68D57932" wp14:textId="0752DD5B">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In summary, while traditional pedagogies have dominated post‑16 education, increasing emphasis on engagement and critical thinking has redirected attention towards interactive and experiential approaches such as TIE. The literature highlights both the promising potential and the significant challenges of using drama‑based strategies. As educators seek to promote deeper learning, TIE offers a theoretically coherent and pragmatically adaptable framework, provided it is implemented with careful planning, professional support, and sensitivity to learner needs.</w:t>
      </w:r>
    </w:p>
    <w:p xmlns:wp14="http://schemas.microsoft.com/office/word/2010/wordml" w:rsidP="593BD85E" wp14:paraId="45DC6EAF" wp14:textId="657252C2">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1"/>
          <w:bCs w:val="1"/>
          <w:i w:val="0"/>
          <w:iCs w:val="0"/>
          <w:caps w:val="0"/>
          <w:smallCaps w:val="0"/>
          <w:noProof w:val="0"/>
          <w:color w:val="000000" w:themeColor="text1" w:themeTint="FF" w:themeShade="FF"/>
          <w:sz w:val="24"/>
          <w:szCs w:val="24"/>
          <w:lang w:val="en-US"/>
        </w:rPr>
        <w:t>Methodology.</w:t>
      </w:r>
    </w:p>
    <w:p xmlns:wp14="http://schemas.microsoft.com/office/word/2010/wordml" w:rsidP="593BD85E" wp14:paraId="78E55D05" wp14:textId="4E3DBAFA">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This study adopts an action research approach, which is particularly suitable within educational settings as it allows practitioners to systematically investigate and improve their own teaching practice. Action research is cyclical in nature, involving stages of planning, action, observation, and reflection (Kemmis and McTaggart, 1988). This approach was selected because it allowed me to implement Theatre in Education (TIE) strategies within my own classroom, evaluate their impact on learners, and make informed adjustments to my teaching throughout the research process.</w:t>
      </w:r>
    </w:p>
    <w:p xmlns:wp14="http://schemas.microsoft.com/office/word/2010/wordml" w:rsidP="593BD85E" wp14:paraId="4432D764" wp14:textId="5506E592">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The research was conducted at Bridgend College with a group of Level 3 Performing Arts Year Two students aged between 16 and 30. A targeted sampling approach was used, as participants were drawn directly from my teaching group. This provided a practical and context-specific study group, enabling an in-depth exploration of TIE within a real classroom environment. However, it is important to acknowledge that this may limit the generalisability of the findings, as the study group is relatively small and specific to performing arts.</w:t>
      </w:r>
    </w:p>
    <w:p xmlns:wp14="http://schemas.microsoft.com/office/word/2010/wordml" w:rsidP="593BD85E" wp14:paraId="3F950099" wp14:textId="117C93A9">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A mixed-methods approach was employed to provide a comprehensive understanding of the impact of TIE strategies on engagement and critical thinking. Data collection methods included structured observations, pre- and post-intervention questionnaires, a reflective journal, and focus group discussions. Observations monitored learner behaviour during TIE activities, focusing on participation, collaboration, and enthusiasm. Questionnaires captured learner’s perceptions of their own engagement and critical thinking before and after the intervention. The reflective journal allowed me to record insights into learner responses, challenges, and my own teaching decisions, while focus group discussions provided more detailed feedback on learner's experiences and perceptions. These methods were chosen to explore both engagement and the development of critical thinking skills in response to TIE strategies.</w:t>
      </w:r>
    </w:p>
    <w:p xmlns:wp14="http://schemas.microsoft.com/office/word/2010/wordml" w:rsidP="593BD85E" wp14:paraId="57E33CC6" wp14:textId="20D3FDAE">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The intervention involved a series of lessons using role-play, group improvisation, and structured drama activities designed to encourage discussion and critical reflection. Data analysis involved identifying key themes and trends in the written and spoken responses, alongside comparing questionnaire results to assess changes over time. Using multiple types of data increased the reliability of the findings, as information could be cross-checked and supported from different sources.</w:t>
      </w:r>
    </w:p>
    <w:p xmlns:wp14="http://schemas.microsoft.com/office/word/2010/wordml" w:rsidP="593BD85E" wp14:paraId="3E17764B" wp14:textId="37B681AB">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1"/>
          <w:bCs w:val="1"/>
          <w:i w:val="0"/>
          <w:iCs w:val="0"/>
          <w:caps w:val="0"/>
          <w:smallCaps w:val="0"/>
          <w:noProof w:val="0"/>
          <w:color w:val="000000" w:themeColor="text1" w:themeTint="FF" w:themeShade="FF"/>
          <w:sz w:val="24"/>
          <w:szCs w:val="24"/>
          <w:lang w:val="en-US"/>
        </w:rPr>
        <w:t>Results and Discussion.</w:t>
      </w:r>
    </w:p>
    <w:p xmlns:wp14="http://schemas.microsoft.com/office/word/2010/wordml" w:rsidP="593BD85E" wp14:paraId="2FAA16C9" wp14:textId="6AC7AD2F">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The findings of this study indicate that Theatre in Education (TIE) strategies had a significant and positive impact on both student engagement and the development of critical thinking skills within the post-16 classroom. Data collected through structured observations, questionnaires, reflective journals, and focus group discussions revealed several key themes, which are discussed below in detail. Each theme is critically interpreted and linked to existing literature to provide both theoretical and practical insights. The discussion reflects my teaching experience with Level 3 Performing Arts Year Two students at Bridgend College, aged 16–30, providing context-specific examples of how TIE can transform learning experiences in post-16 settings.</w:t>
      </w:r>
    </w:p>
    <w:p xmlns:wp14="http://schemas.microsoft.com/office/word/2010/wordml" w:rsidP="593BD85E" wp14:paraId="082EC2CB" wp14:textId="2694497E">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593BD85E" wp14:paraId="37036DD7" wp14:textId="4863AE27">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1"/>
          <w:bCs w:val="1"/>
          <w:i w:val="0"/>
          <w:iCs w:val="0"/>
          <w:caps w:val="0"/>
          <w:smallCaps w:val="0"/>
          <w:noProof w:val="0"/>
          <w:color w:val="000000" w:themeColor="text1" w:themeTint="FF" w:themeShade="FF"/>
          <w:sz w:val="24"/>
          <w:szCs w:val="24"/>
          <w:lang w:val="en-US"/>
        </w:rPr>
        <w:t>Increased Engagement.</w:t>
      </w:r>
    </w:p>
    <w:p xmlns:wp14="http://schemas.microsoft.com/office/word/2010/wordml" w:rsidP="593BD85E" wp14:paraId="3A581B06" wp14:textId="6DE211FA">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One of the most consistent findings across all data sources was the increase in student engagement during lessons that incorporated TIE strategies. Observational data indicated that learners were more active, attentive, and participative compared to lessons delivered via traditional lecture-based approaches. Students who were typically quiet or hesitant to contribute demonstrated a notable increase in willingness to participate, particularly during role-play exercises, structured improvisation, and collaborative group activities. This aligns with Fredricks, Blumenfeld, and Paris (2004), who suggest that engagement is maximised when learners are emotionally, behaviourally, and cognitively involved in learning.</w:t>
      </w:r>
    </w:p>
    <w:p xmlns:wp14="http://schemas.microsoft.com/office/word/2010/wordml" w:rsidP="593BD85E" wp14:paraId="565EF7CD" wp14:textId="63C53A67">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Questionnaire responses further reinforced these observations. A large proportion of students reported that TIE lessons were “fun,” “stimulating,” and “more interesting” than conventional methods. Many learners highlighted that interactive, collaborative exercises were more effective in maintaining their focus and motivation than lecture-based approaches. This finding supports constructivist learning theories, which argue that knowledge is actively constructed through experience and reflection rather than passively received (Fosnot, 2013).</w:t>
      </w:r>
    </w:p>
    <w:p xmlns:wp14="http://schemas.microsoft.com/office/word/2010/wordml" w:rsidP="593BD85E" wp14:paraId="2A8F2595" wp14:textId="0B438FC5">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Focus group discussions provided qualitative depth to these findings. Students frequently described TIE activities as “different,” “dynamic,” and “more engaging,” noting that the immersive nature of drama encouraged active participation and made learning more memorable. One learner commented, “When we acted out the scenarios, I actually remembered the theory behind it because I was part of the experience, not just reading notes.” This anecdote illustrates the affective dimension of TIE, which helps to embed learning in ways that purely cognitive approaches may not.</w:t>
      </w:r>
    </w:p>
    <w:p xmlns:wp14="http://schemas.microsoft.com/office/word/2010/wordml" w:rsidP="593BD85E" wp14:paraId="0F50F253" wp14:textId="2FDA685E">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Observational notes highlighted that peer interaction played a key role in engagement. Learners actively collaborated during exercises, negotiated roles, and provided feedback to one another, demonstrating behaviours aligned with behavioural engagement, including effort, persistence, and cooperation (Fredricks, Blumenfeld &amp; Paris, 2004). In performing arts education, these collaborative behaviours are particularly valuable, as they also develop interpersonal and professional skills essential for the industry (Jackson &amp; Furnborough, 2018).</w:t>
      </w:r>
    </w:p>
    <w:p xmlns:wp14="http://schemas.microsoft.com/office/word/2010/wordml" w:rsidP="593BD85E" wp14:paraId="1C4A9391" wp14:textId="2915FC92">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It is important to note, however, that engagement was not uniform across all learners. A small proportion of students initially hesitated to participate in exercises involving performance in front of peers. This aligns with previous studies indicating that learner disposition and confidence can influence engagement with experiential learning (Warren &amp; Davies, 2013). Gradually introducing low-risk activities, such as pair or small-group exercises before progressing to full-class role-play, proved effective in supporting these student’s participation. Over time, even initially reluctant learners demonstrated increased engagement, highlighting the role of scaffolding and trust-building in successful TIE implementation.</w:t>
      </w:r>
    </w:p>
    <w:p xmlns:wp14="http://schemas.microsoft.com/office/word/2010/wordml" w:rsidP="593BD85E" wp14:paraId="62DAA087" wp14:textId="427D3A98">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Furthermore, engagement was enhanced by the novelty of TIE. Several learners commented that drama-based lessons “broke the routine” and provided a refreshing alternative to traditional lectures. This suggests that novelty and variation in teaching approaches can be a motivational factor, especially for learners in post-16 education who may experience fatigue or disengagement in more conventional settings. These findings are consistent with O’Toole (1992) and Boal (2002), who argue that drama-based pedagogies enhance learner motivation by creating a dynamic and emotionally engaging environment.</w:t>
      </w:r>
    </w:p>
    <w:p xmlns:wp14="http://schemas.microsoft.com/office/word/2010/wordml" w:rsidP="593BD85E" wp14:paraId="3E3AA086" wp14:textId="352561F4">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1"/>
          <w:bCs w:val="1"/>
          <w:i w:val="0"/>
          <w:iCs w:val="0"/>
          <w:caps w:val="0"/>
          <w:smallCaps w:val="0"/>
          <w:noProof w:val="0"/>
          <w:color w:val="000000" w:themeColor="text1" w:themeTint="FF" w:themeShade="FF"/>
          <w:sz w:val="24"/>
          <w:szCs w:val="24"/>
          <w:lang w:val="en-US"/>
        </w:rPr>
        <w:t>Development of critical thinking skills.</w:t>
      </w:r>
    </w:p>
    <w:p xmlns:wp14="http://schemas.microsoft.com/office/word/2010/wordml" w:rsidP="593BD85E" wp14:paraId="50B6A1F2" wp14:textId="60A2E90C">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Another major finding was that TIE strategies supported the development of critical thinking skills. Learners engaged in activities that required analysis, problem-solving, and reflection, including role-play, improvisation, and structured drama scenarios. For instance, during a role-play exercise involving an ethical dilemma in a performing arts context, students were asked to justify their choices and respond to peer challenges. Observations indicated that these discussions fostered deeper cognitive engagement and encouraged students to articulate their reasoning clearly, demonstrating higher-order thinking skills such as evaluation and synthesis.</w:t>
      </w:r>
    </w:p>
    <w:p xmlns:wp14="http://schemas.microsoft.com/office/word/2010/wordml" w:rsidP="593BD85E" wp14:paraId="22F20247" wp14:textId="09D057C6">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Questionnaire responses indicated that student’s confidence in their critical thinking abilities increased following TIE interventions. Many students reported that drama-based exercises helped them to “think more critically” and “see situations from different perspectives,” suggesting that TIE encourages reflective and analytical thinking. This aligns with literature emphasising that drama encourages learners to adopt multiple viewpoints, consider the consequences of decisions, and solve problems creatively (Rigg, 2012; Winston, 2000).</w:t>
      </w:r>
    </w:p>
    <w:p xmlns:wp14="http://schemas.microsoft.com/office/word/2010/wordml" w:rsidP="593BD85E" wp14:paraId="051224BF" wp14:textId="2C78DF75">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The reflective journal provided additional insight into why TIE promoted critical thinking. Learners engaged more deeply with content when required to respond in real time, adapt to unexpected scenarios, and reflect on the consequences of their decisions. This iterative process mirrors Kolb’s (1984) experiential learning cycle, which posits that knowledge is constructed through active experimentation, observation, reflection, and conceptualisation. By repeatedly engaging in this cycle, learners developed analytical skills and the ability to approach problems from multiple angles.</w:t>
      </w:r>
    </w:p>
    <w:p xmlns:wp14="http://schemas.microsoft.com/office/word/2010/wordml" w:rsidP="593BD85E" wp14:paraId="0E8F33DD" wp14:textId="68BB0BEF">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However, critical thinking development varied among learners. Some students required structured guidance and scaffolding to fully engage in analytical exercises. Using prompts, reflective discussion sheets, and guided questioning helped these learners articulate reasoning and strengthen analytical skills. This supports Biggs and Tang’s (2011) emphasis on the importance of scaffolding in facilitating higher-order thinking.</w:t>
      </w:r>
    </w:p>
    <w:p xmlns:wp14="http://schemas.microsoft.com/office/word/2010/wordml" w:rsidP="593BD85E" wp14:paraId="057C2A3C" wp14:textId="4F2020F3">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xml:space="preserve">An </w:t>
      </w: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additional</w:t>
      </w: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xml:space="preserve"> observation was that TIE encouraged meta-cognitive reflection. Students were not only thinking critically about the scenarios but also </w:t>
      </w: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reflecting on</w:t>
      </w: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xml:space="preserve"> their own thinking processes, decisions, and group dynamics. For example, after an improvisation activity exploring performance ethics, students discussed how their assumptions and prior experiences influenced their choices. This type of meta-cognitive engagement is particularly important in post-16 education, where independent thinking and self-awareness are key learning outcomes (Brookfield, 2012).</w:t>
      </w:r>
    </w:p>
    <w:p xmlns:wp14="http://schemas.microsoft.com/office/word/2010/wordml" w:rsidP="593BD85E" wp14:paraId="42081209" wp14:textId="58EEEDB8">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593BD85E" wp14:paraId="461BE2DB" wp14:textId="0095CF6B">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593BD85E" wp14:paraId="04CC34BF" wp14:textId="6538809A">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1"/>
          <w:bCs w:val="1"/>
          <w:i w:val="0"/>
          <w:iCs w:val="0"/>
          <w:caps w:val="0"/>
          <w:smallCaps w:val="0"/>
          <w:noProof w:val="0"/>
          <w:color w:val="000000" w:themeColor="text1" w:themeTint="FF" w:themeShade="FF"/>
          <w:sz w:val="24"/>
          <w:szCs w:val="24"/>
          <w:lang w:val="en-US"/>
        </w:rPr>
        <w:t>Learner perceptions of TIE.</w:t>
      </w:r>
    </w:p>
    <w:p xmlns:wp14="http://schemas.microsoft.com/office/word/2010/wordml" w:rsidP="593BD85E" wp14:paraId="38D80A40" wp14:textId="387C9118">
      <w:pPr>
        <w:bidi w:val="0"/>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Learner perceptions of TIE were overwhelmingly positive. Students appreciated the opportunity to engage in creative, interactive learning, reporting that these methods helped them better understand and retain subject content. The immersive nature of drama enabled learners to make personal connections with the material, increasing the meaningfulness of learning experiences (Entwistle, 2018; Anderson, 2016).</w:t>
      </w:r>
    </w:p>
    <w:p xmlns:wp14="http://schemas.microsoft.com/office/word/2010/wordml" w:rsidP="593BD85E" wp14:paraId="7A4BF375" wp14:textId="45A1B01B">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Focus group discussions highlighted that learners valued variety, novelty, and interactivity. Several students reported that TIE activities “made the classroom feel more alive” and encouraged participation from all members. They appreciated opportunities to explore ideas collaboratively, indicating that TIE supported social and cognitive engagement simultaneously. These findings are consistent with Vygotsky’s (1978) emphasis on social interaction as a mechanism for knowledge construction.</w:t>
      </w:r>
    </w:p>
    <w:p xmlns:wp14="http://schemas.microsoft.com/office/word/2010/wordml" w:rsidP="593BD85E" wp14:paraId="72443478" wp14:textId="00329517">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Some challenges were noted. A few learners expressed initial anxiety when asked to perform or improvise in front of peers, illustrating the need for a supportive and inclusive learning environment. Gradual introduction of activities, linking exercises clearly to learning objectives, and providing opportunities for reflection mitigated these concerns and allowed reluctant learners to participate fully. This demonstrates the importance of structured support and scaffolding in implementing TIE effectively.</w:t>
      </w:r>
    </w:p>
    <w:p xmlns:wp14="http://schemas.microsoft.com/office/word/2010/wordml" w:rsidP="593BD85E" wp14:paraId="00435D45" wp14:textId="7355048E">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Students also reported that TIE activities enhanced retention and understanding of theoretical content. For example, learners stated that applying concepts through role-play or improvisation helped them “see the ideas in action” and remember them more clearly than through lecture-based methods. This supports research suggesting that experiential learning approaches increase depth of understanding and knowledge retention (Fosnot, 2013).</w:t>
      </w:r>
    </w:p>
    <w:p xmlns:wp14="http://schemas.microsoft.com/office/word/2010/wordml" w:rsidP="593BD85E" wp14:paraId="094C92D1" wp14:textId="1F6A9353">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1"/>
          <w:bCs w:val="1"/>
          <w:i w:val="0"/>
          <w:iCs w:val="0"/>
          <w:caps w:val="0"/>
          <w:smallCaps w:val="0"/>
          <w:noProof w:val="0"/>
          <w:color w:val="000000" w:themeColor="text1" w:themeTint="FF" w:themeShade="FF"/>
          <w:sz w:val="24"/>
          <w:szCs w:val="24"/>
          <w:lang w:val="en-US"/>
        </w:rPr>
        <w:t>Practical Implications for teaching.</w:t>
      </w:r>
    </w:p>
    <w:p xmlns:wp14="http://schemas.microsoft.com/office/word/2010/wordml" w:rsidP="593BD85E" wp14:paraId="347BF56E" wp14:textId="5324673B">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The findings of this study have several implications for teaching practice in post-16 education. First, TIE strategies can enhance engagement, particularly for learners who may struggle with traditional, lecture-based methods. Drama-based activities encourage active participation, collaboration, and emotional investment, creating a dynamic, inclusive, and student-centered classroom.</w:t>
      </w:r>
    </w:p>
    <w:p xmlns:wp14="http://schemas.microsoft.com/office/word/2010/wordml" w:rsidP="593BD85E" wp14:paraId="11653878" wp14:textId="19253067">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Second, TIE provides a valuable tool for developing critical thinking skills. By placing learners in complex, decision-making scenarios and prompting reflection, educators can support analysis, evaluation, and problem-solving all essential skills for academic success and employability. This aligns with post-16 education goals emphasising independent learning and transferable skills (Biesta, 2015).</w:t>
      </w:r>
    </w:p>
    <w:p xmlns:wp14="http://schemas.microsoft.com/office/word/2010/wordml" w:rsidP="593BD85E" wp14:paraId="2D8F3076" wp14:textId="2674AACD">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Third, careful planning and scaffolding are essential. Activities must be explicitly linked to learning objectives, and learners require guidance and structured support to maximize the benefits of TIE. Professional development for educators is also recommended to build confidence and competence in delivering drama-based strategies effectively.</w:t>
      </w:r>
    </w:p>
    <w:p xmlns:wp14="http://schemas.microsoft.com/office/word/2010/wordml" w:rsidP="593BD85E" wp14:paraId="20EB7AE8" wp14:textId="00CE8062">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Fourth, TIE is particularly effective in creative disciplines such as performing arts, where learners may already possess collaboration, communication, and improvisation skills. Nevertheless, the strategies are adaptable across subject areas if lessons are carefully designed with clear objectives, structured reflection, and opportunities for participation.</w:t>
      </w:r>
    </w:p>
    <w:p xmlns:wp14="http://schemas.microsoft.com/office/word/2010/wordml" w:rsidP="593BD85E" wp14:paraId="15F39EB4" wp14:textId="7747DF7A">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Finally, the study highlights the importance of supporting learner confidence and managing anxiety. By gradually increasing the complexity and visibility of activities, and providing a safe environment for experimentation, TIE can engage all learners effectively.</w:t>
      </w:r>
    </w:p>
    <w:p xmlns:wp14="http://schemas.microsoft.com/office/word/2010/wordml" w:rsidP="593BD85E" wp14:paraId="1407EFC4" wp14:textId="55D9BE82">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1"/>
          <w:bCs w:val="1"/>
          <w:i w:val="0"/>
          <w:iCs w:val="0"/>
          <w:caps w:val="0"/>
          <w:smallCaps w:val="0"/>
          <w:noProof w:val="0"/>
          <w:color w:val="000000" w:themeColor="text1" w:themeTint="FF" w:themeShade="FF"/>
          <w:sz w:val="24"/>
          <w:szCs w:val="24"/>
          <w:lang w:val="en-US"/>
        </w:rPr>
        <w:t>Critical reflection and Limitations.</w:t>
      </w:r>
    </w:p>
    <w:p xmlns:wp14="http://schemas.microsoft.com/office/word/2010/wordml" w:rsidP="593BD85E" wp14:paraId="14AF522E" wp14:textId="0AB07460">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Overall, the study demonstrates that TIE is a highly effective pedagogical approach for enhancing engagement and critical thinking in post-16 education. Observations, questionnaires, reflective journals, and focus group data all support the conclusion that learners are more motivated, collaborative, and cognitively active when participating in drama-based activities.</w:t>
      </w:r>
    </w:p>
    <w:p xmlns:wp14="http://schemas.microsoft.com/office/word/2010/wordml" w:rsidP="593BD85E" wp14:paraId="537D5549" wp14:textId="3DCF6750">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However, the study has limitations. The sample was small and subject-specific, potentially limiting generalisability. Additionally, learner engagement and critical thinking development varied, suggesting that individual dispositions, prior experience, and confidence levels influence outcomes. Despite these limitations, the study offers valuable insights into how TIE can be applied effectively within post-16 education and provides practical guidance for educators seeking to implement experiential learning strategies</w:t>
      </w:r>
    </w:p>
    <w:p xmlns:wp14="http://schemas.microsoft.com/office/word/2010/wordml" w:rsidP="593BD85E" wp14:paraId="4E8AA0B7" wp14:textId="3F3197AB">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1"/>
          <w:bCs w:val="1"/>
          <w:i w:val="0"/>
          <w:iCs w:val="0"/>
          <w:caps w:val="0"/>
          <w:smallCaps w:val="0"/>
          <w:noProof w:val="0"/>
          <w:color w:val="000000" w:themeColor="text1" w:themeTint="FF" w:themeShade="FF"/>
          <w:sz w:val="24"/>
          <w:szCs w:val="24"/>
          <w:lang w:val="en-US"/>
        </w:rPr>
        <w:t>Conclusion.</w:t>
      </w:r>
    </w:p>
    <w:p xmlns:wp14="http://schemas.microsoft.com/office/word/2010/wordml" w:rsidP="593BD85E" wp14:paraId="49B3675D" wp14:textId="1DC75114">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This study set out to explore the impact of Theatre in Education (TIE) strategies on student engagement and the development of critical thinking skills within a post-16 context. By conducting action research with Level 3 Performing Arts Year Two students at Bridgend College, the project provided both practical and theoretical insights into the effectiveness of drama-based pedagogies in fostering active, reflective, and collaborative learning.</w:t>
      </w:r>
    </w:p>
    <w:p xmlns:wp14="http://schemas.microsoft.com/office/word/2010/wordml" w:rsidP="593BD85E" wp14:paraId="26446877" wp14:textId="0B631541">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The findings indicate that TIE strategies had a clear positive effect on learner engagement. Students were more attentive, participative, and motivated during lessons that incorporated role-play, improvisation, and structured drama exercises compared to traditional, lecture-based approaches. Observations, questionnaires, and focus group discussions all demonstrated that even learners who were typically quiet or hesitant became more involved, suggesting that TIE can help create a more inclusive and dynamic classroom environment.</w:t>
      </w:r>
    </w:p>
    <w:p xmlns:wp14="http://schemas.microsoft.com/office/word/2010/wordml" w:rsidP="593BD85E" wp14:paraId="37A8BADE" wp14:textId="2DEA1ECE">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In addition to promoting engagement, TIE was shown to support the development of critical thinking skills. Activities requiring analysis, evaluation, and decision-making encouraged learners to reflect on different perspectives, justify their choices, and solve problems collaboratively. The experiential nature of TIE provided repeated opportunities for learners to cycle through active experimentation, reflection, and conceptualisation, consistent with Kolb’s (1984) experiential learning theory. While the development of critical thinking varied among individuals, the data suggests that structured guidance, scaffolding, and reflective discussion can significantly enhance cognitive outcomes.</w:t>
      </w:r>
    </w:p>
    <w:p xmlns:wp14="http://schemas.microsoft.com/office/word/2010/wordml" w:rsidP="593BD85E" wp14:paraId="3E91AD93" wp14:textId="3C7E2986">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Learner perceptions further underscored the value of TIE. Students consistently reported that drama-based activities made lessons more memorable, meaningful, and enjoyable, highlighting the importance of emotional engagement alongside cognitive development. Challenges such as initial performance anxiety or resistance were mitigated through careful planning, gradual progression of tasks, and the creation of a supportive classroom culture.</w:t>
      </w:r>
    </w:p>
    <w:p xmlns:wp14="http://schemas.microsoft.com/office/word/2010/wordml" w:rsidP="593BD85E" wp14:paraId="1C1BEB80" wp14:textId="17001C8D">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The study also highlights several practical implications for post-16 educators. TIE strategies can be integrated to enhance motivation, engagement, and higher-order thinking, particularly in creative disciplines like performing arts. However, successful implementation requires clear alignment with learning objectives, careful scaffolding, and appropriate professional development to ensure teachers feel confident in delivering drama-based activities. Moreover, while TIE shows considerable promise, its application should be adapted to context, learner needs, and subject areas to maximize its impact.</w:t>
      </w:r>
    </w:p>
    <w:p xmlns:wp14="http://schemas.microsoft.com/office/word/2010/wordml" w:rsidP="593BD85E" wp14:paraId="409DAFBB" wp14:textId="7E7ABA6D">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In conclusion, this action research demonstrates that TIE strategies are a valuable pedagogical tool for post-16 education, offering a means to foster engagement, collaboration, and critical thinking simultaneously. By moving beyond traditional didactic approaches, educators can create immersive, student-centred learning experiences that support both cognitive and affective development. Although further research with larger and more diverse populations is required to generalise these findings, the study contributes practical and context-specific insights into how TIE can enhance teaching and learning in post-16 classrooms. Ultimately, incorporating experiential and interactive methods such as TIE represents a meaningful step towards cultivating learners who are not only engaged but also reflective, analytical, and better prepared for the demands of higher education and professional life.</w:t>
      </w:r>
    </w:p>
    <w:p xmlns:wp14="http://schemas.microsoft.com/office/word/2010/wordml" w:rsidP="593BD85E" wp14:paraId="04BE6277" wp14:textId="40469065">
      <w:pPr>
        <w:pStyle w:val="Normal"/>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593BD85E" wp14:paraId="4F179502" wp14:textId="2A9BD6D7">
      <w:pPr>
        <w:bidi w:val="0"/>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1"/>
          <w:bCs w:val="1"/>
          <w:i w:val="0"/>
          <w:iCs w:val="0"/>
          <w:caps w:val="0"/>
          <w:smallCaps w:val="0"/>
          <w:noProof w:val="0"/>
          <w:color w:val="000000" w:themeColor="text1" w:themeTint="FF" w:themeShade="FF"/>
          <w:sz w:val="24"/>
          <w:szCs w:val="24"/>
          <w:lang w:val="en-US"/>
        </w:rPr>
        <w:t xml:space="preserve">Reference list </w:t>
      </w:r>
    </w:p>
    <w:p xmlns:wp14="http://schemas.microsoft.com/office/word/2010/wordml" w:rsidP="593BD85E" wp14:paraId="0D2F069F" wp14:textId="56973367">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xml:space="preserve">Anderson, J. (2016) </w:t>
      </w:r>
      <w:r w:rsidRPr="593BD85E" w:rsidR="60F40746">
        <w:rPr>
          <w:rFonts w:ascii="Aptos" w:hAnsi="Aptos" w:eastAsia="Aptos" w:cs="Aptos"/>
          <w:b w:val="0"/>
          <w:bCs w:val="0"/>
          <w:i w:val="1"/>
          <w:iCs w:val="1"/>
          <w:caps w:val="0"/>
          <w:smallCaps w:val="0"/>
          <w:noProof w:val="0"/>
          <w:color w:val="000000" w:themeColor="text1" w:themeTint="FF" w:themeShade="FF"/>
          <w:sz w:val="24"/>
          <w:szCs w:val="24"/>
          <w:lang w:val="en-US"/>
        </w:rPr>
        <w:t>Drama and Engagement in Post‑Compulsory Education</w:t>
      </w: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London: Routledge.</w:t>
      </w:r>
    </w:p>
    <w:p xmlns:wp14="http://schemas.microsoft.com/office/word/2010/wordml" w:rsidP="593BD85E" wp14:paraId="32D46B19" wp14:textId="21D50AC5">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xml:space="preserve">Biggs, J. &amp; Tang, C. (2011) </w:t>
      </w:r>
      <w:r w:rsidRPr="593BD85E" w:rsidR="60F40746">
        <w:rPr>
          <w:rFonts w:ascii="Aptos" w:hAnsi="Aptos" w:eastAsia="Aptos" w:cs="Aptos"/>
          <w:b w:val="0"/>
          <w:bCs w:val="0"/>
          <w:i w:val="1"/>
          <w:iCs w:val="1"/>
          <w:caps w:val="0"/>
          <w:smallCaps w:val="0"/>
          <w:noProof w:val="0"/>
          <w:color w:val="000000" w:themeColor="text1" w:themeTint="FF" w:themeShade="FF"/>
          <w:sz w:val="24"/>
          <w:szCs w:val="24"/>
          <w:lang w:val="en-US"/>
        </w:rPr>
        <w:t>Teaching for Quality Learning at University</w:t>
      </w: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4th edn. Maidenhead: McGraw-Hill.</w:t>
      </w:r>
    </w:p>
    <w:p xmlns:wp14="http://schemas.microsoft.com/office/word/2010/wordml" w:rsidP="593BD85E" wp14:paraId="3360296C" wp14:textId="52CA6710">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xml:space="preserve">Biesta, G. (2015) </w:t>
      </w:r>
      <w:r w:rsidRPr="593BD85E" w:rsidR="60F40746">
        <w:rPr>
          <w:rFonts w:ascii="Aptos" w:hAnsi="Aptos" w:eastAsia="Aptos" w:cs="Aptos"/>
          <w:b w:val="0"/>
          <w:bCs w:val="0"/>
          <w:i w:val="1"/>
          <w:iCs w:val="1"/>
          <w:caps w:val="0"/>
          <w:smallCaps w:val="0"/>
          <w:noProof w:val="0"/>
          <w:color w:val="000000" w:themeColor="text1" w:themeTint="FF" w:themeShade="FF"/>
          <w:sz w:val="24"/>
          <w:szCs w:val="24"/>
          <w:lang w:val="en-US"/>
        </w:rPr>
        <w:t>The Beautiful Risk of Education</w:t>
      </w: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London: Routledge.</w:t>
      </w:r>
    </w:p>
    <w:p xmlns:wp14="http://schemas.microsoft.com/office/word/2010/wordml" w:rsidP="593BD85E" wp14:paraId="3618ADA9" wp14:textId="3C8A216E">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xml:space="preserve">Bloom, B., Engelhart, M., Furst, E., Hill, W. &amp; Krathwohl, D. (1956) </w:t>
      </w:r>
      <w:r w:rsidRPr="593BD85E" w:rsidR="60F40746">
        <w:rPr>
          <w:rFonts w:ascii="Aptos" w:hAnsi="Aptos" w:eastAsia="Aptos" w:cs="Aptos"/>
          <w:b w:val="0"/>
          <w:bCs w:val="0"/>
          <w:i w:val="1"/>
          <w:iCs w:val="1"/>
          <w:caps w:val="0"/>
          <w:smallCaps w:val="0"/>
          <w:noProof w:val="0"/>
          <w:color w:val="000000" w:themeColor="text1" w:themeTint="FF" w:themeShade="FF"/>
          <w:sz w:val="24"/>
          <w:szCs w:val="24"/>
          <w:lang w:val="en-US"/>
        </w:rPr>
        <w:t>Taxonomy of Educational Objectives: The Classification of Educational Goals</w:t>
      </w: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New York: Longman.</w:t>
      </w:r>
    </w:p>
    <w:p xmlns:wp14="http://schemas.microsoft.com/office/word/2010/wordml" w:rsidP="593BD85E" wp14:paraId="19001ACA" wp14:textId="1C57682C">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xml:space="preserve">Boal, A. (2002) </w:t>
      </w:r>
      <w:r w:rsidRPr="593BD85E" w:rsidR="60F40746">
        <w:rPr>
          <w:rFonts w:ascii="Aptos" w:hAnsi="Aptos" w:eastAsia="Aptos" w:cs="Aptos"/>
          <w:b w:val="0"/>
          <w:bCs w:val="0"/>
          <w:i w:val="1"/>
          <w:iCs w:val="1"/>
          <w:caps w:val="0"/>
          <w:smallCaps w:val="0"/>
          <w:noProof w:val="0"/>
          <w:color w:val="000000" w:themeColor="text1" w:themeTint="FF" w:themeShade="FF"/>
          <w:sz w:val="24"/>
          <w:szCs w:val="24"/>
          <w:lang w:val="en-US"/>
        </w:rPr>
        <w:t>Games for Actors and Non‑Actors</w:t>
      </w: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London: Routledge.</w:t>
      </w:r>
    </w:p>
    <w:p xmlns:wp14="http://schemas.microsoft.com/office/word/2010/wordml" w:rsidP="593BD85E" wp14:paraId="571DE036" wp14:textId="5011186C">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xml:space="preserve">Brookfield, S. (2012) </w:t>
      </w:r>
      <w:r w:rsidRPr="593BD85E" w:rsidR="60F40746">
        <w:rPr>
          <w:rFonts w:ascii="Aptos" w:hAnsi="Aptos" w:eastAsia="Aptos" w:cs="Aptos"/>
          <w:b w:val="0"/>
          <w:bCs w:val="0"/>
          <w:i w:val="1"/>
          <w:iCs w:val="1"/>
          <w:caps w:val="0"/>
          <w:smallCaps w:val="0"/>
          <w:noProof w:val="0"/>
          <w:color w:val="000000" w:themeColor="text1" w:themeTint="FF" w:themeShade="FF"/>
          <w:sz w:val="24"/>
          <w:szCs w:val="24"/>
          <w:lang w:val="en-US"/>
        </w:rPr>
        <w:t>Teaching for Critical Thinking</w:t>
      </w: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San Francisco: Jossey-Bass.</w:t>
      </w:r>
    </w:p>
    <w:p xmlns:wp14="http://schemas.microsoft.com/office/word/2010/wordml" w:rsidP="593BD85E" wp14:paraId="2FD359FC" wp14:textId="378739C7">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xml:space="preserve">Burns, R. &amp; Kaufman, J. (2013) ‘Student resistance to active learning: A case study’, </w:t>
      </w:r>
      <w:r w:rsidRPr="593BD85E" w:rsidR="60F40746">
        <w:rPr>
          <w:rFonts w:ascii="Aptos" w:hAnsi="Aptos" w:eastAsia="Aptos" w:cs="Aptos"/>
          <w:b w:val="0"/>
          <w:bCs w:val="0"/>
          <w:i w:val="1"/>
          <w:iCs w:val="1"/>
          <w:caps w:val="0"/>
          <w:smallCaps w:val="0"/>
          <w:noProof w:val="0"/>
          <w:color w:val="000000" w:themeColor="text1" w:themeTint="FF" w:themeShade="FF"/>
          <w:sz w:val="24"/>
          <w:szCs w:val="24"/>
          <w:lang w:val="en-US"/>
        </w:rPr>
        <w:t>Journal of Further and Higher Education</w:t>
      </w: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37(4), pp. 531–549.</w:t>
      </w:r>
    </w:p>
    <w:p xmlns:wp14="http://schemas.microsoft.com/office/word/2010/wordml" w:rsidP="593BD85E" wp14:paraId="192A3819" wp14:textId="68AFD902">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xml:space="preserve">Costa, A. &amp; Kallick, B. (2008) </w:t>
      </w:r>
      <w:r w:rsidRPr="593BD85E" w:rsidR="60F40746">
        <w:rPr>
          <w:rFonts w:ascii="Aptos" w:hAnsi="Aptos" w:eastAsia="Aptos" w:cs="Aptos"/>
          <w:b w:val="0"/>
          <w:bCs w:val="0"/>
          <w:i w:val="1"/>
          <w:iCs w:val="1"/>
          <w:caps w:val="0"/>
          <w:smallCaps w:val="0"/>
          <w:noProof w:val="0"/>
          <w:color w:val="000000" w:themeColor="text1" w:themeTint="FF" w:themeShade="FF"/>
          <w:sz w:val="24"/>
          <w:szCs w:val="24"/>
          <w:lang w:val="en-US"/>
        </w:rPr>
        <w:t>Learning and Leading with Habits of Mind: 16 Essential Characteristics for Success</w:t>
      </w: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Alexandria, VA: Association for Supervision and Curriculum Development.</w:t>
      </w:r>
    </w:p>
    <w:p xmlns:wp14="http://schemas.microsoft.com/office/word/2010/wordml" w:rsidP="593BD85E" wp14:paraId="59CFC7C4" wp14:textId="5E3F7123">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xml:space="preserve">Dewey, J. (1938) </w:t>
      </w:r>
      <w:r w:rsidRPr="593BD85E" w:rsidR="60F40746">
        <w:rPr>
          <w:rFonts w:ascii="Aptos" w:hAnsi="Aptos" w:eastAsia="Aptos" w:cs="Aptos"/>
          <w:b w:val="0"/>
          <w:bCs w:val="0"/>
          <w:i w:val="1"/>
          <w:iCs w:val="1"/>
          <w:caps w:val="0"/>
          <w:smallCaps w:val="0"/>
          <w:noProof w:val="0"/>
          <w:color w:val="000000" w:themeColor="text1" w:themeTint="FF" w:themeShade="FF"/>
          <w:sz w:val="24"/>
          <w:szCs w:val="24"/>
          <w:lang w:val="en-US"/>
        </w:rPr>
        <w:t>Experience and Education</w:t>
      </w: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New York: Macmillan.</w:t>
      </w:r>
    </w:p>
    <w:p xmlns:wp14="http://schemas.microsoft.com/office/word/2010/wordml" w:rsidP="593BD85E" wp14:paraId="55BEF386" wp14:textId="66373DCC">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xml:space="preserve">Entwistle, N. (2018) </w:t>
      </w:r>
      <w:r w:rsidRPr="593BD85E" w:rsidR="60F40746">
        <w:rPr>
          <w:rFonts w:ascii="Aptos" w:hAnsi="Aptos" w:eastAsia="Aptos" w:cs="Aptos"/>
          <w:b w:val="0"/>
          <w:bCs w:val="0"/>
          <w:i w:val="1"/>
          <w:iCs w:val="1"/>
          <w:caps w:val="0"/>
          <w:smallCaps w:val="0"/>
          <w:noProof w:val="0"/>
          <w:color w:val="000000" w:themeColor="text1" w:themeTint="FF" w:themeShade="FF"/>
          <w:sz w:val="24"/>
          <w:szCs w:val="24"/>
          <w:lang w:val="en-US"/>
        </w:rPr>
        <w:t>Student Learning and Understanding</w:t>
      </w: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London: Sage.</w:t>
      </w:r>
    </w:p>
    <w:p xmlns:wp14="http://schemas.microsoft.com/office/word/2010/wordml" w:rsidP="593BD85E" wp14:paraId="09FF5D38" wp14:textId="070C20CC">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xml:space="preserve">Fosnot, C. (2013) </w:t>
      </w:r>
      <w:r w:rsidRPr="593BD85E" w:rsidR="60F40746">
        <w:rPr>
          <w:rFonts w:ascii="Aptos" w:hAnsi="Aptos" w:eastAsia="Aptos" w:cs="Aptos"/>
          <w:b w:val="0"/>
          <w:bCs w:val="0"/>
          <w:i w:val="1"/>
          <w:iCs w:val="1"/>
          <w:caps w:val="0"/>
          <w:smallCaps w:val="0"/>
          <w:noProof w:val="0"/>
          <w:color w:val="000000" w:themeColor="text1" w:themeTint="FF" w:themeShade="FF"/>
          <w:sz w:val="24"/>
          <w:szCs w:val="24"/>
          <w:lang w:val="en-US"/>
        </w:rPr>
        <w:t>Constructivism: Theory, Perspectives, and Practice</w:t>
      </w: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2nd edn. New York: Teachers College Press.</w:t>
      </w:r>
    </w:p>
    <w:p xmlns:wp14="http://schemas.microsoft.com/office/word/2010/wordml" w:rsidP="593BD85E" wp14:paraId="62005A57" wp14:textId="46168A15">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xml:space="preserve">Fredricks, J., Blumenfeld, P. &amp; Paris, A. (2004) ‘School Engagement: Potential of the Concept, State of the Evidence’, </w:t>
      </w:r>
      <w:r w:rsidRPr="593BD85E" w:rsidR="60F40746">
        <w:rPr>
          <w:rFonts w:ascii="Aptos" w:hAnsi="Aptos" w:eastAsia="Aptos" w:cs="Aptos"/>
          <w:b w:val="0"/>
          <w:bCs w:val="0"/>
          <w:i w:val="1"/>
          <w:iCs w:val="1"/>
          <w:caps w:val="0"/>
          <w:smallCaps w:val="0"/>
          <w:noProof w:val="0"/>
          <w:color w:val="000000" w:themeColor="text1" w:themeTint="FF" w:themeShade="FF"/>
          <w:sz w:val="24"/>
          <w:szCs w:val="24"/>
          <w:lang w:val="en-US"/>
        </w:rPr>
        <w:t>Review of Educational Research</w:t>
      </w: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74(1), pp. 59–109.</w:t>
      </w:r>
    </w:p>
    <w:p xmlns:wp14="http://schemas.microsoft.com/office/word/2010/wordml" w:rsidP="593BD85E" wp14:paraId="569B958F" wp14:textId="7A520FD8">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xml:space="preserve">Heathcote, D. &amp; Herbert, R. (1985) </w:t>
      </w:r>
      <w:r w:rsidRPr="593BD85E" w:rsidR="60F40746">
        <w:rPr>
          <w:rFonts w:ascii="Aptos" w:hAnsi="Aptos" w:eastAsia="Aptos" w:cs="Aptos"/>
          <w:b w:val="0"/>
          <w:bCs w:val="0"/>
          <w:i w:val="1"/>
          <w:iCs w:val="1"/>
          <w:caps w:val="0"/>
          <w:smallCaps w:val="0"/>
          <w:noProof w:val="0"/>
          <w:color w:val="000000" w:themeColor="text1" w:themeTint="FF" w:themeShade="FF"/>
          <w:sz w:val="24"/>
          <w:szCs w:val="24"/>
          <w:lang w:val="en-US"/>
        </w:rPr>
        <w:t>Drama and Education: Performance Methodologies for Teaching and Learning</w:t>
      </w: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London: Hutchinson.</w:t>
      </w:r>
    </w:p>
    <w:p xmlns:wp14="http://schemas.microsoft.com/office/word/2010/wordml" w:rsidP="593BD85E" wp14:paraId="2BBDC0F4" wp14:textId="6BD33FAB">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xml:space="preserve">Higgins, S. (2017) </w:t>
      </w:r>
      <w:r w:rsidRPr="593BD85E" w:rsidR="60F40746">
        <w:rPr>
          <w:rFonts w:ascii="Aptos" w:hAnsi="Aptos" w:eastAsia="Aptos" w:cs="Aptos"/>
          <w:b w:val="0"/>
          <w:bCs w:val="0"/>
          <w:i w:val="1"/>
          <w:iCs w:val="1"/>
          <w:caps w:val="0"/>
          <w:smallCaps w:val="0"/>
          <w:noProof w:val="0"/>
          <w:color w:val="000000" w:themeColor="text1" w:themeTint="FF" w:themeShade="FF"/>
          <w:sz w:val="24"/>
          <w:szCs w:val="24"/>
          <w:lang w:val="en-US"/>
        </w:rPr>
        <w:t>Teaching and Learning in Post‑16 Education: Policy, Practice, and Research</w:t>
      </w: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London: Routledge.</w:t>
      </w:r>
    </w:p>
    <w:p xmlns:wp14="http://schemas.microsoft.com/office/word/2010/wordml" w:rsidP="593BD85E" wp14:paraId="34DF22BE" wp14:textId="24C659CF">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xml:space="preserve">Jackson, N. (2014) ‘Drama in the Post‑Compulsory Classroom: Engagement and Learning’, </w:t>
      </w:r>
      <w:r w:rsidRPr="593BD85E" w:rsidR="60F40746">
        <w:rPr>
          <w:rFonts w:ascii="Aptos" w:hAnsi="Aptos" w:eastAsia="Aptos" w:cs="Aptos"/>
          <w:b w:val="0"/>
          <w:bCs w:val="0"/>
          <w:i w:val="1"/>
          <w:iCs w:val="1"/>
          <w:caps w:val="0"/>
          <w:smallCaps w:val="0"/>
          <w:noProof w:val="0"/>
          <w:color w:val="000000" w:themeColor="text1" w:themeTint="FF" w:themeShade="FF"/>
          <w:sz w:val="24"/>
          <w:szCs w:val="24"/>
          <w:lang w:val="en-US"/>
        </w:rPr>
        <w:t>Research in Drama Education</w:t>
      </w: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19(2), pp. 153–168.</w:t>
      </w:r>
    </w:p>
    <w:p xmlns:wp14="http://schemas.microsoft.com/office/word/2010/wordml" w:rsidP="593BD85E" wp14:paraId="0FB7DD40" wp14:textId="2516A55B">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xml:space="preserve">Jackson, N. &amp; Furnborough, C. (2018) </w:t>
      </w:r>
      <w:r w:rsidRPr="593BD85E" w:rsidR="60F40746">
        <w:rPr>
          <w:rFonts w:ascii="Aptos" w:hAnsi="Aptos" w:eastAsia="Aptos" w:cs="Aptos"/>
          <w:b w:val="0"/>
          <w:bCs w:val="0"/>
          <w:i w:val="1"/>
          <w:iCs w:val="1"/>
          <w:caps w:val="0"/>
          <w:smallCaps w:val="0"/>
          <w:noProof w:val="0"/>
          <w:color w:val="000000" w:themeColor="text1" w:themeTint="FF" w:themeShade="FF"/>
          <w:sz w:val="24"/>
          <w:szCs w:val="24"/>
          <w:lang w:val="en-US"/>
        </w:rPr>
        <w:t>Learning Through Drama in Higher Education</w:t>
      </w: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London: Palgrave Macmillan.</w:t>
      </w:r>
    </w:p>
    <w:p xmlns:wp14="http://schemas.microsoft.com/office/word/2010/wordml" w:rsidP="593BD85E" wp14:paraId="001A9163" wp14:textId="78C00F30">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xml:space="preserve">Kahu, E. (2013) ‘Framing student engagement in higher education’, </w:t>
      </w:r>
      <w:r w:rsidRPr="593BD85E" w:rsidR="60F40746">
        <w:rPr>
          <w:rFonts w:ascii="Aptos" w:hAnsi="Aptos" w:eastAsia="Aptos" w:cs="Aptos"/>
          <w:b w:val="0"/>
          <w:bCs w:val="0"/>
          <w:i w:val="1"/>
          <w:iCs w:val="1"/>
          <w:caps w:val="0"/>
          <w:smallCaps w:val="0"/>
          <w:noProof w:val="0"/>
          <w:color w:val="000000" w:themeColor="text1" w:themeTint="FF" w:themeShade="FF"/>
          <w:sz w:val="24"/>
          <w:szCs w:val="24"/>
          <w:lang w:val="en-US"/>
        </w:rPr>
        <w:t>Studies in Higher Education</w:t>
      </w: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38(5), pp. 758–773.</w:t>
      </w:r>
    </w:p>
    <w:p xmlns:wp14="http://schemas.microsoft.com/office/word/2010/wordml" w:rsidP="593BD85E" wp14:paraId="1A69D554" wp14:textId="5CE27FF2">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xml:space="preserve">Kemmis, S. &amp; McTaggart, R. (1988) </w:t>
      </w:r>
      <w:r w:rsidRPr="593BD85E" w:rsidR="60F40746">
        <w:rPr>
          <w:rFonts w:ascii="Aptos" w:hAnsi="Aptos" w:eastAsia="Aptos" w:cs="Aptos"/>
          <w:b w:val="0"/>
          <w:bCs w:val="0"/>
          <w:i w:val="1"/>
          <w:iCs w:val="1"/>
          <w:caps w:val="0"/>
          <w:smallCaps w:val="0"/>
          <w:noProof w:val="0"/>
          <w:color w:val="000000" w:themeColor="text1" w:themeTint="FF" w:themeShade="FF"/>
          <w:sz w:val="24"/>
          <w:szCs w:val="24"/>
          <w:lang w:val="en-US"/>
        </w:rPr>
        <w:t>The Action Research Planner</w:t>
      </w: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Geelong: Deakin University Press.</w:t>
      </w:r>
    </w:p>
    <w:p xmlns:wp14="http://schemas.microsoft.com/office/word/2010/wordml" w:rsidP="593BD85E" wp14:paraId="0E1B694D" wp14:textId="0F48FE4F">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xml:space="preserve">Kolb, D. (1984) </w:t>
      </w:r>
      <w:r w:rsidRPr="593BD85E" w:rsidR="60F40746">
        <w:rPr>
          <w:rFonts w:ascii="Aptos" w:hAnsi="Aptos" w:eastAsia="Aptos" w:cs="Aptos"/>
          <w:b w:val="0"/>
          <w:bCs w:val="0"/>
          <w:i w:val="1"/>
          <w:iCs w:val="1"/>
          <w:caps w:val="0"/>
          <w:smallCaps w:val="0"/>
          <w:noProof w:val="0"/>
          <w:color w:val="000000" w:themeColor="text1" w:themeTint="FF" w:themeShade="FF"/>
          <w:sz w:val="24"/>
          <w:szCs w:val="24"/>
          <w:lang w:val="en-US"/>
        </w:rPr>
        <w:t>Experiential Learning: Experience as the Source of Learning and Development</w:t>
      </w: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Englewood Cliffs, NJ: Prentice Hall.</w:t>
      </w:r>
    </w:p>
    <w:p xmlns:wp14="http://schemas.microsoft.com/office/word/2010/wordml" w:rsidP="593BD85E" wp14:paraId="4101DB05" wp14:textId="24B669BF">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xml:space="preserve">Nicholson, H. (2018) </w:t>
      </w:r>
      <w:r w:rsidRPr="593BD85E" w:rsidR="60F40746">
        <w:rPr>
          <w:rFonts w:ascii="Aptos" w:hAnsi="Aptos" w:eastAsia="Aptos" w:cs="Aptos"/>
          <w:b w:val="0"/>
          <w:bCs w:val="0"/>
          <w:i w:val="1"/>
          <w:iCs w:val="1"/>
          <w:caps w:val="0"/>
          <w:smallCaps w:val="0"/>
          <w:noProof w:val="0"/>
          <w:color w:val="000000" w:themeColor="text1" w:themeTint="FF" w:themeShade="FF"/>
          <w:sz w:val="24"/>
          <w:szCs w:val="24"/>
          <w:lang w:val="en-US"/>
        </w:rPr>
        <w:t>Theatre, Education and Performance: A Critical Introduction</w:t>
      </w: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London: Palgrave Macmillan.</w:t>
      </w:r>
    </w:p>
    <w:p xmlns:wp14="http://schemas.microsoft.com/office/word/2010/wordml" w:rsidP="593BD85E" wp14:paraId="1D93A9CD" wp14:textId="2C927010">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xml:space="preserve">O’Toole, J. (1992) </w:t>
      </w:r>
      <w:r w:rsidRPr="593BD85E" w:rsidR="60F40746">
        <w:rPr>
          <w:rFonts w:ascii="Aptos" w:hAnsi="Aptos" w:eastAsia="Aptos" w:cs="Aptos"/>
          <w:b w:val="0"/>
          <w:bCs w:val="0"/>
          <w:i w:val="1"/>
          <w:iCs w:val="1"/>
          <w:caps w:val="0"/>
          <w:smallCaps w:val="0"/>
          <w:noProof w:val="0"/>
          <w:color w:val="000000" w:themeColor="text1" w:themeTint="FF" w:themeShade="FF"/>
          <w:sz w:val="24"/>
          <w:szCs w:val="24"/>
          <w:lang w:val="en-US"/>
        </w:rPr>
        <w:t>The Process of Drama: Negotiating Art and Meaning</w:t>
      </w: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London: Routledge.</w:t>
      </w:r>
    </w:p>
    <w:p xmlns:wp14="http://schemas.microsoft.com/office/word/2010/wordml" w:rsidP="593BD85E" wp14:paraId="7B637F03" wp14:textId="1E4E6110">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xml:space="preserve">Race, P. (2015) </w:t>
      </w:r>
      <w:r w:rsidRPr="593BD85E" w:rsidR="60F40746">
        <w:rPr>
          <w:rFonts w:ascii="Aptos" w:hAnsi="Aptos" w:eastAsia="Aptos" w:cs="Aptos"/>
          <w:b w:val="0"/>
          <w:bCs w:val="0"/>
          <w:i w:val="1"/>
          <w:iCs w:val="1"/>
          <w:caps w:val="0"/>
          <w:smallCaps w:val="0"/>
          <w:noProof w:val="0"/>
          <w:color w:val="000000" w:themeColor="text1" w:themeTint="FF" w:themeShade="FF"/>
          <w:sz w:val="24"/>
          <w:szCs w:val="24"/>
          <w:lang w:val="en-US"/>
        </w:rPr>
        <w:t>The Lecturer’s Toolkit: A Practical Guide to Assessment, Learning and Teaching</w:t>
      </w: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4th edn. London: Routledge.</w:t>
      </w:r>
    </w:p>
    <w:p xmlns:wp14="http://schemas.microsoft.com/office/word/2010/wordml" w:rsidP="593BD85E" wp14:paraId="40B37187" wp14:textId="71DF8C8D">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xml:space="preserve">Rigg, J. (2012) </w:t>
      </w:r>
      <w:r w:rsidRPr="593BD85E" w:rsidR="60F40746">
        <w:rPr>
          <w:rFonts w:ascii="Aptos" w:hAnsi="Aptos" w:eastAsia="Aptos" w:cs="Aptos"/>
          <w:b w:val="0"/>
          <w:bCs w:val="0"/>
          <w:i w:val="1"/>
          <w:iCs w:val="1"/>
          <w:caps w:val="0"/>
          <w:smallCaps w:val="0"/>
          <w:noProof w:val="0"/>
          <w:color w:val="000000" w:themeColor="text1" w:themeTint="FF" w:themeShade="FF"/>
          <w:sz w:val="24"/>
          <w:szCs w:val="24"/>
          <w:lang w:val="en-US"/>
        </w:rPr>
        <w:t>Drama and Learning in Higher Education: Theory, Practice, and Research</w:t>
      </w: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London: Bloomsbury.</w:t>
      </w:r>
    </w:p>
    <w:p xmlns:wp14="http://schemas.microsoft.com/office/word/2010/wordml" w:rsidP="593BD85E" wp14:paraId="1D136081" wp14:textId="56F8C3BE">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xml:space="preserve">Smith, K. &amp; Smith, L. (2017) ‘Evaluating the impact of drama-based methods on critical thinking’, </w:t>
      </w:r>
      <w:r w:rsidRPr="593BD85E" w:rsidR="60F40746">
        <w:rPr>
          <w:rFonts w:ascii="Aptos" w:hAnsi="Aptos" w:eastAsia="Aptos" w:cs="Aptos"/>
          <w:b w:val="0"/>
          <w:bCs w:val="0"/>
          <w:i w:val="1"/>
          <w:iCs w:val="1"/>
          <w:caps w:val="0"/>
          <w:smallCaps w:val="0"/>
          <w:noProof w:val="0"/>
          <w:color w:val="000000" w:themeColor="text1" w:themeTint="FF" w:themeShade="FF"/>
          <w:sz w:val="24"/>
          <w:szCs w:val="24"/>
          <w:lang w:val="en-US"/>
        </w:rPr>
        <w:t>Teaching in Higher Education</w:t>
      </w: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22(7), pp. 798–811.</w:t>
      </w:r>
    </w:p>
    <w:p xmlns:wp14="http://schemas.microsoft.com/office/word/2010/wordml" w:rsidP="593BD85E" wp14:paraId="5824BFC9" wp14:textId="5A5339E0">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xml:space="preserve">Trowler, V. (2010) </w:t>
      </w:r>
      <w:r w:rsidRPr="593BD85E" w:rsidR="60F40746">
        <w:rPr>
          <w:rFonts w:ascii="Aptos" w:hAnsi="Aptos" w:eastAsia="Aptos" w:cs="Aptos"/>
          <w:b w:val="0"/>
          <w:bCs w:val="0"/>
          <w:i w:val="1"/>
          <w:iCs w:val="1"/>
          <w:caps w:val="0"/>
          <w:smallCaps w:val="0"/>
          <w:noProof w:val="0"/>
          <w:color w:val="000000" w:themeColor="text1" w:themeTint="FF" w:themeShade="FF"/>
          <w:sz w:val="24"/>
          <w:szCs w:val="24"/>
          <w:lang w:val="en-US"/>
        </w:rPr>
        <w:t>Student Engagement Literature Review</w:t>
      </w: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York: The Higher Education Academy.</w:t>
      </w:r>
    </w:p>
    <w:p xmlns:wp14="http://schemas.microsoft.com/office/word/2010/wordml" w:rsidP="593BD85E" wp14:paraId="5CDCBD8A" wp14:textId="6BCCA12E">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xml:space="preserve">Vygotsky, L. (1978) </w:t>
      </w:r>
      <w:r w:rsidRPr="593BD85E" w:rsidR="60F40746">
        <w:rPr>
          <w:rFonts w:ascii="Aptos" w:hAnsi="Aptos" w:eastAsia="Aptos" w:cs="Aptos"/>
          <w:b w:val="0"/>
          <w:bCs w:val="0"/>
          <w:i w:val="1"/>
          <w:iCs w:val="1"/>
          <w:caps w:val="0"/>
          <w:smallCaps w:val="0"/>
          <w:noProof w:val="0"/>
          <w:color w:val="000000" w:themeColor="text1" w:themeTint="FF" w:themeShade="FF"/>
          <w:sz w:val="24"/>
          <w:szCs w:val="24"/>
          <w:lang w:val="en-US"/>
        </w:rPr>
        <w:t>Mind in Society: The Development of Higher Psychological Processes</w:t>
      </w: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Cambridge, MA: Harvard University Press.</w:t>
      </w:r>
    </w:p>
    <w:p xmlns:wp14="http://schemas.microsoft.com/office/word/2010/wordml" w:rsidP="593BD85E" wp14:paraId="3E50E3AD" wp14:textId="0EC35C55">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xml:space="preserve">Warren, S. &amp; Davies, B. (2013) ‘Drama Pedagogy in Post‑Compulsory Education’, </w:t>
      </w:r>
      <w:r w:rsidRPr="593BD85E" w:rsidR="60F40746">
        <w:rPr>
          <w:rFonts w:ascii="Aptos" w:hAnsi="Aptos" w:eastAsia="Aptos" w:cs="Aptos"/>
          <w:b w:val="0"/>
          <w:bCs w:val="0"/>
          <w:i w:val="1"/>
          <w:iCs w:val="1"/>
          <w:caps w:val="0"/>
          <w:smallCaps w:val="0"/>
          <w:noProof w:val="0"/>
          <w:color w:val="000000" w:themeColor="text1" w:themeTint="FF" w:themeShade="FF"/>
          <w:sz w:val="24"/>
          <w:szCs w:val="24"/>
          <w:lang w:val="en-US"/>
        </w:rPr>
        <w:t>Research in Drama Education</w:t>
      </w: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18(1), pp. 87–102.</w:t>
      </w:r>
    </w:p>
    <w:p xmlns:wp14="http://schemas.microsoft.com/office/word/2010/wordml" w:rsidP="593BD85E" wp14:paraId="0F7A5BCD" wp14:textId="1363F7B3">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xml:space="preserve">Winston, J. (2000) </w:t>
      </w:r>
      <w:r w:rsidRPr="593BD85E" w:rsidR="60F40746">
        <w:rPr>
          <w:rFonts w:ascii="Aptos" w:hAnsi="Aptos" w:eastAsia="Aptos" w:cs="Aptos"/>
          <w:b w:val="0"/>
          <w:bCs w:val="0"/>
          <w:i w:val="1"/>
          <w:iCs w:val="1"/>
          <w:caps w:val="0"/>
          <w:smallCaps w:val="0"/>
          <w:noProof w:val="0"/>
          <w:color w:val="000000" w:themeColor="text1" w:themeTint="FF" w:themeShade="FF"/>
          <w:sz w:val="24"/>
          <w:szCs w:val="24"/>
          <w:lang w:val="en-US"/>
        </w:rPr>
        <w:t>Drama, Culture and Empowerment: The Idea of Theatre in Education</w:t>
      </w:r>
      <w:r w:rsidRPr="593BD85E" w:rsidR="60F40746">
        <w:rPr>
          <w:rFonts w:ascii="Aptos" w:hAnsi="Aptos" w:eastAsia="Aptos" w:cs="Aptos"/>
          <w:b w:val="0"/>
          <w:bCs w:val="0"/>
          <w:i w:val="0"/>
          <w:iCs w:val="0"/>
          <w:caps w:val="0"/>
          <w:smallCaps w:val="0"/>
          <w:noProof w:val="0"/>
          <w:color w:val="000000" w:themeColor="text1" w:themeTint="FF" w:themeShade="FF"/>
          <w:sz w:val="24"/>
          <w:szCs w:val="24"/>
          <w:lang w:val="en-US"/>
        </w:rPr>
        <w:t>. London: Cassell.</w:t>
      </w:r>
    </w:p>
    <w:p xmlns:wp14="http://schemas.microsoft.com/office/word/2010/wordml" wp14:paraId="5E5787A5" wp14:textId="3A595673"/>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37966D"/>
    <w:rsid w:val="1C37966D"/>
    <w:rsid w:val="3774FAA9"/>
    <w:rsid w:val="593BD85E"/>
    <w:rsid w:val="60F40746"/>
    <w:rsid w:val="6AC1D15B"/>
    <w:rsid w:val="74EB25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37966D"/>
  <w15:chartTrackingRefBased/>
  <w15:docId w15:val="{3EA7DD60-4AF6-49B2-BF58-D2D3596D75A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93BD85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593BD85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49933338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aimee jenkins</dc:creator>
  <keywords/>
  <dc:description/>
  <lastModifiedBy>aimee jenkins</lastModifiedBy>
  <revision>2</revision>
  <dcterms:created xsi:type="dcterms:W3CDTF">2026-03-23T13:35:16.1337057Z</dcterms:created>
  <dcterms:modified xsi:type="dcterms:W3CDTF">2026-03-23T13:38:43.9372727Z</dcterms:modified>
</coreProperties>
</file>