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D3BAA" w14:textId="77777777" w:rsidR="00693FAF" w:rsidRPr="00693FAF" w:rsidRDefault="00693FAF" w:rsidP="00136D03">
      <w:pPr>
        <w:spacing w:line="360" w:lineRule="auto"/>
        <w:jc w:val="center"/>
        <w:rPr>
          <w:rFonts w:asciiTheme="minorBidi" w:hAnsiTheme="minorBidi"/>
          <w:sz w:val="28"/>
          <w:szCs w:val="28"/>
        </w:rPr>
      </w:pPr>
    </w:p>
    <w:p w14:paraId="64B23053" w14:textId="77777777" w:rsidR="000F6FC1" w:rsidRPr="00136D03" w:rsidRDefault="000F6FC1" w:rsidP="00136D03">
      <w:pPr>
        <w:spacing w:line="360" w:lineRule="auto"/>
        <w:ind w:firstLine="720"/>
        <w:jc w:val="center"/>
        <w:rPr>
          <w:rFonts w:ascii="Arial" w:hAnsi="Arial" w:cs="Arial"/>
          <w:sz w:val="22"/>
          <w:szCs w:val="22"/>
        </w:rPr>
      </w:pPr>
      <w:r w:rsidRPr="00136D03">
        <w:rPr>
          <w:rFonts w:ascii="Arial" w:hAnsi="Arial" w:cs="Arial"/>
          <w:b/>
          <w:bCs/>
          <w:sz w:val="22"/>
          <w:szCs w:val="22"/>
          <w:lang w:val="en-US"/>
        </w:rPr>
        <w:t>Module Title and Code: BMHP6027 –Integrating Health, Wellbeing, and Sustainable Development in Health and Social Care</w:t>
      </w:r>
    </w:p>
    <w:p w14:paraId="22F4DE42" w14:textId="77777777" w:rsidR="000F6FC1" w:rsidRPr="00136D03" w:rsidRDefault="000F6FC1" w:rsidP="00136D03">
      <w:pPr>
        <w:spacing w:line="360" w:lineRule="auto"/>
        <w:ind w:firstLine="720"/>
        <w:jc w:val="center"/>
        <w:rPr>
          <w:rFonts w:ascii="Arial" w:hAnsi="Arial" w:cs="Arial"/>
          <w:sz w:val="22"/>
          <w:szCs w:val="22"/>
        </w:rPr>
      </w:pPr>
      <w:r w:rsidRPr="00136D03">
        <w:rPr>
          <w:rFonts w:ascii="Arial" w:hAnsi="Arial" w:cs="Arial"/>
          <w:b/>
          <w:bCs/>
          <w:sz w:val="22"/>
          <w:szCs w:val="22"/>
          <w:lang w:val="en-US"/>
        </w:rPr>
        <w:t>Student name/ student number: Paul Amoh / 2246297</w:t>
      </w:r>
    </w:p>
    <w:p w14:paraId="1059633C" w14:textId="77777777" w:rsidR="0084653E" w:rsidRDefault="0084653E" w:rsidP="00693FAF">
      <w:pPr>
        <w:spacing w:line="360" w:lineRule="auto"/>
        <w:ind w:firstLine="720"/>
        <w:jc w:val="both"/>
        <w:rPr>
          <w:rFonts w:asciiTheme="minorBidi" w:hAnsiTheme="minorBidi"/>
          <w:sz w:val="28"/>
          <w:szCs w:val="28"/>
        </w:rPr>
      </w:pPr>
    </w:p>
    <w:p w14:paraId="5BFD11AB" w14:textId="77777777" w:rsidR="0084653E" w:rsidRDefault="0084653E" w:rsidP="00693FAF">
      <w:pPr>
        <w:spacing w:line="360" w:lineRule="auto"/>
        <w:ind w:firstLine="720"/>
        <w:jc w:val="both"/>
        <w:rPr>
          <w:rFonts w:asciiTheme="minorBidi" w:hAnsiTheme="minorBidi"/>
          <w:sz w:val="28"/>
          <w:szCs w:val="28"/>
        </w:rPr>
      </w:pPr>
    </w:p>
    <w:p w14:paraId="6F1E5D7B" w14:textId="77777777" w:rsidR="0084653E" w:rsidRDefault="0084653E" w:rsidP="00693FAF">
      <w:pPr>
        <w:spacing w:line="360" w:lineRule="auto"/>
        <w:ind w:firstLine="720"/>
        <w:jc w:val="both"/>
        <w:rPr>
          <w:rFonts w:asciiTheme="minorBidi" w:hAnsiTheme="minorBidi"/>
          <w:sz w:val="28"/>
          <w:szCs w:val="28"/>
        </w:rPr>
      </w:pPr>
    </w:p>
    <w:p w14:paraId="2B261FF5" w14:textId="77777777" w:rsidR="0084653E" w:rsidRPr="00693FAF" w:rsidRDefault="0084653E" w:rsidP="00693FAF">
      <w:pPr>
        <w:spacing w:line="360" w:lineRule="auto"/>
        <w:ind w:firstLine="720"/>
        <w:jc w:val="both"/>
        <w:rPr>
          <w:rFonts w:asciiTheme="minorBidi" w:hAnsiTheme="minorBidi"/>
          <w:sz w:val="28"/>
          <w:szCs w:val="28"/>
        </w:rPr>
      </w:pPr>
    </w:p>
    <w:p w14:paraId="47831E27" w14:textId="77777777" w:rsidR="00BD5371" w:rsidRPr="00111022" w:rsidRDefault="00BD5371" w:rsidP="00111022">
      <w:pPr>
        <w:spacing w:line="360" w:lineRule="auto"/>
        <w:ind w:firstLine="720"/>
        <w:jc w:val="center"/>
        <w:rPr>
          <w:rFonts w:ascii="Arial" w:hAnsi="Arial" w:cs="Arial"/>
          <w:b/>
          <w:bCs/>
          <w:sz w:val="22"/>
          <w:szCs w:val="22"/>
        </w:rPr>
      </w:pPr>
      <w:r w:rsidRPr="00111022">
        <w:rPr>
          <w:rFonts w:ascii="Arial" w:hAnsi="Arial" w:cs="Arial"/>
          <w:b/>
          <w:bCs/>
          <w:sz w:val="22"/>
          <w:szCs w:val="22"/>
        </w:rPr>
        <w:t>The Impact of SDG 3 (Good Health and Wellbeing) and SDG 10 (Reduced Inequalities) on Citizens’ Health and Wellbeing: A Critical Analysis of Global, National, and Local Initiatives</w:t>
      </w:r>
    </w:p>
    <w:p w14:paraId="790E07E6" w14:textId="77777777" w:rsidR="00C55059" w:rsidRDefault="00C55059" w:rsidP="00693FAF">
      <w:pPr>
        <w:spacing w:line="360" w:lineRule="auto"/>
        <w:ind w:firstLine="720"/>
        <w:jc w:val="center"/>
        <w:rPr>
          <w:rFonts w:ascii="Arial" w:hAnsi="Arial" w:cs="Arial"/>
          <w:sz w:val="22"/>
          <w:szCs w:val="22"/>
        </w:rPr>
      </w:pPr>
    </w:p>
    <w:p w14:paraId="6CE9FA43" w14:textId="77777777" w:rsidR="00C55059" w:rsidRPr="002E03B3" w:rsidRDefault="00C55059" w:rsidP="00693FAF">
      <w:pPr>
        <w:spacing w:line="360" w:lineRule="auto"/>
        <w:ind w:firstLine="720"/>
        <w:jc w:val="center"/>
        <w:rPr>
          <w:rFonts w:ascii="Arial" w:hAnsi="Arial" w:cs="Arial"/>
          <w:sz w:val="22"/>
          <w:szCs w:val="22"/>
        </w:rPr>
      </w:pPr>
    </w:p>
    <w:p w14:paraId="2B4D4136" w14:textId="77777777" w:rsidR="00BD5371" w:rsidRPr="002E03B3" w:rsidRDefault="00BD5371" w:rsidP="00693FAF">
      <w:pPr>
        <w:spacing w:line="360" w:lineRule="auto"/>
        <w:ind w:firstLine="720"/>
        <w:jc w:val="both"/>
        <w:rPr>
          <w:rFonts w:ascii="Arial" w:hAnsi="Arial" w:cs="Arial"/>
          <w:sz w:val="22"/>
          <w:szCs w:val="22"/>
        </w:rPr>
      </w:pPr>
    </w:p>
    <w:p w14:paraId="5C3BB8DE" w14:textId="77777777" w:rsidR="00BD5371" w:rsidRPr="002E03B3" w:rsidRDefault="00BD5371" w:rsidP="00693FAF">
      <w:pPr>
        <w:spacing w:after="160" w:line="360" w:lineRule="auto"/>
        <w:ind w:firstLine="720"/>
        <w:rPr>
          <w:rFonts w:ascii="Arial" w:hAnsi="Arial" w:cs="Arial"/>
          <w:sz w:val="22"/>
          <w:szCs w:val="22"/>
        </w:rPr>
      </w:pPr>
      <w:r w:rsidRPr="002E03B3">
        <w:rPr>
          <w:rFonts w:ascii="Arial" w:hAnsi="Arial" w:cs="Arial"/>
          <w:sz w:val="22"/>
          <w:szCs w:val="22"/>
        </w:rPr>
        <w:br w:type="page"/>
      </w:r>
    </w:p>
    <w:sdt>
      <w:sdtPr>
        <w:rPr>
          <w:rFonts w:ascii="Arial" w:eastAsiaTheme="minorEastAsia" w:hAnsi="Arial" w:cs="Arial"/>
          <w:b w:val="0"/>
          <w:color w:val="auto"/>
          <w:sz w:val="22"/>
          <w:szCs w:val="22"/>
        </w:rPr>
        <w:id w:val="1789399184"/>
        <w:docPartObj>
          <w:docPartGallery w:val="Table of Contents"/>
          <w:docPartUnique/>
        </w:docPartObj>
      </w:sdtPr>
      <w:sdtEndPr>
        <w:rPr>
          <w:bCs/>
          <w:noProof/>
        </w:rPr>
      </w:sdtEndPr>
      <w:sdtContent>
        <w:p w14:paraId="66A04C6C" w14:textId="5FD624F4" w:rsidR="000558A6" w:rsidRPr="002E03B3" w:rsidRDefault="000558A6" w:rsidP="000558A6">
          <w:pPr>
            <w:pStyle w:val="TOCHeading"/>
            <w:spacing w:line="360" w:lineRule="auto"/>
            <w:jc w:val="center"/>
            <w:rPr>
              <w:rFonts w:ascii="Arial" w:hAnsi="Arial" w:cs="Arial"/>
              <w:sz w:val="22"/>
              <w:szCs w:val="22"/>
            </w:rPr>
          </w:pPr>
          <w:r w:rsidRPr="002E03B3">
            <w:rPr>
              <w:rFonts w:ascii="Arial" w:hAnsi="Arial" w:cs="Arial"/>
              <w:sz w:val="22"/>
              <w:szCs w:val="22"/>
            </w:rPr>
            <w:t>Contents</w:t>
          </w:r>
        </w:p>
        <w:p w14:paraId="5301F912" w14:textId="1D0D24F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r w:rsidRPr="002E03B3">
            <w:rPr>
              <w:rFonts w:ascii="Arial" w:hAnsi="Arial" w:cs="Arial"/>
              <w:sz w:val="22"/>
              <w:szCs w:val="22"/>
            </w:rPr>
            <w:fldChar w:fldCharType="begin"/>
          </w:r>
          <w:r w:rsidRPr="002E03B3">
            <w:rPr>
              <w:rFonts w:ascii="Arial" w:hAnsi="Arial" w:cs="Arial"/>
              <w:sz w:val="22"/>
              <w:szCs w:val="22"/>
            </w:rPr>
            <w:instrText xml:space="preserve"> TOC \o "1-3" \h \z \u </w:instrText>
          </w:r>
          <w:r w:rsidRPr="002E03B3">
            <w:rPr>
              <w:rFonts w:ascii="Arial" w:hAnsi="Arial" w:cs="Arial"/>
              <w:sz w:val="22"/>
              <w:szCs w:val="22"/>
            </w:rPr>
            <w:fldChar w:fldCharType="separate"/>
          </w:r>
          <w:hyperlink w:anchor="_Toc223813936" w:history="1">
            <w:r w:rsidRPr="002E03B3">
              <w:rPr>
                <w:rStyle w:val="Hyperlink"/>
                <w:rFonts w:ascii="Arial" w:hAnsi="Arial" w:cs="Arial"/>
                <w:noProof/>
                <w:sz w:val="22"/>
                <w:szCs w:val="22"/>
              </w:rPr>
              <w:t>1.</w:t>
            </w:r>
            <w:r w:rsidRPr="002E03B3">
              <w:rPr>
                <w:rFonts w:ascii="Arial" w:hAnsi="Arial" w:cs="Arial"/>
                <w:noProof/>
                <w:sz w:val="22"/>
                <w:szCs w:val="22"/>
              </w:rPr>
              <w:tab/>
            </w:r>
            <w:r w:rsidRPr="002E03B3">
              <w:rPr>
                <w:rStyle w:val="Hyperlink"/>
                <w:rFonts w:ascii="Arial" w:hAnsi="Arial" w:cs="Arial"/>
                <w:noProof/>
                <w:sz w:val="22"/>
                <w:szCs w:val="22"/>
              </w:rPr>
              <w:t>Introduction</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_Toc223813936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3</w:t>
            </w:r>
            <w:r w:rsidRPr="002E03B3">
              <w:rPr>
                <w:rFonts w:ascii="Arial" w:hAnsi="Arial" w:cs="Arial"/>
                <w:noProof/>
                <w:webHidden/>
                <w:sz w:val="22"/>
                <w:szCs w:val="22"/>
              </w:rPr>
              <w:fldChar w:fldCharType="end"/>
            </w:r>
          </w:hyperlink>
        </w:p>
        <w:p w14:paraId="0DBCFA43" w14:textId="3526532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37" w:history="1">
            <w:r w:rsidRPr="002E03B3">
              <w:rPr>
                <w:rStyle w:val="Hyperlink"/>
                <w:rFonts w:ascii="Arial" w:hAnsi="Arial" w:cs="Arial"/>
                <w:noProof/>
                <w:sz w:val="22"/>
                <w:szCs w:val="22"/>
              </w:rPr>
              <w:t>2.</w:t>
            </w:r>
            <w:r w:rsidRPr="002E03B3">
              <w:rPr>
                <w:rFonts w:ascii="Arial" w:hAnsi="Arial" w:cs="Arial"/>
                <w:noProof/>
                <w:sz w:val="22"/>
                <w:szCs w:val="22"/>
              </w:rPr>
              <w:tab/>
            </w:r>
            <w:r w:rsidRPr="002E03B3">
              <w:rPr>
                <w:rStyle w:val="Hyperlink"/>
                <w:rFonts w:ascii="Arial" w:hAnsi="Arial" w:cs="Arial"/>
                <w:noProof/>
                <w:sz w:val="22"/>
                <w:szCs w:val="22"/>
              </w:rPr>
              <w:t>Literature Review and Theoretical Background</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_Toc223813937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3</w:t>
            </w:r>
            <w:r w:rsidRPr="002E03B3">
              <w:rPr>
                <w:rFonts w:ascii="Arial" w:hAnsi="Arial" w:cs="Arial"/>
                <w:noProof/>
                <w:webHidden/>
                <w:sz w:val="22"/>
                <w:szCs w:val="22"/>
              </w:rPr>
              <w:fldChar w:fldCharType="end"/>
            </w:r>
          </w:hyperlink>
        </w:p>
        <w:p w14:paraId="25D9A433" w14:textId="1BF7DC4D"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38" w:history="1">
            <w:r w:rsidRPr="002E03B3">
              <w:rPr>
                <w:rStyle w:val="Hyperlink"/>
                <w:rFonts w:ascii="Arial" w:hAnsi="Arial" w:cs="Arial"/>
                <w:noProof/>
                <w:sz w:val="22"/>
                <w:szCs w:val="22"/>
              </w:rPr>
              <w:t>3.</w:t>
            </w:r>
            <w:r w:rsidRPr="002E03B3">
              <w:rPr>
                <w:rFonts w:ascii="Arial" w:hAnsi="Arial" w:cs="Arial"/>
                <w:noProof/>
                <w:sz w:val="22"/>
                <w:szCs w:val="22"/>
              </w:rPr>
              <w:tab/>
            </w:r>
            <w:r w:rsidRPr="002E03B3">
              <w:rPr>
                <w:rStyle w:val="Hyperlink"/>
                <w:rFonts w:ascii="Arial" w:hAnsi="Arial" w:cs="Arial"/>
                <w:noProof/>
                <w:sz w:val="22"/>
                <w:szCs w:val="22"/>
              </w:rPr>
              <w:t>Analysis of SDGs Impact on Health and Wellbeing</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_Toc223813938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4</w:t>
            </w:r>
            <w:r w:rsidRPr="002E03B3">
              <w:rPr>
                <w:rFonts w:ascii="Arial" w:hAnsi="Arial" w:cs="Arial"/>
                <w:noProof/>
                <w:webHidden/>
                <w:sz w:val="22"/>
                <w:szCs w:val="22"/>
              </w:rPr>
              <w:fldChar w:fldCharType="end"/>
            </w:r>
          </w:hyperlink>
        </w:p>
        <w:p w14:paraId="297CF36C" w14:textId="249FDFD4" w:rsidR="000558A6" w:rsidRPr="002E03B3" w:rsidRDefault="000558A6" w:rsidP="000558A6">
          <w:pPr>
            <w:pStyle w:val="TOC2"/>
            <w:tabs>
              <w:tab w:val="right" w:leader="dot" w:pos="9350"/>
            </w:tabs>
            <w:spacing w:line="360" w:lineRule="auto"/>
            <w:rPr>
              <w:rFonts w:ascii="Arial" w:hAnsi="Arial" w:cs="Arial"/>
              <w:noProof/>
              <w:sz w:val="22"/>
              <w:szCs w:val="22"/>
            </w:rPr>
          </w:pPr>
          <w:hyperlink w:anchor="_Toc223813939" w:history="1">
            <w:r w:rsidRPr="002E03B3">
              <w:rPr>
                <w:rStyle w:val="Hyperlink"/>
                <w:rFonts w:ascii="Arial" w:hAnsi="Arial" w:cs="Arial"/>
                <w:noProof/>
                <w:sz w:val="22"/>
                <w:szCs w:val="22"/>
              </w:rPr>
              <w:t>3.1 SDG 3: Good Health and Wellbeing</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_Toc223813939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4</w:t>
            </w:r>
            <w:r w:rsidRPr="002E03B3">
              <w:rPr>
                <w:rFonts w:ascii="Arial" w:hAnsi="Arial" w:cs="Arial"/>
                <w:noProof/>
                <w:webHidden/>
                <w:sz w:val="22"/>
                <w:szCs w:val="22"/>
              </w:rPr>
              <w:fldChar w:fldCharType="end"/>
            </w:r>
          </w:hyperlink>
        </w:p>
        <w:p w14:paraId="3993473C" w14:textId="413D000B" w:rsidR="000558A6" w:rsidRPr="002E03B3" w:rsidRDefault="000558A6" w:rsidP="000558A6">
          <w:pPr>
            <w:pStyle w:val="TOC2"/>
            <w:tabs>
              <w:tab w:val="left" w:pos="960"/>
              <w:tab w:val="right" w:leader="dot" w:pos="9350"/>
            </w:tabs>
            <w:spacing w:line="360" w:lineRule="auto"/>
            <w:rPr>
              <w:rFonts w:ascii="Arial" w:hAnsi="Arial" w:cs="Arial"/>
              <w:noProof/>
              <w:sz w:val="22"/>
              <w:szCs w:val="22"/>
            </w:rPr>
          </w:pPr>
          <w:hyperlink w:anchor="_Toc223813940" w:history="1">
            <w:r w:rsidRPr="002E03B3">
              <w:rPr>
                <w:rStyle w:val="Hyperlink"/>
                <w:rFonts w:ascii="Arial" w:hAnsi="Arial" w:cs="Arial"/>
                <w:noProof/>
                <w:sz w:val="22"/>
                <w:szCs w:val="22"/>
              </w:rPr>
              <w:t>3.2</w:t>
            </w:r>
            <w:r w:rsidRPr="002E03B3">
              <w:rPr>
                <w:rFonts w:ascii="Arial" w:hAnsi="Arial" w:cs="Arial"/>
                <w:noProof/>
                <w:sz w:val="22"/>
                <w:szCs w:val="22"/>
              </w:rPr>
              <w:tab/>
            </w:r>
            <w:r w:rsidRPr="002E03B3">
              <w:rPr>
                <w:rStyle w:val="Hyperlink"/>
                <w:rFonts w:ascii="Arial" w:hAnsi="Arial" w:cs="Arial"/>
                <w:noProof/>
                <w:sz w:val="22"/>
                <w:szCs w:val="22"/>
              </w:rPr>
              <w:t>SDG 10: Reduced Inequalities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_Toc223813940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5</w:t>
            </w:r>
            <w:r w:rsidRPr="002E03B3">
              <w:rPr>
                <w:rFonts w:ascii="Arial" w:hAnsi="Arial" w:cs="Arial"/>
                <w:noProof/>
                <w:webHidden/>
                <w:sz w:val="22"/>
                <w:szCs w:val="22"/>
              </w:rPr>
              <w:fldChar w:fldCharType="end"/>
            </w:r>
          </w:hyperlink>
        </w:p>
        <w:p w14:paraId="622089D5" w14:textId="5A916AFF"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41" w:history="1">
            <w:r w:rsidRPr="002E03B3">
              <w:rPr>
                <w:rStyle w:val="Hyperlink"/>
                <w:rFonts w:ascii="Arial" w:hAnsi="Arial" w:cs="Arial"/>
                <w:noProof/>
                <w:sz w:val="22"/>
                <w:szCs w:val="22"/>
              </w:rPr>
              <w:t>4.</w:t>
            </w:r>
            <w:r w:rsidRPr="002E03B3">
              <w:rPr>
                <w:rFonts w:ascii="Arial" w:hAnsi="Arial" w:cs="Arial"/>
                <w:noProof/>
                <w:sz w:val="22"/>
                <w:szCs w:val="22"/>
              </w:rPr>
              <w:tab/>
            </w:r>
            <w:r w:rsidRPr="002E03B3">
              <w:rPr>
                <w:rStyle w:val="Hyperlink"/>
                <w:rFonts w:ascii="Arial" w:hAnsi="Arial" w:cs="Arial"/>
                <w:noProof/>
                <w:sz w:val="22"/>
                <w:szCs w:val="22"/>
              </w:rPr>
              <w:t>Evaluation of National and Local Initiatives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_Toc223813941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6</w:t>
            </w:r>
            <w:r w:rsidRPr="002E03B3">
              <w:rPr>
                <w:rFonts w:ascii="Arial" w:hAnsi="Arial" w:cs="Arial"/>
                <w:noProof/>
                <w:webHidden/>
                <w:sz w:val="22"/>
                <w:szCs w:val="22"/>
              </w:rPr>
              <w:fldChar w:fldCharType="end"/>
            </w:r>
          </w:hyperlink>
        </w:p>
        <w:p w14:paraId="1554A3B2" w14:textId="1FB655C5" w:rsidR="000558A6" w:rsidRPr="002E03B3" w:rsidRDefault="000558A6" w:rsidP="000558A6">
          <w:pPr>
            <w:pStyle w:val="TOC1"/>
            <w:tabs>
              <w:tab w:val="left" w:pos="480"/>
              <w:tab w:val="right" w:leader="dot" w:pos="9350"/>
            </w:tabs>
            <w:spacing w:line="360" w:lineRule="auto"/>
            <w:rPr>
              <w:rFonts w:ascii="Arial" w:hAnsi="Arial" w:cs="Arial"/>
              <w:noProof/>
              <w:sz w:val="22"/>
              <w:szCs w:val="22"/>
            </w:rPr>
          </w:pPr>
          <w:hyperlink w:anchor="_Toc223813942" w:history="1">
            <w:r w:rsidRPr="002E03B3">
              <w:rPr>
                <w:rStyle w:val="Hyperlink"/>
                <w:rFonts w:ascii="Arial" w:hAnsi="Arial" w:cs="Arial"/>
                <w:noProof/>
                <w:sz w:val="22"/>
                <w:szCs w:val="22"/>
              </w:rPr>
              <w:t>5.</w:t>
            </w:r>
            <w:r w:rsidRPr="002E03B3">
              <w:rPr>
                <w:rFonts w:ascii="Arial" w:hAnsi="Arial" w:cs="Arial"/>
                <w:noProof/>
                <w:sz w:val="22"/>
                <w:szCs w:val="22"/>
              </w:rPr>
              <w:tab/>
            </w:r>
            <w:r w:rsidRPr="002E03B3">
              <w:rPr>
                <w:rStyle w:val="Hyperlink"/>
                <w:rFonts w:ascii="Arial" w:hAnsi="Arial" w:cs="Arial"/>
                <w:noProof/>
                <w:sz w:val="22"/>
                <w:szCs w:val="22"/>
              </w:rPr>
              <w:t>Recommendations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_Toc223813942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7</w:t>
            </w:r>
            <w:r w:rsidRPr="002E03B3">
              <w:rPr>
                <w:rFonts w:ascii="Arial" w:hAnsi="Arial" w:cs="Arial"/>
                <w:noProof/>
                <w:webHidden/>
                <w:sz w:val="22"/>
                <w:szCs w:val="22"/>
              </w:rPr>
              <w:fldChar w:fldCharType="end"/>
            </w:r>
          </w:hyperlink>
        </w:p>
        <w:p w14:paraId="6B18AC0B" w14:textId="6C421189" w:rsidR="000558A6" w:rsidRPr="002E03B3" w:rsidRDefault="000558A6" w:rsidP="000558A6">
          <w:pPr>
            <w:pStyle w:val="TOC1"/>
            <w:tabs>
              <w:tab w:val="right" w:leader="dot" w:pos="9350"/>
            </w:tabs>
            <w:spacing w:line="360" w:lineRule="auto"/>
            <w:rPr>
              <w:rFonts w:ascii="Arial" w:hAnsi="Arial" w:cs="Arial"/>
              <w:noProof/>
              <w:sz w:val="22"/>
              <w:szCs w:val="22"/>
            </w:rPr>
          </w:pPr>
          <w:hyperlink w:anchor="_Toc223813943" w:history="1">
            <w:r w:rsidRPr="002E03B3">
              <w:rPr>
                <w:rStyle w:val="Hyperlink"/>
                <w:rFonts w:ascii="Arial" w:hAnsi="Arial" w:cs="Arial"/>
                <w:noProof/>
                <w:sz w:val="22"/>
                <w:szCs w:val="22"/>
              </w:rPr>
              <w:t>Conclusion</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_Toc223813943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7</w:t>
            </w:r>
            <w:r w:rsidRPr="002E03B3">
              <w:rPr>
                <w:rFonts w:ascii="Arial" w:hAnsi="Arial" w:cs="Arial"/>
                <w:noProof/>
                <w:webHidden/>
                <w:sz w:val="22"/>
                <w:szCs w:val="22"/>
              </w:rPr>
              <w:fldChar w:fldCharType="end"/>
            </w:r>
          </w:hyperlink>
          <w:r w:rsidR="00567FAE">
            <w:rPr>
              <w:rFonts w:ascii="Arial" w:hAnsi="Arial" w:cs="Arial"/>
              <w:sz w:val="22"/>
              <w:szCs w:val="22"/>
            </w:rPr>
            <w:t>-8</w:t>
          </w:r>
        </w:p>
        <w:p w14:paraId="2C8D0DAB" w14:textId="64EBE7A8" w:rsidR="000558A6" w:rsidRPr="002E03B3" w:rsidRDefault="000558A6" w:rsidP="000558A6">
          <w:pPr>
            <w:pStyle w:val="TOC1"/>
            <w:tabs>
              <w:tab w:val="right" w:leader="dot" w:pos="9350"/>
            </w:tabs>
            <w:spacing w:line="360" w:lineRule="auto"/>
            <w:rPr>
              <w:rFonts w:ascii="Arial" w:hAnsi="Arial" w:cs="Arial"/>
              <w:noProof/>
              <w:sz w:val="22"/>
              <w:szCs w:val="22"/>
            </w:rPr>
          </w:pPr>
          <w:hyperlink w:anchor="_Toc223813944" w:history="1">
            <w:r w:rsidRPr="002E03B3">
              <w:rPr>
                <w:rStyle w:val="Hyperlink"/>
                <w:rFonts w:ascii="Arial" w:hAnsi="Arial" w:cs="Arial"/>
                <w:noProof/>
                <w:sz w:val="22"/>
                <w:szCs w:val="22"/>
              </w:rPr>
              <w:t>References</w:t>
            </w:r>
            <w:r w:rsidRPr="002E03B3">
              <w:rPr>
                <w:rFonts w:ascii="Arial" w:hAnsi="Arial" w:cs="Arial"/>
                <w:noProof/>
                <w:webHidden/>
                <w:sz w:val="22"/>
                <w:szCs w:val="22"/>
              </w:rPr>
              <w:tab/>
            </w:r>
            <w:r w:rsidRPr="002E03B3">
              <w:rPr>
                <w:rFonts w:ascii="Arial" w:hAnsi="Arial" w:cs="Arial"/>
                <w:noProof/>
                <w:webHidden/>
                <w:sz w:val="22"/>
                <w:szCs w:val="22"/>
              </w:rPr>
              <w:fldChar w:fldCharType="begin"/>
            </w:r>
            <w:r w:rsidRPr="002E03B3">
              <w:rPr>
                <w:rFonts w:ascii="Arial" w:hAnsi="Arial" w:cs="Arial"/>
                <w:noProof/>
                <w:webHidden/>
                <w:sz w:val="22"/>
                <w:szCs w:val="22"/>
              </w:rPr>
              <w:instrText xml:space="preserve"> PAGEREF _Toc223813944 \h </w:instrText>
            </w:r>
            <w:r w:rsidRPr="002E03B3">
              <w:rPr>
                <w:rFonts w:ascii="Arial" w:hAnsi="Arial" w:cs="Arial"/>
                <w:noProof/>
                <w:webHidden/>
                <w:sz w:val="22"/>
                <w:szCs w:val="22"/>
              </w:rPr>
            </w:r>
            <w:r w:rsidRPr="002E03B3">
              <w:rPr>
                <w:rFonts w:ascii="Arial" w:hAnsi="Arial" w:cs="Arial"/>
                <w:noProof/>
                <w:webHidden/>
                <w:sz w:val="22"/>
                <w:szCs w:val="22"/>
              </w:rPr>
              <w:fldChar w:fldCharType="separate"/>
            </w:r>
            <w:r w:rsidRPr="002E03B3">
              <w:rPr>
                <w:rFonts w:ascii="Arial" w:hAnsi="Arial" w:cs="Arial"/>
                <w:noProof/>
                <w:webHidden/>
                <w:sz w:val="22"/>
                <w:szCs w:val="22"/>
              </w:rPr>
              <w:t>9</w:t>
            </w:r>
            <w:r w:rsidRPr="002E03B3">
              <w:rPr>
                <w:rFonts w:ascii="Arial" w:hAnsi="Arial" w:cs="Arial"/>
                <w:noProof/>
                <w:webHidden/>
                <w:sz w:val="22"/>
                <w:szCs w:val="22"/>
              </w:rPr>
              <w:fldChar w:fldCharType="end"/>
            </w:r>
          </w:hyperlink>
        </w:p>
        <w:p w14:paraId="2EA0A96C" w14:textId="49230726" w:rsidR="000558A6" w:rsidRPr="002E03B3" w:rsidRDefault="000558A6" w:rsidP="000558A6">
          <w:pPr>
            <w:spacing w:line="360" w:lineRule="auto"/>
            <w:rPr>
              <w:rFonts w:ascii="Arial" w:hAnsi="Arial" w:cs="Arial"/>
              <w:sz w:val="22"/>
              <w:szCs w:val="22"/>
            </w:rPr>
          </w:pPr>
          <w:r w:rsidRPr="002E03B3">
            <w:rPr>
              <w:rFonts w:ascii="Arial" w:hAnsi="Arial" w:cs="Arial"/>
              <w:b/>
              <w:bCs/>
              <w:noProof/>
              <w:sz w:val="22"/>
              <w:szCs w:val="22"/>
            </w:rPr>
            <w:fldChar w:fldCharType="end"/>
          </w:r>
        </w:p>
      </w:sdtContent>
    </w:sdt>
    <w:p w14:paraId="0A89202A" w14:textId="77777777" w:rsidR="000558A6" w:rsidRPr="002E03B3" w:rsidRDefault="000558A6" w:rsidP="000558A6">
      <w:pPr>
        <w:spacing w:line="360" w:lineRule="auto"/>
        <w:rPr>
          <w:rFonts w:ascii="Arial" w:eastAsiaTheme="majorEastAsia" w:hAnsi="Arial" w:cs="Arial"/>
          <w:b/>
          <w:color w:val="2F5496" w:themeColor="accent1" w:themeShade="BF"/>
          <w:sz w:val="22"/>
          <w:szCs w:val="22"/>
        </w:rPr>
      </w:pPr>
      <w:r w:rsidRPr="002E03B3">
        <w:rPr>
          <w:rFonts w:ascii="Arial" w:hAnsi="Arial" w:cs="Arial"/>
          <w:sz w:val="22"/>
          <w:szCs w:val="22"/>
        </w:rPr>
        <w:br w:type="page"/>
      </w:r>
    </w:p>
    <w:p w14:paraId="0CE93011" w14:textId="267C5301" w:rsidR="00BD5371" w:rsidRPr="002E03B3" w:rsidRDefault="00BD5371" w:rsidP="00693FAF">
      <w:pPr>
        <w:pStyle w:val="Heading1"/>
        <w:numPr>
          <w:ilvl w:val="0"/>
          <w:numId w:val="5"/>
        </w:numPr>
        <w:spacing w:line="360" w:lineRule="auto"/>
        <w:rPr>
          <w:rFonts w:ascii="Arial" w:hAnsi="Arial" w:cs="Arial"/>
          <w:sz w:val="22"/>
          <w:szCs w:val="22"/>
        </w:rPr>
      </w:pPr>
      <w:bookmarkStart w:id="0" w:name="_Toc223813936"/>
      <w:r w:rsidRPr="002E03B3">
        <w:rPr>
          <w:rFonts w:ascii="Arial" w:hAnsi="Arial" w:cs="Arial"/>
          <w:sz w:val="22"/>
          <w:szCs w:val="22"/>
        </w:rPr>
        <w:lastRenderedPageBreak/>
        <w:t>Introduction</w:t>
      </w:r>
      <w:bookmarkEnd w:id="0"/>
    </w:p>
    <w:p w14:paraId="35F1B384" w14:textId="77777777" w:rsidR="00693FAF" w:rsidRPr="002E03B3" w:rsidRDefault="00693FAF" w:rsidP="00693FAF">
      <w:pPr>
        <w:spacing w:line="360" w:lineRule="auto"/>
        <w:rPr>
          <w:rFonts w:ascii="Arial" w:hAnsi="Arial" w:cs="Arial"/>
          <w:sz w:val="22"/>
          <w:szCs w:val="22"/>
        </w:rPr>
      </w:pPr>
    </w:p>
    <w:p w14:paraId="715ED7FF" w14:textId="6D6EE27E" w:rsidR="000C24E5" w:rsidRPr="002E03B3" w:rsidRDefault="00693FAF" w:rsidP="00693FAF">
      <w:pPr>
        <w:spacing w:line="360" w:lineRule="auto"/>
        <w:ind w:firstLine="720"/>
        <w:jc w:val="both"/>
        <w:rPr>
          <w:rFonts w:ascii="Arial" w:hAnsi="Arial" w:cs="Arial"/>
          <w:sz w:val="22"/>
          <w:szCs w:val="22"/>
        </w:rPr>
      </w:pPr>
      <w:r w:rsidRPr="002E03B3">
        <w:rPr>
          <w:rFonts w:ascii="Arial" w:hAnsi="Arial" w:cs="Arial"/>
          <w:sz w:val="22"/>
          <w:szCs w:val="22"/>
        </w:rPr>
        <w:t xml:space="preserve">Health and well-being are central to sustainable development because they significantly influence social stability, economic productivity, and the overall quality of life. </w:t>
      </w:r>
      <w:r w:rsidR="000C24E5" w:rsidRPr="002E03B3">
        <w:rPr>
          <w:rFonts w:ascii="Arial" w:hAnsi="Arial" w:cs="Arial"/>
          <w:sz w:val="22"/>
          <w:szCs w:val="22"/>
        </w:rPr>
        <w:t>The Sustainable Development Goals (SDGs) of the United Nations is a universal guideline that facilitates fair and sustainable health outcomes. These include SDG 3: Good Health and Wellbeing, which aims to establish health among the population, and SDG 10: Reduced Inequalities, which is used to reduce the income and opportunity disparities as well as access to resources (Bhandari, 2024). The two objectives rely on each other because equitable health outcomes cannot be realized without working on the underlying social and economic inequalities that lead to poor wellbeing (Missoni, 2024).</w:t>
      </w:r>
    </w:p>
    <w:p w14:paraId="58AA6F69" w14:textId="40E49275" w:rsidR="00BD5371"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This report critically analyses how SDG 3 and SDG 10 can impact on the health and wellbeing of citizens at a global, country level (United Kingdom) and a local level (Wales). Moreover, the report measures the effectiveness of key health and wellbeing initiatives, limitations, and evidence-based recommendation to improve the policy. The methodology incorporates theoretical models, empirical studies and applications in a bid to provide a subtle view of the existing issues and possible remedies to them.</w:t>
      </w:r>
    </w:p>
    <w:p w14:paraId="1D80F546" w14:textId="7A4A0134" w:rsidR="00BD5371" w:rsidRPr="002E03B3" w:rsidRDefault="00BD5371" w:rsidP="00693FAF">
      <w:pPr>
        <w:pStyle w:val="Heading1"/>
        <w:numPr>
          <w:ilvl w:val="0"/>
          <w:numId w:val="5"/>
        </w:numPr>
        <w:spacing w:line="360" w:lineRule="auto"/>
        <w:rPr>
          <w:rFonts w:ascii="Arial" w:hAnsi="Arial" w:cs="Arial"/>
          <w:sz w:val="22"/>
          <w:szCs w:val="22"/>
        </w:rPr>
      </w:pPr>
      <w:bookmarkStart w:id="1" w:name="_Toc223813937"/>
      <w:r w:rsidRPr="002E03B3">
        <w:rPr>
          <w:rFonts w:ascii="Arial" w:hAnsi="Arial" w:cs="Arial"/>
          <w:sz w:val="22"/>
          <w:szCs w:val="22"/>
        </w:rPr>
        <w:t>Literature Review and Theoretical Background</w:t>
      </w:r>
      <w:bookmarkEnd w:id="1"/>
    </w:p>
    <w:p w14:paraId="06332448" w14:textId="77777777" w:rsidR="00693FAF" w:rsidRPr="002E03B3" w:rsidRDefault="00693FAF" w:rsidP="00693FAF">
      <w:pPr>
        <w:spacing w:line="360" w:lineRule="auto"/>
        <w:rPr>
          <w:rFonts w:ascii="Arial" w:hAnsi="Arial" w:cs="Arial"/>
          <w:sz w:val="22"/>
          <w:szCs w:val="22"/>
        </w:rPr>
      </w:pPr>
    </w:p>
    <w:p w14:paraId="1E74529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Health is a multidimensional aspect that involves physical, mental, and social health and not simply the lack of a disease (Gohar Mahmood et al., 2025). The social determinants of health model emphasizes that biomedical factors are not the only ones influencing health outcomes, but education, employment, housing, and social equity are also determinants. Population health can be improved only to some degree by structural inequalities such as income differences and unequal access to healthcare, which emphasizes the necessity of the policy aiming to assist the population at the systemic level, not only concentrating on the treatment of the disease (Van Den Berg et al., 2024).</w:t>
      </w:r>
    </w:p>
    <w:p w14:paraId="5A91E668" w14:textId="1436C443"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It is the sustainable development that offers a </w:t>
      </w:r>
      <w:r w:rsidR="00693FAF" w:rsidRPr="002E03B3">
        <w:rPr>
          <w:rFonts w:ascii="Arial" w:hAnsi="Arial" w:cs="Arial"/>
          <w:sz w:val="22"/>
          <w:szCs w:val="22"/>
        </w:rPr>
        <w:t>perspective</w:t>
      </w:r>
      <w:r w:rsidRPr="002E03B3">
        <w:rPr>
          <w:rFonts w:ascii="Arial" w:hAnsi="Arial" w:cs="Arial"/>
          <w:sz w:val="22"/>
          <w:szCs w:val="22"/>
        </w:rPr>
        <w:t xml:space="preserve"> through which health can be evaluated in terms of social and economic systems. Sustainability, according to Brundtland Report, means that the current and future generations are not compromised because of the current needs. SDGs implement this principle by providing the world with the standards of how health, wellbeing, and equity can be incorporated into the state policy (Mestdagh, 2024). More </w:t>
      </w:r>
      <w:r w:rsidRPr="002E03B3">
        <w:rPr>
          <w:rFonts w:ascii="Arial" w:hAnsi="Arial" w:cs="Arial"/>
          <w:sz w:val="22"/>
          <w:szCs w:val="22"/>
        </w:rPr>
        <w:lastRenderedPageBreak/>
        <w:t>importantly, the literature observes that although SDGs offer normative leadership, its application is highly varied, with national policies tending to implement indicators that are quantifiable with ease such as mortality rates, rather than structural changes that can influence social determinants (Mazzi, 2025).</w:t>
      </w:r>
    </w:p>
    <w:p w14:paraId="10DCC0D2" w14:textId="0D92AE16" w:rsidR="00BD5371"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The health equity framework also highlights that the difference in health is not predetermined but depends on the power, resources, and opportunities distribution (Amri et al., 2024). The application of this framework shows that health outcome-focused initiatives should be able to handle inequalities </w:t>
      </w:r>
      <w:proofErr w:type="gramStart"/>
      <w:r w:rsidRPr="002E03B3">
        <w:rPr>
          <w:rFonts w:ascii="Arial" w:hAnsi="Arial" w:cs="Arial"/>
          <w:sz w:val="22"/>
          <w:szCs w:val="22"/>
        </w:rPr>
        <w:t>so as to</w:t>
      </w:r>
      <w:proofErr w:type="gramEnd"/>
      <w:r w:rsidRPr="002E03B3">
        <w:rPr>
          <w:rFonts w:ascii="Arial" w:hAnsi="Arial" w:cs="Arial"/>
          <w:sz w:val="22"/>
          <w:szCs w:val="22"/>
        </w:rPr>
        <w:t xml:space="preserve"> realize substantive changes in wellbeing. The above theoretical frameworks demonstrate that a multi-level and evidence-based methodology to the assessment of health and wellbeing policies is a requisite.</w:t>
      </w:r>
    </w:p>
    <w:p w14:paraId="7FDDFCD8" w14:textId="751F9905" w:rsidR="00BD5371" w:rsidRPr="002E03B3" w:rsidRDefault="00BD5371" w:rsidP="00693FAF">
      <w:pPr>
        <w:pStyle w:val="Heading1"/>
        <w:numPr>
          <w:ilvl w:val="0"/>
          <w:numId w:val="5"/>
        </w:numPr>
        <w:spacing w:line="360" w:lineRule="auto"/>
        <w:rPr>
          <w:rFonts w:ascii="Arial" w:hAnsi="Arial" w:cs="Arial"/>
          <w:sz w:val="22"/>
          <w:szCs w:val="22"/>
        </w:rPr>
      </w:pPr>
      <w:bookmarkStart w:id="2" w:name="_Toc223813938"/>
      <w:r w:rsidRPr="002E03B3">
        <w:rPr>
          <w:rFonts w:ascii="Arial" w:hAnsi="Arial" w:cs="Arial"/>
          <w:sz w:val="22"/>
          <w:szCs w:val="22"/>
        </w:rPr>
        <w:t>Analysis of SDGs Impact on Health and Wellbeing</w:t>
      </w:r>
      <w:bookmarkEnd w:id="2"/>
    </w:p>
    <w:p w14:paraId="2F378073" w14:textId="77777777" w:rsidR="00693FAF" w:rsidRPr="002E03B3" w:rsidRDefault="00693FAF" w:rsidP="00693FAF">
      <w:pPr>
        <w:spacing w:line="360" w:lineRule="auto"/>
        <w:rPr>
          <w:rFonts w:ascii="Arial" w:hAnsi="Arial" w:cs="Arial"/>
          <w:sz w:val="22"/>
          <w:szCs w:val="22"/>
        </w:rPr>
      </w:pPr>
    </w:p>
    <w:p w14:paraId="0239F265" w14:textId="09D68D3B" w:rsidR="00BD5371" w:rsidRPr="002E03B3" w:rsidRDefault="00693FAF" w:rsidP="00693FAF">
      <w:pPr>
        <w:pStyle w:val="Heading2"/>
        <w:spacing w:line="360" w:lineRule="auto"/>
        <w:ind w:left="720"/>
        <w:rPr>
          <w:rFonts w:ascii="Arial" w:hAnsi="Arial" w:cs="Arial"/>
          <w:sz w:val="22"/>
          <w:szCs w:val="22"/>
        </w:rPr>
      </w:pPr>
      <w:bookmarkStart w:id="3" w:name="_Toc223813939"/>
      <w:r w:rsidRPr="002E03B3">
        <w:rPr>
          <w:rFonts w:ascii="Arial" w:hAnsi="Arial" w:cs="Arial"/>
          <w:sz w:val="22"/>
          <w:szCs w:val="22"/>
        </w:rPr>
        <w:t xml:space="preserve">3.1 </w:t>
      </w:r>
      <w:r w:rsidR="00BD5371" w:rsidRPr="002E03B3">
        <w:rPr>
          <w:rFonts w:ascii="Arial" w:hAnsi="Arial" w:cs="Arial"/>
          <w:sz w:val="22"/>
          <w:szCs w:val="22"/>
        </w:rPr>
        <w:t>SDG 3: Good Health and Wellbeing</w:t>
      </w:r>
      <w:bookmarkEnd w:id="3"/>
    </w:p>
    <w:p w14:paraId="164CA183" w14:textId="73F0629A" w:rsidR="00693FAF" w:rsidRPr="002E03B3" w:rsidRDefault="00693FAF" w:rsidP="00693FAF">
      <w:pPr>
        <w:spacing w:line="360" w:lineRule="auto"/>
        <w:rPr>
          <w:rFonts w:ascii="Arial" w:hAnsi="Arial" w:cs="Arial"/>
          <w:sz w:val="22"/>
          <w:szCs w:val="22"/>
        </w:rPr>
      </w:pPr>
    </w:p>
    <w:p w14:paraId="14888128"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SDG 3 aims to have healthy lives of all ages, aiming at communicable and non-communicable diseases, maternal and child health, and universal health coverage (Lnu et al., 2025).Non-communicable diseases (NCDs) are a challenge, and especially in high- and middle-income countries, the shift towards lifestyle-related conditions has increased (Fernando et al., 2025).Child survival and vaccination coverage have improved, which is considered a positive development in the health outcomes of the population. According to the critical reviews, SDG 3 targets are praiseworthy yet had been implemented mainly quantitatively with more focus on numerical indicators underestimating the structural determinants of health, including income inequality, education, and environmental conditions (Chaudhuri et al., 2025).</w:t>
      </w:r>
    </w:p>
    <w:p w14:paraId="37FB3CC4"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In the United Kingdom, the national policies are based on the SDG 3 goals within the National Health Service (NHS) and related schemes on public health. The NHS Long Term Plan and other initiatives have focused on prevention, mental health, and inequalities tied to health (</w:t>
      </w:r>
      <w:proofErr w:type="spellStart"/>
      <w:r w:rsidRPr="002E03B3">
        <w:rPr>
          <w:rFonts w:ascii="Arial" w:hAnsi="Arial" w:cs="Arial"/>
          <w:sz w:val="22"/>
          <w:szCs w:val="22"/>
        </w:rPr>
        <w:t>Alarifi</w:t>
      </w:r>
      <w:proofErr w:type="spellEnd"/>
      <w:r w:rsidRPr="002E03B3">
        <w:rPr>
          <w:rFonts w:ascii="Arial" w:hAnsi="Arial" w:cs="Arial"/>
          <w:sz w:val="22"/>
          <w:szCs w:val="22"/>
        </w:rPr>
        <w:t xml:space="preserve"> et al., 2025). Nevertheless, there are unrelenting regional and socio-economic inequalities in health outcomes, which means that the policies are not well targeted at the underlying determinants. Studies have indicated that the NCDs and low life expectancy are more common in deprived areas than in wealthy areas, which indicates that efforts to improve health are currently based more on curative than preventive and structural change (Khan, 2025).</w:t>
      </w:r>
    </w:p>
    <w:p w14:paraId="76377163" w14:textId="73FACBBF"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lastRenderedPageBreak/>
        <w:t xml:space="preserve">On a local level, Welsh projects like the Healthy Communities </w:t>
      </w:r>
      <w:r w:rsidR="00693FAF" w:rsidRPr="002E03B3">
        <w:rPr>
          <w:rFonts w:ascii="Arial" w:hAnsi="Arial" w:cs="Arial"/>
          <w:sz w:val="22"/>
          <w:szCs w:val="22"/>
        </w:rPr>
        <w:t>Programme</w:t>
      </w:r>
      <w:r w:rsidRPr="002E03B3">
        <w:rPr>
          <w:rFonts w:ascii="Arial" w:hAnsi="Arial" w:cs="Arial"/>
          <w:sz w:val="22"/>
          <w:szCs w:val="22"/>
        </w:rPr>
        <w:t xml:space="preserve"> of Public Health Wales are meant to make a change in lifestyle </w:t>
      </w:r>
      <w:proofErr w:type="spellStart"/>
      <w:r w:rsidRPr="002E03B3">
        <w:rPr>
          <w:rFonts w:ascii="Arial" w:hAnsi="Arial" w:cs="Arial"/>
          <w:sz w:val="22"/>
          <w:szCs w:val="22"/>
        </w:rPr>
        <w:t>behavior</w:t>
      </w:r>
      <w:proofErr w:type="spellEnd"/>
      <w:r w:rsidRPr="002E03B3">
        <w:rPr>
          <w:rFonts w:ascii="Arial" w:hAnsi="Arial" w:cs="Arial"/>
          <w:sz w:val="22"/>
          <w:szCs w:val="22"/>
        </w:rPr>
        <w:t>, mental health, and community wellbeing. Although the initiatives are consistent with global and national goals and objectives, the assessment shows that they have a limited influence because of disproportionate community participation and lack of resources (Shabbir and Salman, 2025). These obstacles prove that it is not easy to make the global SDG ambitions translated into concrete local changes. Furthermore, the social determinants are not accounted for in the policy implementation, which makes the interventions less effective in the populations with several, overlapping disadvantages (Hermann et al., 2024).</w:t>
      </w:r>
    </w:p>
    <w:p w14:paraId="2D7D7CF6"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Another perspective that is deemed as critical is the fact that SDG 3 focuses on quantifiable health outcomes at the expense of holistic wellbeing especially mental health and social cohesion that are parts of the quality of life yet are less measurable. Using mortality and morbidity statistics exclusively gives a partial picture of the health of the citizens, which is why there is a necessity to consider policy strategies that incorporate a wider range of wellbeing indicators and take into consideration socio-economic context (Garg et al., 2025).</w:t>
      </w:r>
    </w:p>
    <w:p w14:paraId="0147AB7D" w14:textId="0E29C904" w:rsidR="00BD5371" w:rsidRPr="002E03B3" w:rsidRDefault="00BD5371" w:rsidP="00693FAF">
      <w:pPr>
        <w:pStyle w:val="Heading2"/>
        <w:numPr>
          <w:ilvl w:val="1"/>
          <w:numId w:val="5"/>
        </w:numPr>
        <w:spacing w:line="360" w:lineRule="auto"/>
        <w:rPr>
          <w:rFonts w:ascii="Arial" w:hAnsi="Arial" w:cs="Arial"/>
          <w:sz w:val="22"/>
          <w:szCs w:val="22"/>
        </w:rPr>
      </w:pPr>
      <w:bookmarkStart w:id="4" w:name="_Toc223813940"/>
      <w:r w:rsidRPr="002E03B3">
        <w:rPr>
          <w:rFonts w:ascii="Arial" w:hAnsi="Arial" w:cs="Arial"/>
          <w:sz w:val="22"/>
          <w:szCs w:val="22"/>
        </w:rPr>
        <w:t>SDG 10: Reduced Inequalities</w:t>
      </w:r>
      <w:bookmarkEnd w:id="4"/>
    </w:p>
    <w:p w14:paraId="5CAA591E" w14:textId="77777777" w:rsidR="00693FAF" w:rsidRPr="002E03B3" w:rsidRDefault="00693FAF" w:rsidP="00693FAF">
      <w:pPr>
        <w:pStyle w:val="ListParagraph"/>
        <w:spacing w:line="360" w:lineRule="auto"/>
        <w:ind w:left="1185"/>
        <w:rPr>
          <w:rFonts w:ascii="Arial" w:hAnsi="Arial" w:cs="Arial"/>
          <w:sz w:val="22"/>
          <w:szCs w:val="22"/>
        </w:rPr>
      </w:pPr>
    </w:p>
    <w:p w14:paraId="0AAFC97E"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SDG 10 is aimed at the decrease of inequalities both within and among states, income, opportunity, and access to services (Raciti, Alkire, and Beatson, 2024). Social equity has a strong correlation with health outcomes; the population health and life expectancy are always higher in societies with lower income inequality (Wanyana et al., 2024). Although this has been taken globally, not much has been achieved in terms of the reduction of inequality since the wealth is concentrated in most of the high-income countries, and the disparities in the structure still exist in the field of access to healthcare (Farag, 2025).</w:t>
      </w:r>
    </w:p>
    <w:p w14:paraId="14D19D0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In the UK, the effects of socioeconomic inequalities on health include inequality in health outcomes, with low-income groups having a greater prevalence of diseases and limited access to preventive care (Abdi et al., 2025). The Levelling Up Agenda is one of the policy frameworks to tackle regional inequalities but, as it can be critically </w:t>
      </w:r>
      <w:proofErr w:type="spellStart"/>
      <w:r w:rsidRPr="002E03B3">
        <w:rPr>
          <w:rFonts w:ascii="Arial" w:hAnsi="Arial" w:cs="Arial"/>
          <w:sz w:val="22"/>
          <w:szCs w:val="22"/>
        </w:rPr>
        <w:t>analyzed</w:t>
      </w:r>
      <w:proofErr w:type="spellEnd"/>
      <w:r w:rsidRPr="002E03B3">
        <w:rPr>
          <w:rFonts w:ascii="Arial" w:hAnsi="Arial" w:cs="Arial"/>
          <w:sz w:val="22"/>
          <w:szCs w:val="22"/>
        </w:rPr>
        <w:t>, policy frameworks are limited by fragmented governance, inadequate funding, and inability to target structural determinants, including housing, employment, and education (Bhandari, 2024). The literature highlights that unless incorporated strategies that can deal with various determinants at the same time, inequality-oriented campaigns may result in a marginal or cosmetic change.</w:t>
      </w:r>
    </w:p>
    <w:p w14:paraId="4881C1A3"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lastRenderedPageBreak/>
        <w:t>Locally, such efforts to reduce local disparities are evidenced by initiatives in Wales such as community development initiatives and more specific local health equity initiatives. Nevertheless, reviews indicate that their performance is diminished due to lack of capacity, inconsistent application and insufficient involvement of vulnerable groups (Oppong, 2025). More importantly, these issues reveal a recurring paradox that global and national policies present guidelines and objectives, with the implementation of these guidelines into locally significant results, however, depending on resources, governance, and socio-cultural orientation.</w:t>
      </w:r>
    </w:p>
    <w:p w14:paraId="7345D0DB" w14:textId="54A1F4B1" w:rsidR="00BD5371" w:rsidRPr="002E03B3" w:rsidRDefault="00BD5371" w:rsidP="00693FAF">
      <w:pPr>
        <w:pStyle w:val="Heading1"/>
        <w:numPr>
          <w:ilvl w:val="0"/>
          <w:numId w:val="5"/>
        </w:numPr>
        <w:spacing w:line="360" w:lineRule="auto"/>
        <w:rPr>
          <w:rFonts w:ascii="Arial" w:hAnsi="Arial" w:cs="Arial"/>
          <w:sz w:val="22"/>
          <w:szCs w:val="22"/>
        </w:rPr>
      </w:pPr>
      <w:bookmarkStart w:id="5" w:name="_Toc223813941"/>
      <w:r w:rsidRPr="002E03B3">
        <w:rPr>
          <w:rFonts w:ascii="Arial" w:hAnsi="Arial" w:cs="Arial"/>
          <w:sz w:val="22"/>
          <w:szCs w:val="22"/>
        </w:rPr>
        <w:t>Evaluation of National and Local Initiatives</w:t>
      </w:r>
      <w:bookmarkEnd w:id="5"/>
    </w:p>
    <w:p w14:paraId="61CA00CA" w14:textId="77777777" w:rsidR="00693FAF" w:rsidRPr="002E03B3" w:rsidRDefault="00693FAF" w:rsidP="00693FAF">
      <w:pPr>
        <w:spacing w:line="360" w:lineRule="auto"/>
        <w:rPr>
          <w:rFonts w:ascii="Arial" w:hAnsi="Arial" w:cs="Arial"/>
          <w:sz w:val="22"/>
          <w:szCs w:val="22"/>
        </w:rPr>
      </w:pPr>
    </w:p>
    <w:p w14:paraId="1D9C886A"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 xml:space="preserve">SDG 3 and SDG 10 are transformed into national and local measures of enhancing health and wellbeing. Another aspect which is prioritised in the UK is prevention, integrated care, and mental health support through the NHS Long Term Plan (2019). This is in line with SDG 3, but its performance is limited because of </w:t>
      </w:r>
      <w:proofErr w:type="spellStart"/>
      <w:r w:rsidRPr="002E03B3">
        <w:rPr>
          <w:rFonts w:ascii="Arial" w:hAnsi="Arial" w:cs="Arial"/>
          <w:sz w:val="22"/>
          <w:szCs w:val="22"/>
        </w:rPr>
        <w:t>labor</w:t>
      </w:r>
      <w:proofErr w:type="spellEnd"/>
      <w:r w:rsidRPr="002E03B3">
        <w:rPr>
          <w:rFonts w:ascii="Arial" w:hAnsi="Arial" w:cs="Arial"/>
          <w:sz w:val="22"/>
          <w:szCs w:val="22"/>
        </w:rPr>
        <w:t xml:space="preserve"> shortages, lack of funding, and differences across regions (</w:t>
      </w:r>
      <w:proofErr w:type="spellStart"/>
      <w:r w:rsidRPr="002E03B3">
        <w:rPr>
          <w:rFonts w:ascii="Arial" w:hAnsi="Arial" w:cs="Arial"/>
          <w:sz w:val="22"/>
          <w:szCs w:val="22"/>
        </w:rPr>
        <w:t>Shegani</w:t>
      </w:r>
      <w:proofErr w:type="spellEnd"/>
      <w:r w:rsidRPr="002E03B3">
        <w:rPr>
          <w:rFonts w:ascii="Arial" w:hAnsi="Arial" w:cs="Arial"/>
          <w:sz w:val="22"/>
          <w:szCs w:val="22"/>
        </w:rPr>
        <w:t xml:space="preserve"> et al., 2025). Intervention methods are getting better, although disparities are still present, especially in socioeconomically poor populations (</w:t>
      </w:r>
      <w:proofErr w:type="spellStart"/>
      <w:r w:rsidRPr="002E03B3">
        <w:rPr>
          <w:rFonts w:ascii="Arial" w:hAnsi="Arial" w:cs="Arial"/>
          <w:sz w:val="22"/>
          <w:szCs w:val="22"/>
        </w:rPr>
        <w:t>Foláyan</w:t>
      </w:r>
      <w:proofErr w:type="spellEnd"/>
      <w:r w:rsidRPr="002E03B3">
        <w:rPr>
          <w:rFonts w:ascii="Arial" w:hAnsi="Arial" w:cs="Arial"/>
          <w:sz w:val="22"/>
          <w:szCs w:val="22"/>
        </w:rPr>
        <w:t xml:space="preserve"> et al., 2025).</w:t>
      </w:r>
    </w:p>
    <w:p w14:paraId="192A1657"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The Health Inequality Programme by the Public Health England (PHE) focuses on social determinants of health such as education, housing, and employment. Assessments indicate a certain achievement in bringing awareness about health disparities, but the local level outcomes cannot be measured (</w:t>
      </w:r>
      <w:proofErr w:type="spellStart"/>
      <w:r w:rsidRPr="002E03B3">
        <w:rPr>
          <w:rFonts w:ascii="Arial" w:hAnsi="Arial" w:cs="Arial"/>
          <w:sz w:val="22"/>
          <w:szCs w:val="22"/>
        </w:rPr>
        <w:t>Foroudi</w:t>
      </w:r>
      <w:proofErr w:type="spellEnd"/>
      <w:r w:rsidRPr="002E03B3">
        <w:rPr>
          <w:rFonts w:ascii="Arial" w:hAnsi="Arial" w:cs="Arial"/>
          <w:sz w:val="22"/>
          <w:szCs w:val="22"/>
        </w:rPr>
        <w:t xml:space="preserve"> et al., 2025). This is an indication of a long-standing gap between policy design and operational capacity, which illustrates that there is a necessity of a coherent national-local coordination.</w:t>
      </w:r>
    </w:p>
    <w:p w14:paraId="7901E391"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sz w:val="22"/>
          <w:szCs w:val="22"/>
        </w:rPr>
        <w:t>Physical and mental wellbeing is encouraged by local initiatives in Wales, including the Healthy Schools and Active Travel schemes of Public Health Wales. There is evidence of beneficial effects on lifestyle practices, such as more exercise and healthier diet (Singh and Kumar, 2025). Nevertheless, such programs fail to reach some of the poorest populations because of the socio-economic obstacles, accessibility, and the inability to engage. Legislation and local efforts to achieve the objectives show disintegration and narrow delivery to maximize the transformational power of SDG 3 and SDG 10 solutions.</w:t>
      </w:r>
    </w:p>
    <w:p w14:paraId="04C9773F" w14:textId="77777777" w:rsidR="00693FAF" w:rsidRDefault="00693FAF" w:rsidP="00693FAF">
      <w:pPr>
        <w:spacing w:line="360" w:lineRule="auto"/>
        <w:jc w:val="both"/>
        <w:rPr>
          <w:rFonts w:ascii="Arial" w:hAnsi="Arial" w:cs="Arial"/>
          <w:sz w:val="22"/>
          <w:szCs w:val="22"/>
        </w:rPr>
      </w:pPr>
    </w:p>
    <w:p w14:paraId="115F5E07" w14:textId="77777777" w:rsidR="00980901" w:rsidRPr="002E03B3" w:rsidRDefault="00980901" w:rsidP="00693FAF">
      <w:pPr>
        <w:spacing w:line="360" w:lineRule="auto"/>
        <w:jc w:val="both"/>
        <w:rPr>
          <w:rFonts w:ascii="Arial" w:hAnsi="Arial" w:cs="Arial"/>
          <w:sz w:val="22"/>
          <w:szCs w:val="22"/>
        </w:rPr>
      </w:pPr>
    </w:p>
    <w:p w14:paraId="3E152F35" w14:textId="3217E4C9" w:rsidR="00BD5371" w:rsidRPr="002E03B3" w:rsidRDefault="00BD5371" w:rsidP="00693FAF">
      <w:pPr>
        <w:pStyle w:val="Heading1"/>
        <w:numPr>
          <w:ilvl w:val="0"/>
          <w:numId w:val="5"/>
        </w:numPr>
        <w:spacing w:line="360" w:lineRule="auto"/>
        <w:rPr>
          <w:rFonts w:ascii="Arial" w:hAnsi="Arial" w:cs="Arial"/>
          <w:sz w:val="22"/>
          <w:szCs w:val="22"/>
        </w:rPr>
      </w:pPr>
      <w:bookmarkStart w:id="6" w:name="_Toc223813942"/>
      <w:r w:rsidRPr="002E03B3">
        <w:rPr>
          <w:rFonts w:ascii="Arial" w:hAnsi="Arial" w:cs="Arial"/>
          <w:sz w:val="22"/>
          <w:szCs w:val="22"/>
        </w:rPr>
        <w:lastRenderedPageBreak/>
        <w:t>Recommendations</w:t>
      </w:r>
      <w:bookmarkEnd w:id="6"/>
    </w:p>
    <w:p w14:paraId="0E096787" w14:textId="77777777" w:rsidR="00980901" w:rsidRPr="002E03B3" w:rsidRDefault="00980901" w:rsidP="00693FAF">
      <w:pPr>
        <w:pStyle w:val="ListParagraph"/>
        <w:spacing w:line="360" w:lineRule="auto"/>
        <w:rPr>
          <w:rFonts w:ascii="Arial" w:hAnsi="Arial" w:cs="Arial"/>
          <w:sz w:val="22"/>
          <w:szCs w:val="22"/>
        </w:rPr>
      </w:pPr>
    </w:p>
    <w:p w14:paraId="2AB22B06"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1.</w:t>
      </w:r>
      <w:r w:rsidRPr="002E03B3">
        <w:rPr>
          <w:rFonts w:ascii="Arial" w:hAnsi="Arial" w:cs="Arial"/>
          <w:b/>
          <w:bCs/>
          <w:sz w:val="22"/>
          <w:szCs w:val="22"/>
        </w:rPr>
        <w:tab/>
      </w:r>
      <w:r w:rsidRPr="002E03B3">
        <w:rPr>
          <w:rFonts w:ascii="Arial" w:hAnsi="Arial" w:cs="Arial"/>
          <w:sz w:val="22"/>
          <w:szCs w:val="22"/>
        </w:rPr>
        <w:t>Combine SDG 3 and SDG 10: Health outcomes and social inequalities can be tackled so that policies are coordinated, encompassing healthcare, education, housing, employment, and so on (Wanyana et al., 2024).</w:t>
      </w:r>
    </w:p>
    <w:p w14:paraId="102954D5"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2.</w:t>
      </w:r>
      <w:r w:rsidRPr="002E03B3">
        <w:rPr>
          <w:rFonts w:ascii="Arial" w:hAnsi="Arial" w:cs="Arial"/>
          <w:b/>
          <w:bCs/>
          <w:sz w:val="22"/>
          <w:szCs w:val="22"/>
        </w:rPr>
        <w:tab/>
      </w:r>
      <w:r w:rsidRPr="002E03B3">
        <w:rPr>
          <w:rFonts w:ascii="Arial" w:hAnsi="Arial" w:cs="Arial"/>
          <w:sz w:val="22"/>
          <w:szCs w:val="22"/>
        </w:rPr>
        <w:t>Build local capacity: This means giving resources, workforce, and training to local authorities to deliver programs efficiently with the involvement of the community in a way that is socio-economically and culturally responsive.</w:t>
      </w:r>
    </w:p>
    <w:p w14:paraId="1CA82614"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3.</w:t>
      </w:r>
      <w:r w:rsidRPr="002E03B3">
        <w:rPr>
          <w:rFonts w:ascii="Arial" w:hAnsi="Arial" w:cs="Arial"/>
          <w:b/>
          <w:bCs/>
          <w:sz w:val="22"/>
          <w:szCs w:val="22"/>
        </w:rPr>
        <w:tab/>
      </w:r>
      <w:r w:rsidRPr="002E03B3">
        <w:rPr>
          <w:rFonts w:ascii="Arial" w:hAnsi="Arial" w:cs="Arial"/>
          <w:sz w:val="22"/>
          <w:szCs w:val="22"/>
        </w:rPr>
        <w:t>Improve monitoring and evaluation: Add quantitative and qualitative measures to measure mortality, prevalence rate of diseases, mental wellbeing, and social cohesion. Interventions could be modified using real-time feedback.</w:t>
      </w:r>
    </w:p>
    <w:p w14:paraId="79C997AB" w14:textId="77777777" w:rsidR="000C24E5" w:rsidRPr="002E03B3" w:rsidRDefault="000C24E5" w:rsidP="00693FAF">
      <w:pPr>
        <w:spacing w:line="360" w:lineRule="auto"/>
        <w:ind w:firstLine="720"/>
        <w:jc w:val="both"/>
        <w:rPr>
          <w:rFonts w:ascii="Arial" w:hAnsi="Arial" w:cs="Arial"/>
          <w:b/>
          <w:bCs/>
          <w:sz w:val="22"/>
          <w:szCs w:val="22"/>
        </w:rPr>
      </w:pPr>
      <w:r w:rsidRPr="002E03B3">
        <w:rPr>
          <w:rFonts w:ascii="Arial" w:hAnsi="Arial" w:cs="Arial"/>
          <w:b/>
          <w:bCs/>
          <w:sz w:val="22"/>
          <w:szCs w:val="22"/>
        </w:rPr>
        <w:t>4.</w:t>
      </w:r>
      <w:r w:rsidRPr="002E03B3">
        <w:rPr>
          <w:rFonts w:ascii="Arial" w:hAnsi="Arial" w:cs="Arial"/>
          <w:b/>
          <w:bCs/>
          <w:sz w:val="22"/>
          <w:szCs w:val="22"/>
        </w:rPr>
        <w:tab/>
      </w:r>
      <w:r w:rsidRPr="002E03B3">
        <w:rPr>
          <w:rFonts w:ascii="Arial" w:hAnsi="Arial" w:cs="Arial"/>
          <w:sz w:val="22"/>
          <w:szCs w:val="22"/>
        </w:rPr>
        <w:t>Place emphasis on prevention: Emphasize on upstream interventions that can overcome social determinants such as food security, education and housing quality.</w:t>
      </w:r>
    </w:p>
    <w:p w14:paraId="695F4224" w14:textId="77777777" w:rsidR="000C24E5" w:rsidRPr="002E03B3" w:rsidRDefault="000C24E5" w:rsidP="00693FAF">
      <w:pPr>
        <w:spacing w:line="360" w:lineRule="auto"/>
        <w:ind w:firstLine="720"/>
        <w:jc w:val="both"/>
        <w:rPr>
          <w:rFonts w:ascii="Arial" w:hAnsi="Arial" w:cs="Arial"/>
          <w:sz w:val="22"/>
          <w:szCs w:val="22"/>
        </w:rPr>
      </w:pPr>
      <w:r w:rsidRPr="002E03B3">
        <w:rPr>
          <w:rFonts w:ascii="Arial" w:hAnsi="Arial" w:cs="Arial"/>
          <w:b/>
          <w:bCs/>
          <w:sz w:val="22"/>
          <w:szCs w:val="22"/>
        </w:rPr>
        <w:t>5.</w:t>
      </w:r>
      <w:r w:rsidRPr="002E03B3">
        <w:rPr>
          <w:rFonts w:ascii="Arial" w:hAnsi="Arial" w:cs="Arial"/>
          <w:b/>
          <w:bCs/>
          <w:sz w:val="22"/>
          <w:szCs w:val="22"/>
        </w:rPr>
        <w:tab/>
      </w:r>
      <w:r w:rsidRPr="002E03B3">
        <w:rPr>
          <w:rFonts w:ascii="Arial" w:hAnsi="Arial" w:cs="Arial"/>
          <w:sz w:val="22"/>
          <w:szCs w:val="22"/>
        </w:rPr>
        <w:t>Encourage cross-sector collaboration: Health, social care, education and local government: Co-ordination between all these areas must reduce fragmentation and achieve better policy impact (Berry et al., 2024). Target equity-based funding: Divide the interventions equally to disadvantaged populations to make them have the benefit of interventions.</w:t>
      </w:r>
    </w:p>
    <w:p w14:paraId="49A19769" w14:textId="21A245DF" w:rsidR="00BD5371" w:rsidRPr="002E03B3" w:rsidRDefault="00BD5371" w:rsidP="00693FAF">
      <w:pPr>
        <w:pStyle w:val="Heading1"/>
        <w:spacing w:line="360" w:lineRule="auto"/>
        <w:ind w:left="720"/>
        <w:rPr>
          <w:rFonts w:ascii="Arial" w:hAnsi="Arial" w:cs="Arial"/>
          <w:sz w:val="22"/>
          <w:szCs w:val="22"/>
        </w:rPr>
      </w:pPr>
      <w:bookmarkStart w:id="7" w:name="_Toc223813943"/>
      <w:r w:rsidRPr="002E03B3">
        <w:rPr>
          <w:rFonts w:ascii="Arial" w:hAnsi="Arial" w:cs="Arial"/>
          <w:sz w:val="22"/>
          <w:szCs w:val="22"/>
        </w:rPr>
        <w:t>Conclusion</w:t>
      </w:r>
      <w:bookmarkEnd w:id="7"/>
    </w:p>
    <w:p w14:paraId="464ED827" w14:textId="77777777" w:rsidR="00693FAF" w:rsidRPr="002E03B3" w:rsidRDefault="00693FAF" w:rsidP="00693FAF">
      <w:pPr>
        <w:spacing w:line="360" w:lineRule="auto"/>
        <w:rPr>
          <w:rFonts w:ascii="Arial" w:hAnsi="Arial" w:cs="Arial"/>
          <w:sz w:val="22"/>
          <w:szCs w:val="22"/>
        </w:rPr>
      </w:pPr>
    </w:p>
    <w:p w14:paraId="498BA77E"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The SDG 3 (Good Health and Wellbeing) and SDG 10 (Reduced Inequalities) were critically studied in terms of their effect on the globe, nations, and communities in this report. Although there has been an improvement in health indicators across the globe, structural inequalities that are permanent hinder their ability to be effective. The NHS Long Term Plan, PHE programs, and other initiatives of the country reflect compliance with SDG 3 and have issues with the implementation, resource distribution, and equity. Wales has had successful examples of local initiatives that demonstrate how SDG goals can be applied effectively but they need engagement and resource support.</w:t>
      </w:r>
    </w:p>
    <w:p w14:paraId="0DA56F02"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 xml:space="preserve">Critical analysis creates the demand of combined strategies that would unite health outcomes with reduction of structural inequality. Evidence-based proposals involve aligning the policies with both SDGs, strengthening the capacity of the local community, increasing </w:t>
      </w:r>
      <w:r w:rsidRPr="002E03B3">
        <w:rPr>
          <w:rFonts w:ascii="Arial" w:hAnsi="Arial" w:cs="Arial"/>
          <w:sz w:val="22"/>
          <w:szCs w:val="22"/>
        </w:rPr>
        <w:lastRenderedPageBreak/>
        <w:t>surveillance, preventing disease, encouraging inter-sectoral working, and allocating funds to the regions of high demand.</w:t>
      </w:r>
    </w:p>
    <w:p w14:paraId="1EA0583A" w14:textId="77777777" w:rsidR="00861631" w:rsidRPr="002E03B3" w:rsidRDefault="00861631" w:rsidP="00693FAF">
      <w:pPr>
        <w:spacing w:line="360" w:lineRule="auto"/>
        <w:ind w:firstLine="720"/>
        <w:jc w:val="both"/>
        <w:rPr>
          <w:rFonts w:ascii="Arial" w:hAnsi="Arial" w:cs="Arial"/>
          <w:sz w:val="22"/>
          <w:szCs w:val="22"/>
        </w:rPr>
      </w:pPr>
      <w:r w:rsidRPr="002E03B3">
        <w:rPr>
          <w:rFonts w:ascii="Arial" w:hAnsi="Arial" w:cs="Arial"/>
          <w:sz w:val="22"/>
          <w:szCs w:val="22"/>
        </w:rPr>
        <w:t>To experience significant health and wellbeing improvement, it is necessary to ensure that there is a gap between the global objectives, national policies and local actions. Policies should go beyond the description levels by incorporating the systemic determinants of the health to guarantee fair, sustainable and acceptable outcomes in line with the SDG 3 and SDG 10 targets.</w:t>
      </w:r>
    </w:p>
    <w:p w14:paraId="335CFB61" w14:textId="77777777" w:rsidR="00861631" w:rsidRPr="002E03B3" w:rsidRDefault="00861631" w:rsidP="00693FAF">
      <w:pPr>
        <w:spacing w:line="360" w:lineRule="auto"/>
        <w:ind w:firstLine="720"/>
        <w:jc w:val="both"/>
        <w:rPr>
          <w:rFonts w:ascii="Arial" w:hAnsi="Arial" w:cs="Arial"/>
          <w:sz w:val="22"/>
          <w:szCs w:val="22"/>
        </w:rPr>
      </w:pPr>
    </w:p>
    <w:p w14:paraId="3566DDCF" w14:textId="77777777" w:rsidR="00693FAF" w:rsidRPr="002E03B3" w:rsidRDefault="00693FAF" w:rsidP="00693FAF">
      <w:pPr>
        <w:spacing w:line="360" w:lineRule="auto"/>
        <w:rPr>
          <w:rFonts w:ascii="Arial" w:eastAsiaTheme="majorEastAsia" w:hAnsi="Arial" w:cs="Arial"/>
          <w:b/>
          <w:sz w:val="22"/>
          <w:szCs w:val="22"/>
        </w:rPr>
      </w:pPr>
      <w:r w:rsidRPr="002E03B3">
        <w:rPr>
          <w:rFonts w:ascii="Arial" w:hAnsi="Arial" w:cs="Arial"/>
          <w:sz w:val="22"/>
          <w:szCs w:val="22"/>
        </w:rPr>
        <w:br w:type="page"/>
      </w:r>
    </w:p>
    <w:p w14:paraId="61CA11CC" w14:textId="01304F82" w:rsidR="00BD5371" w:rsidRPr="002E03B3" w:rsidRDefault="00BD5371" w:rsidP="00693FAF">
      <w:pPr>
        <w:pStyle w:val="Heading1"/>
        <w:spacing w:line="360" w:lineRule="auto"/>
        <w:rPr>
          <w:rFonts w:ascii="Arial" w:hAnsi="Arial" w:cs="Arial"/>
          <w:sz w:val="22"/>
          <w:szCs w:val="22"/>
        </w:rPr>
      </w:pPr>
      <w:bookmarkStart w:id="8" w:name="_Toc223813944"/>
      <w:r w:rsidRPr="002E03B3">
        <w:rPr>
          <w:rFonts w:ascii="Arial" w:hAnsi="Arial" w:cs="Arial"/>
          <w:sz w:val="22"/>
          <w:szCs w:val="22"/>
        </w:rPr>
        <w:lastRenderedPageBreak/>
        <w:t>References</w:t>
      </w:r>
      <w:bookmarkEnd w:id="8"/>
    </w:p>
    <w:p w14:paraId="15A15DA2" w14:textId="77777777" w:rsidR="00861631" w:rsidRPr="002E03B3" w:rsidRDefault="00861631" w:rsidP="00693FAF">
      <w:pPr>
        <w:spacing w:line="360" w:lineRule="auto"/>
        <w:jc w:val="both"/>
        <w:rPr>
          <w:rFonts w:ascii="Arial" w:hAnsi="Arial" w:cs="Arial"/>
          <w:sz w:val="22"/>
          <w:szCs w:val="22"/>
        </w:rPr>
      </w:pPr>
    </w:p>
    <w:p w14:paraId="77383A59"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Abdi, Y.H., Abdi, M.S., Bashir, S.G., Ahmed, N.I. and Abdullahi, Y.B. (2025) Understanding global health inequality and inequity: causes, consequences, and the path toward justice in healthcare. </w:t>
      </w:r>
      <w:r w:rsidRPr="002E03B3">
        <w:rPr>
          <w:rFonts w:ascii="Arial" w:hAnsi="Arial" w:cs="Arial"/>
          <w:i/>
          <w:iCs/>
          <w:sz w:val="22"/>
          <w:szCs w:val="22"/>
        </w:rPr>
        <w:t>Public Health Challenges</w:t>
      </w:r>
      <w:r w:rsidRPr="002E03B3">
        <w:rPr>
          <w:rFonts w:ascii="Arial" w:hAnsi="Arial" w:cs="Arial"/>
          <w:sz w:val="22"/>
          <w:szCs w:val="22"/>
        </w:rPr>
        <w:t>, 4(4), p. e70156</w:t>
      </w:r>
    </w:p>
    <w:p w14:paraId="43235F18"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t>Alarifi</w:t>
      </w:r>
      <w:proofErr w:type="spellEnd"/>
      <w:r w:rsidRPr="002E03B3">
        <w:rPr>
          <w:rFonts w:ascii="Arial" w:hAnsi="Arial" w:cs="Arial"/>
          <w:sz w:val="22"/>
          <w:szCs w:val="22"/>
        </w:rPr>
        <w:t xml:space="preserve">, A.M., Alshahrani, N.Z., </w:t>
      </w:r>
      <w:proofErr w:type="spellStart"/>
      <w:r w:rsidRPr="002E03B3">
        <w:rPr>
          <w:rFonts w:ascii="Arial" w:hAnsi="Arial" w:cs="Arial"/>
          <w:sz w:val="22"/>
          <w:szCs w:val="22"/>
        </w:rPr>
        <w:t>Jokhdar</w:t>
      </w:r>
      <w:proofErr w:type="spellEnd"/>
      <w:r w:rsidRPr="002E03B3">
        <w:rPr>
          <w:rFonts w:ascii="Arial" w:hAnsi="Arial" w:cs="Arial"/>
          <w:sz w:val="22"/>
          <w:szCs w:val="22"/>
        </w:rPr>
        <w:t xml:space="preserve">, H. and Asiri, A.M. (2025) Advancing health through sustainable development goals: Saudi Arabia’s mid-journey progress and insights. </w:t>
      </w:r>
      <w:r w:rsidRPr="002E03B3">
        <w:rPr>
          <w:rFonts w:ascii="Arial" w:hAnsi="Arial" w:cs="Arial"/>
          <w:i/>
          <w:iCs/>
          <w:sz w:val="22"/>
          <w:szCs w:val="22"/>
        </w:rPr>
        <w:t>Journal of Epidemiology and Global Health</w:t>
      </w:r>
      <w:r w:rsidRPr="002E03B3">
        <w:rPr>
          <w:rFonts w:ascii="Arial" w:hAnsi="Arial" w:cs="Arial"/>
          <w:sz w:val="22"/>
          <w:szCs w:val="22"/>
        </w:rPr>
        <w:t>, 15(1), p. 48</w:t>
      </w:r>
    </w:p>
    <w:p w14:paraId="3F03F1D0"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Amri, M., Enright, T., </w:t>
      </w:r>
      <w:proofErr w:type="spellStart"/>
      <w:r w:rsidRPr="002E03B3">
        <w:rPr>
          <w:rFonts w:ascii="Arial" w:hAnsi="Arial" w:cs="Arial"/>
          <w:sz w:val="22"/>
          <w:szCs w:val="22"/>
        </w:rPr>
        <w:t>O’Campo</w:t>
      </w:r>
      <w:proofErr w:type="spellEnd"/>
      <w:r w:rsidRPr="002E03B3">
        <w:rPr>
          <w:rFonts w:ascii="Arial" w:hAnsi="Arial" w:cs="Arial"/>
          <w:sz w:val="22"/>
          <w:szCs w:val="22"/>
        </w:rPr>
        <w:t xml:space="preserve">, P., Di Ruggiero, E., Siddiqi, A. and Bump, J.B. (2024) Investigating inconsistencies regarding health equity in select World Health Organization texts: a critical discourse analysis of health promotion, social determinants of health, and urban health texts, 2008–2016. </w:t>
      </w:r>
      <w:r w:rsidRPr="002E03B3">
        <w:rPr>
          <w:rFonts w:ascii="Arial" w:hAnsi="Arial" w:cs="Arial"/>
          <w:i/>
          <w:iCs/>
          <w:sz w:val="22"/>
          <w:szCs w:val="22"/>
        </w:rPr>
        <w:t>BMC Global and Public Health</w:t>
      </w:r>
      <w:r w:rsidRPr="002E03B3">
        <w:rPr>
          <w:rFonts w:ascii="Arial" w:hAnsi="Arial" w:cs="Arial"/>
          <w:sz w:val="22"/>
          <w:szCs w:val="22"/>
        </w:rPr>
        <w:t>, 2(1), p. 81</w:t>
      </w:r>
    </w:p>
    <w:p w14:paraId="1560871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Berry, L.L., Yadav, M.S. and Hole, M.K. (2024) Reclaiming healthcare’s healing mission for a sustainable future. </w:t>
      </w:r>
      <w:r w:rsidRPr="002E03B3">
        <w:rPr>
          <w:rFonts w:ascii="Arial" w:hAnsi="Arial" w:cs="Arial"/>
          <w:i/>
          <w:iCs/>
          <w:sz w:val="22"/>
          <w:szCs w:val="22"/>
        </w:rPr>
        <w:t>Journal of Service Research</w:t>
      </w:r>
      <w:r w:rsidRPr="002E03B3">
        <w:rPr>
          <w:rFonts w:ascii="Arial" w:hAnsi="Arial" w:cs="Arial"/>
          <w:sz w:val="22"/>
          <w:szCs w:val="22"/>
        </w:rPr>
        <w:t>, 27(1), pp. 6–27</w:t>
      </w:r>
    </w:p>
    <w:p w14:paraId="332B3E9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Bhandari, M.P. (2024) What is next for the sustainable development goals, what are the challenges concerning SDG 10—reduced inequalities? </w:t>
      </w:r>
      <w:r w:rsidRPr="002E03B3">
        <w:rPr>
          <w:rFonts w:ascii="Arial" w:hAnsi="Arial" w:cs="Arial"/>
          <w:i/>
          <w:iCs/>
          <w:sz w:val="22"/>
          <w:szCs w:val="22"/>
        </w:rPr>
        <w:t>Sustainable Earth Reviews</w:t>
      </w:r>
      <w:r w:rsidRPr="002E03B3">
        <w:rPr>
          <w:rFonts w:ascii="Arial" w:hAnsi="Arial" w:cs="Arial"/>
          <w:sz w:val="22"/>
          <w:szCs w:val="22"/>
        </w:rPr>
        <w:t>, 7(1), p. 23</w:t>
      </w:r>
    </w:p>
    <w:p w14:paraId="1D0E1542"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Chaudhuri, A., Sharma, M. and Yazan, D.M. (2025) Environmental, social and governance strategies for Sustainable Development Goal 3: enhancing health and social wellbeing. </w:t>
      </w:r>
      <w:r w:rsidRPr="002E03B3">
        <w:rPr>
          <w:rFonts w:ascii="Arial" w:hAnsi="Arial" w:cs="Arial"/>
          <w:i/>
          <w:iCs/>
          <w:sz w:val="22"/>
          <w:szCs w:val="22"/>
        </w:rPr>
        <w:t>Sustainable Development</w:t>
      </w:r>
    </w:p>
    <w:p w14:paraId="405240FF"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Farag, M.I.H. (2025) Bridging inequality: contemporary challenges to achieve sustainable development goals across and within nations. </w:t>
      </w:r>
      <w:r w:rsidRPr="002E03B3">
        <w:rPr>
          <w:rFonts w:ascii="Arial" w:hAnsi="Arial" w:cs="Arial"/>
          <w:i/>
          <w:iCs/>
          <w:sz w:val="22"/>
          <w:szCs w:val="22"/>
        </w:rPr>
        <w:t>International Journal of Sustainable Development Goals</w:t>
      </w:r>
      <w:r w:rsidRPr="002E03B3">
        <w:rPr>
          <w:rFonts w:ascii="Arial" w:hAnsi="Arial" w:cs="Arial"/>
          <w:sz w:val="22"/>
          <w:szCs w:val="22"/>
        </w:rPr>
        <w:t>, 1, pp. 333–352</w:t>
      </w:r>
    </w:p>
    <w:p w14:paraId="2E943D12"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Fernando, A., </w:t>
      </w:r>
      <w:proofErr w:type="spellStart"/>
      <w:r w:rsidRPr="002E03B3">
        <w:rPr>
          <w:rFonts w:ascii="Arial" w:hAnsi="Arial" w:cs="Arial"/>
          <w:sz w:val="22"/>
          <w:szCs w:val="22"/>
        </w:rPr>
        <w:t>Sudangama</w:t>
      </w:r>
      <w:proofErr w:type="spellEnd"/>
      <w:r w:rsidRPr="002E03B3">
        <w:rPr>
          <w:rFonts w:ascii="Arial" w:hAnsi="Arial" w:cs="Arial"/>
          <w:sz w:val="22"/>
          <w:szCs w:val="22"/>
        </w:rPr>
        <w:t>, N., Adikari, D., Sundaram, A., Jayathilaka, R. and Rajapakse, V. (2025) Driving down child mortality in the SAARC: the impact of GDP, healthcare, and vaccination</w:t>
      </w:r>
    </w:p>
    <w:p w14:paraId="07F7AB7E"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t>Foláyan</w:t>
      </w:r>
      <w:proofErr w:type="spellEnd"/>
      <w:r w:rsidRPr="002E03B3">
        <w:rPr>
          <w:rFonts w:ascii="Arial" w:hAnsi="Arial" w:cs="Arial"/>
          <w:sz w:val="22"/>
          <w:szCs w:val="22"/>
        </w:rPr>
        <w:t xml:space="preserve">, M.O., de Barros Coelho, E.M.R., </w:t>
      </w:r>
      <w:proofErr w:type="spellStart"/>
      <w:r w:rsidRPr="002E03B3">
        <w:rPr>
          <w:rFonts w:ascii="Arial" w:hAnsi="Arial" w:cs="Arial"/>
          <w:sz w:val="22"/>
          <w:szCs w:val="22"/>
        </w:rPr>
        <w:t>Feldens</w:t>
      </w:r>
      <w:proofErr w:type="spellEnd"/>
      <w:r w:rsidRPr="002E03B3">
        <w:rPr>
          <w:rFonts w:ascii="Arial" w:hAnsi="Arial" w:cs="Arial"/>
          <w:sz w:val="22"/>
          <w:szCs w:val="22"/>
        </w:rPr>
        <w:t xml:space="preserve">, C.A., Gaffar, B., Virtanen, J.I., Abodunrin, O.R., </w:t>
      </w:r>
      <w:proofErr w:type="spellStart"/>
      <w:r w:rsidRPr="002E03B3">
        <w:rPr>
          <w:rFonts w:ascii="Arial" w:hAnsi="Arial" w:cs="Arial"/>
          <w:sz w:val="22"/>
          <w:szCs w:val="22"/>
        </w:rPr>
        <w:t>Duangthip</w:t>
      </w:r>
      <w:proofErr w:type="spellEnd"/>
      <w:r w:rsidRPr="002E03B3">
        <w:rPr>
          <w:rFonts w:ascii="Arial" w:hAnsi="Arial" w:cs="Arial"/>
          <w:sz w:val="22"/>
          <w:szCs w:val="22"/>
        </w:rPr>
        <w:t>, D., Al-</w:t>
      </w:r>
      <w:proofErr w:type="spellStart"/>
      <w:r w:rsidRPr="002E03B3">
        <w:rPr>
          <w:rFonts w:ascii="Arial" w:hAnsi="Arial" w:cs="Arial"/>
          <w:sz w:val="22"/>
          <w:szCs w:val="22"/>
        </w:rPr>
        <w:t>Batayneh</w:t>
      </w:r>
      <w:proofErr w:type="spellEnd"/>
      <w:r w:rsidRPr="002E03B3">
        <w:rPr>
          <w:rFonts w:ascii="Arial" w:hAnsi="Arial" w:cs="Arial"/>
          <w:sz w:val="22"/>
          <w:szCs w:val="22"/>
        </w:rPr>
        <w:t xml:space="preserve">, O.B., Vukovic, A., El Tantawi, M. and Schroth, R.J. (2025) A scoping review on early childhood caries and inequalities using the Sustainable Development Goal 10 framework. </w:t>
      </w:r>
      <w:r w:rsidRPr="002E03B3">
        <w:rPr>
          <w:rFonts w:ascii="Arial" w:hAnsi="Arial" w:cs="Arial"/>
          <w:i/>
          <w:iCs/>
          <w:sz w:val="22"/>
          <w:szCs w:val="22"/>
        </w:rPr>
        <w:t>BMC Oral Health</w:t>
      </w:r>
      <w:r w:rsidRPr="002E03B3">
        <w:rPr>
          <w:rFonts w:ascii="Arial" w:hAnsi="Arial" w:cs="Arial"/>
          <w:sz w:val="22"/>
          <w:szCs w:val="22"/>
        </w:rPr>
        <w:t>, 25(1), p. 219</w:t>
      </w:r>
    </w:p>
    <w:p w14:paraId="437AACFB"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lastRenderedPageBreak/>
        <w:t>Foroudi</w:t>
      </w:r>
      <w:proofErr w:type="spellEnd"/>
      <w:r w:rsidRPr="002E03B3">
        <w:rPr>
          <w:rFonts w:ascii="Arial" w:hAnsi="Arial" w:cs="Arial"/>
          <w:sz w:val="22"/>
          <w:szCs w:val="22"/>
        </w:rPr>
        <w:t xml:space="preserve">, P., Marvi, R., Cuomo, M.T. and D’Amato, A. (2025) Sustainable development goals in a regional context: conceptualising, measuring and managing residents’ perceptions. </w:t>
      </w:r>
      <w:r w:rsidRPr="002E03B3">
        <w:rPr>
          <w:rFonts w:ascii="Arial" w:hAnsi="Arial" w:cs="Arial"/>
          <w:i/>
          <w:iCs/>
          <w:sz w:val="22"/>
          <w:szCs w:val="22"/>
        </w:rPr>
        <w:t>Regional Studies</w:t>
      </w:r>
      <w:r w:rsidRPr="002E03B3">
        <w:rPr>
          <w:rFonts w:ascii="Arial" w:hAnsi="Arial" w:cs="Arial"/>
          <w:sz w:val="22"/>
          <w:szCs w:val="22"/>
        </w:rPr>
        <w:t>, 59(1), p. 2373871</w:t>
      </w:r>
    </w:p>
    <w:p w14:paraId="544AF97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Garg, V., Kaushik, P. and Singh, S. (2025) Empirical analysis of industry 4.0 and the circular economy in accelerating the SDGs in G20 economies. </w:t>
      </w:r>
      <w:r w:rsidRPr="002E03B3">
        <w:rPr>
          <w:rFonts w:ascii="Arial" w:hAnsi="Arial" w:cs="Arial"/>
          <w:i/>
          <w:iCs/>
          <w:sz w:val="22"/>
          <w:szCs w:val="22"/>
        </w:rPr>
        <w:t>Energy Informatics</w:t>
      </w:r>
      <w:r w:rsidRPr="002E03B3">
        <w:rPr>
          <w:rFonts w:ascii="Arial" w:hAnsi="Arial" w:cs="Arial"/>
          <w:sz w:val="22"/>
          <w:szCs w:val="22"/>
        </w:rPr>
        <w:t>, 8(1), pp. 1–29</w:t>
      </w:r>
    </w:p>
    <w:p w14:paraId="5B5133B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Gohar Mahmood, D.N.S., Khan, Q.M. and Anwar, S. (2025) The role of economic inequality in hindering SDG progress: a systematic literature review through psychological and social perspective lens. </w:t>
      </w:r>
      <w:r w:rsidRPr="002E03B3">
        <w:rPr>
          <w:rFonts w:ascii="Arial" w:hAnsi="Arial" w:cs="Arial"/>
          <w:i/>
          <w:iCs/>
          <w:sz w:val="22"/>
          <w:szCs w:val="22"/>
        </w:rPr>
        <w:t>Contemporary Journal of Social Science Review</w:t>
      </w:r>
      <w:r w:rsidRPr="002E03B3">
        <w:rPr>
          <w:rFonts w:ascii="Arial" w:hAnsi="Arial" w:cs="Arial"/>
          <w:sz w:val="22"/>
          <w:szCs w:val="22"/>
        </w:rPr>
        <w:t>, 3(2), pp. 2358–2380</w:t>
      </w:r>
    </w:p>
    <w:p w14:paraId="553A5D2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Hermann, E., Williams, G.Y. and </w:t>
      </w:r>
      <w:proofErr w:type="spellStart"/>
      <w:r w:rsidRPr="002E03B3">
        <w:rPr>
          <w:rFonts w:ascii="Arial" w:hAnsi="Arial" w:cs="Arial"/>
          <w:sz w:val="22"/>
          <w:szCs w:val="22"/>
        </w:rPr>
        <w:t>Puntoni</w:t>
      </w:r>
      <w:proofErr w:type="spellEnd"/>
      <w:r w:rsidRPr="002E03B3">
        <w:rPr>
          <w:rFonts w:ascii="Arial" w:hAnsi="Arial" w:cs="Arial"/>
          <w:sz w:val="22"/>
          <w:szCs w:val="22"/>
        </w:rPr>
        <w:t xml:space="preserve">, S. (2024) Deploying artificial intelligence in services to aid vulnerable consumers. </w:t>
      </w:r>
      <w:r w:rsidRPr="002E03B3">
        <w:rPr>
          <w:rFonts w:ascii="Arial" w:hAnsi="Arial" w:cs="Arial"/>
          <w:i/>
          <w:iCs/>
          <w:sz w:val="22"/>
          <w:szCs w:val="22"/>
        </w:rPr>
        <w:t>Journal of the Academy of Marketing Science</w:t>
      </w:r>
      <w:r w:rsidRPr="002E03B3">
        <w:rPr>
          <w:rFonts w:ascii="Arial" w:hAnsi="Arial" w:cs="Arial"/>
          <w:sz w:val="22"/>
          <w:szCs w:val="22"/>
        </w:rPr>
        <w:t>, 52(5), pp. 1431–1451</w:t>
      </w:r>
    </w:p>
    <w:p w14:paraId="3B159C28"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Khan, B. (2025) The role of lifestyle interventions in preventing and managing non-communicable diseases. </w:t>
      </w:r>
      <w:r w:rsidRPr="002E03B3">
        <w:rPr>
          <w:rFonts w:ascii="Arial" w:hAnsi="Arial" w:cs="Arial"/>
          <w:i/>
          <w:iCs/>
          <w:sz w:val="22"/>
          <w:szCs w:val="22"/>
        </w:rPr>
        <w:t>Non-Communicable Diseases and Care</w:t>
      </w:r>
      <w:r w:rsidRPr="002E03B3">
        <w:rPr>
          <w:rFonts w:ascii="Arial" w:hAnsi="Arial" w:cs="Arial"/>
          <w:sz w:val="22"/>
          <w:szCs w:val="22"/>
        </w:rPr>
        <w:t>, 2(1), pp. 50–60</w:t>
      </w:r>
    </w:p>
    <w:p w14:paraId="47147A54"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Lnu, D., Kothari, A., Siddiqui, M., Ranga, A., Tirkey, N., </w:t>
      </w:r>
      <w:proofErr w:type="spellStart"/>
      <w:r w:rsidRPr="002E03B3">
        <w:rPr>
          <w:rFonts w:ascii="Arial" w:hAnsi="Arial" w:cs="Arial"/>
          <w:sz w:val="22"/>
          <w:szCs w:val="22"/>
        </w:rPr>
        <w:t>Dhupar</w:t>
      </w:r>
      <w:proofErr w:type="spellEnd"/>
      <w:r w:rsidRPr="002E03B3">
        <w:rPr>
          <w:rFonts w:ascii="Arial" w:hAnsi="Arial" w:cs="Arial"/>
          <w:sz w:val="22"/>
          <w:szCs w:val="22"/>
        </w:rPr>
        <w:t xml:space="preserve">, D., Walia, S. and Bhushan, H. (2025) Achieving SDG-3 in India: ensuring healthy lives and promoting wellbeing at all ages. </w:t>
      </w:r>
      <w:r w:rsidRPr="002E03B3">
        <w:rPr>
          <w:rFonts w:ascii="Arial" w:hAnsi="Arial" w:cs="Arial"/>
          <w:i/>
          <w:iCs/>
          <w:sz w:val="22"/>
          <w:szCs w:val="22"/>
        </w:rPr>
        <w:t>Global Health Economics and Sustainability</w:t>
      </w:r>
      <w:r w:rsidRPr="002E03B3">
        <w:rPr>
          <w:rFonts w:ascii="Arial" w:hAnsi="Arial" w:cs="Arial"/>
          <w:sz w:val="22"/>
          <w:szCs w:val="22"/>
        </w:rPr>
        <w:t>, 3(1), pp. 243–253</w:t>
      </w:r>
    </w:p>
    <w:p w14:paraId="77A5D383"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Mazzi, F. (2025) Evaluating the normative implications of national and international artificial intelligence policies for Sustainable Development Goal 3: good health and well-being. </w:t>
      </w:r>
      <w:r w:rsidRPr="002E03B3">
        <w:rPr>
          <w:rFonts w:ascii="Arial" w:hAnsi="Arial" w:cs="Arial"/>
          <w:i/>
          <w:iCs/>
          <w:sz w:val="22"/>
          <w:szCs w:val="22"/>
        </w:rPr>
        <w:t>Health Affairs Scholar</w:t>
      </w:r>
      <w:r w:rsidRPr="002E03B3">
        <w:rPr>
          <w:rFonts w:ascii="Arial" w:hAnsi="Arial" w:cs="Arial"/>
          <w:sz w:val="22"/>
          <w:szCs w:val="22"/>
        </w:rPr>
        <w:t>, 3(6), p. qxaf108</w:t>
      </w:r>
    </w:p>
    <w:p w14:paraId="2FB0311E"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Mestdagh, B. (2024) </w:t>
      </w:r>
      <w:r w:rsidRPr="002E03B3">
        <w:rPr>
          <w:rFonts w:ascii="Arial" w:hAnsi="Arial" w:cs="Arial"/>
          <w:i/>
          <w:iCs/>
          <w:sz w:val="22"/>
          <w:szCs w:val="22"/>
        </w:rPr>
        <w:t>Organizational engagement with the Sustainable Development Goals (SDGs): theoretical perspectives and empirical insights in a public sector context</w:t>
      </w:r>
      <w:r w:rsidRPr="002E03B3">
        <w:rPr>
          <w:rFonts w:ascii="Arial" w:hAnsi="Arial" w:cs="Arial"/>
          <w:sz w:val="22"/>
          <w:szCs w:val="22"/>
        </w:rPr>
        <w:t>. Doctoral dissertation, University of Antwerp</w:t>
      </w:r>
    </w:p>
    <w:p w14:paraId="15590E5D"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Missoni, E. (2024) Global health, planetary health, One Health: conceptual and ethical challenges and concerns. </w:t>
      </w:r>
      <w:r w:rsidRPr="002E03B3">
        <w:rPr>
          <w:rFonts w:ascii="Arial" w:hAnsi="Arial" w:cs="Arial"/>
          <w:i/>
          <w:iCs/>
          <w:sz w:val="22"/>
          <w:szCs w:val="22"/>
        </w:rPr>
        <w:t>Theoretical Medicine and Bioethics</w:t>
      </w:r>
      <w:r w:rsidRPr="002E03B3">
        <w:rPr>
          <w:rFonts w:ascii="Arial" w:hAnsi="Arial" w:cs="Arial"/>
          <w:sz w:val="22"/>
          <w:szCs w:val="22"/>
        </w:rPr>
        <w:t>, 45(3), pp. 241–250</w:t>
      </w:r>
    </w:p>
    <w:p w14:paraId="1488BDAF"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Oppong, C. (2025) Leveraging governance and accountability for advancing sustainable development goals in Africa. </w:t>
      </w:r>
      <w:r w:rsidRPr="002E03B3">
        <w:rPr>
          <w:rFonts w:ascii="Arial" w:hAnsi="Arial" w:cs="Arial"/>
          <w:i/>
          <w:iCs/>
          <w:sz w:val="22"/>
          <w:szCs w:val="22"/>
        </w:rPr>
        <w:t>Business Strategy &amp; Development</w:t>
      </w:r>
      <w:r w:rsidRPr="002E03B3">
        <w:rPr>
          <w:rFonts w:ascii="Arial" w:hAnsi="Arial" w:cs="Arial"/>
          <w:sz w:val="22"/>
          <w:szCs w:val="22"/>
        </w:rPr>
        <w:t>, 8(2), p. e70115</w:t>
      </w:r>
    </w:p>
    <w:p w14:paraId="5CE1A961"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Raciti, M.M., Alkire, L. and Beatson, A. (2024) SDG commentary: services that provide opportunity for all humans. </w:t>
      </w:r>
      <w:r w:rsidRPr="002E03B3">
        <w:rPr>
          <w:rFonts w:ascii="Arial" w:hAnsi="Arial" w:cs="Arial"/>
          <w:i/>
          <w:iCs/>
          <w:sz w:val="22"/>
          <w:szCs w:val="22"/>
        </w:rPr>
        <w:t>Journal of Services Marketing</w:t>
      </w:r>
      <w:r w:rsidRPr="002E03B3">
        <w:rPr>
          <w:rFonts w:ascii="Arial" w:hAnsi="Arial" w:cs="Arial"/>
          <w:sz w:val="22"/>
          <w:szCs w:val="22"/>
        </w:rPr>
        <w:t>, 38(2), pp. 164–171</w:t>
      </w:r>
    </w:p>
    <w:p w14:paraId="582BE107"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Shabbir, M.S. and Salman, R. (2025) Sustainable development policy interventions: stakeholder engagement and environmental policy in practice. </w:t>
      </w:r>
      <w:r w:rsidRPr="002E03B3">
        <w:rPr>
          <w:rFonts w:ascii="Arial" w:hAnsi="Arial" w:cs="Arial"/>
          <w:i/>
          <w:iCs/>
          <w:sz w:val="22"/>
          <w:szCs w:val="22"/>
        </w:rPr>
        <w:t>Business Strategy and the Environment</w:t>
      </w:r>
    </w:p>
    <w:p w14:paraId="2664ADE0" w14:textId="77777777" w:rsidR="00693FAF" w:rsidRPr="002E03B3" w:rsidRDefault="00693FAF" w:rsidP="00693FAF">
      <w:pPr>
        <w:spacing w:line="360" w:lineRule="auto"/>
        <w:ind w:left="720" w:hanging="720"/>
        <w:jc w:val="both"/>
        <w:rPr>
          <w:rFonts w:ascii="Arial" w:hAnsi="Arial" w:cs="Arial"/>
          <w:sz w:val="22"/>
          <w:szCs w:val="22"/>
        </w:rPr>
      </w:pPr>
      <w:proofErr w:type="spellStart"/>
      <w:r w:rsidRPr="002E03B3">
        <w:rPr>
          <w:rFonts w:ascii="Arial" w:hAnsi="Arial" w:cs="Arial"/>
          <w:sz w:val="22"/>
          <w:szCs w:val="22"/>
        </w:rPr>
        <w:lastRenderedPageBreak/>
        <w:t>Shegani</w:t>
      </w:r>
      <w:proofErr w:type="spellEnd"/>
      <w:r w:rsidRPr="002E03B3">
        <w:rPr>
          <w:rFonts w:ascii="Arial" w:hAnsi="Arial" w:cs="Arial"/>
          <w:sz w:val="22"/>
          <w:szCs w:val="22"/>
        </w:rPr>
        <w:t xml:space="preserve">, A., Ogawa, K., </w:t>
      </w:r>
      <w:proofErr w:type="spellStart"/>
      <w:r w:rsidRPr="002E03B3">
        <w:rPr>
          <w:rFonts w:ascii="Arial" w:hAnsi="Arial" w:cs="Arial"/>
          <w:sz w:val="22"/>
          <w:szCs w:val="22"/>
        </w:rPr>
        <w:t>Tejeria</w:t>
      </w:r>
      <w:proofErr w:type="spellEnd"/>
      <w:r w:rsidRPr="002E03B3">
        <w:rPr>
          <w:rFonts w:ascii="Arial" w:hAnsi="Arial" w:cs="Arial"/>
          <w:sz w:val="22"/>
          <w:szCs w:val="22"/>
        </w:rPr>
        <w:t xml:space="preserve">, M.E., Makrakis, V. and Triantis, C. (2025) A conceptual framework for integrating sustainable development goals in radiopharmaceuticals and nuclear medicine. </w:t>
      </w:r>
      <w:r w:rsidRPr="002E03B3">
        <w:rPr>
          <w:rFonts w:ascii="Arial" w:hAnsi="Arial" w:cs="Arial"/>
          <w:i/>
          <w:iCs/>
          <w:sz w:val="22"/>
          <w:szCs w:val="22"/>
        </w:rPr>
        <w:t>Discover Medicine</w:t>
      </w:r>
      <w:r w:rsidRPr="002E03B3">
        <w:rPr>
          <w:rFonts w:ascii="Arial" w:hAnsi="Arial" w:cs="Arial"/>
          <w:sz w:val="22"/>
          <w:szCs w:val="22"/>
        </w:rPr>
        <w:t>, 2(1), p. 229</w:t>
      </w:r>
    </w:p>
    <w:p w14:paraId="7F6F262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Singh, B. and Kumar, A. (2025) Ageing, multimorbidity, and quality of life: a mediation analysis using longitudinal ageing study in India. </w:t>
      </w:r>
      <w:r w:rsidRPr="002E03B3">
        <w:rPr>
          <w:rFonts w:ascii="Arial" w:hAnsi="Arial" w:cs="Arial"/>
          <w:i/>
          <w:iCs/>
          <w:sz w:val="22"/>
          <w:szCs w:val="22"/>
        </w:rPr>
        <w:t>Frontiers in Public Health</w:t>
      </w:r>
      <w:r w:rsidRPr="002E03B3">
        <w:rPr>
          <w:rFonts w:ascii="Arial" w:hAnsi="Arial" w:cs="Arial"/>
          <w:sz w:val="22"/>
          <w:szCs w:val="22"/>
        </w:rPr>
        <w:t>, 13, p. 1562479</w:t>
      </w:r>
    </w:p>
    <w:p w14:paraId="66181783"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Van Den Berg, M., Flavel, J., Schram, A., Friel, S., </w:t>
      </w:r>
      <w:proofErr w:type="spellStart"/>
      <w:r w:rsidRPr="002E03B3">
        <w:rPr>
          <w:rFonts w:ascii="Arial" w:hAnsi="Arial" w:cs="Arial"/>
          <w:sz w:val="22"/>
          <w:szCs w:val="22"/>
        </w:rPr>
        <w:t>Gesesew</w:t>
      </w:r>
      <w:proofErr w:type="spellEnd"/>
      <w:r w:rsidRPr="002E03B3">
        <w:rPr>
          <w:rFonts w:ascii="Arial" w:hAnsi="Arial" w:cs="Arial"/>
          <w:sz w:val="22"/>
          <w:szCs w:val="22"/>
        </w:rPr>
        <w:t xml:space="preserve">, H.A. and Baum, F. (2024) Social, cultural and political conditions for advancing health equity: examples from eight country case studies (2011–2021). </w:t>
      </w:r>
      <w:r w:rsidRPr="002E03B3">
        <w:rPr>
          <w:rFonts w:ascii="Arial" w:hAnsi="Arial" w:cs="Arial"/>
          <w:i/>
          <w:iCs/>
          <w:sz w:val="22"/>
          <w:szCs w:val="22"/>
        </w:rPr>
        <w:t>BMJ Global Health</w:t>
      </w:r>
      <w:r w:rsidRPr="002E03B3">
        <w:rPr>
          <w:rFonts w:ascii="Arial" w:hAnsi="Arial" w:cs="Arial"/>
          <w:sz w:val="22"/>
          <w:szCs w:val="22"/>
        </w:rPr>
        <w:t>, 9(</w:t>
      </w:r>
      <w:proofErr w:type="spellStart"/>
      <w:r w:rsidRPr="002E03B3">
        <w:rPr>
          <w:rFonts w:ascii="Arial" w:hAnsi="Arial" w:cs="Arial"/>
          <w:sz w:val="22"/>
          <w:szCs w:val="22"/>
        </w:rPr>
        <w:t>Suppl</w:t>
      </w:r>
      <w:proofErr w:type="spellEnd"/>
      <w:r w:rsidRPr="002E03B3">
        <w:rPr>
          <w:rFonts w:ascii="Arial" w:hAnsi="Arial" w:cs="Arial"/>
          <w:sz w:val="22"/>
          <w:szCs w:val="22"/>
        </w:rPr>
        <w:t xml:space="preserve"> 1)</w:t>
      </w:r>
    </w:p>
    <w:p w14:paraId="454AD8FA" w14:textId="77777777" w:rsidR="00693FAF" w:rsidRPr="002E03B3" w:rsidRDefault="00693FAF" w:rsidP="00693FAF">
      <w:pPr>
        <w:spacing w:line="360" w:lineRule="auto"/>
        <w:ind w:left="720" w:hanging="720"/>
        <w:jc w:val="both"/>
        <w:rPr>
          <w:rFonts w:ascii="Arial" w:hAnsi="Arial" w:cs="Arial"/>
          <w:sz w:val="22"/>
          <w:szCs w:val="22"/>
        </w:rPr>
      </w:pPr>
      <w:r w:rsidRPr="002E03B3">
        <w:rPr>
          <w:rFonts w:ascii="Arial" w:hAnsi="Arial" w:cs="Arial"/>
          <w:sz w:val="22"/>
          <w:szCs w:val="22"/>
        </w:rPr>
        <w:t xml:space="preserve">Wanyana, I., </w:t>
      </w:r>
      <w:proofErr w:type="spellStart"/>
      <w:r w:rsidRPr="002E03B3">
        <w:rPr>
          <w:rFonts w:ascii="Arial" w:hAnsi="Arial" w:cs="Arial"/>
          <w:sz w:val="22"/>
          <w:szCs w:val="22"/>
        </w:rPr>
        <w:t>Helldén</w:t>
      </w:r>
      <w:proofErr w:type="spellEnd"/>
      <w:r w:rsidRPr="002E03B3">
        <w:rPr>
          <w:rFonts w:ascii="Arial" w:hAnsi="Arial" w:cs="Arial"/>
          <w:sz w:val="22"/>
          <w:szCs w:val="22"/>
        </w:rPr>
        <w:t xml:space="preserve">, D., </w:t>
      </w:r>
      <w:proofErr w:type="spellStart"/>
      <w:r w:rsidRPr="002E03B3">
        <w:rPr>
          <w:rFonts w:ascii="Arial" w:hAnsi="Arial" w:cs="Arial"/>
          <w:sz w:val="22"/>
          <w:szCs w:val="22"/>
        </w:rPr>
        <w:t>Ndejjo</w:t>
      </w:r>
      <w:proofErr w:type="spellEnd"/>
      <w:r w:rsidRPr="002E03B3">
        <w:rPr>
          <w:rFonts w:ascii="Arial" w:hAnsi="Arial" w:cs="Arial"/>
          <w:sz w:val="22"/>
          <w:szCs w:val="22"/>
        </w:rPr>
        <w:t xml:space="preserve">, R., Murzabekov, M., Alfven, T., Wanyenze, R.K. and Viberg, N. (2024) Finding linkages between the Sustainable Development Goals in Uganda: a key to attain health and well-being for all. </w:t>
      </w:r>
      <w:r w:rsidRPr="002E03B3">
        <w:rPr>
          <w:rFonts w:ascii="Arial" w:hAnsi="Arial" w:cs="Arial"/>
          <w:i/>
          <w:iCs/>
          <w:sz w:val="22"/>
          <w:szCs w:val="22"/>
        </w:rPr>
        <w:t>BMJ Public Health</w:t>
      </w:r>
      <w:r w:rsidRPr="002E03B3">
        <w:rPr>
          <w:rFonts w:ascii="Arial" w:hAnsi="Arial" w:cs="Arial"/>
          <w:sz w:val="22"/>
          <w:szCs w:val="22"/>
        </w:rPr>
        <w:t>, 2(2)</w:t>
      </w:r>
    </w:p>
    <w:p w14:paraId="55C569E9" w14:textId="201E0002" w:rsidR="00861631" w:rsidRPr="002E03B3" w:rsidRDefault="00861631" w:rsidP="00693FAF">
      <w:pPr>
        <w:spacing w:line="360" w:lineRule="auto"/>
        <w:jc w:val="both"/>
        <w:rPr>
          <w:rFonts w:ascii="Arial" w:hAnsi="Arial" w:cs="Arial"/>
          <w:sz w:val="22"/>
          <w:szCs w:val="22"/>
        </w:rPr>
      </w:pPr>
    </w:p>
    <w:sectPr w:rsidR="00861631" w:rsidRPr="002E03B3" w:rsidSect="00357BE6">
      <w:footerReference w:type="default" r:id="rId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6FFFD" w14:textId="77777777" w:rsidR="008E4417" w:rsidRPr="00693FAF" w:rsidRDefault="008E4417" w:rsidP="00693FAF">
      <w:pPr>
        <w:spacing w:after="0" w:line="240" w:lineRule="auto"/>
      </w:pPr>
      <w:r w:rsidRPr="00693FAF">
        <w:separator/>
      </w:r>
    </w:p>
  </w:endnote>
  <w:endnote w:type="continuationSeparator" w:id="0">
    <w:p w14:paraId="5ECD695B" w14:textId="77777777" w:rsidR="008E4417" w:rsidRPr="00693FAF" w:rsidRDefault="008E4417" w:rsidP="00693FAF">
      <w:pPr>
        <w:spacing w:after="0" w:line="240" w:lineRule="auto"/>
      </w:pPr>
      <w:r w:rsidRPr="00693F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7862467"/>
      <w:docPartObj>
        <w:docPartGallery w:val="Page Numbers (Bottom of Page)"/>
        <w:docPartUnique/>
      </w:docPartObj>
    </w:sdtPr>
    <w:sdtContent>
      <w:p w14:paraId="14D2B1D1" w14:textId="508628FA" w:rsidR="00693FAF" w:rsidRPr="00693FAF" w:rsidRDefault="00693FAF">
        <w:pPr>
          <w:pStyle w:val="Footer"/>
          <w:jc w:val="center"/>
        </w:pPr>
        <w:r w:rsidRPr="00693FAF">
          <w:fldChar w:fldCharType="begin"/>
        </w:r>
        <w:r w:rsidRPr="00693FAF">
          <w:instrText xml:space="preserve"> PAGE   \* MERGEFORMAT </w:instrText>
        </w:r>
        <w:r w:rsidRPr="00693FAF">
          <w:fldChar w:fldCharType="separate"/>
        </w:r>
        <w:r w:rsidRPr="00693FAF">
          <w:t>2</w:t>
        </w:r>
        <w:r w:rsidRPr="00693FAF">
          <w:fldChar w:fldCharType="end"/>
        </w:r>
      </w:p>
    </w:sdtContent>
  </w:sdt>
  <w:p w14:paraId="0BFB2170" w14:textId="77777777" w:rsidR="00693FAF" w:rsidRPr="00693FAF" w:rsidRDefault="00693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2120B" w14:textId="77777777" w:rsidR="008E4417" w:rsidRPr="00693FAF" w:rsidRDefault="008E4417" w:rsidP="00693FAF">
      <w:pPr>
        <w:spacing w:after="0" w:line="240" w:lineRule="auto"/>
      </w:pPr>
      <w:r w:rsidRPr="00693FAF">
        <w:separator/>
      </w:r>
    </w:p>
  </w:footnote>
  <w:footnote w:type="continuationSeparator" w:id="0">
    <w:p w14:paraId="39A2B485" w14:textId="77777777" w:rsidR="008E4417" w:rsidRPr="00693FAF" w:rsidRDefault="008E4417" w:rsidP="00693FAF">
      <w:pPr>
        <w:spacing w:after="0" w:line="240" w:lineRule="auto"/>
      </w:pPr>
      <w:r w:rsidRPr="00693FA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C410D"/>
    <w:multiLevelType w:val="multilevel"/>
    <w:tmpl w:val="B4943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F68C7"/>
    <w:multiLevelType w:val="hybridMultilevel"/>
    <w:tmpl w:val="C8FC1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AD37E7"/>
    <w:multiLevelType w:val="multilevel"/>
    <w:tmpl w:val="8EB645C0"/>
    <w:lvl w:ilvl="0">
      <w:start w:val="1"/>
      <w:numFmt w:val="decimal"/>
      <w:lvlText w:val="%1."/>
      <w:lvlJc w:val="left"/>
      <w:pPr>
        <w:ind w:left="720" w:hanging="360"/>
      </w:pPr>
      <w:rPr>
        <w:rFonts w:hint="default"/>
      </w:rPr>
    </w:lvl>
    <w:lvl w:ilvl="1">
      <w:start w:val="2"/>
      <w:numFmt w:val="decimal"/>
      <w:isLgl/>
      <w:lvlText w:val="%1.%2"/>
      <w:lvlJc w:val="left"/>
      <w:pPr>
        <w:ind w:left="1185" w:hanging="46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374218F5"/>
    <w:multiLevelType w:val="multilevel"/>
    <w:tmpl w:val="455A1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B2514E8"/>
    <w:multiLevelType w:val="hybridMultilevel"/>
    <w:tmpl w:val="8006FD4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952201621">
    <w:abstractNumId w:val="4"/>
  </w:num>
  <w:num w:numId="2" w16cid:durableId="271865115">
    <w:abstractNumId w:val="3"/>
  </w:num>
  <w:num w:numId="3" w16cid:durableId="55277353">
    <w:abstractNumId w:val="0"/>
  </w:num>
  <w:num w:numId="4" w16cid:durableId="132795407">
    <w:abstractNumId w:val="1"/>
  </w:num>
  <w:num w:numId="5" w16cid:durableId="1082604951">
    <w:abstractNumId w:val="2"/>
  </w:num>
  <w:num w:numId="6" w16cid:durableId="3339919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BC"/>
    <w:rsid w:val="000558A6"/>
    <w:rsid w:val="000C24E5"/>
    <w:rsid w:val="000F6FC1"/>
    <w:rsid w:val="00111022"/>
    <w:rsid w:val="00136D03"/>
    <w:rsid w:val="0018116D"/>
    <w:rsid w:val="002C4D1B"/>
    <w:rsid w:val="002E03B3"/>
    <w:rsid w:val="00357BE6"/>
    <w:rsid w:val="003B04B0"/>
    <w:rsid w:val="003C735C"/>
    <w:rsid w:val="004208FD"/>
    <w:rsid w:val="00430E8F"/>
    <w:rsid w:val="00567FAE"/>
    <w:rsid w:val="005A4F8E"/>
    <w:rsid w:val="005C59BC"/>
    <w:rsid w:val="005D7686"/>
    <w:rsid w:val="00640619"/>
    <w:rsid w:val="006718A3"/>
    <w:rsid w:val="00693FAF"/>
    <w:rsid w:val="0084653E"/>
    <w:rsid w:val="00861631"/>
    <w:rsid w:val="008E4417"/>
    <w:rsid w:val="00980901"/>
    <w:rsid w:val="00992B79"/>
    <w:rsid w:val="00A27422"/>
    <w:rsid w:val="00A77D9A"/>
    <w:rsid w:val="00A956B9"/>
    <w:rsid w:val="00B90FE7"/>
    <w:rsid w:val="00BA6602"/>
    <w:rsid w:val="00BD5371"/>
    <w:rsid w:val="00C55059"/>
    <w:rsid w:val="00EA425F"/>
    <w:rsid w:val="00EE207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3240"/>
  <w15:chartTrackingRefBased/>
  <w15:docId w15:val="{3CEFB6FE-3E46-4C9D-AC31-27F9BA6EC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FAF"/>
    <w:rPr>
      <w:lang w:val="en-GB"/>
    </w:rPr>
  </w:style>
  <w:style w:type="paragraph" w:styleId="Heading1">
    <w:name w:val="heading 1"/>
    <w:basedOn w:val="Normal"/>
    <w:next w:val="Normal"/>
    <w:link w:val="Heading1Char"/>
    <w:uiPriority w:val="9"/>
    <w:qFormat/>
    <w:rsid w:val="00693FAF"/>
    <w:pPr>
      <w:keepNext/>
      <w:keepLines/>
      <w:spacing w:before="320" w:after="0" w:line="240" w:lineRule="auto"/>
      <w:outlineLvl w:val="0"/>
    </w:pPr>
    <w:rPr>
      <w:rFonts w:asciiTheme="minorBidi" w:eastAsiaTheme="majorEastAsia" w:hAnsiTheme="minorBidi"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693FAF"/>
    <w:pPr>
      <w:keepNext/>
      <w:keepLines/>
      <w:spacing w:before="80" w:after="0" w:line="240" w:lineRule="auto"/>
      <w:outlineLvl w:val="1"/>
    </w:pPr>
    <w:rPr>
      <w:rFonts w:asciiTheme="minorBidi" w:eastAsiaTheme="majorEastAsia" w:hAnsiTheme="minorBidi" w:cstheme="majorBidi"/>
      <w:b/>
      <w:sz w:val="28"/>
      <w:szCs w:val="28"/>
    </w:rPr>
  </w:style>
  <w:style w:type="paragraph" w:styleId="Heading3">
    <w:name w:val="heading 3"/>
    <w:basedOn w:val="Normal"/>
    <w:next w:val="Normal"/>
    <w:link w:val="Heading3Char"/>
    <w:uiPriority w:val="9"/>
    <w:semiHidden/>
    <w:unhideWhenUsed/>
    <w:qFormat/>
    <w:rsid w:val="00693FA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93FA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93FA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93FA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93FA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93FA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93FA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uiPriority w:val="42"/>
    <w:qFormat/>
    <w:rsid w:val="004208FD"/>
    <w:pPr>
      <w:spacing w:after="0" w:line="240" w:lineRule="auto"/>
    </w:pPr>
    <w:rPr>
      <w:lang w:val="en-GB" w:eastAsia="en-GB"/>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693FAF"/>
    <w:rPr>
      <w:rFonts w:asciiTheme="minorBidi" w:eastAsiaTheme="majorEastAsia" w:hAnsiTheme="minorBidi"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693FAF"/>
    <w:rPr>
      <w:rFonts w:asciiTheme="minorBidi" w:eastAsiaTheme="majorEastAsia" w:hAnsiTheme="minorBidi" w:cstheme="majorBidi"/>
      <w:b/>
      <w:sz w:val="28"/>
      <w:szCs w:val="28"/>
    </w:rPr>
  </w:style>
  <w:style w:type="character" w:customStyle="1" w:styleId="Heading3Char">
    <w:name w:val="Heading 3 Char"/>
    <w:basedOn w:val="DefaultParagraphFont"/>
    <w:link w:val="Heading3"/>
    <w:uiPriority w:val="9"/>
    <w:semiHidden/>
    <w:rsid w:val="00693FA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93FA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93FA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93FA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93FA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93FA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93FAF"/>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693FA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93FA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93FA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93FAF"/>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693FA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93FAF"/>
    <w:rPr>
      <w:i/>
      <w:iCs/>
      <w:color w:val="404040" w:themeColor="text1" w:themeTint="BF"/>
    </w:rPr>
  </w:style>
  <w:style w:type="paragraph" w:styleId="ListParagraph">
    <w:name w:val="List Paragraph"/>
    <w:basedOn w:val="Normal"/>
    <w:uiPriority w:val="34"/>
    <w:qFormat/>
    <w:rsid w:val="005C59BC"/>
    <w:pPr>
      <w:ind w:left="720"/>
      <w:contextualSpacing/>
    </w:pPr>
  </w:style>
  <w:style w:type="character" w:styleId="IntenseEmphasis">
    <w:name w:val="Intense Emphasis"/>
    <w:basedOn w:val="DefaultParagraphFont"/>
    <w:uiPriority w:val="21"/>
    <w:qFormat/>
    <w:rsid w:val="00693FAF"/>
    <w:rPr>
      <w:b/>
      <w:bCs/>
      <w:i/>
      <w:iCs/>
    </w:rPr>
  </w:style>
  <w:style w:type="paragraph" w:styleId="IntenseQuote">
    <w:name w:val="Intense Quote"/>
    <w:basedOn w:val="Normal"/>
    <w:next w:val="Normal"/>
    <w:link w:val="IntenseQuoteChar"/>
    <w:uiPriority w:val="30"/>
    <w:qFormat/>
    <w:rsid w:val="00693FA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93FAF"/>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693FAF"/>
    <w:rPr>
      <w:b/>
      <w:bCs/>
      <w:smallCaps/>
      <w:spacing w:val="5"/>
      <w:u w:val="single"/>
    </w:rPr>
  </w:style>
  <w:style w:type="paragraph" w:styleId="Caption">
    <w:name w:val="caption"/>
    <w:basedOn w:val="Normal"/>
    <w:next w:val="Normal"/>
    <w:uiPriority w:val="35"/>
    <w:semiHidden/>
    <w:unhideWhenUsed/>
    <w:qFormat/>
    <w:rsid w:val="00693FAF"/>
    <w:pPr>
      <w:spacing w:line="240" w:lineRule="auto"/>
    </w:pPr>
    <w:rPr>
      <w:b/>
      <w:bCs/>
      <w:smallCaps/>
      <w:color w:val="595959" w:themeColor="text1" w:themeTint="A6"/>
      <w:spacing w:val="6"/>
    </w:rPr>
  </w:style>
  <w:style w:type="character" w:styleId="Strong">
    <w:name w:val="Strong"/>
    <w:basedOn w:val="DefaultParagraphFont"/>
    <w:uiPriority w:val="22"/>
    <w:qFormat/>
    <w:rsid w:val="00693FAF"/>
    <w:rPr>
      <w:b/>
      <w:bCs/>
    </w:rPr>
  </w:style>
  <w:style w:type="character" w:styleId="Emphasis">
    <w:name w:val="Emphasis"/>
    <w:basedOn w:val="DefaultParagraphFont"/>
    <w:uiPriority w:val="20"/>
    <w:qFormat/>
    <w:rsid w:val="00693FAF"/>
    <w:rPr>
      <w:i/>
      <w:iCs/>
    </w:rPr>
  </w:style>
  <w:style w:type="paragraph" w:styleId="NoSpacing">
    <w:name w:val="No Spacing"/>
    <w:uiPriority w:val="1"/>
    <w:qFormat/>
    <w:rsid w:val="00693FAF"/>
    <w:pPr>
      <w:spacing w:after="0" w:line="240" w:lineRule="auto"/>
    </w:pPr>
  </w:style>
  <w:style w:type="character" w:styleId="SubtleEmphasis">
    <w:name w:val="Subtle Emphasis"/>
    <w:basedOn w:val="DefaultParagraphFont"/>
    <w:uiPriority w:val="19"/>
    <w:qFormat/>
    <w:rsid w:val="00693FAF"/>
    <w:rPr>
      <w:i/>
      <w:iCs/>
      <w:color w:val="404040" w:themeColor="text1" w:themeTint="BF"/>
    </w:rPr>
  </w:style>
  <w:style w:type="character" w:styleId="SubtleReference">
    <w:name w:val="Subtle Reference"/>
    <w:basedOn w:val="DefaultParagraphFont"/>
    <w:uiPriority w:val="31"/>
    <w:qFormat/>
    <w:rsid w:val="00693FAF"/>
    <w:rPr>
      <w:smallCaps/>
      <w:color w:val="404040" w:themeColor="text1" w:themeTint="BF"/>
      <w:u w:val="single" w:color="7F7F7F" w:themeColor="text1" w:themeTint="80"/>
    </w:rPr>
  </w:style>
  <w:style w:type="character" w:styleId="BookTitle">
    <w:name w:val="Book Title"/>
    <w:basedOn w:val="DefaultParagraphFont"/>
    <w:uiPriority w:val="33"/>
    <w:qFormat/>
    <w:rsid w:val="00693FAF"/>
    <w:rPr>
      <w:b/>
      <w:bCs/>
      <w:smallCaps/>
    </w:rPr>
  </w:style>
  <w:style w:type="paragraph" w:styleId="TOCHeading">
    <w:name w:val="TOC Heading"/>
    <w:basedOn w:val="Heading1"/>
    <w:next w:val="Normal"/>
    <w:uiPriority w:val="39"/>
    <w:unhideWhenUsed/>
    <w:qFormat/>
    <w:rsid w:val="00693FAF"/>
    <w:pPr>
      <w:outlineLvl w:val="9"/>
    </w:pPr>
  </w:style>
  <w:style w:type="paragraph" w:styleId="Header">
    <w:name w:val="header"/>
    <w:basedOn w:val="Normal"/>
    <w:link w:val="HeaderChar"/>
    <w:uiPriority w:val="99"/>
    <w:unhideWhenUsed/>
    <w:rsid w:val="00693F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3FAF"/>
  </w:style>
  <w:style w:type="paragraph" w:styleId="Footer">
    <w:name w:val="footer"/>
    <w:basedOn w:val="Normal"/>
    <w:link w:val="FooterChar"/>
    <w:uiPriority w:val="99"/>
    <w:unhideWhenUsed/>
    <w:rsid w:val="00693F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FAF"/>
  </w:style>
  <w:style w:type="paragraph" w:styleId="TOC1">
    <w:name w:val="toc 1"/>
    <w:basedOn w:val="Normal"/>
    <w:next w:val="Normal"/>
    <w:autoRedefine/>
    <w:uiPriority w:val="39"/>
    <w:unhideWhenUsed/>
    <w:rsid w:val="000558A6"/>
    <w:pPr>
      <w:spacing w:after="100"/>
    </w:pPr>
  </w:style>
  <w:style w:type="paragraph" w:styleId="TOC2">
    <w:name w:val="toc 2"/>
    <w:basedOn w:val="Normal"/>
    <w:next w:val="Normal"/>
    <w:autoRedefine/>
    <w:uiPriority w:val="39"/>
    <w:unhideWhenUsed/>
    <w:rsid w:val="000558A6"/>
    <w:pPr>
      <w:spacing w:after="100"/>
      <w:ind w:left="200"/>
    </w:pPr>
  </w:style>
  <w:style w:type="character" w:styleId="Hyperlink">
    <w:name w:val="Hyperlink"/>
    <w:basedOn w:val="DefaultParagraphFont"/>
    <w:uiPriority w:val="99"/>
    <w:unhideWhenUsed/>
    <w:rsid w:val="000558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611023-1307-4054-B0B5-A8EAF6062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2870</Words>
  <Characters>16363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Osagyefo Amoh</cp:lastModifiedBy>
  <cp:revision>15</cp:revision>
  <dcterms:created xsi:type="dcterms:W3CDTF">2026-03-08T06:13:00Z</dcterms:created>
  <dcterms:modified xsi:type="dcterms:W3CDTF">2026-03-16T14:45:00Z</dcterms:modified>
</cp:coreProperties>
</file>