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3DA98BE8" w14:textId="77777777" w:rsidR="00115DD3" w:rsidRDefault="00115DD3">
      <w:pPr>
        <w:pStyle w:val="Title"/>
      </w:pPr>
      <w:bookmarkStart w:id="0" w:name="_heading=h.ftogmgx68fi" w:colFirst="0" w:colLast="0"/>
      <w:bookmarkEnd w:id="0"/>
    </w:p>
    <w:p w14:paraId="2C691F4B" w14:textId="77777777" w:rsidR="00115DD3" w:rsidRDefault="00000000">
      <w:pPr>
        <w:pStyle w:val="Title"/>
        <w:spacing w:before="240" w:after="240"/>
      </w:pPr>
      <w:r>
        <w:t>Module Code: BMHP6026</w:t>
      </w:r>
    </w:p>
    <w:p w14:paraId="57E25C2F" w14:textId="77777777" w:rsidR="00115DD3" w:rsidRDefault="00000000">
      <w:pPr>
        <w:pStyle w:val="Title"/>
        <w:spacing w:before="240" w:after="240"/>
      </w:pPr>
      <w:r>
        <w:t>Module: Digital Transformation in the Health and Care Professions</w:t>
      </w:r>
    </w:p>
    <w:p w14:paraId="21F74C0C" w14:textId="77777777" w:rsidR="00115DD3" w:rsidRDefault="00000000">
      <w:pPr>
        <w:pStyle w:val="Title"/>
        <w:spacing w:before="240" w:after="240"/>
      </w:pPr>
      <w:r>
        <w:t xml:space="preserve"> </w:t>
      </w:r>
    </w:p>
    <w:p w14:paraId="272D1B16" w14:textId="77777777" w:rsidR="00115DD3" w:rsidRDefault="00000000">
      <w:pPr>
        <w:pStyle w:val="Title"/>
        <w:spacing w:before="240" w:after="240"/>
      </w:pPr>
      <w:r>
        <w:t>Component 2: Viva Voice</w:t>
      </w:r>
    </w:p>
    <w:p w14:paraId="0874F3B6" w14:textId="77777777" w:rsidR="00115DD3" w:rsidRDefault="00000000">
      <w:pPr>
        <w:pStyle w:val="Title"/>
        <w:spacing w:before="240" w:after="240"/>
      </w:pPr>
      <w:r>
        <w:t xml:space="preserve"> </w:t>
      </w:r>
    </w:p>
    <w:p w14:paraId="09B642FF" w14:textId="77777777" w:rsidR="00115DD3" w:rsidRDefault="00000000">
      <w:pPr>
        <w:pStyle w:val="Title"/>
        <w:spacing w:before="240" w:after="240"/>
      </w:pPr>
      <w:r>
        <w:t xml:space="preserve">Assessment title: Digital Transformation in </w:t>
      </w:r>
      <w:proofErr w:type="gramStart"/>
      <w:r>
        <w:t>the Health</w:t>
      </w:r>
      <w:proofErr w:type="gramEnd"/>
      <w:r>
        <w:t xml:space="preserve"> and Care</w:t>
      </w:r>
    </w:p>
    <w:p w14:paraId="3034D4C1" w14:textId="77777777" w:rsidR="00115DD3" w:rsidRDefault="00000000">
      <w:pPr>
        <w:pStyle w:val="Title"/>
        <w:spacing w:before="240" w:after="240"/>
      </w:pPr>
      <w:r>
        <w:t xml:space="preserve"> </w:t>
      </w:r>
    </w:p>
    <w:p w14:paraId="75D2B8B7" w14:textId="77777777" w:rsidR="00115DD3" w:rsidRDefault="00000000">
      <w:pPr>
        <w:pStyle w:val="Title"/>
        <w:spacing w:before="240" w:after="240"/>
      </w:pPr>
      <w:r>
        <w:t>Lecturer’s Name: Martin Svejda</w:t>
      </w:r>
    </w:p>
    <w:p w14:paraId="3005450F" w14:textId="77777777" w:rsidR="00115DD3" w:rsidRDefault="00000000">
      <w:pPr>
        <w:pStyle w:val="Title"/>
        <w:spacing w:before="240" w:after="240"/>
      </w:pPr>
      <w:r>
        <w:t xml:space="preserve"> </w:t>
      </w:r>
    </w:p>
    <w:p w14:paraId="55371E99" w14:textId="77777777" w:rsidR="00115DD3" w:rsidRDefault="00000000">
      <w:pPr>
        <w:pStyle w:val="Title"/>
        <w:spacing w:before="240" w:after="240"/>
      </w:pPr>
      <w:bookmarkStart w:id="1" w:name="_heading=h.aqsvy5r4b6yu" w:colFirst="0" w:colLast="0"/>
      <w:bookmarkEnd w:id="1"/>
      <w:r>
        <w:t>Student Name: Dorothy Tweneboah</w:t>
      </w:r>
    </w:p>
    <w:p w14:paraId="3E9DBEBB" w14:textId="77777777" w:rsidR="00115DD3" w:rsidRDefault="00000000">
      <w:pPr>
        <w:pStyle w:val="Title"/>
        <w:spacing w:before="240" w:after="240"/>
      </w:pPr>
      <w:bookmarkStart w:id="2" w:name="_heading=h.4737g5qc81yx" w:colFirst="0" w:colLast="0"/>
      <w:bookmarkEnd w:id="2"/>
      <w:r>
        <w:t>Student ID: 2314173</w:t>
      </w:r>
    </w:p>
    <w:p w14:paraId="44AADC08" w14:textId="77777777" w:rsidR="00115DD3" w:rsidRDefault="00115DD3">
      <w:pPr>
        <w:pStyle w:val="Subtitle"/>
      </w:pPr>
      <w:bookmarkStart w:id="3" w:name="_heading=h.qpi1rsbjlnut" w:colFirst="0" w:colLast="0"/>
      <w:bookmarkEnd w:id="3"/>
    </w:p>
    <w:p w14:paraId="69C7FF69" w14:textId="77777777" w:rsidR="00115DD3" w:rsidRDefault="00000000">
      <w:pPr>
        <w:keepNext/>
        <w:keepLines/>
        <w:pBdr>
          <w:top w:val="nil"/>
          <w:left w:val="nil"/>
          <w:bottom w:val="nil"/>
          <w:right w:val="nil"/>
          <w:between w:val="nil"/>
        </w:pBdr>
        <w:spacing w:before="240" w:after="0" w:line="259" w:lineRule="auto"/>
        <w:jc w:val="center"/>
        <w:rPr>
          <w:b/>
          <w:color w:val="366091"/>
          <w:sz w:val="32"/>
          <w:szCs w:val="32"/>
        </w:rPr>
      </w:pPr>
      <w:bookmarkStart w:id="4" w:name="_heading=h.juloq0eqg3ua" w:colFirst="0" w:colLast="0"/>
      <w:bookmarkEnd w:id="4"/>
      <w:r>
        <w:rPr>
          <w:b/>
          <w:color w:val="366091"/>
          <w:sz w:val="32"/>
          <w:szCs w:val="32"/>
        </w:rPr>
        <w:lastRenderedPageBreak/>
        <w:t>Table of Contents</w:t>
      </w:r>
    </w:p>
    <w:sdt>
      <w:sdtPr>
        <w:id w:val="-869673069"/>
        <w:docPartObj>
          <w:docPartGallery w:val="Table of Contents"/>
          <w:docPartUnique/>
        </w:docPartObj>
      </w:sdtPr>
      <w:sdtContent>
        <w:p w14:paraId="389E5D8D" w14:textId="77777777" w:rsidR="00115DD3" w:rsidRDefault="00000000">
          <w:pPr>
            <w:pBdr>
              <w:top w:val="nil"/>
              <w:left w:val="nil"/>
              <w:bottom w:val="nil"/>
              <w:right w:val="nil"/>
              <w:between w:val="nil"/>
            </w:pBdr>
            <w:tabs>
              <w:tab w:val="right" w:leader="dot" w:pos="9350"/>
            </w:tabs>
            <w:spacing w:after="100"/>
            <w:rPr>
              <w:color w:val="000000"/>
            </w:rPr>
          </w:pPr>
          <w:r>
            <w:fldChar w:fldCharType="begin"/>
          </w:r>
          <w:r>
            <w:instrText xml:space="preserve"> TOC \h \u \z \t "Heading 1,1,Heading 2,2,Heading 3,3,"</w:instrText>
          </w:r>
          <w:r>
            <w:fldChar w:fldCharType="separate"/>
          </w:r>
          <w:hyperlink w:anchor="_heading=h.7f6m4rctmj5g">
            <w:r>
              <w:rPr>
                <w:color w:val="000000"/>
              </w:rPr>
              <w:t>Slide 1: Content Slide</w:t>
            </w:r>
            <w:r>
              <w:rPr>
                <w:color w:val="000000"/>
              </w:rPr>
              <w:tab/>
              <w:t>3</w:t>
            </w:r>
          </w:hyperlink>
        </w:p>
        <w:p w14:paraId="2E77AE1C" w14:textId="77777777" w:rsidR="00115DD3" w:rsidRDefault="00000000">
          <w:pPr>
            <w:pBdr>
              <w:top w:val="nil"/>
              <w:left w:val="nil"/>
              <w:bottom w:val="nil"/>
              <w:right w:val="nil"/>
              <w:between w:val="nil"/>
            </w:pBdr>
            <w:tabs>
              <w:tab w:val="right" w:leader="dot" w:pos="9350"/>
            </w:tabs>
            <w:spacing w:after="100"/>
            <w:rPr>
              <w:color w:val="000000"/>
            </w:rPr>
          </w:pPr>
          <w:hyperlink w:anchor="_heading=h.85y9x9p9klio">
            <w:r>
              <w:rPr>
                <w:color w:val="000000"/>
              </w:rPr>
              <w:t>Slide 2   Aim and innovation</w:t>
            </w:r>
            <w:r>
              <w:rPr>
                <w:color w:val="000000"/>
              </w:rPr>
              <w:tab/>
              <w:t>3</w:t>
            </w:r>
          </w:hyperlink>
        </w:p>
        <w:p w14:paraId="405F3161" w14:textId="77777777" w:rsidR="00115DD3" w:rsidRDefault="00000000">
          <w:pPr>
            <w:pBdr>
              <w:top w:val="nil"/>
              <w:left w:val="nil"/>
              <w:bottom w:val="nil"/>
              <w:right w:val="nil"/>
              <w:between w:val="nil"/>
            </w:pBdr>
            <w:tabs>
              <w:tab w:val="right" w:leader="dot" w:pos="9350"/>
            </w:tabs>
            <w:spacing w:after="100"/>
            <w:rPr>
              <w:color w:val="000000"/>
            </w:rPr>
          </w:pPr>
          <w:hyperlink w:anchor="_heading=h.isqu181tf6iq">
            <w:r>
              <w:rPr>
                <w:color w:val="000000"/>
              </w:rPr>
              <w:t>Slide 3   Methods and evidence</w:t>
            </w:r>
            <w:r>
              <w:rPr>
                <w:color w:val="000000"/>
              </w:rPr>
              <w:tab/>
              <w:t>3</w:t>
            </w:r>
          </w:hyperlink>
        </w:p>
        <w:p w14:paraId="1EF61B79" w14:textId="77777777" w:rsidR="00115DD3" w:rsidRDefault="00000000">
          <w:pPr>
            <w:pBdr>
              <w:top w:val="nil"/>
              <w:left w:val="nil"/>
              <w:bottom w:val="nil"/>
              <w:right w:val="nil"/>
              <w:between w:val="nil"/>
            </w:pBdr>
            <w:tabs>
              <w:tab w:val="right" w:leader="dot" w:pos="9350"/>
            </w:tabs>
            <w:spacing w:after="100"/>
            <w:rPr>
              <w:color w:val="000000"/>
            </w:rPr>
          </w:pPr>
          <w:hyperlink w:anchor="_heading=h.23thpeqwbao5">
            <w:r>
              <w:rPr>
                <w:color w:val="000000"/>
              </w:rPr>
              <w:t>Slide 4   Workforce impacts</w:t>
            </w:r>
            <w:r>
              <w:rPr>
                <w:color w:val="000000"/>
              </w:rPr>
              <w:tab/>
              <w:t>4</w:t>
            </w:r>
          </w:hyperlink>
        </w:p>
        <w:p w14:paraId="6288C480" w14:textId="77777777" w:rsidR="00115DD3" w:rsidRDefault="00000000">
          <w:pPr>
            <w:pBdr>
              <w:top w:val="nil"/>
              <w:left w:val="nil"/>
              <w:bottom w:val="nil"/>
              <w:right w:val="nil"/>
              <w:between w:val="nil"/>
            </w:pBdr>
            <w:tabs>
              <w:tab w:val="right" w:leader="dot" w:pos="9350"/>
            </w:tabs>
            <w:spacing w:after="100"/>
            <w:rPr>
              <w:color w:val="000000"/>
            </w:rPr>
          </w:pPr>
          <w:hyperlink w:anchor="_heading=h.nfihlpg4ejg2">
            <w:r>
              <w:rPr>
                <w:color w:val="000000"/>
              </w:rPr>
              <w:t>Slide 5   Service delivery impacts</w:t>
            </w:r>
            <w:r>
              <w:rPr>
                <w:color w:val="000000"/>
              </w:rPr>
              <w:tab/>
              <w:t>5</w:t>
            </w:r>
          </w:hyperlink>
        </w:p>
        <w:p w14:paraId="33E750A5" w14:textId="77777777" w:rsidR="00115DD3" w:rsidRDefault="00000000">
          <w:pPr>
            <w:pBdr>
              <w:top w:val="nil"/>
              <w:left w:val="nil"/>
              <w:bottom w:val="nil"/>
              <w:right w:val="nil"/>
              <w:between w:val="nil"/>
            </w:pBdr>
            <w:tabs>
              <w:tab w:val="right" w:leader="dot" w:pos="9350"/>
            </w:tabs>
            <w:spacing w:after="100"/>
            <w:rPr>
              <w:color w:val="000000"/>
            </w:rPr>
          </w:pPr>
          <w:hyperlink w:anchor="_heading=h.vdowjtusc7wl">
            <w:r>
              <w:rPr>
                <w:color w:val="000000"/>
              </w:rPr>
              <w:t>Slide 6   Patient/service user impacts</w:t>
            </w:r>
            <w:r>
              <w:rPr>
                <w:color w:val="000000"/>
              </w:rPr>
              <w:tab/>
              <w:t>5</w:t>
            </w:r>
          </w:hyperlink>
        </w:p>
        <w:p w14:paraId="4C0DA43B" w14:textId="77777777" w:rsidR="00115DD3" w:rsidRDefault="00000000">
          <w:pPr>
            <w:pBdr>
              <w:top w:val="nil"/>
              <w:left w:val="nil"/>
              <w:bottom w:val="nil"/>
              <w:right w:val="nil"/>
              <w:between w:val="nil"/>
            </w:pBdr>
            <w:tabs>
              <w:tab w:val="right" w:leader="dot" w:pos="9350"/>
            </w:tabs>
            <w:spacing w:after="100"/>
            <w:rPr>
              <w:color w:val="000000"/>
            </w:rPr>
          </w:pPr>
          <w:hyperlink w:anchor="_heading=h.2hofz6ebq3fv">
            <w:r>
              <w:rPr>
                <w:color w:val="000000"/>
              </w:rPr>
              <w:t>Slide 7   Community impacts</w:t>
            </w:r>
            <w:r>
              <w:rPr>
                <w:color w:val="000000"/>
              </w:rPr>
              <w:tab/>
              <w:t>7</w:t>
            </w:r>
          </w:hyperlink>
        </w:p>
        <w:p w14:paraId="4262408D" w14:textId="77777777" w:rsidR="00115DD3" w:rsidRDefault="00000000">
          <w:pPr>
            <w:pBdr>
              <w:top w:val="nil"/>
              <w:left w:val="nil"/>
              <w:bottom w:val="nil"/>
              <w:right w:val="nil"/>
              <w:between w:val="nil"/>
            </w:pBdr>
            <w:tabs>
              <w:tab w:val="right" w:leader="dot" w:pos="9350"/>
            </w:tabs>
            <w:spacing w:after="100"/>
            <w:rPr>
              <w:color w:val="000000"/>
            </w:rPr>
          </w:pPr>
          <w:hyperlink w:anchor="_heading=h.cb78ulhmilaw">
            <w:r>
              <w:rPr>
                <w:color w:val="000000"/>
              </w:rPr>
              <w:t>Slide 8   Cross</w:t>
            </w:r>
          </w:hyperlink>
          <w:hyperlink w:anchor="_heading=h.cb78ulhmilaw">
            <w:r>
              <w:rPr>
                <w:rFonts w:ascii="Cambria Math" w:eastAsia="Cambria Math" w:hAnsi="Cambria Math" w:cs="Cambria Math"/>
                <w:color w:val="000000"/>
              </w:rPr>
              <w:t>‑</w:t>
            </w:r>
          </w:hyperlink>
          <w:hyperlink w:anchor="_heading=h.cb78ulhmilaw">
            <w:r>
              <w:rPr>
                <w:color w:val="000000"/>
              </w:rPr>
              <w:t>cutting risks and governance</w:t>
            </w:r>
            <w:r>
              <w:rPr>
                <w:color w:val="000000"/>
              </w:rPr>
              <w:tab/>
              <w:t>7</w:t>
            </w:r>
          </w:hyperlink>
        </w:p>
        <w:p w14:paraId="4E534840" w14:textId="77777777" w:rsidR="00115DD3" w:rsidRDefault="00000000">
          <w:pPr>
            <w:pBdr>
              <w:top w:val="nil"/>
              <w:left w:val="nil"/>
              <w:bottom w:val="nil"/>
              <w:right w:val="nil"/>
              <w:between w:val="nil"/>
            </w:pBdr>
            <w:tabs>
              <w:tab w:val="right" w:leader="dot" w:pos="9350"/>
            </w:tabs>
            <w:spacing w:after="100"/>
            <w:rPr>
              <w:color w:val="000000"/>
            </w:rPr>
          </w:pPr>
          <w:hyperlink w:anchor="_heading=h.h130jva1tuzg">
            <w:r>
              <w:rPr>
                <w:color w:val="000000"/>
              </w:rPr>
              <w:t>Slide 9   Recommendations</w:t>
            </w:r>
            <w:r>
              <w:rPr>
                <w:color w:val="000000"/>
              </w:rPr>
              <w:tab/>
              <w:t>8</w:t>
            </w:r>
          </w:hyperlink>
        </w:p>
        <w:p w14:paraId="6C078FB8" w14:textId="77777777" w:rsidR="00115DD3" w:rsidRDefault="00000000">
          <w:pPr>
            <w:pBdr>
              <w:top w:val="nil"/>
              <w:left w:val="nil"/>
              <w:bottom w:val="nil"/>
              <w:right w:val="nil"/>
              <w:between w:val="nil"/>
            </w:pBdr>
            <w:tabs>
              <w:tab w:val="right" w:leader="dot" w:pos="9350"/>
            </w:tabs>
            <w:spacing w:after="100"/>
            <w:rPr>
              <w:color w:val="000000"/>
            </w:rPr>
          </w:pPr>
          <w:hyperlink w:anchor="_heading=h.4pxq64ua0wcv">
            <w:r>
              <w:rPr>
                <w:color w:val="000000"/>
              </w:rPr>
              <w:t>Slide 10   Conclusion and LO mapping</w:t>
            </w:r>
            <w:r>
              <w:rPr>
                <w:color w:val="000000"/>
              </w:rPr>
              <w:tab/>
              <w:t>9</w:t>
            </w:r>
          </w:hyperlink>
        </w:p>
        <w:p w14:paraId="79218931" w14:textId="77777777" w:rsidR="00115DD3" w:rsidRDefault="00000000">
          <w:pPr>
            <w:pBdr>
              <w:top w:val="nil"/>
              <w:left w:val="nil"/>
              <w:bottom w:val="nil"/>
              <w:right w:val="nil"/>
              <w:between w:val="nil"/>
            </w:pBdr>
            <w:tabs>
              <w:tab w:val="right" w:leader="dot" w:pos="9350"/>
            </w:tabs>
            <w:spacing w:after="100"/>
            <w:rPr>
              <w:color w:val="000000"/>
            </w:rPr>
          </w:pPr>
          <w:hyperlink w:anchor="_heading=h.x78jxofkh4p8">
            <w:r>
              <w:rPr>
                <w:color w:val="000000"/>
              </w:rPr>
              <w:t>Slide 11: References</w:t>
            </w:r>
            <w:r>
              <w:rPr>
                <w:color w:val="000000"/>
              </w:rPr>
              <w:tab/>
              <w:t>10</w:t>
            </w:r>
          </w:hyperlink>
        </w:p>
        <w:p w14:paraId="169906AD" w14:textId="77777777" w:rsidR="00115DD3" w:rsidRDefault="00000000">
          <w:r>
            <w:fldChar w:fldCharType="end"/>
          </w:r>
        </w:p>
      </w:sdtContent>
    </w:sdt>
    <w:p w14:paraId="07A1E7A7" w14:textId="77777777" w:rsidR="00115DD3" w:rsidRDefault="00000000">
      <w:pPr>
        <w:pStyle w:val="Heading1"/>
        <w:keepNext w:val="0"/>
        <w:keepLines w:val="0"/>
        <w:spacing w:after="80"/>
      </w:pPr>
      <w:r>
        <w:br w:type="page"/>
      </w:r>
    </w:p>
    <w:p w14:paraId="6940AC1C" w14:textId="77777777" w:rsidR="00115DD3" w:rsidRDefault="00000000">
      <w:pPr>
        <w:pStyle w:val="Heading1"/>
        <w:keepNext w:val="0"/>
        <w:keepLines w:val="0"/>
        <w:spacing w:after="80"/>
      </w:pPr>
      <w:bookmarkStart w:id="5" w:name="_heading=h.7f6m4rctmj5g" w:colFirst="0" w:colLast="0"/>
      <w:bookmarkEnd w:id="5"/>
      <w:r>
        <w:lastRenderedPageBreak/>
        <w:t>Slide 1: Content Slide</w:t>
      </w:r>
    </w:p>
    <w:p w14:paraId="7117A215" w14:textId="77777777" w:rsidR="00115DD3" w:rsidRDefault="00000000">
      <w:r>
        <w:rPr>
          <w:noProof/>
        </w:rPr>
        <w:drawing>
          <wp:inline distT="0" distB="0" distL="0" distR="0" wp14:anchorId="4B409F30" wp14:editId="0927BF72">
            <wp:extent cx="5943600" cy="3339465"/>
            <wp:effectExtent l="0" t="0" r="0" b="0"/>
            <wp:docPr id="201434690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3339465"/>
                    </a:xfrm>
                    <a:prstGeom prst="rect">
                      <a:avLst/>
                    </a:prstGeom>
                    <a:ln/>
                  </pic:spPr>
                </pic:pic>
              </a:graphicData>
            </a:graphic>
          </wp:inline>
        </w:drawing>
      </w:r>
    </w:p>
    <w:p w14:paraId="32B1FFC2" w14:textId="77777777" w:rsidR="00115DD3" w:rsidRDefault="00000000">
      <w:pPr>
        <w:spacing w:after="0"/>
        <w:jc w:val="left"/>
        <w:rPr>
          <w:b/>
        </w:rPr>
      </w:pPr>
      <w:r>
        <w:rPr>
          <w:b/>
        </w:rPr>
        <w:t>Speaker notes</w:t>
      </w:r>
    </w:p>
    <w:p w14:paraId="71AD8054" w14:textId="77777777" w:rsidR="00115DD3" w:rsidRDefault="00000000">
      <w:r>
        <w:t xml:space="preserve">This presentation </w:t>
      </w:r>
      <w:proofErr w:type="spellStart"/>
      <w:r>
        <w:t>summarises</w:t>
      </w:r>
      <w:proofErr w:type="spellEnd"/>
      <w:r>
        <w:t xml:space="preserve"> findings on the NHS App’s implementation and impacts across stakeholders, drawing on NHS England operational data and qualitative research to balance benefits with risks and equity considerations (NHS England, 2024; Reidy </w:t>
      </w:r>
      <w:r>
        <w:rPr>
          <w:i/>
        </w:rPr>
        <w:t>et al</w:t>
      </w:r>
      <w:r>
        <w:t>., 2025). It highlights how usage at national scale interacts with workflows, access, and user experience, while acknowledging variation by local configuration and pathway maturity (NHS England, 2024).</w:t>
      </w:r>
    </w:p>
    <w:p w14:paraId="282101F7" w14:textId="77777777" w:rsidR="00115DD3" w:rsidRDefault="00000000">
      <w:pPr>
        <w:rPr>
          <w:b/>
        </w:rPr>
      </w:pPr>
      <w:bookmarkStart w:id="6" w:name="_heading=h.85y9x9p9klio" w:colFirst="0" w:colLast="0"/>
      <w:bookmarkEnd w:id="6"/>
      <w:r>
        <w:br w:type="page"/>
      </w:r>
    </w:p>
    <w:p w14:paraId="1555267E" w14:textId="77777777" w:rsidR="00115DD3" w:rsidRDefault="00000000">
      <w:pPr>
        <w:pStyle w:val="Heading1"/>
        <w:keepNext w:val="0"/>
        <w:keepLines w:val="0"/>
        <w:spacing w:after="80"/>
      </w:pPr>
      <w:r>
        <w:lastRenderedPageBreak/>
        <w:t>Slide 2   Aim and innovation</w:t>
      </w:r>
    </w:p>
    <w:p w14:paraId="7EB2675E" w14:textId="77777777" w:rsidR="00115DD3" w:rsidRDefault="00000000">
      <w:r>
        <w:rPr>
          <w:noProof/>
        </w:rPr>
        <w:drawing>
          <wp:inline distT="0" distB="0" distL="0" distR="0" wp14:anchorId="54E82512" wp14:editId="68E30744">
            <wp:extent cx="5943600" cy="3345180"/>
            <wp:effectExtent l="0" t="0" r="0" b="0"/>
            <wp:docPr id="2014346905" name="image5.png" descr="A close-up of a timeline&#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5.png" descr="A close-up of a timeline&#10;&#10;AI-generated content may be incorrect."/>
                    <pic:cNvPicPr preferRelativeResize="0"/>
                  </pic:nvPicPr>
                  <pic:blipFill>
                    <a:blip r:embed="rId8"/>
                    <a:srcRect/>
                    <a:stretch>
                      <a:fillRect/>
                    </a:stretch>
                  </pic:blipFill>
                  <pic:spPr>
                    <a:xfrm>
                      <a:off x="0" y="0"/>
                      <a:ext cx="5943600" cy="3345180"/>
                    </a:xfrm>
                    <a:prstGeom prst="rect">
                      <a:avLst/>
                    </a:prstGeom>
                    <a:ln/>
                  </pic:spPr>
                </pic:pic>
              </a:graphicData>
            </a:graphic>
          </wp:inline>
        </w:drawing>
      </w:r>
    </w:p>
    <w:p w14:paraId="1D3478D0" w14:textId="77777777" w:rsidR="00115DD3" w:rsidRDefault="00000000">
      <w:pPr>
        <w:spacing w:after="0"/>
        <w:jc w:val="left"/>
        <w:rPr>
          <w:b/>
        </w:rPr>
      </w:pPr>
      <w:r>
        <w:rPr>
          <w:b/>
        </w:rPr>
        <w:t>Speaker notes</w:t>
      </w:r>
    </w:p>
    <w:p w14:paraId="010B7A30" w14:textId="77777777" w:rsidR="00115DD3" w:rsidRDefault="00000000">
      <w:r>
        <w:t>The evaluation examines both benefits and trade</w:t>
      </w:r>
      <w:r>
        <w:rPr>
          <w:rFonts w:ascii="Cambria Math" w:eastAsia="Cambria Math" w:hAnsi="Cambria Math" w:cs="Cambria Math"/>
        </w:rPr>
        <w:t>‑</w:t>
      </w:r>
      <w:r>
        <w:t>offs of a mobile</w:t>
      </w:r>
      <w:r>
        <w:rPr>
          <w:rFonts w:ascii="Cambria Math" w:eastAsia="Cambria Math" w:hAnsi="Cambria Math" w:cs="Cambria Math"/>
        </w:rPr>
        <w:t>‑</w:t>
      </w:r>
      <w:r>
        <w:t>first access model, using recent operational updates and peer</w:t>
      </w:r>
      <w:r>
        <w:rPr>
          <w:rFonts w:ascii="Cambria Math" w:eastAsia="Cambria Math" w:hAnsi="Cambria Math" w:cs="Cambria Math"/>
        </w:rPr>
        <w:t>‑</w:t>
      </w:r>
      <w:r>
        <w:t xml:space="preserve">reviewed evidence to support claims and identify uncertainties (NHS England, 2024; Reidy </w:t>
      </w:r>
      <w:r>
        <w:rPr>
          <w:i/>
        </w:rPr>
        <w:t>et al</w:t>
      </w:r>
      <w:r>
        <w:t>., 2025). Stakeholder impacts are appraised with attention to adoption, usability, workflow alignment, and variation in real</w:t>
      </w:r>
      <w:r>
        <w:rPr>
          <w:rFonts w:ascii="Cambria Math" w:eastAsia="Cambria Math" w:hAnsi="Cambria Math" w:cs="Cambria Math"/>
        </w:rPr>
        <w:t>‑</w:t>
      </w:r>
      <w:r>
        <w:t>world implementation across regions and settings (NHS England, 2024).</w:t>
      </w:r>
    </w:p>
    <w:p w14:paraId="305B46E0" w14:textId="77777777" w:rsidR="00115DD3" w:rsidRDefault="00000000">
      <w:pPr>
        <w:rPr>
          <w:b/>
        </w:rPr>
      </w:pPr>
      <w:bookmarkStart w:id="7" w:name="_heading=h.isqu181tf6iq" w:colFirst="0" w:colLast="0"/>
      <w:bookmarkEnd w:id="7"/>
      <w:r>
        <w:br w:type="page"/>
      </w:r>
    </w:p>
    <w:p w14:paraId="38BAC523" w14:textId="77777777" w:rsidR="00115DD3" w:rsidRDefault="00000000">
      <w:pPr>
        <w:pStyle w:val="Heading1"/>
        <w:keepNext w:val="0"/>
        <w:keepLines w:val="0"/>
        <w:spacing w:after="80"/>
      </w:pPr>
      <w:r>
        <w:lastRenderedPageBreak/>
        <w:t xml:space="preserve">Slide 3   Methods and evidence </w:t>
      </w:r>
    </w:p>
    <w:p w14:paraId="702992CF" w14:textId="77777777" w:rsidR="00115DD3" w:rsidRDefault="00000000">
      <w:r>
        <w:rPr>
          <w:noProof/>
        </w:rPr>
        <w:drawing>
          <wp:inline distT="0" distB="0" distL="0" distR="0" wp14:anchorId="689AB2D6" wp14:editId="11CBB49B">
            <wp:extent cx="5943600" cy="3340735"/>
            <wp:effectExtent l="0" t="0" r="0" b="0"/>
            <wp:docPr id="2014346904" name="image2.png" descr="A diagram of evidence and evidence&#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2.png" descr="A diagram of evidence and evidence&#10;&#10;AI-generated content may be incorrect."/>
                    <pic:cNvPicPr preferRelativeResize="0"/>
                  </pic:nvPicPr>
                  <pic:blipFill>
                    <a:blip r:embed="rId9"/>
                    <a:srcRect/>
                    <a:stretch>
                      <a:fillRect/>
                    </a:stretch>
                  </pic:blipFill>
                  <pic:spPr>
                    <a:xfrm>
                      <a:off x="0" y="0"/>
                      <a:ext cx="5943600" cy="3340735"/>
                    </a:xfrm>
                    <a:prstGeom prst="rect">
                      <a:avLst/>
                    </a:prstGeom>
                    <a:ln/>
                  </pic:spPr>
                </pic:pic>
              </a:graphicData>
            </a:graphic>
          </wp:inline>
        </w:drawing>
      </w:r>
    </w:p>
    <w:p w14:paraId="05F21579" w14:textId="77777777" w:rsidR="00115DD3" w:rsidRDefault="00000000">
      <w:pPr>
        <w:spacing w:after="0"/>
        <w:jc w:val="left"/>
        <w:rPr>
          <w:b/>
        </w:rPr>
      </w:pPr>
      <w:r>
        <w:rPr>
          <w:b/>
        </w:rPr>
        <w:t>Speaker notes</w:t>
      </w:r>
    </w:p>
    <w:p w14:paraId="332E899E" w14:textId="77777777" w:rsidR="00115DD3" w:rsidRDefault="00000000">
      <w:pPr>
        <w:spacing w:before="180" w:after="180"/>
      </w:pPr>
      <w:r>
        <w:t xml:space="preserve">Evidence selection </w:t>
      </w:r>
      <w:proofErr w:type="spellStart"/>
      <w:r>
        <w:t>prioritises</w:t>
      </w:r>
      <w:proofErr w:type="spellEnd"/>
      <w:r>
        <w:t xml:space="preserve"> recent UK</w:t>
      </w:r>
      <w:r>
        <w:rPr>
          <w:rFonts w:ascii="Cambria Math" w:eastAsia="Cambria Math" w:hAnsi="Cambria Math" w:cs="Cambria Math"/>
        </w:rPr>
        <w:t>‑</w:t>
      </w:r>
      <w:r>
        <w:t xml:space="preserve">specific sources and robust study designs. Operational metrics inform scale and adoption; qualitative evaluations elucidate context, mechanisms, and user/staff experiences. Claims are framed cautiously where evidence of heterogeneity or local variation limits </w:t>
      </w:r>
      <w:proofErr w:type="spellStart"/>
      <w:r>
        <w:t>generalisability</w:t>
      </w:r>
      <w:proofErr w:type="spellEnd"/>
      <w:r>
        <w:t>. Outcomes examined include administrative burden proxies, appointment and prescription transactions, records access, user experience signals, and inclusion/activation patterns. Limitations include evolving feature sets, configuration differences across practices, and pathway</w:t>
      </w:r>
      <w:r>
        <w:rPr>
          <w:rFonts w:ascii="Cambria Math" w:eastAsia="Cambria Math" w:hAnsi="Cambria Math" w:cs="Cambria Math"/>
        </w:rPr>
        <w:t>‑</w:t>
      </w:r>
      <w:r>
        <w:t>specific constraints. This mixed</w:t>
      </w:r>
      <w:r>
        <w:rPr>
          <w:rFonts w:ascii="Cambria Math" w:eastAsia="Cambria Math" w:hAnsi="Cambria Math" w:cs="Cambria Math"/>
        </w:rPr>
        <w:t>‑</w:t>
      </w:r>
      <w:r>
        <w:t>evidence approach supports balanced judgements and actionable insights for stakeholders.</w:t>
      </w:r>
    </w:p>
    <w:p w14:paraId="1B6230E4" w14:textId="77777777" w:rsidR="00115DD3" w:rsidRDefault="00000000">
      <w:pPr>
        <w:rPr>
          <w:b/>
        </w:rPr>
      </w:pPr>
      <w:bookmarkStart w:id="8" w:name="_heading=h.23thpeqwbao5" w:colFirst="0" w:colLast="0"/>
      <w:bookmarkEnd w:id="8"/>
      <w:r>
        <w:br w:type="page"/>
      </w:r>
    </w:p>
    <w:p w14:paraId="20FA610A" w14:textId="77777777" w:rsidR="00115DD3" w:rsidRDefault="00000000">
      <w:pPr>
        <w:pStyle w:val="Heading1"/>
        <w:keepNext w:val="0"/>
        <w:keepLines w:val="0"/>
        <w:spacing w:after="80"/>
      </w:pPr>
      <w:r>
        <w:lastRenderedPageBreak/>
        <w:t>Slide 4   Workforce impacts</w:t>
      </w:r>
    </w:p>
    <w:p w14:paraId="406977AD" w14:textId="77777777" w:rsidR="00115DD3" w:rsidRDefault="00000000">
      <w:pPr>
        <w:spacing w:after="0"/>
        <w:jc w:val="left"/>
      </w:pPr>
      <w:r>
        <w:rPr>
          <w:noProof/>
        </w:rPr>
        <w:drawing>
          <wp:inline distT="0" distB="0" distL="0" distR="0" wp14:anchorId="4EDC5142" wp14:editId="75263E98">
            <wp:extent cx="5943600" cy="3305810"/>
            <wp:effectExtent l="0" t="0" r="0" b="0"/>
            <wp:docPr id="2014346907" name="image9.pn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9.png" descr="A screenshot of a computer&#10;&#10;AI-generated content may be incorrect."/>
                    <pic:cNvPicPr preferRelativeResize="0"/>
                  </pic:nvPicPr>
                  <pic:blipFill>
                    <a:blip r:embed="rId10"/>
                    <a:srcRect/>
                    <a:stretch>
                      <a:fillRect/>
                    </a:stretch>
                  </pic:blipFill>
                  <pic:spPr>
                    <a:xfrm>
                      <a:off x="0" y="0"/>
                      <a:ext cx="5943600" cy="3305810"/>
                    </a:xfrm>
                    <a:prstGeom prst="rect">
                      <a:avLst/>
                    </a:prstGeom>
                    <a:ln/>
                  </pic:spPr>
                </pic:pic>
              </a:graphicData>
            </a:graphic>
          </wp:inline>
        </w:drawing>
      </w:r>
    </w:p>
    <w:p w14:paraId="292106C9" w14:textId="77777777" w:rsidR="00115DD3" w:rsidRDefault="00000000">
      <w:pPr>
        <w:spacing w:after="0"/>
        <w:jc w:val="left"/>
        <w:rPr>
          <w:b/>
        </w:rPr>
      </w:pPr>
      <w:r>
        <w:rPr>
          <w:b/>
        </w:rPr>
        <w:t>Speaker notes</w:t>
      </w:r>
    </w:p>
    <w:p w14:paraId="730E05D0" w14:textId="77777777" w:rsidR="00115DD3" w:rsidRDefault="00000000">
      <w:r>
        <w:t>Self</w:t>
      </w:r>
      <w:r>
        <w:rPr>
          <w:rFonts w:ascii="Cambria Math" w:eastAsia="Cambria Math" w:hAnsi="Cambria Math" w:cs="Cambria Math"/>
        </w:rPr>
        <w:t>‑</w:t>
      </w:r>
      <w:r>
        <w:t xml:space="preserve">service transactions can reduce routine administrative contacts, shifting effort from synchronous calls to asynchronous tasks, with potential productivity benefits where processes and staffing align. New competencies emerge around portal communication, safeguarding, information governance, and signposting. Initial onboarding and patient support create </w:t>
      </w:r>
      <w:proofErr w:type="gramStart"/>
      <w:r>
        <w:t>short</w:t>
      </w:r>
      <w:r>
        <w:rPr>
          <w:rFonts w:ascii="Cambria Math" w:eastAsia="Cambria Math" w:hAnsi="Cambria Math" w:cs="Cambria Math"/>
        </w:rPr>
        <w:t>‑</w:t>
      </w:r>
      <w:r>
        <w:t>term</w:t>
      </w:r>
      <w:proofErr w:type="gramEnd"/>
      <w:r>
        <w:t xml:space="preserve"> workload spikes; sustained benefits depend on configuration, patient mix, and integration with clinical systems (NHS England, 2024</w:t>
      </w:r>
      <w:proofErr w:type="gramStart"/>
      <w:r>
        <w:t>)..</w:t>
      </w:r>
      <w:proofErr w:type="gramEnd"/>
      <w:r>
        <w:t xml:space="preserve"> Staff </w:t>
      </w:r>
      <w:proofErr w:type="gramStart"/>
      <w:r>
        <w:t>report</w:t>
      </w:r>
      <w:proofErr w:type="gramEnd"/>
      <w:r>
        <w:t xml:space="preserve"> improved traceability of interactions via secure messaging but also note expectations for faster responses and the need for clear protocols. Change management, training, and protected time are essential to </w:t>
      </w:r>
      <w:proofErr w:type="spellStart"/>
      <w:r>
        <w:t>realise</w:t>
      </w:r>
      <w:proofErr w:type="spellEnd"/>
      <w:r>
        <w:t xml:space="preserve"> gains without burdening clinicians or administrative teams.</w:t>
      </w:r>
    </w:p>
    <w:p w14:paraId="7C01F0A0" w14:textId="77777777" w:rsidR="00115DD3" w:rsidRDefault="00000000">
      <w:pPr>
        <w:rPr>
          <w:b/>
        </w:rPr>
      </w:pPr>
      <w:bookmarkStart w:id="9" w:name="_heading=h.nfihlpg4ejg2" w:colFirst="0" w:colLast="0"/>
      <w:bookmarkEnd w:id="9"/>
      <w:r>
        <w:br w:type="page"/>
      </w:r>
    </w:p>
    <w:p w14:paraId="717911E6" w14:textId="77777777" w:rsidR="00115DD3" w:rsidRDefault="00000000">
      <w:pPr>
        <w:pStyle w:val="Heading1"/>
        <w:keepNext w:val="0"/>
        <w:keepLines w:val="0"/>
        <w:spacing w:after="80"/>
      </w:pPr>
      <w:r>
        <w:lastRenderedPageBreak/>
        <w:t>Slide 5   Service delivery impacts</w:t>
      </w:r>
    </w:p>
    <w:p w14:paraId="4CB0946C" w14:textId="77777777" w:rsidR="00115DD3" w:rsidRDefault="00000000">
      <w:pPr>
        <w:spacing w:after="0"/>
        <w:jc w:val="left"/>
      </w:pPr>
      <w:r>
        <w:rPr>
          <w:noProof/>
        </w:rPr>
        <w:drawing>
          <wp:inline distT="0" distB="0" distL="0" distR="0" wp14:anchorId="573C4374" wp14:editId="3DF4AB42">
            <wp:extent cx="5943600" cy="3340735"/>
            <wp:effectExtent l="0" t="0" r="0" b="0"/>
            <wp:docPr id="2014346906" name="image10.pn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10.png" descr="A screenshot of a computer&#10;&#10;AI-generated content may be incorrect."/>
                    <pic:cNvPicPr preferRelativeResize="0"/>
                  </pic:nvPicPr>
                  <pic:blipFill>
                    <a:blip r:embed="rId11"/>
                    <a:srcRect/>
                    <a:stretch>
                      <a:fillRect/>
                    </a:stretch>
                  </pic:blipFill>
                  <pic:spPr>
                    <a:xfrm>
                      <a:off x="0" y="0"/>
                      <a:ext cx="5943600" cy="3340735"/>
                    </a:xfrm>
                    <a:prstGeom prst="rect">
                      <a:avLst/>
                    </a:prstGeom>
                    <a:ln/>
                  </pic:spPr>
                </pic:pic>
              </a:graphicData>
            </a:graphic>
          </wp:inline>
        </w:drawing>
      </w:r>
    </w:p>
    <w:p w14:paraId="2D3AD46B" w14:textId="77777777" w:rsidR="00115DD3" w:rsidRDefault="00000000">
      <w:pPr>
        <w:spacing w:after="0"/>
        <w:jc w:val="left"/>
        <w:rPr>
          <w:b/>
        </w:rPr>
      </w:pPr>
      <w:r>
        <w:rPr>
          <w:b/>
        </w:rPr>
        <w:t>Speaker notes</w:t>
      </w:r>
    </w:p>
    <w:p w14:paraId="44F3D6E6" w14:textId="77777777" w:rsidR="00115DD3" w:rsidRDefault="00000000">
      <w:r>
        <w:t>Digital appointment management can reduce avoidable contacts and improve scheduling flexibility, especially when integrated with reminders and clear instructions. In medicines management, reliable repeat ordering and digital prescription handling support timeliness and reduce failure points, particularly where pharmacy workflows align. Records access enables patients to prepare questions and verify information, potentially improving consultation quality and self</w:t>
      </w:r>
      <w:r>
        <w:rPr>
          <w:rFonts w:ascii="Cambria Math" w:eastAsia="Cambria Math" w:hAnsi="Cambria Math" w:cs="Cambria Math"/>
        </w:rPr>
        <w:t>‑</w:t>
      </w:r>
      <w:r>
        <w:t xml:space="preserve">management. However, </w:t>
      </w:r>
      <w:proofErr w:type="spellStart"/>
      <w:r>
        <w:t>realised</w:t>
      </w:r>
      <w:proofErr w:type="spellEnd"/>
      <w:r>
        <w:t xml:space="preserve"> benefits vary widely with local choices about enabled features, messaging backlogs, and pathway readiness. Safe adoption requires clear escalation routes, inclusive guidance, and monitoring of no</w:t>
      </w:r>
      <w:r>
        <w:rPr>
          <w:rFonts w:ascii="Cambria Math" w:eastAsia="Cambria Math" w:hAnsi="Cambria Math" w:cs="Cambria Math"/>
        </w:rPr>
        <w:t>‑</w:t>
      </w:r>
      <w:r>
        <w:t>shows, turnaround times, and rework rates.</w:t>
      </w:r>
    </w:p>
    <w:p w14:paraId="59882113" w14:textId="77777777" w:rsidR="00115DD3" w:rsidRDefault="00000000">
      <w:pPr>
        <w:rPr>
          <w:b/>
        </w:rPr>
      </w:pPr>
      <w:bookmarkStart w:id="10" w:name="_heading=h.vdowjtusc7wl" w:colFirst="0" w:colLast="0"/>
      <w:bookmarkEnd w:id="10"/>
      <w:r>
        <w:br w:type="page"/>
      </w:r>
    </w:p>
    <w:p w14:paraId="5669C8D7" w14:textId="77777777" w:rsidR="00115DD3" w:rsidRDefault="00000000">
      <w:pPr>
        <w:pStyle w:val="Heading1"/>
        <w:keepNext w:val="0"/>
        <w:keepLines w:val="0"/>
        <w:spacing w:after="80"/>
      </w:pPr>
      <w:r>
        <w:lastRenderedPageBreak/>
        <w:t>Slide 6   Patient/service user impacts</w:t>
      </w:r>
    </w:p>
    <w:p w14:paraId="334AD25F" w14:textId="77777777" w:rsidR="00115DD3" w:rsidRDefault="00000000">
      <w:pPr>
        <w:spacing w:after="0"/>
        <w:jc w:val="left"/>
      </w:pPr>
      <w:r>
        <w:rPr>
          <w:noProof/>
        </w:rPr>
        <w:drawing>
          <wp:inline distT="0" distB="0" distL="0" distR="0" wp14:anchorId="6E5ACEF4" wp14:editId="2CC24786">
            <wp:extent cx="5943600" cy="3340735"/>
            <wp:effectExtent l="0" t="0" r="0" b="0"/>
            <wp:docPr id="2014346909" name="image8.png" descr="A group of people standing in fron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8.png" descr="A group of people standing in front of a computer&#10;&#10;AI-generated content may be incorrect."/>
                    <pic:cNvPicPr preferRelativeResize="0"/>
                  </pic:nvPicPr>
                  <pic:blipFill>
                    <a:blip r:embed="rId12"/>
                    <a:srcRect/>
                    <a:stretch>
                      <a:fillRect/>
                    </a:stretch>
                  </pic:blipFill>
                  <pic:spPr>
                    <a:xfrm>
                      <a:off x="0" y="0"/>
                      <a:ext cx="5943600" cy="3340735"/>
                    </a:xfrm>
                    <a:prstGeom prst="rect">
                      <a:avLst/>
                    </a:prstGeom>
                    <a:ln/>
                  </pic:spPr>
                </pic:pic>
              </a:graphicData>
            </a:graphic>
          </wp:inline>
        </w:drawing>
      </w:r>
    </w:p>
    <w:p w14:paraId="5875606D" w14:textId="77777777" w:rsidR="00115DD3" w:rsidRDefault="00000000">
      <w:pPr>
        <w:spacing w:after="0"/>
        <w:jc w:val="left"/>
        <w:rPr>
          <w:b/>
        </w:rPr>
      </w:pPr>
      <w:r>
        <w:rPr>
          <w:b/>
        </w:rPr>
        <w:t>Speaker notes</w:t>
      </w:r>
    </w:p>
    <w:p w14:paraId="2A010E3D" w14:textId="77777777" w:rsidR="00115DD3" w:rsidRDefault="00000000">
      <w:r>
        <w:t>Patients benefit from timely access to appointments, prescriptions, and records, fostering autonomy and preparedness. Clear status visibility and messaging can reduce uncertainty and repeated calls. Yet multi</w:t>
      </w:r>
      <w:r>
        <w:rPr>
          <w:rFonts w:ascii="Cambria Math" w:eastAsia="Cambria Math" w:hAnsi="Cambria Math" w:cs="Cambria Math"/>
        </w:rPr>
        <w:t>‑</w:t>
      </w:r>
      <w:r>
        <w:t>step verification and jargon</w:t>
      </w:r>
      <w:r>
        <w:rPr>
          <w:rFonts w:ascii="Cambria Math" w:eastAsia="Cambria Math" w:hAnsi="Cambria Math" w:cs="Cambria Math"/>
        </w:rPr>
        <w:t>‑</w:t>
      </w:r>
      <w:r>
        <w:t>heavy interfaces pose barriers for some users, including those with lower digital skills or language needs. Exposure to raw clinical notes or results may increase anxiety without adequate guidance. Inclusive design, accessible content, and supportive onboarding via practices and community providers are essential. Effective signposting to appropriate channels and safeguarding around sensitive information help maintain a positive experience across diverse user groups.</w:t>
      </w:r>
    </w:p>
    <w:p w14:paraId="058C0F6F" w14:textId="77777777" w:rsidR="00115DD3" w:rsidRDefault="00000000">
      <w:pPr>
        <w:pStyle w:val="Heading1"/>
        <w:keepNext w:val="0"/>
        <w:keepLines w:val="0"/>
        <w:spacing w:after="80"/>
      </w:pPr>
      <w:bookmarkStart w:id="11" w:name="_heading=h.6yogyk1dm51a" w:colFirst="0" w:colLast="0"/>
      <w:bookmarkEnd w:id="11"/>
      <w:r>
        <w:br w:type="page"/>
      </w:r>
    </w:p>
    <w:p w14:paraId="6938BD8F" w14:textId="77777777" w:rsidR="00115DD3" w:rsidRDefault="00000000">
      <w:pPr>
        <w:pStyle w:val="Heading1"/>
        <w:keepNext w:val="0"/>
        <w:keepLines w:val="0"/>
        <w:spacing w:after="80"/>
      </w:pPr>
      <w:bookmarkStart w:id="12" w:name="_heading=h.2hofz6ebq3fv" w:colFirst="0" w:colLast="0"/>
      <w:bookmarkEnd w:id="12"/>
      <w:r>
        <w:lastRenderedPageBreak/>
        <w:t>Slide 7   Community impacts</w:t>
      </w:r>
    </w:p>
    <w:p w14:paraId="40CD058B" w14:textId="77777777" w:rsidR="00115DD3" w:rsidRDefault="00000000">
      <w:r>
        <w:rPr>
          <w:noProof/>
        </w:rPr>
        <w:drawing>
          <wp:inline distT="0" distB="0" distL="0" distR="0" wp14:anchorId="343EB446" wp14:editId="6496BE0A">
            <wp:extent cx="5943600" cy="3355975"/>
            <wp:effectExtent l="0" t="0" r="0" b="0"/>
            <wp:docPr id="2014346908" name="image6.pn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6.png" descr="A screenshot of a computer&#10;&#10;AI-generated content may be incorrect."/>
                    <pic:cNvPicPr preferRelativeResize="0"/>
                  </pic:nvPicPr>
                  <pic:blipFill>
                    <a:blip r:embed="rId13"/>
                    <a:srcRect/>
                    <a:stretch>
                      <a:fillRect/>
                    </a:stretch>
                  </pic:blipFill>
                  <pic:spPr>
                    <a:xfrm>
                      <a:off x="0" y="0"/>
                      <a:ext cx="5943600" cy="3355975"/>
                    </a:xfrm>
                    <a:prstGeom prst="rect">
                      <a:avLst/>
                    </a:prstGeom>
                    <a:ln/>
                  </pic:spPr>
                </pic:pic>
              </a:graphicData>
            </a:graphic>
          </wp:inline>
        </w:drawing>
      </w:r>
    </w:p>
    <w:p w14:paraId="145A833C" w14:textId="77777777" w:rsidR="00115DD3" w:rsidRDefault="00000000">
      <w:pPr>
        <w:spacing w:after="0"/>
        <w:jc w:val="left"/>
        <w:rPr>
          <w:b/>
        </w:rPr>
      </w:pPr>
      <w:r>
        <w:rPr>
          <w:b/>
        </w:rPr>
        <w:t>Speaker notes</w:t>
      </w:r>
    </w:p>
    <w:p w14:paraId="6F695130" w14:textId="77777777" w:rsidR="00115DD3" w:rsidRDefault="00000000">
      <w:r>
        <w:t xml:space="preserve">Shifting routine tasks online can ease community access burdens by reducing travel and time costs and enabling timely coordination outside clinic hours (NHS England, 2024). Proxy access features allow </w:t>
      </w:r>
      <w:proofErr w:type="spellStart"/>
      <w:r>
        <w:t>authorised</w:t>
      </w:r>
      <w:proofErr w:type="spellEnd"/>
      <w:r>
        <w:t xml:space="preserve"> carers and care home staff to manage appointments and repeat medications on behalf of patients, supporting continuity and community-based care with appropriate safeguards (NHS England, 2023). Increased visibility of appointment details and waiting-time information aids planning and may smooth demand, subject to data completeness and clarity in presentation (NHS England, 2024). Persistent activation and use gaps among more deprived populations highlight the need for targeted outreach, assisted registration, and co-designed usability enhancements to prevent widening inequalities and to </w:t>
      </w:r>
      <w:proofErr w:type="spellStart"/>
      <w:r>
        <w:t>realise</w:t>
      </w:r>
      <w:proofErr w:type="spellEnd"/>
      <w:r>
        <w:t xml:space="preserve"> benefits equitably across localities (Zhang </w:t>
      </w:r>
      <w:r>
        <w:rPr>
          <w:i/>
        </w:rPr>
        <w:t>et al</w:t>
      </w:r>
      <w:r>
        <w:t>., 2023).</w:t>
      </w:r>
    </w:p>
    <w:p w14:paraId="365C87B6" w14:textId="77777777" w:rsidR="00115DD3" w:rsidRDefault="00000000">
      <w:pPr>
        <w:rPr>
          <w:b/>
        </w:rPr>
      </w:pPr>
      <w:bookmarkStart w:id="13" w:name="_heading=h.cb78ulhmilaw" w:colFirst="0" w:colLast="0"/>
      <w:bookmarkEnd w:id="13"/>
      <w:r>
        <w:br w:type="page"/>
      </w:r>
    </w:p>
    <w:p w14:paraId="16CF32E7" w14:textId="77777777" w:rsidR="00115DD3" w:rsidRDefault="00000000">
      <w:pPr>
        <w:pStyle w:val="Heading1"/>
        <w:keepNext w:val="0"/>
        <w:keepLines w:val="0"/>
        <w:spacing w:after="80"/>
      </w:pPr>
      <w:r>
        <w:lastRenderedPageBreak/>
        <w:t>Slide 8   Cross</w:t>
      </w:r>
      <w:r>
        <w:rPr>
          <w:rFonts w:ascii="Cambria Math" w:eastAsia="Cambria Math" w:hAnsi="Cambria Math" w:cs="Cambria Math"/>
        </w:rPr>
        <w:t>‑</w:t>
      </w:r>
      <w:r>
        <w:t>cutting risks and governance</w:t>
      </w:r>
    </w:p>
    <w:p w14:paraId="25E07CF8" w14:textId="77777777" w:rsidR="00115DD3" w:rsidRDefault="00000000">
      <w:pPr>
        <w:spacing w:after="180"/>
        <w:jc w:val="left"/>
      </w:pPr>
      <w:r>
        <w:rPr>
          <w:noProof/>
        </w:rPr>
        <w:drawing>
          <wp:inline distT="0" distB="0" distL="0" distR="0" wp14:anchorId="060572F5" wp14:editId="1A17D502">
            <wp:extent cx="5943600" cy="3351530"/>
            <wp:effectExtent l="0" t="0" r="0" b="0"/>
            <wp:docPr id="2014346911" name="image7.pn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7.png" descr="A screenshot of a computer&#10;&#10;AI-generated content may be incorrect."/>
                    <pic:cNvPicPr preferRelativeResize="0"/>
                  </pic:nvPicPr>
                  <pic:blipFill>
                    <a:blip r:embed="rId14"/>
                    <a:srcRect/>
                    <a:stretch>
                      <a:fillRect/>
                    </a:stretch>
                  </pic:blipFill>
                  <pic:spPr>
                    <a:xfrm>
                      <a:off x="0" y="0"/>
                      <a:ext cx="5943600" cy="3351530"/>
                    </a:xfrm>
                    <a:prstGeom prst="rect">
                      <a:avLst/>
                    </a:prstGeom>
                    <a:ln/>
                  </pic:spPr>
                </pic:pic>
              </a:graphicData>
            </a:graphic>
          </wp:inline>
        </w:drawing>
      </w:r>
    </w:p>
    <w:p w14:paraId="302700A6" w14:textId="77777777" w:rsidR="00115DD3" w:rsidRDefault="00000000">
      <w:pPr>
        <w:spacing w:after="0"/>
        <w:jc w:val="left"/>
        <w:rPr>
          <w:b/>
        </w:rPr>
      </w:pPr>
      <w:r>
        <w:rPr>
          <w:b/>
        </w:rPr>
        <w:t>Speaker notes</w:t>
      </w:r>
    </w:p>
    <w:p w14:paraId="6350AFE0" w14:textId="77777777" w:rsidR="00115DD3" w:rsidRDefault="00000000">
      <w:r>
        <w:t>Equity requires accessible content, assisted onboarding, and maintained non</w:t>
      </w:r>
      <w:r>
        <w:rPr>
          <w:rFonts w:ascii="Cambria Math" w:eastAsia="Cambria Math" w:hAnsi="Cambria Math" w:cs="Cambria Math"/>
        </w:rPr>
        <w:t>‑</w:t>
      </w:r>
      <w:r>
        <w:t>digital routes. Clear thresholds and response standards reduce risk from delayed or misplaced digital contacts. Strong privacy and cyber assurance, user</w:t>
      </w:r>
      <w:r>
        <w:rPr>
          <w:rFonts w:ascii="Cambria Math" w:eastAsia="Cambria Math" w:hAnsi="Cambria Math" w:cs="Cambria Math"/>
        </w:rPr>
        <w:t>‑</w:t>
      </w:r>
      <w:r>
        <w:t xml:space="preserve">facing transparency, and proportionate data protection assessments sustain public trust. Continuous monitoring of operational and user outcomes, including disparities, supports safe iteration. Publishing local metrics enables benchmarking and shared learning, improving </w:t>
      </w:r>
      <w:proofErr w:type="spellStart"/>
      <w:r>
        <w:t>generalisability</w:t>
      </w:r>
      <w:proofErr w:type="spellEnd"/>
      <w:r>
        <w:t xml:space="preserve"> and accountability.</w:t>
      </w:r>
    </w:p>
    <w:p w14:paraId="297820D5" w14:textId="77777777" w:rsidR="00115DD3" w:rsidRDefault="00000000">
      <w:pPr>
        <w:rPr>
          <w:b/>
        </w:rPr>
      </w:pPr>
      <w:bookmarkStart w:id="14" w:name="_heading=h.h130jva1tuzg" w:colFirst="0" w:colLast="0"/>
      <w:bookmarkEnd w:id="14"/>
      <w:r>
        <w:br w:type="page"/>
      </w:r>
    </w:p>
    <w:p w14:paraId="009059E8" w14:textId="77777777" w:rsidR="00115DD3" w:rsidRDefault="00000000">
      <w:pPr>
        <w:pStyle w:val="Heading1"/>
        <w:keepNext w:val="0"/>
        <w:keepLines w:val="0"/>
        <w:spacing w:after="80"/>
      </w:pPr>
      <w:r>
        <w:lastRenderedPageBreak/>
        <w:t>Slide 9   Recommendations</w:t>
      </w:r>
    </w:p>
    <w:p w14:paraId="3CD5DA8B" w14:textId="77777777" w:rsidR="00115DD3" w:rsidRDefault="00000000">
      <w:pPr>
        <w:spacing w:after="0"/>
        <w:jc w:val="left"/>
      </w:pPr>
      <w:r>
        <w:rPr>
          <w:noProof/>
        </w:rPr>
        <w:drawing>
          <wp:inline distT="0" distB="0" distL="0" distR="0" wp14:anchorId="1F536374" wp14:editId="5D1B15AE">
            <wp:extent cx="5943600" cy="3345180"/>
            <wp:effectExtent l="0" t="0" r="0" b="0"/>
            <wp:docPr id="2014346910" name="image3.png" descr="A white background with blue tex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3.png" descr="A white background with blue text&#10;&#10;AI-generated content may be incorrect."/>
                    <pic:cNvPicPr preferRelativeResize="0"/>
                  </pic:nvPicPr>
                  <pic:blipFill>
                    <a:blip r:embed="rId15"/>
                    <a:srcRect/>
                    <a:stretch>
                      <a:fillRect/>
                    </a:stretch>
                  </pic:blipFill>
                  <pic:spPr>
                    <a:xfrm>
                      <a:off x="0" y="0"/>
                      <a:ext cx="5943600" cy="3345180"/>
                    </a:xfrm>
                    <a:prstGeom prst="rect">
                      <a:avLst/>
                    </a:prstGeom>
                    <a:ln/>
                  </pic:spPr>
                </pic:pic>
              </a:graphicData>
            </a:graphic>
          </wp:inline>
        </w:drawing>
      </w:r>
    </w:p>
    <w:p w14:paraId="732DE85A" w14:textId="77777777" w:rsidR="00115DD3" w:rsidRDefault="00000000">
      <w:pPr>
        <w:spacing w:after="0"/>
        <w:jc w:val="left"/>
        <w:rPr>
          <w:b/>
        </w:rPr>
      </w:pPr>
      <w:r>
        <w:rPr>
          <w:b/>
        </w:rPr>
        <w:t>Speaker notes</w:t>
      </w:r>
    </w:p>
    <w:p w14:paraId="4337B28A" w14:textId="77777777" w:rsidR="00115DD3" w:rsidRDefault="00000000">
      <w:pPr>
        <w:spacing w:before="180" w:after="180"/>
      </w:pPr>
      <w:proofErr w:type="spellStart"/>
      <w:r>
        <w:t>Prioritise</w:t>
      </w:r>
      <w:proofErr w:type="spellEnd"/>
      <w:r>
        <w:t xml:space="preserve"> two</w:t>
      </w:r>
      <w:r>
        <w:rPr>
          <w:rFonts w:ascii="Cambria Math" w:eastAsia="Cambria Math" w:hAnsi="Cambria Math" w:cs="Cambria Math"/>
        </w:rPr>
        <w:t>‑</w:t>
      </w:r>
      <w:r>
        <w:t>way messaging with notifications, integrated appointment workflows, and reliable prescription handling where measurable benefits are plausible. Define response standards and safe</w:t>
      </w:r>
      <w:r>
        <w:rPr>
          <w:rFonts w:ascii="Cambria Math" w:eastAsia="Cambria Math" w:hAnsi="Cambria Math" w:cs="Cambria Math"/>
        </w:rPr>
        <w:t>‑</w:t>
      </w:r>
      <w:r>
        <w:t>use guidance to manage expectations and risk, with clear clinical escalation. Deliver targeted inclusion: community</w:t>
      </w:r>
      <w:r>
        <w:rPr>
          <w:rFonts w:ascii="Cambria Math" w:eastAsia="Cambria Math" w:hAnsi="Cambria Math" w:cs="Cambria Math"/>
        </w:rPr>
        <w:t>‑</w:t>
      </w:r>
      <w:r>
        <w:t>based registration, language support, and plain</w:t>
      </w:r>
      <w:r>
        <w:rPr>
          <w:rFonts w:ascii="Cambria Math" w:eastAsia="Cambria Math" w:hAnsi="Cambria Math" w:cs="Cambria Math"/>
        </w:rPr>
        <w:t>‑</w:t>
      </w:r>
      <w:r>
        <w:t xml:space="preserve">English design patterns. </w:t>
      </w:r>
      <w:proofErr w:type="spellStart"/>
      <w:r>
        <w:t>Institutionalise</w:t>
      </w:r>
      <w:proofErr w:type="spellEnd"/>
      <w:r>
        <w:t xml:space="preserve"> quarterly evaluations aligned to local objectives, capturing administrative burden proxies, access/throughput indicators, user</w:t>
      </w:r>
      <w:r>
        <w:rPr>
          <w:rFonts w:ascii="Cambria Math" w:eastAsia="Cambria Math" w:hAnsi="Cambria Math" w:cs="Cambria Math"/>
        </w:rPr>
        <w:t>‑</w:t>
      </w:r>
      <w:r>
        <w:t>reported outcomes, and disparity measures. Align privacy and security assurance with sector frameworks, publishing concise transparency notices to reinforce trust.</w:t>
      </w:r>
    </w:p>
    <w:p w14:paraId="4AC93D10" w14:textId="77777777" w:rsidR="00115DD3" w:rsidRDefault="00000000">
      <w:pPr>
        <w:pStyle w:val="Heading1"/>
        <w:keepNext w:val="0"/>
        <w:keepLines w:val="0"/>
        <w:spacing w:after="80"/>
      </w:pPr>
      <w:bookmarkStart w:id="15" w:name="_heading=h.e183v1im78f" w:colFirst="0" w:colLast="0"/>
      <w:bookmarkEnd w:id="15"/>
      <w:r>
        <w:br w:type="page"/>
      </w:r>
    </w:p>
    <w:p w14:paraId="25385BFE" w14:textId="77777777" w:rsidR="00115DD3" w:rsidRDefault="00000000">
      <w:pPr>
        <w:pStyle w:val="Heading1"/>
        <w:keepNext w:val="0"/>
        <w:keepLines w:val="0"/>
        <w:spacing w:after="80"/>
      </w:pPr>
      <w:bookmarkStart w:id="16" w:name="_heading=h.4pxq64ua0wcv" w:colFirst="0" w:colLast="0"/>
      <w:bookmarkEnd w:id="16"/>
      <w:r>
        <w:lastRenderedPageBreak/>
        <w:t>Slide 10   Conclusion</w:t>
      </w:r>
    </w:p>
    <w:p w14:paraId="7E2DD631" w14:textId="77777777" w:rsidR="00115DD3" w:rsidRDefault="00000000">
      <w:pPr>
        <w:spacing w:after="0"/>
        <w:jc w:val="left"/>
      </w:pPr>
      <w:r>
        <w:rPr>
          <w:noProof/>
        </w:rPr>
        <w:drawing>
          <wp:inline distT="0" distB="0" distL="0" distR="0" wp14:anchorId="731BAB6B" wp14:editId="078C27B4">
            <wp:extent cx="5943600" cy="3341370"/>
            <wp:effectExtent l="0" t="0" r="0" b="0"/>
            <wp:docPr id="2014346912" name="image4.png" descr="A close-up of a screen&#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4.png" descr="A close-up of a screen&#10;&#10;AI-generated content may be incorrect."/>
                    <pic:cNvPicPr preferRelativeResize="0"/>
                  </pic:nvPicPr>
                  <pic:blipFill>
                    <a:blip r:embed="rId16"/>
                    <a:srcRect/>
                    <a:stretch>
                      <a:fillRect/>
                    </a:stretch>
                  </pic:blipFill>
                  <pic:spPr>
                    <a:xfrm>
                      <a:off x="0" y="0"/>
                      <a:ext cx="5943600" cy="3341370"/>
                    </a:xfrm>
                    <a:prstGeom prst="rect">
                      <a:avLst/>
                    </a:prstGeom>
                    <a:ln/>
                  </pic:spPr>
                </pic:pic>
              </a:graphicData>
            </a:graphic>
          </wp:inline>
        </w:drawing>
      </w:r>
    </w:p>
    <w:p w14:paraId="3F7F1B79" w14:textId="77777777" w:rsidR="00115DD3" w:rsidRDefault="00000000">
      <w:pPr>
        <w:spacing w:after="0"/>
        <w:jc w:val="left"/>
        <w:rPr>
          <w:b/>
        </w:rPr>
      </w:pPr>
      <w:r>
        <w:rPr>
          <w:b/>
        </w:rPr>
        <w:t>Speaker notes</w:t>
      </w:r>
    </w:p>
    <w:p w14:paraId="0A4DCC99" w14:textId="77777777" w:rsidR="00115DD3" w:rsidRDefault="00000000">
      <w:r>
        <w:t>The NHS App demonstrates system</w:t>
      </w:r>
      <w:r>
        <w:rPr>
          <w:rFonts w:ascii="Cambria Math" w:eastAsia="Cambria Math" w:hAnsi="Cambria Math" w:cs="Cambria Math"/>
        </w:rPr>
        <w:t>‑</w:t>
      </w:r>
      <w:r>
        <w:t>level potential to streamline routine interactions, support medicines and appointment pathways, and enhance patient agency through timely information. Real</w:t>
      </w:r>
      <w:r>
        <w:rPr>
          <w:rFonts w:ascii="Cambria Math" w:eastAsia="Cambria Math" w:hAnsi="Cambria Math" w:cs="Cambria Math"/>
        </w:rPr>
        <w:t>‑</w:t>
      </w:r>
      <w:r>
        <w:t>world gains, however, depend on local configuration, pathway maturity, and continuous attention to inclusion, safety, and governance. The evaluation addressed LO1 by appraising consequences for workforce roles, competencies, and day</w:t>
      </w:r>
      <w:r>
        <w:rPr>
          <w:rFonts w:ascii="Cambria Math" w:eastAsia="Cambria Math" w:hAnsi="Cambria Math" w:cs="Cambria Math"/>
        </w:rPr>
        <w:t>‑</w:t>
      </w:r>
      <w:r>
        <w:t>to</w:t>
      </w:r>
      <w:r>
        <w:rPr>
          <w:rFonts w:ascii="Cambria Math" w:eastAsia="Cambria Math" w:hAnsi="Cambria Math" w:cs="Cambria Math"/>
        </w:rPr>
        <w:t>‑</w:t>
      </w:r>
      <w:r>
        <w:t>day service delivery, and LO2 by examining community access, career enablement, and equity implications. Implementing high</w:t>
      </w:r>
      <w:r>
        <w:rPr>
          <w:rFonts w:ascii="Cambria Math" w:eastAsia="Cambria Math" w:hAnsi="Cambria Math" w:cs="Cambria Math"/>
        </w:rPr>
        <w:t>‑</w:t>
      </w:r>
      <w:r>
        <w:t xml:space="preserve">impact features, </w:t>
      </w:r>
      <w:proofErr w:type="spellStart"/>
      <w:r>
        <w:t>standardising</w:t>
      </w:r>
      <w:proofErr w:type="spellEnd"/>
      <w:r>
        <w:t xml:space="preserve"> protocols, investing in inclusive design and assisted onboarding, and strengthening privacy/security assurance under an evaluation cadence will </w:t>
      </w:r>
      <w:proofErr w:type="spellStart"/>
      <w:r>
        <w:t>maximise</w:t>
      </w:r>
      <w:proofErr w:type="spellEnd"/>
      <w:r>
        <w:t xml:space="preserve"> benefits while managing risks. This balanced approach supports sustainable digital transformation consistent with patient needs and professional practice.</w:t>
      </w:r>
      <w:r>
        <w:br w:type="page"/>
      </w:r>
    </w:p>
    <w:p w14:paraId="65AEC2AD" w14:textId="77777777" w:rsidR="00115DD3" w:rsidRDefault="00000000">
      <w:pPr>
        <w:pStyle w:val="Heading1"/>
      </w:pPr>
      <w:bookmarkStart w:id="17" w:name="_heading=h.x78jxofkh4p8" w:colFirst="0" w:colLast="0"/>
      <w:bookmarkEnd w:id="17"/>
      <w:r>
        <w:lastRenderedPageBreak/>
        <w:t>Slide 11: References</w:t>
      </w:r>
    </w:p>
    <w:p w14:paraId="7C6F506B" w14:textId="77777777" w:rsidR="00115DD3" w:rsidRDefault="00000000">
      <w:pPr>
        <w:spacing w:before="240" w:after="120" w:line="390" w:lineRule="auto"/>
      </w:pPr>
      <w:r>
        <w:t xml:space="preserve">Information Commissioner’s Office (2024) ‘Transparency in health and social care’. Available at: </w:t>
      </w:r>
      <w:hyperlink r:id="rId17">
        <w:r>
          <w:rPr>
            <w:color w:val="1155CC"/>
            <w:u w:val="single"/>
          </w:rPr>
          <w:t>https://ico.org.uk/for-organisations/uk-gdpr-guidance-and-resources/data-protection-principles/transparency-in-health-and-social-care/</w:t>
        </w:r>
      </w:hyperlink>
      <w:r>
        <w:t xml:space="preserve"> (Accessed: 1 October 2025).</w:t>
      </w:r>
    </w:p>
    <w:p w14:paraId="556D1673" w14:textId="77777777" w:rsidR="00115DD3" w:rsidRDefault="00000000">
      <w:pPr>
        <w:spacing w:before="240" w:after="120" w:line="390" w:lineRule="auto"/>
      </w:pPr>
      <w:r>
        <w:t>National Cyber Security Centre (</w:t>
      </w:r>
      <w:proofErr w:type="gramStart"/>
      <w:r>
        <w:t>2024) ‘</w:t>
      </w:r>
      <w:proofErr w:type="gramEnd"/>
      <w:r>
        <w:t xml:space="preserve">Cyber Assessment Framework: Introduction to the CAF’. Available at: </w:t>
      </w:r>
      <w:hyperlink r:id="rId18">
        <w:r>
          <w:rPr>
            <w:color w:val="1155CC"/>
            <w:u w:val="single"/>
          </w:rPr>
          <w:t>https://www.ncsc.gov.uk/collection/cyber-assessment-framework/introduction-to-caf</w:t>
        </w:r>
      </w:hyperlink>
      <w:r>
        <w:t xml:space="preserve"> (Accessed: 1 October 2025).</w:t>
      </w:r>
    </w:p>
    <w:p w14:paraId="5503241A" w14:textId="77777777" w:rsidR="00115DD3" w:rsidRDefault="00000000">
      <w:pPr>
        <w:spacing w:before="240" w:after="120" w:line="390" w:lineRule="auto"/>
      </w:pPr>
      <w:r>
        <w:t xml:space="preserve">NHS (2024) ‘Manage health services for others – linked profiles in the NHS App’. Available at: </w:t>
      </w:r>
      <w:hyperlink r:id="rId19">
        <w:r>
          <w:rPr>
            <w:color w:val="1155CC"/>
            <w:u w:val="single"/>
          </w:rPr>
          <w:t>https://www.nhs.uk/nhs-app/nhs-app-help-and-support/linked-profiles-in-the-nhs-app/</w:t>
        </w:r>
      </w:hyperlink>
      <w:r>
        <w:t xml:space="preserve"> (Accessed: 1 October 2025).</w:t>
      </w:r>
    </w:p>
    <w:p w14:paraId="748CC99E" w14:textId="77777777" w:rsidR="00115DD3" w:rsidRDefault="00000000">
      <w:pPr>
        <w:spacing w:before="240" w:after="120" w:line="390" w:lineRule="auto"/>
      </w:pPr>
      <w:r>
        <w:t>NHS England (</w:t>
      </w:r>
      <w:proofErr w:type="gramStart"/>
      <w:r>
        <w:t>2023) ‘</w:t>
      </w:r>
      <w:proofErr w:type="gramEnd"/>
      <w:r>
        <w:t xml:space="preserve">Proxy </w:t>
      </w:r>
      <w:proofErr w:type="gramStart"/>
      <w:r>
        <w:t>access’</w:t>
      </w:r>
      <w:proofErr w:type="gramEnd"/>
      <w:r>
        <w:t xml:space="preserve">. Available at: </w:t>
      </w:r>
      <w:hyperlink r:id="rId20">
        <w:r>
          <w:rPr>
            <w:color w:val="1155CC"/>
            <w:u w:val="single"/>
          </w:rPr>
          <w:t>https://www.england.nhs.uk/long-read/proxy-access/</w:t>
        </w:r>
      </w:hyperlink>
      <w:r>
        <w:t xml:space="preserve"> (Accessed: 1 October 2025).</w:t>
      </w:r>
    </w:p>
    <w:p w14:paraId="581F99E0" w14:textId="77777777" w:rsidR="00115DD3" w:rsidRDefault="00000000">
      <w:pPr>
        <w:spacing w:before="240" w:after="120" w:line="390" w:lineRule="auto"/>
      </w:pPr>
      <w:r>
        <w:t>NHS England (</w:t>
      </w:r>
      <w:proofErr w:type="gramStart"/>
      <w:r>
        <w:t>2023) ‘</w:t>
      </w:r>
      <w:proofErr w:type="gramEnd"/>
      <w:r>
        <w:t xml:space="preserve">How proxy access works (care homes and GP practices)’. Available at: </w:t>
      </w:r>
      <w:hyperlink r:id="rId21">
        <w:r>
          <w:rPr>
            <w:color w:val="1155CC"/>
            <w:u w:val="single"/>
          </w:rPr>
          <w:t>https://www.england.nhs.uk/ourwork/clinical-policy/proxy-access-to-gp-online-services-by-care-home-staff-guidance-for-care-homes-and-gp-practices/how-proxy-access-works/</w:t>
        </w:r>
      </w:hyperlink>
      <w:r>
        <w:t xml:space="preserve"> (Accessed: 1 October 2025).</w:t>
      </w:r>
    </w:p>
    <w:p w14:paraId="4F5EFA5E" w14:textId="77777777" w:rsidR="00115DD3" w:rsidRDefault="00000000">
      <w:pPr>
        <w:spacing w:before="240" w:after="120" w:line="390" w:lineRule="auto"/>
      </w:pPr>
      <w:r>
        <w:t>NHS England (2024</w:t>
      </w:r>
      <w:proofErr w:type="gramStart"/>
      <w:r>
        <w:t>a) ‘</w:t>
      </w:r>
      <w:proofErr w:type="gramEnd"/>
      <w:r>
        <w:t xml:space="preserve">NHS App update’. Available at: </w:t>
      </w:r>
      <w:hyperlink r:id="rId22">
        <w:r>
          <w:rPr>
            <w:color w:val="1155CC"/>
            <w:u w:val="single"/>
          </w:rPr>
          <w:t>https://www.england.nhs.uk/wp-content/uploads/2024/01/item-8-annex-nhs-app.pdf</w:t>
        </w:r>
      </w:hyperlink>
      <w:r>
        <w:t xml:space="preserve"> (Accessed: 1 October 2025).</w:t>
      </w:r>
    </w:p>
    <w:p w14:paraId="09B7D9BE" w14:textId="77777777" w:rsidR="00115DD3" w:rsidRDefault="00000000">
      <w:pPr>
        <w:spacing w:before="240" w:after="120" w:line="390" w:lineRule="auto"/>
      </w:pPr>
      <w:r>
        <w:t>NHS England (2024</w:t>
      </w:r>
      <w:proofErr w:type="gramStart"/>
      <w:r>
        <w:t>b) ‘</w:t>
      </w:r>
      <w:proofErr w:type="gramEnd"/>
      <w:r>
        <w:t xml:space="preserve">Transformation and innovation delivery update’. Available at: </w:t>
      </w:r>
      <w:hyperlink r:id="rId23">
        <w:r>
          <w:rPr>
            <w:color w:val="1155CC"/>
            <w:u w:val="single"/>
          </w:rPr>
          <w:t>https://www.england.nhs.uk/long-read/transformation-and-innovation-delivery-update/</w:t>
        </w:r>
      </w:hyperlink>
      <w:r>
        <w:t xml:space="preserve"> (Accessed: 1 October 2025).</w:t>
      </w:r>
    </w:p>
    <w:p w14:paraId="6D290F95" w14:textId="77777777" w:rsidR="00115DD3" w:rsidRDefault="00000000">
      <w:pPr>
        <w:spacing w:before="240" w:after="120" w:line="390" w:lineRule="auto"/>
      </w:pPr>
      <w:r>
        <w:t>NHS England (2024</w:t>
      </w:r>
      <w:proofErr w:type="gramStart"/>
      <w:r>
        <w:t>c) ‘</w:t>
      </w:r>
      <w:proofErr w:type="gramEnd"/>
      <w:r>
        <w:t xml:space="preserve">Digital prescriptions go live in NHS App’. Available at: </w:t>
      </w:r>
      <w:hyperlink r:id="rId24">
        <w:r>
          <w:rPr>
            <w:color w:val="1155CC"/>
            <w:u w:val="single"/>
          </w:rPr>
          <w:t>https://www.england.nhs.uk/2024/01/digital-prescriptions-go-live-in-nhs-app/</w:t>
        </w:r>
      </w:hyperlink>
      <w:r>
        <w:t xml:space="preserve"> (Accessed: 1 October 2025).</w:t>
      </w:r>
    </w:p>
    <w:p w14:paraId="5B47C4DB" w14:textId="77777777" w:rsidR="00115DD3" w:rsidRDefault="00000000">
      <w:pPr>
        <w:spacing w:before="240" w:after="120" w:line="390" w:lineRule="auto"/>
      </w:pPr>
      <w:r>
        <w:lastRenderedPageBreak/>
        <w:t>NHS England (2024</w:t>
      </w:r>
      <w:proofErr w:type="gramStart"/>
      <w:r>
        <w:t>d) ‘</w:t>
      </w:r>
      <w:proofErr w:type="gramEnd"/>
      <w:r>
        <w:t xml:space="preserve">NHS App messaging saved NHS more than £1 </w:t>
      </w:r>
      <w:proofErr w:type="gramStart"/>
      <w:r>
        <w:t>million in</w:t>
      </w:r>
      <w:proofErr w:type="gramEnd"/>
      <w:r>
        <w:t xml:space="preserve"> last year’. Available at: </w:t>
      </w:r>
      <w:hyperlink r:id="rId25">
        <w:r>
          <w:rPr>
            <w:color w:val="1155CC"/>
            <w:u w:val="single"/>
          </w:rPr>
          <w:t>https://www.england.nhs.uk/2024/05/nhs-app-messaging-saved-nhs-more-than-1-million-in-last-year/</w:t>
        </w:r>
      </w:hyperlink>
      <w:r>
        <w:t xml:space="preserve"> (Accessed: 1 October 2025).</w:t>
      </w:r>
    </w:p>
    <w:p w14:paraId="6B57FDF7" w14:textId="77777777" w:rsidR="00115DD3" w:rsidRDefault="00000000">
      <w:pPr>
        <w:spacing w:before="240" w:after="120" w:line="390" w:lineRule="auto"/>
      </w:pPr>
      <w:r>
        <w:t>NHS England (</w:t>
      </w:r>
      <w:proofErr w:type="gramStart"/>
      <w:r>
        <w:t>2025) ‘</w:t>
      </w:r>
      <w:proofErr w:type="gramEnd"/>
      <w:r>
        <w:t xml:space="preserve">GP online </w:t>
      </w:r>
      <w:proofErr w:type="gramStart"/>
      <w:r>
        <w:t>services’</w:t>
      </w:r>
      <w:proofErr w:type="gramEnd"/>
      <w:r>
        <w:t xml:space="preserve">. Available at: </w:t>
      </w:r>
      <w:hyperlink r:id="rId26">
        <w:r>
          <w:rPr>
            <w:color w:val="1155CC"/>
            <w:u w:val="single"/>
          </w:rPr>
          <w:t>https://www.england.nhs.uk/category/gp-online-services/</w:t>
        </w:r>
      </w:hyperlink>
      <w:r>
        <w:t xml:space="preserve"> (Accessed: 1 October 2025).</w:t>
      </w:r>
    </w:p>
    <w:p w14:paraId="29B6E8F7" w14:textId="77777777" w:rsidR="00115DD3" w:rsidRDefault="00000000">
      <w:pPr>
        <w:spacing w:before="240" w:after="120" w:line="390" w:lineRule="auto"/>
      </w:pPr>
      <w:r>
        <w:t>NICE (</w:t>
      </w:r>
      <w:proofErr w:type="gramStart"/>
      <w:r>
        <w:t>2024) ‘</w:t>
      </w:r>
      <w:proofErr w:type="gramEnd"/>
      <w:r>
        <w:t xml:space="preserve">Evidence standards framework for digital health </w:t>
      </w:r>
      <w:proofErr w:type="gramStart"/>
      <w:r>
        <w:t>technologies’</w:t>
      </w:r>
      <w:proofErr w:type="gramEnd"/>
      <w:r>
        <w:t xml:space="preserve">. Available at: </w:t>
      </w:r>
      <w:hyperlink r:id="rId27">
        <w:r>
          <w:rPr>
            <w:color w:val="1155CC"/>
            <w:u w:val="single"/>
          </w:rPr>
          <w:t>https://www.nice.org.uk/what-nice-does/digital-health/evidence-standards-framework-esf-for-digital-health-technologies</w:t>
        </w:r>
      </w:hyperlink>
      <w:r>
        <w:t xml:space="preserve"> (Accessed: 1 October 2025).</w:t>
      </w:r>
    </w:p>
    <w:p w14:paraId="6914057F" w14:textId="77777777" w:rsidR="00115DD3" w:rsidRDefault="00000000">
      <w:pPr>
        <w:spacing w:before="240" w:after="120" w:line="390" w:lineRule="auto"/>
      </w:pPr>
      <w:r>
        <w:t>Pharmaceutical Journal (</w:t>
      </w:r>
      <w:proofErr w:type="gramStart"/>
      <w:r>
        <w:t>2024) ‘</w:t>
      </w:r>
      <w:proofErr w:type="gramEnd"/>
      <w:r>
        <w:t xml:space="preserve">Patients can now use NHS App to collect prescriptions from any community </w:t>
      </w:r>
      <w:proofErr w:type="gramStart"/>
      <w:r>
        <w:t>pharmacy’.</w:t>
      </w:r>
      <w:proofErr w:type="gramEnd"/>
      <w:r>
        <w:t xml:space="preserve"> The Pharmaceutical Journal. Available at: </w:t>
      </w:r>
      <w:hyperlink r:id="rId28">
        <w:r>
          <w:rPr>
            <w:color w:val="1155CC"/>
            <w:u w:val="single"/>
          </w:rPr>
          <w:t>https://pharmaceutical-journal.com/article/news/patients-can-now-use-nhs-app-to-collect-prescriptions-from-any-community-pharmacy</w:t>
        </w:r>
      </w:hyperlink>
      <w:r>
        <w:t xml:space="preserve"> (Accessed: 1 October 2025).</w:t>
      </w:r>
    </w:p>
    <w:p w14:paraId="4023DB10" w14:textId="77777777" w:rsidR="00115DD3" w:rsidRDefault="00000000">
      <w:pPr>
        <w:spacing w:before="240" w:after="120" w:line="390" w:lineRule="auto"/>
      </w:pPr>
      <w:r>
        <w:t xml:space="preserve">Reidy, T., </w:t>
      </w:r>
      <w:r>
        <w:rPr>
          <w:i/>
        </w:rPr>
        <w:t>et al</w:t>
      </w:r>
      <w:r>
        <w:t>. (</w:t>
      </w:r>
      <w:proofErr w:type="gramStart"/>
      <w:r>
        <w:t>2025) ‘</w:t>
      </w:r>
      <w:proofErr w:type="gramEnd"/>
      <w:r>
        <w:t xml:space="preserve">Qualitative evaluation of the implementation and evolution of the NHS App in England’. Available at: </w:t>
      </w:r>
      <w:hyperlink r:id="rId29">
        <w:r>
          <w:rPr>
            <w:color w:val="1155CC"/>
            <w:u w:val="single"/>
          </w:rPr>
          <w:t>https://pmc.ncbi.nlm.nih.gov/articles/PMC11752663/</w:t>
        </w:r>
      </w:hyperlink>
      <w:r>
        <w:t xml:space="preserve"> (Accessed: 1 October 2025).</w:t>
      </w:r>
    </w:p>
    <w:p w14:paraId="3A97CD4E" w14:textId="77777777" w:rsidR="00115DD3" w:rsidRDefault="00000000">
      <w:pPr>
        <w:spacing w:before="240" w:after="120" w:line="390" w:lineRule="auto"/>
      </w:pPr>
      <w:r>
        <w:t>Tony Blair Institute for Global Change (</w:t>
      </w:r>
      <w:proofErr w:type="gramStart"/>
      <w:r>
        <w:t>2024) ‘</w:t>
      </w:r>
      <w:proofErr w:type="gramEnd"/>
      <w:r>
        <w:t xml:space="preserve">New polling reveals public support for NHS digital transformation’. Available at: </w:t>
      </w:r>
      <w:hyperlink r:id="rId30">
        <w:r>
          <w:rPr>
            <w:color w:val="1155CC"/>
            <w:u w:val="single"/>
          </w:rPr>
          <w:t>https://institute.global/insights/public-services/new-polling-reveals-public-support-for-nhs-digital-transformation</w:t>
        </w:r>
      </w:hyperlink>
      <w:r>
        <w:t xml:space="preserve"> (Accessed: 1 October 2025).</w:t>
      </w:r>
    </w:p>
    <w:p w14:paraId="6CABF0AA" w14:textId="77777777" w:rsidR="00115DD3" w:rsidRDefault="00000000">
      <w:pPr>
        <w:spacing w:before="240" w:after="120" w:line="390" w:lineRule="auto"/>
      </w:pPr>
      <w:r>
        <w:t>Zhang, X., Barron, G., Mohamed, M.O., de Lusignan, S. and Williams, R. (</w:t>
      </w:r>
      <w:proofErr w:type="gramStart"/>
      <w:r>
        <w:t>2023) ‘</w:t>
      </w:r>
      <w:proofErr w:type="gramEnd"/>
      <w:r>
        <w:t xml:space="preserve">Quantifying digital health inequality across a national healthcare system’, BMJ Health &amp; Care Informatics, 30(1), e100809. Available at: </w:t>
      </w:r>
      <w:hyperlink r:id="rId31">
        <w:r>
          <w:rPr>
            <w:color w:val="1155CC"/>
            <w:u w:val="single"/>
          </w:rPr>
          <w:t>https://informatics.bmj.com/content/30/1/e100809</w:t>
        </w:r>
      </w:hyperlink>
      <w:r>
        <w:t xml:space="preserve"> (Accessed: 1 October 2025).</w:t>
      </w:r>
    </w:p>
    <w:p w14:paraId="1B3CA6F7" w14:textId="77777777" w:rsidR="00115DD3" w:rsidRDefault="00115DD3">
      <w:pPr>
        <w:spacing w:line="390" w:lineRule="auto"/>
      </w:pPr>
    </w:p>
    <w:p w14:paraId="00DE194B" w14:textId="77777777" w:rsidR="00115DD3" w:rsidRDefault="00115DD3"/>
    <w:p w14:paraId="637CF144" w14:textId="77777777" w:rsidR="00115DD3" w:rsidRDefault="00115DD3"/>
    <w:sectPr w:rsidR="00115DD3">
      <w:footerReference w:type="default" r:id="rId32"/>
      <w:footerReference w:type="first" r:id="rId33"/>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7C93DD" w14:textId="77777777" w:rsidR="00E657EE" w:rsidRDefault="00E657EE">
      <w:pPr>
        <w:spacing w:after="0" w:line="240" w:lineRule="auto"/>
      </w:pPr>
      <w:r>
        <w:separator/>
      </w:r>
    </w:p>
  </w:endnote>
  <w:endnote w:type="continuationSeparator" w:id="0">
    <w:p w14:paraId="4B203A0C" w14:textId="77777777" w:rsidR="00E657EE" w:rsidRDefault="00E657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EB Garamond">
    <w:charset w:val="00"/>
    <w:family w:val="auto"/>
    <w:pitch w:val="variable"/>
    <w:sig w:usb0="E00002FF" w:usb1="02000413" w:usb2="00000000" w:usb3="00000000" w:csb0="0000019F" w:csb1="00000000"/>
    <w:embedRegular r:id="rId1" w:fontKey="{A625B736-3D78-4902-9E2F-5A219D4B3389}"/>
    <w:embedBoldItalic r:id="rId2" w:fontKey="{3EB2042A-C32C-4DC2-8EBA-E791D2AF6F7F}"/>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3" w:fontKey="{33E680BB-0700-4B47-8895-A8955D571798}"/>
  </w:font>
  <w:font w:name="Mangal">
    <w:panose1 w:val="00000400000000000000"/>
    <w:charset w:val="01"/>
    <w:family w:val="roman"/>
    <w:pitch w:val="variable"/>
    <w:sig w:usb0="00002000" w:usb1="00000000" w:usb2="00000000" w:usb3="00000000" w:csb0="00000000" w:csb1="00000000"/>
    <w:embedRegular r:id="rId4" w:fontKey="{FF47C784-3269-4B3C-BB5E-B0A3016E807E}"/>
  </w:font>
  <w:font w:name="Cambria Math">
    <w:panose1 w:val="02040503050406030204"/>
    <w:charset w:val="00"/>
    <w:family w:val="roman"/>
    <w:pitch w:val="variable"/>
    <w:sig w:usb0="E00006FF" w:usb1="420024FF" w:usb2="02000000" w:usb3="00000000" w:csb0="0000019F" w:csb1="00000000"/>
    <w:embedRegular r:id="rId5" w:fontKey="{BCFD6B1F-F92B-49D8-A95A-D1B41F7FA33B}"/>
    <w:embedBold r:id="rId6" w:fontKey="{CBCC162F-B9BB-4124-B0FD-38DB567E2CA5}"/>
  </w:font>
  <w:font w:name="Cambria">
    <w:panose1 w:val="02040503050406030204"/>
    <w:charset w:val="00"/>
    <w:family w:val="roman"/>
    <w:pitch w:val="variable"/>
    <w:sig w:usb0="E00006FF" w:usb1="420024FF" w:usb2="02000000" w:usb3="00000000" w:csb0="0000019F" w:csb1="00000000"/>
    <w:embedRegular r:id="rId7" w:fontKey="{8AC7AF01-F5E9-4C14-B8CF-AD2E3730DAA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C13FF4" w14:textId="77777777" w:rsidR="00115DD3" w:rsidRDefault="00000000">
    <w:pPr>
      <w:jc w:val="right"/>
    </w:pPr>
    <w:r>
      <w:fldChar w:fldCharType="begin"/>
    </w:r>
    <w:r>
      <w:instrText>PAGE</w:instrText>
    </w:r>
    <w:r>
      <w:fldChar w:fldCharType="separate"/>
    </w:r>
    <w:r w:rsidR="008B7CAB">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031738" w14:textId="77777777" w:rsidR="00115DD3" w:rsidRDefault="00000000">
    <w:pPr>
      <w:jc w:val="right"/>
    </w:pPr>
    <w:r>
      <w:fldChar w:fldCharType="begin"/>
    </w:r>
    <w:r>
      <w:instrText>PAGE</w:instrText>
    </w:r>
    <w:r>
      <w:fldChar w:fldCharType="separate"/>
    </w:r>
    <w:r w:rsidR="008B7CAB">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93BAD3" w14:textId="77777777" w:rsidR="00E657EE" w:rsidRDefault="00E657EE">
      <w:pPr>
        <w:spacing w:after="0" w:line="240" w:lineRule="auto"/>
      </w:pPr>
      <w:r>
        <w:separator/>
      </w:r>
    </w:p>
  </w:footnote>
  <w:footnote w:type="continuationSeparator" w:id="0">
    <w:p w14:paraId="34F3B1A4" w14:textId="77777777" w:rsidR="00E657EE" w:rsidRDefault="00E657E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5DD3"/>
    <w:rsid w:val="00115DD3"/>
    <w:rsid w:val="001C2ABD"/>
    <w:rsid w:val="008B7CAB"/>
    <w:rsid w:val="00E657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6C032D"/>
  <w15:docId w15:val="{EB458EF2-8457-4523-8DC2-19E902981F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b/>
    </w:rPr>
  </w:style>
  <w:style w:type="paragraph" w:styleId="Heading3">
    <w:name w:val="heading 3"/>
    <w:basedOn w:val="Normal"/>
    <w:next w:val="Normal"/>
    <w:uiPriority w:val="9"/>
    <w:semiHidden/>
    <w:unhideWhenUsed/>
    <w:qFormat/>
    <w:pPr>
      <w:keepNext/>
      <w:keepLines/>
      <w:spacing w:before="320" w:after="80"/>
      <w:outlineLvl w:val="2"/>
    </w:pPr>
    <w:rPr>
      <w:rFonts w:ascii="EB Garamond" w:eastAsia="EB Garamond" w:hAnsi="EB Garamond" w:cs="EB Garamond"/>
      <w:b/>
      <w:i/>
      <w:color w:val="434343"/>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jc w:val="center"/>
    </w:pPr>
    <w:rPr>
      <w:b/>
      <w:sz w:val="40"/>
      <w:szCs w:val="40"/>
    </w:rPr>
  </w:style>
  <w:style w:type="table" w:customStyle="1" w:styleId="TableNormal1">
    <w:name w:val="TableNormal"/>
    <w:tblPr>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4434D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434DC"/>
    <w:pPr>
      <w:spacing w:after="100"/>
    </w:pPr>
    <w:rPr>
      <w:rFonts w:cs="Mangal"/>
      <w:szCs w:val="20"/>
    </w:rPr>
  </w:style>
  <w:style w:type="character" w:styleId="Hyperlink">
    <w:name w:val="Hyperlink"/>
    <w:basedOn w:val="DefaultParagraphFont"/>
    <w:uiPriority w:val="99"/>
    <w:unhideWhenUsed/>
    <w:rsid w:val="004434DC"/>
    <w:rPr>
      <w:color w:val="0000FF" w:themeColor="hyperlink"/>
      <w:u w:val="single"/>
    </w:rPr>
  </w:style>
  <w:style w:type="paragraph" w:styleId="Subtitle">
    <w:name w:val="Subtitle"/>
    <w:basedOn w:val="Normal"/>
    <w:next w:val="Normal"/>
    <w:uiPriority w:val="11"/>
    <w:qFormat/>
    <w:pPr>
      <w:keepNext/>
      <w:keepLines/>
      <w:spacing w:after="320"/>
      <w:jc w:val="center"/>
    </w:pPr>
    <w:rPr>
      <w:i/>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ncsc.gov.uk/collection/cyber-assessment-framework/introduction-to-caf" TargetMode="External"/><Relationship Id="rId26" Type="http://schemas.openxmlformats.org/officeDocument/2006/relationships/hyperlink" Target="https://www.england.nhs.uk/category/gp-online-services/" TargetMode="External"/><Relationship Id="rId3" Type="http://schemas.openxmlformats.org/officeDocument/2006/relationships/settings" Target="settings.xml"/><Relationship Id="rId21" Type="http://schemas.openxmlformats.org/officeDocument/2006/relationships/hyperlink" Target="https://www.england.nhs.uk/ourwork/clinical-policy/proxy-access-to-gp-online-services-by-care-home-staff-guidance-for-care-homes-and-gp-practices/how-proxy-access-works/"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ico.org.uk/for-organisations/uk-gdpr-guidance-and-resources/data-protection-principles/transparency-in-health-and-social-care/" TargetMode="External"/><Relationship Id="rId25" Type="http://schemas.openxmlformats.org/officeDocument/2006/relationships/hyperlink" Target="https://www.england.nhs.uk/2024/05/nhs-app-messaging-saved-nhs-more-than-1-million-in-last-year/" TargetMode="External"/><Relationship Id="rId33" Type="http://schemas.openxmlformats.org/officeDocument/2006/relationships/footer" Target="footer2.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england.nhs.uk/long-read/proxy-access/" TargetMode="External"/><Relationship Id="rId29" Type="http://schemas.openxmlformats.org/officeDocument/2006/relationships/hyperlink" Target="https://pmc.ncbi.nlm.nih.gov/articles/PMC11752663/"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england.nhs.uk/2024/01/digital-prescriptions-go-live-in-nhs-app/"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england.nhs.uk/long-read/transformation-and-innovation-delivery-update/" TargetMode="External"/><Relationship Id="rId28" Type="http://schemas.openxmlformats.org/officeDocument/2006/relationships/hyperlink" Target="https://pharmaceutical-journal.com/article/news/patients-can-now-use-nhs-app-to-collect-prescriptions-from-any-community-pharmacy" TargetMode="External"/><Relationship Id="rId10" Type="http://schemas.openxmlformats.org/officeDocument/2006/relationships/image" Target="media/image4.png"/><Relationship Id="rId19" Type="http://schemas.openxmlformats.org/officeDocument/2006/relationships/hyperlink" Target="https://www.nhs.uk/nhs-app/nhs-app-help-and-support/linked-profiles-in-the-nhs-app/" TargetMode="External"/><Relationship Id="rId31" Type="http://schemas.openxmlformats.org/officeDocument/2006/relationships/hyperlink" Target="https://informatics.bmj.com/content/30/1/e100809"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england.nhs.uk/wp-content/uploads/2024/01/item-8-annex-nhs-app.pdf" TargetMode="External"/><Relationship Id="rId27" Type="http://schemas.openxmlformats.org/officeDocument/2006/relationships/hyperlink" Target="https://www.nice.org.uk/what-nice-does/digital-health/evidence-standards-framework-esf-for-digital-health-technologies" TargetMode="External"/><Relationship Id="rId30" Type="http://schemas.openxmlformats.org/officeDocument/2006/relationships/hyperlink" Target="https://institute.global/insights/public-services/new-polling-reveals-public-support-for-nhs-digital-transformation" TargetMode="External"/><Relationship Id="rId35" Type="http://schemas.openxmlformats.org/officeDocument/2006/relationships/theme" Target="theme/theme1.xml"/><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sPtlZDMrDQzy08vjTnQMi96kigg==">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2028</Words>
  <Characters>11564</Characters>
  <Application>Microsoft Office Word</Application>
  <DocSecurity>0</DocSecurity>
  <Lines>96</Lines>
  <Paragraphs>27</Paragraphs>
  <ScaleCrop>false</ScaleCrop>
  <Company/>
  <LinksUpToDate>false</LinksUpToDate>
  <CharactersWithSpaces>13565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Dorothy Kodua Tweneboah (2314173)</cp:lastModifiedBy>
  <cp:revision>2</cp:revision>
  <dcterms:created xsi:type="dcterms:W3CDTF">2025-10-31T00:31:00Z</dcterms:created>
  <dcterms:modified xsi:type="dcterms:W3CDTF">2025-10-31T00:31:00Z</dcterms:modified>
</cp:coreProperties>
</file>