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0723205" wp14:paraId="5E5787A5" wp14:textId="1CA09433">
      <w:pPr>
        <w:rPr>
          <w:rFonts w:ascii="Arial" w:hAnsi="Arial" w:eastAsia="Arial" w:cs="Arial"/>
          <w:sz w:val="22"/>
          <w:szCs w:val="22"/>
        </w:rPr>
      </w:pPr>
      <w:r w:rsidRPr="5F4CD417" w:rsidR="3852B974">
        <w:rPr>
          <w:rFonts w:ascii="Arial" w:hAnsi="Arial" w:eastAsia="Arial" w:cs="Arial"/>
          <w:b w:val="1"/>
          <w:bCs w:val="1"/>
          <w:sz w:val="22"/>
          <w:szCs w:val="22"/>
        </w:rPr>
        <w:t>Student name:</w:t>
      </w:r>
      <w:r w:rsidRPr="5F4CD417" w:rsidR="3852B974">
        <w:rPr>
          <w:rFonts w:ascii="Arial" w:hAnsi="Arial" w:eastAsia="Arial" w:cs="Arial"/>
          <w:sz w:val="22"/>
          <w:szCs w:val="22"/>
        </w:rPr>
        <w:t xml:space="preserve"> Kieley Kali</w:t>
      </w:r>
    </w:p>
    <w:p w:rsidR="5948E389" w:rsidP="00723205" w:rsidRDefault="5948E389" w14:paraId="5DCE9351" w14:textId="36B51DFA">
      <w:pPr>
        <w:rPr>
          <w:rFonts w:ascii="Arial" w:hAnsi="Arial" w:eastAsia="Arial" w:cs="Arial"/>
          <w:sz w:val="22"/>
          <w:szCs w:val="22"/>
        </w:rPr>
      </w:pPr>
      <w:r w:rsidRPr="5F4CD417" w:rsidR="18F30BF0">
        <w:rPr>
          <w:rFonts w:ascii="Arial" w:hAnsi="Arial" w:eastAsia="Arial" w:cs="Arial"/>
          <w:b w:val="1"/>
          <w:bCs w:val="1"/>
          <w:sz w:val="22"/>
          <w:szCs w:val="22"/>
        </w:rPr>
        <w:t xml:space="preserve">Student ID: </w:t>
      </w:r>
      <w:r w:rsidRPr="5F4CD417" w:rsidR="18F30BF0">
        <w:rPr>
          <w:rFonts w:ascii="Arial" w:hAnsi="Arial" w:eastAsia="Arial" w:cs="Arial"/>
          <w:sz w:val="22"/>
          <w:szCs w:val="22"/>
        </w:rPr>
        <w:t>2008020</w:t>
      </w:r>
    </w:p>
    <w:p w:rsidR="5948E389" w:rsidP="00723205" w:rsidRDefault="5948E389" w14:paraId="3A18CA3B" w14:textId="14C5D332">
      <w:pPr>
        <w:rPr>
          <w:rFonts w:ascii="Arial" w:hAnsi="Arial" w:eastAsia="Arial" w:cs="Arial"/>
          <w:sz w:val="22"/>
          <w:szCs w:val="22"/>
        </w:rPr>
      </w:pPr>
      <w:r w:rsidRPr="5F4CD417" w:rsidR="18F30BF0">
        <w:rPr>
          <w:rFonts w:ascii="Arial" w:hAnsi="Arial" w:eastAsia="Arial" w:cs="Arial"/>
          <w:b w:val="1"/>
          <w:bCs w:val="1"/>
          <w:sz w:val="22"/>
          <w:szCs w:val="22"/>
        </w:rPr>
        <w:t xml:space="preserve">Module: </w:t>
      </w:r>
      <w:r w:rsidRPr="5F4CD417" w:rsidR="18F30BF0">
        <w:rPr>
          <w:rFonts w:ascii="Arial" w:hAnsi="Arial" w:eastAsia="Arial" w:cs="Arial"/>
          <w:sz w:val="22"/>
          <w:szCs w:val="22"/>
        </w:rPr>
        <w:t xml:space="preserve">Principles of Health and Social Care </w:t>
      </w:r>
    </w:p>
    <w:p w:rsidR="5948E389" w:rsidP="00723205" w:rsidRDefault="5948E389" w14:paraId="457EBF54" w14:textId="7C520075">
      <w:pPr>
        <w:rPr>
          <w:rFonts w:ascii="Arial" w:hAnsi="Arial" w:eastAsia="Arial" w:cs="Arial"/>
          <w:sz w:val="22"/>
          <w:szCs w:val="22"/>
        </w:rPr>
      </w:pPr>
      <w:r w:rsidRPr="5F4CD417" w:rsidR="18F30BF0">
        <w:rPr>
          <w:rFonts w:ascii="Arial" w:hAnsi="Arial" w:eastAsia="Arial" w:cs="Arial"/>
          <w:b w:val="1"/>
          <w:bCs w:val="1"/>
          <w:sz w:val="22"/>
          <w:szCs w:val="22"/>
        </w:rPr>
        <w:t>Module code:</w:t>
      </w:r>
      <w:r w:rsidRPr="5F4CD417" w:rsidR="18F30BF0">
        <w:rPr>
          <w:rFonts w:ascii="Arial" w:hAnsi="Arial" w:eastAsia="Arial" w:cs="Arial"/>
          <w:sz w:val="22"/>
          <w:szCs w:val="22"/>
        </w:rPr>
        <w:t xml:space="preserve"> BMHP5016</w:t>
      </w:r>
    </w:p>
    <w:p w:rsidR="4F96099F" w:rsidP="00723205" w:rsidRDefault="4F96099F" w14:paraId="28447508" w14:textId="7E2441A4">
      <w:pPr>
        <w:pStyle w:val="Normal"/>
        <w:ind w:left="0"/>
        <w:rPr>
          <w:rFonts w:ascii="Arial" w:hAnsi="Arial" w:eastAsia="Arial" w:cs="Arial"/>
          <w:sz w:val="22"/>
          <w:szCs w:val="22"/>
        </w:rPr>
      </w:pPr>
      <w:r w:rsidRPr="5F4CD417" w:rsidR="1AF9A456">
        <w:rPr>
          <w:rFonts w:ascii="Arial" w:hAnsi="Arial" w:eastAsia="Arial" w:cs="Arial"/>
          <w:b w:val="1"/>
          <w:bCs w:val="1"/>
          <w:sz w:val="22"/>
          <w:szCs w:val="22"/>
        </w:rPr>
        <w:t xml:space="preserve">Assignment title: </w:t>
      </w:r>
      <w:r w:rsidRPr="5F4CD417" w:rsidR="323FC181">
        <w:rPr>
          <w:rFonts w:ascii="Arial" w:hAnsi="Arial" w:eastAsia="Arial" w:cs="Arial"/>
          <w:sz w:val="22"/>
          <w:szCs w:val="22"/>
        </w:rPr>
        <w:t>Component 1: Written Assignment (Reflective Report)</w:t>
      </w:r>
    </w:p>
    <w:p w:rsidR="00723205" w:rsidP="00723205" w:rsidRDefault="00723205" w14:paraId="200342D1" w14:textId="002E6002">
      <w:pPr>
        <w:pStyle w:val="Normal"/>
        <w:ind w:left="0"/>
      </w:pPr>
    </w:p>
    <w:p w:rsidR="00723205" w:rsidP="00723205" w:rsidRDefault="00723205" w14:paraId="0E30D973" w14:textId="10485266">
      <w:pPr>
        <w:pStyle w:val="Normal"/>
        <w:ind w:left="0"/>
      </w:pPr>
    </w:p>
    <w:p w:rsidR="00723205" w:rsidP="00723205" w:rsidRDefault="00723205" w14:paraId="7EC40F7B" w14:textId="57F14E59">
      <w:pPr>
        <w:pStyle w:val="Normal"/>
        <w:ind w:left="0"/>
      </w:pPr>
    </w:p>
    <w:p w:rsidR="00723205" w:rsidP="00723205" w:rsidRDefault="00723205" w14:paraId="4824C7D2" w14:textId="2D1B84BA">
      <w:pPr>
        <w:pStyle w:val="Normal"/>
        <w:ind w:left="0"/>
      </w:pPr>
    </w:p>
    <w:p w:rsidR="00723205" w:rsidP="00723205" w:rsidRDefault="00723205" w14:paraId="224D2519" w14:textId="24CA8631">
      <w:pPr>
        <w:pStyle w:val="Normal"/>
        <w:ind w:left="0"/>
      </w:pPr>
    </w:p>
    <w:p w:rsidR="00723205" w:rsidP="00723205" w:rsidRDefault="00723205" w14:paraId="0857A3BF" w14:textId="66F2E856">
      <w:pPr>
        <w:pStyle w:val="Normal"/>
        <w:ind w:left="0"/>
      </w:pPr>
    </w:p>
    <w:p w:rsidR="00723205" w:rsidP="00723205" w:rsidRDefault="00723205" w14:paraId="3D97C7A1" w14:textId="633AF948">
      <w:pPr>
        <w:pStyle w:val="Normal"/>
        <w:ind w:left="0"/>
      </w:pPr>
    </w:p>
    <w:p w:rsidR="00723205" w:rsidP="00723205" w:rsidRDefault="00723205" w14:paraId="39C76D9F" w14:textId="39FB2BFB">
      <w:pPr>
        <w:pStyle w:val="Normal"/>
        <w:ind w:left="0"/>
      </w:pPr>
    </w:p>
    <w:p w:rsidR="00723205" w:rsidP="00723205" w:rsidRDefault="00723205" w14:paraId="1E4324A9" w14:textId="55ACC24E">
      <w:pPr>
        <w:pStyle w:val="Normal"/>
        <w:ind w:left="0"/>
      </w:pPr>
    </w:p>
    <w:p w:rsidR="00723205" w:rsidP="00723205" w:rsidRDefault="00723205" w14:paraId="3F08268C" w14:textId="5E66E77F">
      <w:pPr>
        <w:pStyle w:val="Normal"/>
        <w:ind w:left="0"/>
      </w:pPr>
    </w:p>
    <w:p w:rsidR="00723205" w:rsidP="00723205" w:rsidRDefault="00723205" w14:paraId="00D4ED6A" w14:textId="1480D1BC">
      <w:pPr>
        <w:pStyle w:val="Normal"/>
        <w:ind w:left="0"/>
      </w:pPr>
    </w:p>
    <w:p w:rsidR="00723205" w:rsidP="00723205" w:rsidRDefault="00723205" w14:paraId="1ADAA65D" w14:textId="06C83B12">
      <w:pPr>
        <w:pStyle w:val="Normal"/>
        <w:ind w:left="0"/>
      </w:pPr>
    </w:p>
    <w:p w:rsidR="00723205" w:rsidP="00723205" w:rsidRDefault="00723205" w14:paraId="718F6948" w14:textId="71686E9C">
      <w:pPr>
        <w:pStyle w:val="Normal"/>
        <w:ind w:left="0"/>
      </w:pPr>
    </w:p>
    <w:p w:rsidR="00723205" w:rsidP="00723205" w:rsidRDefault="00723205" w14:paraId="41FE5706" w14:textId="6934BECF">
      <w:pPr>
        <w:pStyle w:val="Normal"/>
        <w:ind w:left="0"/>
      </w:pPr>
    </w:p>
    <w:p w:rsidR="00723205" w:rsidP="00723205" w:rsidRDefault="00723205" w14:paraId="47B16F77" w14:textId="0EBE7567">
      <w:pPr>
        <w:pStyle w:val="Normal"/>
        <w:ind w:left="0"/>
      </w:pPr>
    </w:p>
    <w:p w:rsidR="00723205" w:rsidP="00723205" w:rsidRDefault="00723205" w14:paraId="3260E2FB" w14:textId="5925AE0E">
      <w:pPr>
        <w:pStyle w:val="Normal"/>
        <w:ind w:left="0"/>
      </w:pPr>
    </w:p>
    <w:p w:rsidR="00723205" w:rsidP="00723205" w:rsidRDefault="00723205" w14:paraId="1D224351" w14:textId="1787ECBC">
      <w:pPr>
        <w:pStyle w:val="Normal"/>
        <w:ind w:left="0"/>
      </w:pPr>
    </w:p>
    <w:p w:rsidR="00723205" w:rsidP="00723205" w:rsidRDefault="00723205" w14:paraId="4A402413" w14:textId="67F103A9">
      <w:pPr>
        <w:pStyle w:val="Normal"/>
        <w:ind w:left="0"/>
      </w:pPr>
    </w:p>
    <w:p w:rsidR="00723205" w:rsidP="00723205" w:rsidRDefault="00723205" w14:paraId="785236BF" w14:textId="57FB771B">
      <w:pPr>
        <w:pStyle w:val="Normal"/>
        <w:ind w:left="0"/>
      </w:pPr>
    </w:p>
    <w:p w:rsidR="00723205" w:rsidP="00723205" w:rsidRDefault="00723205" w14:paraId="53D8BAF3" w14:textId="1A71B405">
      <w:pPr>
        <w:pStyle w:val="Normal"/>
        <w:ind w:left="0"/>
      </w:pPr>
    </w:p>
    <w:p w:rsidR="00723205" w:rsidP="00723205" w:rsidRDefault="00723205" w14:paraId="0375E627" w14:textId="7564B1C3">
      <w:pPr>
        <w:pStyle w:val="Normal"/>
        <w:ind w:left="0"/>
      </w:pPr>
    </w:p>
    <w:p w:rsidR="00723205" w:rsidP="00723205" w:rsidRDefault="00723205" w14:paraId="6128E236" w14:textId="650C426B">
      <w:pPr>
        <w:pStyle w:val="Normal"/>
        <w:ind w:left="0"/>
      </w:pPr>
    </w:p>
    <w:p w:rsidR="00723205" w:rsidP="00723205" w:rsidRDefault="00723205" w14:paraId="40716125" w14:textId="7694B166">
      <w:pPr>
        <w:pStyle w:val="Normal"/>
        <w:ind w:left="0"/>
      </w:pPr>
    </w:p>
    <w:p w:rsidR="79E9F067" w:rsidP="5F4CD417" w:rsidRDefault="79E9F067" w14:paraId="4A5FB7F9" w14:textId="20B00EB4">
      <w:pPr>
        <w:rPr>
          <w:rFonts w:ascii="Arial" w:hAnsi="Arial" w:eastAsia="Arial" w:cs="Arial"/>
          <w:b w:val="1"/>
          <w:bCs w:val="1"/>
          <w:noProof w:val="0"/>
          <w:sz w:val="24"/>
          <w:szCs w:val="24"/>
          <w:u w:val="single"/>
          <w:lang w:val="en-GB"/>
        </w:rPr>
      </w:pPr>
      <w:r w:rsidRPr="5F4CD417" w:rsidR="79E9F067">
        <w:rPr>
          <w:rFonts w:ascii="Arial" w:hAnsi="Arial" w:eastAsia="Arial" w:cs="Arial"/>
          <w:b w:val="1"/>
          <w:bCs w:val="1"/>
          <w:noProof w:val="0"/>
          <w:sz w:val="24"/>
          <w:szCs w:val="24"/>
          <w:u w:val="single"/>
          <w:lang w:val="en-GB"/>
        </w:rPr>
        <w:t>C</w:t>
      </w:r>
      <w:r w:rsidRPr="5F4CD417" w:rsidR="41BDD956">
        <w:rPr>
          <w:rFonts w:ascii="Arial" w:hAnsi="Arial" w:eastAsia="Arial" w:cs="Arial"/>
          <w:b w:val="1"/>
          <w:bCs w:val="1"/>
          <w:noProof w:val="0"/>
          <w:sz w:val="24"/>
          <w:szCs w:val="24"/>
          <w:u w:val="single"/>
          <w:lang w:val="en-GB"/>
        </w:rPr>
        <w:t xml:space="preserve">ONTENTS </w:t>
      </w:r>
    </w:p>
    <w:p w:rsidR="1A6B1294" w:rsidP="5F4CD417" w:rsidRDefault="1A6B1294" w14:paraId="18B0305D" w14:textId="7484FEAE">
      <w:pPr>
        <w:pStyle w:val="ListParagraph"/>
        <w:numPr>
          <w:ilvl w:val="0"/>
          <w:numId w:val="8"/>
        </w:numPr>
        <w:rPr>
          <w:rFonts w:ascii="Arial" w:hAnsi="Arial" w:eastAsia="Arial" w:cs="Arial"/>
          <w:noProof w:val="0"/>
          <w:sz w:val="22"/>
          <w:szCs w:val="22"/>
          <w:lang w:val="en-GB"/>
        </w:rPr>
      </w:pPr>
      <w:r w:rsidRPr="5F4CD417" w:rsidR="1A6B1294">
        <w:rPr>
          <w:rFonts w:ascii="Arial" w:hAnsi="Arial" w:eastAsia="Arial" w:cs="Arial"/>
          <w:noProof w:val="0"/>
          <w:sz w:val="22"/>
          <w:szCs w:val="22"/>
          <w:lang w:val="en-GB"/>
        </w:rPr>
        <w:t xml:space="preserve">Title Page </w:t>
      </w:r>
    </w:p>
    <w:p w:rsidR="1A6B1294" w:rsidP="5F4CD417" w:rsidRDefault="1A6B1294" w14:paraId="748A1372" w14:textId="024116F9">
      <w:pPr>
        <w:pStyle w:val="ListParagraph"/>
        <w:numPr>
          <w:ilvl w:val="0"/>
          <w:numId w:val="8"/>
        </w:numPr>
        <w:rPr>
          <w:rFonts w:ascii="Arial" w:hAnsi="Arial" w:eastAsia="Arial" w:cs="Arial"/>
          <w:noProof w:val="0"/>
          <w:sz w:val="22"/>
          <w:szCs w:val="22"/>
          <w:lang w:val="en-GB"/>
        </w:rPr>
      </w:pPr>
      <w:r w:rsidRPr="5F4CD417" w:rsidR="1A6B1294">
        <w:rPr>
          <w:rFonts w:ascii="Arial" w:hAnsi="Arial" w:eastAsia="Arial" w:cs="Arial"/>
          <w:noProof w:val="0"/>
          <w:sz w:val="22"/>
          <w:szCs w:val="22"/>
          <w:lang w:val="en-GB"/>
        </w:rPr>
        <w:t xml:space="preserve">Table of Contents </w:t>
      </w:r>
    </w:p>
    <w:p w:rsidR="1A6B1294" w:rsidP="5F4CD417" w:rsidRDefault="1A6B1294" w14:paraId="2706C94B" w14:textId="0DAC1EA1">
      <w:pPr>
        <w:pStyle w:val="ListParagraph"/>
        <w:numPr>
          <w:ilvl w:val="0"/>
          <w:numId w:val="8"/>
        </w:numPr>
        <w:rPr>
          <w:rFonts w:ascii="Arial" w:hAnsi="Arial" w:eastAsia="Arial" w:cs="Arial"/>
          <w:noProof w:val="0"/>
          <w:sz w:val="22"/>
          <w:szCs w:val="22"/>
          <w:lang w:val="en-GB"/>
        </w:rPr>
      </w:pPr>
      <w:r w:rsidRPr="5F4CD417" w:rsidR="1A6B1294">
        <w:rPr>
          <w:rFonts w:ascii="Arial" w:hAnsi="Arial" w:eastAsia="Arial" w:cs="Arial"/>
          <w:noProof w:val="0"/>
          <w:sz w:val="22"/>
          <w:szCs w:val="22"/>
          <w:lang w:val="en-GB"/>
        </w:rPr>
        <w:t xml:space="preserve">Introduction </w:t>
      </w:r>
    </w:p>
    <w:p w:rsidR="1A6B1294" w:rsidP="5F4CD417" w:rsidRDefault="1A6B1294" w14:paraId="113801C1" w14:textId="5215450C">
      <w:pPr>
        <w:pStyle w:val="ListParagraph"/>
        <w:numPr>
          <w:ilvl w:val="0"/>
          <w:numId w:val="8"/>
        </w:numPr>
        <w:rPr>
          <w:rFonts w:ascii="Arial" w:hAnsi="Arial" w:eastAsia="Arial" w:cs="Arial"/>
          <w:noProof w:val="0"/>
          <w:sz w:val="22"/>
          <w:szCs w:val="22"/>
          <w:lang w:val="en-GB"/>
        </w:rPr>
      </w:pPr>
      <w:r w:rsidRPr="5F4CD417" w:rsidR="1A6B1294">
        <w:rPr>
          <w:rFonts w:ascii="Arial" w:hAnsi="Arial" w:eastAsia="Arial" w:cs="Arial"/>
          <w:noProof w:val="0"/>
          <w:sz w:val="22"/>
          <w:szCs w:val="22"/>
          <w:lang w:val="en-GB"/>
        </w:rPr>
        <w:t xml:space="preserve">Task 1: Reflection on the Importance of Principles of Health and Social Care </w:t>
      </w:r>
    </w:p>
    <w:p w:rsidR="1A6B1294" w:rsidP="5F4CD417" w:rsidRDefault="1A6B1294" w14:paraId="29101438" w14:textId="321F06DD">
      <w:pPr>
        <w:pStyle w:val="ListParagraph"/>
        <w:numPr>
          <w:ilvl w:val="0"/>
          <w:numId w:val="8"/>
        </w:numPr>
        <w:rPr>
          <w:rFonts w:ascii="Arial" w:hAnsi="Arial" w:eastAsia="Arial" w:cs="Arial"/>
          <w:noProof w:val="0"/>
          <w:sz w:val="22"/>
          <w:szCs w:val="22"/>
          <w:lang w:val="en-GB"/>
        </w:rPr>
      </w:pPr>
      <w:r w:rsidRPr="5F4CD417" w:rsidR="1A6B1294">
        <w:rPr>
          <w:rFonts w:ascii="Arial" w:hAnsi="Arial" w:eastAsia="Arial" w:cs="Arial"/>
          <w:noProof w:val="0"/>
          <w:sz w:val="22"/>
          <w:szCs w:val="22"/>
          <w:lang w:val="en-GB"/>
        </w:rPr>
        <w:t xml:space="preserve">Task 2: Practical Examples of Concepts in Practice </w:t>
      </w:r>
    </w:p>
    <w:p w:rsidR="1A6B1294" w:rsidP="5F4CD417" w:rsidRDefault="1A6B1294" w14:paraId="5E3D46C0" w14:textId="79EB7DCD">
      <w:pPr>
        <w:pStyle w:val="ListParagraph"/>
        <w:numPr>
          <w:ilvl w:val="0"/>
          <w:numId w:val="8"/>
        </w:numPr>
        <w:rPr>
          <w:rFonts w:ascii="Arial" w:hAnsi="Arial" w:eastAsia="Arial" w:cs="Arial"/>
          <w:noProof w:val="0"/>
          <w:sz w:val="22"/>
          <w:szCs w:val="22"/>
          <w:lang w:val="en-GB"/>
        </w:rPr>
      </w:pPr>
      <w:r w:rsidRPr="5F4CD417" w:rsidR="1A6B1294">
        <w:rPr>
          <w:rFonts w:ascii="Arial" w:hAnsi="Arial" w:eastAsia="Arial" w:cs="Arial"/>
          <w:noProof w:val="0"/>
          <w:sz w:val="22"/>
          <w:szCs w:val="22"/>
          <w:lang w:val="en-GB"/>
        </w:rPr>
        <w:t xml:space="preserve">Task 3: Self-Reflection as a Health and Social Care Professional </w:t>
      </w:r>
    </w:p>
    <w:p w:rsidR="1A6B1294" w:rsidP="5F4CD417" w:rsidRDefault="1A6B1294" w14:paraId="00BE5621" w14:textId="316FC027">
      <w:pPr>
        <w:pStyle w:val="ListParagraph"/>
        <w:numPr>
          <w:ilvl w:val="0"/>
          <w:numId w:val="8"/>
        </w:numPr>
        <w:rPr>
          <w:rFonts w:ascii="Arial" w:hAnsi="Arial" w:eastAsia="Arial" w:cs="Arial"/>
          <w:noProof w:val="0"/>
          <w:sz w:val="22"/>
          <w:szCs w:val="22"/>
          <w:lang w:val="en-GB"/>
        </w:rPr>
      </w:pPr>
      <w:r w:rsidRPr="5F4CD417" w:rsidR="1A6B1294">
        <w:rPr>
          <w:rFonts w:ascii="Arial" w:hAnsi="Arial" w:eastAsia="Arial" w:cs="Arial"/>
          <w:noProof w:val="0"/>
          <w:sz w:val="22"/>
          <w:szCs w:val="22"/>
          <w:lang w:val="en-GB"/>
        </w:rPr>
        <w:t xml:space="preserve">Conclusion </w:t>
      </w:r>
    </w:p>
    <w:p w:rsidR="1A6B1294" w:rsidP="5F4CD417" w:rsidRDefault="1A6B1294" w14:paraId="636DBC42" w14:textId="4CC0D8FA">
      <w:pPr>
        <w:pStyle w:val="ListParagraph"/>
        <w:numPr>
          <w:ilvl w:val="0"/>
          <w:numId w:val="8"/>
        </w:numPr>
        <w:rPr>
          <w:rFonts w:ascii="Arial" w:hAnsi="Arial" w:eastAsia="Arial" w:cs="Arial"/>
          <w:noProof w:val="0"/>
          <w:sz w:val="22"/>
          <w:szCs w:val="22"/>
          <w:lang w:val="en-GB"/>
        </w:rPr>
      </w:pPr>
      <w:r w:rsidRPr="5F4CD417" w:rsidR="1A6B1294">
        <w:rPr>
          <w:rFonts w:ascii="Arial" w:hAnsi="Arial" w:eastAsia="Arial" w:cs="Arial"/>
          <w:noProof w:val="0"/>
          <w:sz w:val="22"/>
          <w:szCs w:val="22"/>
          <w:lang w:val="en-GB"/>
        </w:rPr>
        <w:t>Reference List</w:t>
      </w:r>
    </w:p>
    <w:p w:rsidR="5F4CD417" w:rsidP="5F4CD417" w:rsidRDefault="5F4CD417" w14:paraId="6B6B6725" w14:textId="5E6BAF12">
      <w:pPr>
        <w:rPr>
          <w:rFonts w:ascii="Arial" w:hAnsi="Arial" w:eastAsia="Arial" w:cs="Arial"/>
          <w:b w:val="1"/>
          <w:bCs w:val="1"/>
          <w:noProof w:val="0"/>
          <w:sz w:val="24"/>
          <w:szCs w:val="24"/>
          <w:u w:val="single"/>
          <w:lang w:val="en-GB"/>
        </w:rPr>
      </w:pPr>
    </w:p>
    <w:p w:rsidR="00723205" w:rsidP="00723205" w:rsidRDefault="00723205" w14:paraId="1FDDCF94" w14:textId="24C82F2B">
      <w:pPr>
        <w:pStyle w:val="Normal"/>
        <w:ind w:left="0"/>
      </w:pPr>
    </w:p>
    <w:p w:rsidR="00723205" w:rsidP="00723205" w:rsidRDefault="00723205" w14:paraId="6FB70814" w14:textId="1E8F993B">
      <w:pPr>
        <w:pStyle w:val="Normal"/>
        <w:ind w:left="0"/>
      </w:pPr>
    </w:p>
    <w:p w:rsidR="00723205" w:rsidP="00723205" w:rsidRDefault="00723205" w14:paraId="4DA64BDE" w14:textId="5C13C22D">
      <w:pPr>
        <w:pStyle w:val="Normal"/>
        <w:ind w:left="0"/>
      </w:pPr>
    </w:p>
    <w:p w:rsidR="00723205" w:rsidP="00723205" w:rsidRDefault="00723205" w14:paraId="0F0B8176" w14:textId="5E63B16A">
      <w:pPr>
        <w:pStyle w:val="Normal"/>
        <w:ind w:left="0"/>
      </w:pPr>
    </w:p>
    <w:p w:rsidR="00723205" w:rsidP="00723205" w:rsidRDefault="00723205" w14:paraId="6316091A" w14:textId="2A928FCB">
      <w:pPr>
        <w:pStyle w:val="Normal"/>
        <w:ind w:left="0"/>
      </w:pPr>
    </w:p>
    <w:p w:rsidR="00723205" w:rsidP="00723205" w:rsidRDefault="00723205" w14:paraId="313AC388" w14:textId="28B7D31B">
      <w:pPr>
        <w:pStyle w:val="Normal"/>
        <w:ind w:left="0"/>
      </w:pPr>
    </w:p>
    <w:p w:rsidR="00723205" w:rsidP="00723205" w:rsidRDefault="00723205" w14:paraId="0DA463DB" w14:textId="78221A01">
      <w:pPr>
        <w:pStyle w:val="Normal"/>
        <w:ind w:left="0"/>
      </w:pPr>
    </w:p>
    <w:p w:rsidR="00723205" w:rsidP="00723205" w:rsidRDefault="00723205" w14:paraId="3D8CEE41" w14:textId="6E056923">
      <w:pPr>
        <w:pStyle w:val="Normal"/>
        <w:ind w:left="0"/>
      </w:pPr>
    </w:p>
    <w:p w:rsidR="00723205" w:rsidP="00723205" w:rsidRDefault="00723205" w14:paraId="30A26C45" w14:textId="0BD3425C">
      <w:pPr>
        <w:pStyle w:val="Normal"/>
        <w:ind w:left="0"/>
      </w:pPr>
    </w:p>
    <w:p w:rsidR="00723205" w:rsidP="00723205" w:rsidRDefault="00723205" w14:paraId="1326A29D" w14:textId="1ABE73CF">
      <w:pPr>
        <w:pStyle w:val="Normal"/>
        <w:ind w:left="0"/>
      </w:pPr>
    </w:p>
    <w:p w:rsidR="00723205" w:rsidP="00723205" w:rsidRDefault="00723205" w14:paraId="5897D9A6" w14:textId="5BB21DA7">
      <w:pPr>
        <w:pStyle w:val="Normal"/>
        <w:ind w:left="0"/>
      </w:pPr>
    </w:p>
    <w:p w:rsidR="00723205" w:rsidP="00723205" w:rsidRDefault="00723205" w14:paraId="4AC578EF" w14:textId="3F8340C9">
      <w:pPr>
        <w:pStyle w:val="Normal"/>
        <w:ind w:left="0"/>
      </w:pPr>
    </w:p>
    <w:p w:rsidR="00723205" w:rsidP="00723205" w:rsidRDefault="00723205" w14:paraId="4FC26AEF" w14:textId="3DE9F1E6">
      <w:pPr>
        <w:pStyle w:val="Normal"/>
        <w:ind w:left="0"/>
      </w:pPr>
    </w:p>
    <w:p w:rsidR="00723205" w:rsidP="00723205" w:rsidRDefault="00723205" w14:paraId="57C032FA" w14:textId="11004D8C">
      <w:pPr>
        <w:pStyle w:val="Normal"/>
        <w:ind w:left="0"/>
      </w:pPr>
    </w:p>
    <w:p w:rsidR="00723205" w:rsidP="00723205" w:rsidRDefault="00723205" w14:paraId="42B3F1B5" w14:textId="724D5152">
      <w:pPr>
        <w:pStyle w:val="Normal"/>
        <w:ind w:left="0"/>
      </w:pPr>
    </w:p>
    <w:p w:rsidR="00723205" w:rsidP="00723205" w:rsidRDefault="00723205" w14:paraId="062D8354" w14:textId="696BA3DB">
      <w:pPr>
        <w:pStyle w:val="Normal"/>
        <w:ind w:left="0"/>
      </w:pPr>
    </w:p>
    <w:p w:rsidR="00723205" w:rsidP="00723205" w:rsidRDefault="00723205" w14:paraId="4DCF7E6D" w14:textId="30DFE7FC">
      <w:pPr>
        <w:pStyle w:val="Normal"/>
        <w:ind w:left="0"/>
      </w:pPr>
    </w:p>
    <w:p w:rsidR="00723205" w:rsidP="00723205" w:rsidRDefault="00723205" w14:paraId="43EB0B8F" w14:textId="719C112D">
      <w:pPr>
        <w:pStyle w:val="Normal"/>
        <w:ind w:left="0"/>
      </w:pPr>
    </w:p>
    <w:p w:rsidR="00723205" w:rsidP="00723205" w:rsidRDefault="00723205" w14:paraId="2443C777" w14:textId="1D84AB90">
      <w:pPr>
        <w:pStyle w:val="Normal"/>
        <w:ind w:left="0"/>
      </w:pPr>
    </w:p>
    <w:p w:rsidR="00723205" w:rsidP="00723205" w:rsidRDefault="00723205" w14:paraId="4C254999" w14:textId="55937BA8">
      <w:pPr>
        <w:pStyle w:val="Normal"/>
        <w:ind w:left="0"/>
      </w:pPr>
    </w:p>
    <w:p w:rsidR="5F4CD417" w:rsidP="5F4CD417" w:rsidRDefault="5F4CD417" w14:paraId="66884B03" w14:textId="3FF74D17">
      <w:pPr>
        <w:pStyle w:val="Normal"/>
        <w:ind w:left="0"/>
        <w:rPr>
          <w:rFonts w:ascii="Arial" w:hAnsi="Arial" w:eastAsia="Arial" w:cs="Arial"/>
          <w:b w:val="1"/>
          <w:bCs w:val="1"/>
          <w:sz w:val="22"/>
          <w:szCs w:val="22"/>
          <w:u w:val="single"/>
        </w:rPr>
      </w:pPr>
    </w:p>
    <w:p w:rsidR="426CFF13" w:rsidP="5F4CD417" w:rsidRDefault="426CFF13" w14:paraId="0730544E" w14:textId="012087CB">
      <w:pPr>
        <w:pStyle w:val="Normal"/>
        <w:ind w:left="0"/>
        <w:rPr>
          <w:rFonts w:ascii="Arial" w:hAnsi="Arial" w:eastAsia="Arial" w:cs="Arial"/>
          <w:b w:val="1"/>
          <w:bCs w:val="1"/>
          <w:sz w:val="22"/>
          <w:szCs w:val="22"/>
          <w:u w:val="single"/>
        </w:rPr>
      </w:pPr>
      <w:r w:rsidRPr="5F4CD417" w:rsidR="493A3657">
        <w:rPr>
          <w:rFonts w:ascii="Arial" w:hAnsi="Arial" w:eastAsia="Arial" w:cs="Arial"/>
          <w:b w:val="1"/>
          <w:bCs w:val="1"/>
          <w:sz w:val="22"/>
          <w:szCs w:val="22"/>
          <w:u w:val="single"/>
        </w:rPr>
        <w:t xml:space="preserve">Introduction </w:t>
      </w:r>
    </w:p>
    <w:p w:rsidR="675D355B" w:rsidRDefault="675D355B" w14:paraId="1547E94C" w14:textId="26654F23">
      <w:r w:rsidRPr="5F4CD417" w:rsidR="675D355B">
        <w:rPr>
          <w:rFonts w:ascii="Arial" w:hAnsi="Arial" w:eastAsia="Arial" w:cs="Arial"/>
          <w:noProof w:val="0"/>
          <w:sz w:val="22"/>
          <w:szCs w:val="22"/>
          <w:lang w:val="en-GB"/>
        </w:rPr>
        <w:t>Health and social care professionals use a range of theories and principles to provide effective care and support for individuals with different health needs. One of the most widely recognised theories is the Medical Model of Health, which focuses on illness and disability as medical conditions that can be diagnosed, treated, and managed by healthcare professionals. The model aims to improve health outcomes through medical interventions, treatment plans, and specialist support (McCormack et al., 2021).</w:t>
      </w:r>
    </w:p>
    <w:p w:rsidR="675D355B" w:rsidRDefault="675D355B" w14:paraId="6518EA9A" w14:textId="5464F1D3">
      <w:r w:rsidRPr="5F4CD417" w:rsidR="675D355B">
        <w:rPr>
          <w:rFonts w:ascii="Arial" w:hAnsi="Arial" w:eastAsia="Arial" w:cs="Arial"/>
          <w:noProof w:val="0"/>
          <w:sz w:val="22"/>
          <w:szCs w:val="22"/>
          <w:lang w:val="en-GB"/>
        </w:rPr>
        <w:t>The Medical Model can be seen in the care provided to individuals living with long-term conditions such as Chronic Obstructive Pulmonary Disease (COPD). In Joan's case, healthcare professionals have identified her condition and recommended pulmonary rehabilitation to help manage her symptoms and improve her quality of life. However, Joan often feels overwhelmed by her condition, struggles to attend appointments, and finds it difficult to follow professional advice, resulting in several emergency hospital admissions. This demonstrates that although medical treatment is important, other factors such as emotional wellbeing, motivation, and support networks can significantly influence a person's ability to manage their condition effectively (NHS England, 2023).</w:t>
      </w:r>
    </w:p>
    <w:p w:rsidR="675D355B" w:rsidRDefault="675D355B" w14:paraId="5107A238" w14:textId="79CC075F">
      <w:r w:rsidRPr="5F4CD417" w:rsidR="675D355B">
        <w:rPr>
          <w:rFonts w:ascii="Arial" w:hAnsi="Arial" w:eastAsia="Arial" w:cs="Arial"/>
          <w:noProof w:val="0"/>
          <w:sz w:val="22"/>
          <w:szCs w:val="22"/>
          <w:lang w:val="en-GB"/>
        </w:rPr>
        <w:t>As a result, modern health and social care practice extends beyond the Medical Model by incorporating principles such as person-centred care, partnership working, and ethical practice. Person-centred care focuses on recognising the individual's unique needs, preferences, and values while involving them in decisions about their own care (McCormack et al., 2021). Partnership working encourages collaboration between healthcare professionals, service users, families, and other agencies to achieve positive outcomes and improve continuity of care (Glasby and Dickinson, 2021). Ethical practice ensures that care is delivered fairly, respectfully, and in accordance with professional standards, promoting dignity, autonomy, and the rights of individuals receiving care (Beauchamp and Childress, 2019).</w:t>
      </w:r>
    </w:p>
    <w:p w:rsidR="172BE888" w:rsidP="5F4CD417" w:rsidRDefault="172BE888" w14:paraId="79C361D6" w14:textId="1CFC0B82">
      <w:pPr>
        <w:pStyle w:val="Normal"/>
        <w:ind w:left="0"/>
      </w:pPr>
      <w:r w:rsidRPr="5F4CD417" w:rsidR="172BE888">
        <w:rPr>
          <w:rFonts w:ascii="Arial" w:hAnsi="Arial" w:eastAsia="Arial" w:cs="Arial"/>
          <w:noProof w:val="0"/>
          <w:sz w:val="22"/>
          <w:szCs w:val="22"/>
          <w:lang w:val="en-GB"/>
        </w:rPr>
        <w:t xml:space="preserve">This assignment will discuss the importance of these principles within health and social care and explore how they can be applied in practice using Joan's case study. It will also reflect on how these principles can influence professional practice and contribute to positive outcomes for individuals receiving care. </w:t>
      </w:r>
    </w:p>
    <w:p w:rsidR="5F4CD417" w:rsidP="5F4CD417" w:rsidRDefault="5F4CD417" w14:paraId="1958E870" w14:textId="7B2AC355">
      <w:pPr>
        <w:pStyle w:val="Normal"/>
        <w:ind w:left="0"/>
        <w:rPr>
          <w:rFonts w:ascii="Arial" w:hAnsi="Arial" w:eastAsia="Arial" w:cs="Arial"/>
          <w:b w:val="1"/>
          <w:bCs w:val="1"/>
          <w:noProof w:val="0"/>
          <w:sz w:val="22"/>
          <w:szCs w:val="22"/>
          <w:u w:val="single"/>
          <w:lang w:val="en-GB"/>
        </w:rPr>
      </w:pPr>
    </w:p>
    <w:p w:rsidR="5F4CD417" w:rsidP="5F4CD417" w:rsidRDefault="5F4CD417" w14:paraId="09B2AAF5" w14:textId="4ECF781C">
      <w:pPr>
        <w:pStyle w:val="Normal"/>
        <w:ind w:left="0"/>
        <w:rPr>
          <w:rFonts w:ascii="Arial" w:hAnsi="Arial" w:eastAsia="Arial" w:cs="Arial"/>
          <w:b w:val="1"/>
          <w:bCs w:val="1"/>
          <w:noProof w:val="0"/>
          <w:sz w:val="22"/>
          <w:szCs w:val="22"/>
          <w:u w:val="single"/>
          <w:lang w:val="en-GB"/>
        </w:rPr>
      </w:pPr>
    </w:p>
    <w:p w:rsidR="5F4CD417" w:rsidP="5F4CD417" w:rsidRDefault="5F4CD417" w14:paraId="67F42761" w14:textId="2AA3FF42">
      <w:pPr>
        <w:pStyle w:val="Normal"/>
        <w:ind w:left="0"/>
        <w:rPr>
          <w:rFonts w:ascii="Arial" w:hAnsi="Arial" w:eastAsia="Arial" w:cs="Arial"/>
          <w:b w:val="1"/>
          <w:bCs w:val="1"/>
          <w:noProof w:val="0"/>
          <w:sz w:val="22"/>
          <w:szCs w:val="22"/>
          <w:u w:val="single"/>
          <w:lang w:val="en-GB"/>
        </w:rPr>
      </w:pPr>
    </w:p>
    <w:p w:rsidR="5F4CD417" w:rsidP="5F4CD417" w:rsidRDefault="5F4CD417" w14:paraId="75C7885B" w14:textId="05027A3D">
      <w:pPr>
        <w:pStyle w:val="Normal"/>
        <w:ind w:left="0"/>
        <w:rPr>
          <w:rFonts w:ascii="Arial" w:hAnsi="Arial" w:eastAsia="Arial" w:cs="Arial"/>
          <w:b w:val="1"/>
          <w:bCs w:val="1"/>
          <w:noProof w:val="0"/>
          <w:sz w:val="22"/>
          <w:szCs w:val="22"/>
          <w:u w:val="single"/>
          <w:lang w:val="en-GB"/>
        </w:rPr>
      </w:pPr>
    </w:p>
    <w:p w:rsidR="5F4CD417" w:rsidP="5F4CD417" w:rsidRDefault="5F4CD417" w14:paraId="00810802" w14:textId="67DB4F87">
      <w:pPr>
        <w:pStyle w:val="Normal"/>
        <w:ind w:left="0"/>
        <w:rPr>
          <w:rFonts w:ascii="Arial" w:hAnsi="Arial" w:eastAsia="Arial" w:cs="Arial"/>
          <w:b w:val="1"/>
          <w:bCs w:val="1"/>
          <w:noProof w:val="0"/>
          <w:sz w:val="22"/>
          <w:szCs w:val="22"/>
          <w:u w:val="single"/>
          <w:lang w:val="en-GB"/>
        </w:rPr>
      </w:pPr>
    </w:p>
    <w:p w:rsidR="5F4CD417" w:rsidP="5F4CD417" w:rsidRDefault="5F4CD417" w14:paraId="6E13B8A3" w14:textId="3A399D50">
      <w:pPr>
        <w:pStyle w:val="Normal"/>
        <w:ind w:left="0"/>
        <w:rPr>
          <w:rFonts w:ascii="Arial" w:hAnsi="Arial" w:eastAsia="Arial" w:cs="Arial"/>
          <w:b w:val="1"/>
          <w:bCs w:val="1"/>
          <w:noProof w:val="0"/>
          <w:sz w:val="22"/>
          <w:szCs w:val="22"/>
          <w:u w:val="single"/>
          <w:lang w:val="en-GB"/>
        </w:rPr>
      </w:pPr>
    </w:p>
    <w:p w:rsidR="5F4CD417" w:rsidP="5F4CD417" w:rsidRDefault="5F4CD417" w14:paraId="7055F325" w14:textId="47EF6B94">
      <w:pPr>
        <w:pStyle w:val="Normal"/>
        <w:ind w:left="0"/>
        <w:rPr>
          <w:rFonts w:ascii="Arial" w:hAnsi="Arial" w:eastAsia="Arial" w:cs="Arial"/>
          <w:b w:val="1"/>
          <w:bCs w:val="1"/>
          <w:noProof w:val="0"/>
          <w:sz w:val="22"/>
          <w:szCs w:val="22"/>
          <w:u w:val="single"/>
          <w:lang w:val="en-GB"/>
        </w:rPr>
      </w:pPr>
    </w:p>
    <w:p w:rsidR="5F4CD417" w:rsidP="5F4CD417" w:rsidRDefault="5F4CD417" w14:paraId="1ADC39AE" w14:textId="472AD026">
      <w:pPr>
        <w:pStyle w:val="Normal"/>
        <w:ind w:left="0"/>
        <w:rPr>
          <w:rFonts w:ascii="Arial" w:hAnsi="Arial" w:eastAsia="Arial" w:cs="Arial"/>
          <w:b w:val="1"/>
          <w:bCs w:val="1"/>
          <w:noProof w:val="0"/>
          <w:sz w:val="22"/>
          <w:szCs w:val="22"/>
          <w:u w:val="single"/>
          <w:lang w:val="en-GB"/>
        </w:rPr>
      </w:pPr>
    </w:p>
    <w:p w:rsidR="5F4CD417" w:rsidP="5F4CD417" w:rsidRDefault="5F4CD417" w14:paraId="2FA95139" w14:textId="1CF45BA6">
      <w:pPr>
        <w:pStyle w:val="Normal"/>
        <w:ind w:left="0"/>
        <w:rPr>
          <w:rFonts w:ascii="Arial" w:hAnsi="Arial" w:eastAsia="Arial" w:cs="Arial"/>
          <w:b w:val="1"/>
          <w:bCs w:val="1"/>
          <w:noProof w:val="0"/>
          <w:sz w:val="22"/>
          <w:szCs w:val="22"/>
          <w:u w:val="single"/>
          <w:lang w:val="en-GB"/>
        </w:rPr>
      </w:pPr>
    </w:p>
    <w:p w:rsidR="5D900912" w:rsidP="5F4CD417" w:rsidRDefault="5D900912" w14:paraId="091339FB" w14:textId="4AA30AD3">
      <w:pPr>
        <w:pStyle w:val="Normal"/>
        <w:ind w:left="0"/>
        <w:rPr>
          <w:rFonts w:ascii="Arial" w:hAnsi="Arial" w:eastAsia="Arial" w:cs="Arial"/>
          <w:b w:val="1"/>
          <w:bCs w:val="1"/>
          <w:noProof w:val="0"/>
          <w:sz w:val="22"/>
          <w:szCs w:val="22"/>
          <w:u w:val="single"/>
          <w:lang w:val="en-GB"/>
        </w:rPr>
      </w:pPr>
      <w:r w:rsidRPr="511A1D00" w:rsidR="5D900912">
        <w:rPr>
          <w:rFonts w:ascii="Arial" w:hAnsi="Arial" w:eastAsia="Arial" w:cs="Arial"/>
          <w:b w:val="1"/>
          <w:bCs w:val="1"/>
          <w:noProof w:val="0"/>
          <w:sz w:val="22"/>
          <w:szCs w:val="22"/>
          <w:u w:val="single"/>
          <w:lang w:val="en-GB"/>
        </w:rPr>
        <w:t xml:space="preserve">Reflection on the importance </w:t>
      </w:r>
      <w:r w:rsidRPr="511A1D00" w:rsidR="5CF90BF0">
        <w:rPr>
          <w:rFonts w:ascii="Arial" w:hAnsi="Arial" w:eastAsia="Arial" w:cs="Arial"/>
          <w:b w:val="1"/>
          <w:bCs w:val="1"/>
          <w:noProof w:val="0"/>
          <w:sz w:val="22"/>
          <w:szCs w:val="22"/>
          <w:u w:val="single"/>
          <w:lang w:val="en-GB"/>
        </w:rPr>
        <w:t xml:space="preserve">of the </w:t>
      </w:r>
      <w:r w:rsidRPr="511A1D00" w:rsidR="5D900912">
        <w:rPr>
          <w:rFonts w:ascii="Arial" w:hAnsi="Arial" w:eastAsia="Arial" w:cs="Arial"/>
          <w:b w:val="1"/>
          <w:bCs w:val="1"/>
          <w:noProof w:val="0"/>
          <w:sz w:val="22"/>
          <w:szCs w:val="22"/>
          <w:u w:val="single"/>
          <w:lang w:val="en-GB"/>
        </w:rPr>
        <w:t xml:space="preserve">Principles of </w:t>
      </w:r>
      <w:r w:rsidRPr="511A1D00" w:rsidR="1D92A377">
        <w:rPr>
          <w:rFonts w:ascii="Arial" w:hAnsi="Arial" w:eastAsia="Arial" w:cs="Arial"/>
          <w:b w:val="1"/>
          <w:bCs w:val="1"/>
          <w:noProof w:val="0"/>
          <w:sz w:val="22"/>
          <w:szCs w:val="22"/>
          <w:u w:val="single"/>
          <w:lang w:val="en-GB"/>
        </w:rPr>
        <w:t>Health and Social Care</w:t>
      </w:r>
    </w:p>
    <w:p w:rsidR="5EAA6185" w:rsidP="511A1D00" w:rsidRDefault="5EAA6185" w14:paraId="5061D66B" w14:textId="33640777">
      <w:pPr>
        <w:pStyle w:val="Normal"/>
        <w:ind w:left="0"/>
        <w:rPr>
          <w:rFonts w:ascii="Arial" w:hAnsi="Arial" w:eastAsia="Arial" w:cs="Arial"/>
          <w:noProof w:val="0"/>
          <w:sz w:val="22"/>
          <w:szCs w:val="22"/>
          <w:lang w:val="en-GB"/>
        </w:rPr>
      </w:pPr>
      <w:r w:rsidRPr="511A1D00" w:rsidR="05FA9FB0">
        <w:rPr>
          <w:rFonts w:ascii="Arial" w:hAnsi="Arial" w:eastAsia="Arial" w:cs="Arial"/>
          <w:noProof w:val="0"/>
          <w:sz w:val="22"/>
          <w:szCs w:val="22"/>
          <w:lang w:val="en-GB"/>
        </w:rPr>
        <w:t xml:space="preserve">Health and social care professionals follow a range of principles to provide safe, </w:t>
      </w:r>
      <w:r w:rsidRPr="511A1D00" w:rsidR="05FA9FB0">
        <w:rPr>
          <w:rFonts w:ascii="Arial" w:hAnsi="Arial" w:eastAsia="Arial" w:cs="Arial"/>
          <w:noProof w:val="0"/>
          <w:sz w:val="22"/>
          <w:szCs w:val="22"/>
          <w:lang w:val="en-GB"/>
        </w:rPr>
        <w:t>effective</w:t>
      </w:r>
      <w:r w:rsidRPr="511A1D00" w:rsidR="05FA9FB0">
        <w:rPr>
          <w:rFonts w:ascii="Arial" w:hAnsi="Arial" w:eastAsia="Arial" w:cs="Arial"/>
          <w:noProof w:val="0"/>
          <w:sz w:val="22"/>
          <w:szCs w:val="22"/>
          <w:lang w:val="en-GB"/>
        </w:rPr>
        <w:t xml:space="preserve"> and high-quality care that meets the needs of </w:t>
      </w:r>
      <w:r w:rsidRPr="511A1D00" w:rsidR="05FA9FB0">
        <w:rPr>
          <w:rFonts w:ascii="Arial" w:hAnsi="Arial" w:eastAsia="Arial" w:cs="Arial"/>
          <w:noProof w:val="0"/>
          <w:sz w:val="22"/>
          <w:szCs w:val="22"/>
          <w:lang w:val="en-GB"/>
        </w:rPr>
        <w:t>everyone</w:t>
      </w:r>
      <w:r w:rsidRPr="511A1D00" w:rsidR="05FA9FB0">
        <w:rPr>
          <w:rFonts w:ascii="Arial" w:hAnsi="Arial" w:eastAsia="Arial" w:cs="Arial"/>
          <w:noProof w:val="0"/>
          <w:sz w:val="22"/>
          <w:szCs w:val="22"/>
          <w:lang w:val="en-GB"/>
        </w:rPr>
        <w:t xml:space="preserve">. Three of the most important principles are person-centred care, partnership </w:t>
      </w:r>
      <w:r w:rsidRPr="511A1D00" w:rsidR="05FA9FB0">
        <w:rPr>
          <w:rFonts w:ascii="Arial" w:hAnsi="Arial" w:eastAsia="Arial" w:cs="Arial"/>
          <w:noProof w:val="0"/>
          <w:sz w:val="22"/>
          <w:szCs w:val="22"/>
          <w:lang w:val="en-GB"/>
        </w:rPr>
        <w:t>working</w:t>
      </w:r>
      <w:r w:rsidRPr="511A1D00" w:rsidR="05FA9FB0">
        <w:rPr>
          <w:rFonts w:ascii="Arial" w:hAnsi="Arial" w:eastAsia="Arial" w:cs="Arial"/>
          <w:noProof w:val="0"/>
          <w:sz w:val="22"/>
          <w:szCs w:val="22"/>
          <w:lang w:val="en-GB"/>
        </w:rPr>
        <w:t xml:space="preserve"> and ethical practice. These principles help professionals provide holistic care by considering not only an individual's physical health but also their emotional, </w:t>
      </w:r>
      <w:r w:rsidRPr="511A1D00" w:rsidR="05FA9FB0">
        <w:rPr>
          <w:rFonts w:ascii="Arial" w:hAnsi="Arial" w:eastAsia="Arial" w:cs="Arial"/>
          <w:noProof w:val="0"/>
          <w:sz w:val="22"/>
          <w:szCs w:val="22"/>
          <w:lang w:val="en-GB"/>
        </w:rPr>
        <w:t>social</w:t>
      </w:r>
      <w:r w:rsidRPr="511A1D00" w:rsidR="05FA9FB0">
        <w:rPr>
          <w:rFonts w:ascii="Arial" w:hAnsi="Arial" w:eastAsia="Arial" w:cs="Arial"/>
          <w:noProof w:val="0"/>
          <w:sz w:val="22"/>
          <w:szCs w:val="22"/>
          <w:lang w:val="en-GB"/>
        </w:rPr>
        <w:t xml:space="preserve"> and psychological wellbeing. Applying these principles consistently can improve health outcomes, encourage </w:t>
      </w:r>
      <w:r w:rsidRPr="511A1D00" w:rsidR="05FA9FB0">
        <w:rPr>
          <w:rFonts w:ascii="Arial" w:hAnsi="Arial" w:eastAsia="Arial" w:cs="Arial"/>
          <w:noProof w:val="0"/>
          <w:sz w:val="22"/>
          <w:szCs w:val="22"/>
          <w:lang w:val="en-GB"/>
        </w:rPr>
        <w:t>independence</w:t>
      </w:r>
      <w:r w:rsidRPr="511A1D00" w:rsidR="05FA9FB0">
        <w:rPr>
          <w:rFonts w:ascii="Arial" w:hAnsi="Arial" w:eastAsia="Arial" w:cs="Arial"/>
          <w:noProof w:val="0"/>
          <w:sz w:val="22"/>
          <w:szCs w:val="22"/>
          <w:lang w:val="en-GB"/>
        </w:rPr>
        <w:t xml:space="preserve"> and promote a better quality of life.</w:t>
      </w:r>
    </w:p>
    <w:p w:rsidR="5EAA6185" w:rsidP="511A1D00" w:rsidRDefault="5EAA6185" w14:paraId="0414ED35" w14:textId="4D112D30">
      <w:pPr>
        <w:pStyle w:val="Normal"/>
        <w:ind w:left="0"/>
        <w:rPr>
          <w:rFonts w:ascii="Arial" w:hAnsi="Arial" w:eastAsia="Arial" w:cs="Arial"/>
          <w:noProof w:val="0"/>
          <w:sz w:val="22"/>
          <w:szCs w:val="22"/>
          <w:lang w:val="en-GB"/>
        </w:rPr>
      </w:pPr>
      <w:r w:rsidRPr="511A1D00" w:rsidR="05FA9FB0">
        <w:rPr>
          <w:rFonts w:ascii="Arial" w:hAnsi="Arial" w:eastAsia="Arial" w:cs="Arial"/>
          <w:noProof w:val="0"/>
          <w:sz w:val="22"/>
          <w:szCs w:val="22"/>
          <w:lang w:val="en-GB"/>
        </w:rPr>
        <w:t>Person-centred care focuses on recognising every individual as unique by respecting their values, preferences and personal circumstances. Rather than concentrating solely on a person's medical condition, professionals work in partnership with them to make informed decisions about their care (Fridberg, Wallin and Tistad, 2022). Research has shown that involving individuals in decisions about their treatment increases confidence, improves communication and encourages greater engagement with healthcare services. In Joan's case, healthcare professionals should take time to understand why she struggles to attend pulmonary rehabilitation and discuss alternative ways to support her. By involving Joan in planning her care, she may feel more motivated to manage her COPD and become more confident in following her treatment plan. However, delivering person-centred care can be challenging because professionals often face increasing workloads, staff shortages and limited time to build meaningful relationships with individuals.</w:t>
      </w:r>
    </w:p>
    <w:p w:rsidR="5EAA6185" w:rsidP="511A1D00" w:rsidRDefault="5EAA6185" w14:paraId="2A52B34B" w14:textId="000FE6FB">
      <w:pPr>
        <w:pStyle w:val="Normal"/>
        <w:ind w:left="0"/>
        <w:rPr>
          <w:rFonts w:ascii="Arial" w:hAnsi="Arial" w:eastAsia="Arial" w:cs="Arial"/>
          <w:noProof w:val="0"/>
          <w:sz w:val="22"/>
          <w:szCs w:val="22"/>
          <w:lang w:val="en-GB"/>
        </w:rPr>
      </w:pPr>
      <w:r w:rsidRPr="511A1D00" w:rsidR="05FA9FB0">
        <w:rPr>
          <w:rFonts w:ascii="Arial" w:hAnsi="Arial" w:eastAsia="Arial" w:cs="Arial"/>
          <w:noProof w:val="0"/>
          <w:sz w:val="22"/>
          <w:szCs w:val="22"/>
          <w:lang w:val="en-GB"/>
        </w:rPr>
        <w:t>Partnership working is another essential principle in health and social care. It involves professionals from different organisations working together with individuals, families and carers to provide coordinated and consistent care (Glasby and Dickinson, 2021). Effective partnership working improves communication, reduces duplication of services and helps ensure that individuals receive the right support at the right time. For Joan, partnership working could involve her GP, respiratory nurse, physiotherapist, social worker and family working together to develop a care plan that supports both her physical health and emotional wellbeing. This joined-up approach could improve Joan's confidence, reduce the risk of avoidable hospital admissions and provide ongoing encouragement to attend rehabilitation. Despite these benefits, partnership working can sometimes be affected by poor communication, differences in professional opinions and pressures on health and social care services.</w:t>
      </w:r>
    </w:p>
    <w:p w:rsidR="5EAA6185" w:rsidP="511A1D00" w:rsidRDefault="5EAA6185" w14:paraId="34BF4AB8" w14:textId="2B9355C5">
      <w:pPr>
        <w:pStyle w:val="Normal"/>
        <w:ind w:left="0"/>
        <w:rPr>
          <w:rFonts w:ascii="Arial" w:hAnsi="Arial" w:eastAsia="Arial" w:cs="Arial"/>
          <w:noProof w:val="0"/>
          <w:sz w:val="22"/>
          <w:szCs w:val="22"/>
          <w:lang w:val="en-GB"/>
        </w:rPr>
      </w:pPr>
      <w:r w:rsidRPr="511A1D00" w:rsidR="05FA9FB0">
        <w:rPr>
          <w:rFonts w:ascii="Arial" w:hAnsi="Arial" w:eastAsia="Arial" w:cs="Arial"/>
          <w:noProof w:val="0"/>
          <w:sz w:val="22"/>
          <w:szCs w:val="22"/>
          <w:lang w:val="en-GB"/>
        </w:rPr>
        <w:t>Ethical practice underpins all aspects of health and social care by ensuring individuals are treated with dignity, respect and fairness. The Nursing and Midwifery Council (2024) states that professionals should respect people's rights, maintain confidentiality, communicate honestly and always act in the best interests of those receiving care. Ethical practice also supports informed decision-making by ensuring individuals have enough information to make choices about their treatment. In Joan's situation, professionals should respect her right to choose whether to attend pulmonary rehabilitation while making sure she fully understands the possible risks of not managing her COPD effectively. Maintaining trust through respectful communication and protecting confidential information are also essential for developing positive relationships between professionals and individuals.</w:t>
      </w:r>
    </w:p>
    <w:p w:rsidR="5EAA6185" w:rsidP="511A1D00" w:rsidRDefault="5EAA6185" w14:paraId="314FDE5F" w14:textId="3E6B9FD0">
      <w:pPr>
        <w:pStyle w:val="Normal"/>
        <w:ind w:left="0"/>
        <w:rPr>
          <w:rFonts w:ascii="Arial" w:hAnsi="Arial" w:eastAsia="Arial" w:cs="Arial"/>
          <w:noProof w:val="0"/>
          <w:sz w:val="22"/>
          <w:szCs w:val="22"/>
          <w:lang w:val="en-GB"/>
        </w:rPr>
      </w:pPr>
      <w:r w:rsidRPr="511A1D00" w:rsidR="05FA9FB0">
        <w:rPr>
          <w:rFonts w:ascii="Arial" w:hAnsi="Arial" w:eastAsia="Arial" w:cs="Arial"/>
          <w:noProof w:val="0"/>
          <w:sz w:val="22"/>
          <w:szCs w:val="22"/>
          <w:lang w:val="en-GB"/>
        </w:rPr>
        <w:t>These principles are supported by recognised theories that explain how different factors influence health and wellbeing. Maslow's Hierarchy of Needs suggests that people are more likely to manage their health successfully when their physical, emotional and social needs have been met (Maslow, 1943). Joan's anxiety and feelings of being overwhelmed may prevent her from fully engaging with treatment until these needs are addressed. Bronfenbrenner's Ecological Systems Theory also highlights that family relationships, community support and healthcare services all influence an individual's health and wellbeing (Bronfenbrenner, 1979). This reinforces the importance of partnership working and person-centred care.</w:t>
      </w:r>
    </w:p>
    <w:p w:rsidR="5EAA6185" w:rsidP="511A1D00" w:rsidRDefault="5EAA6185" w14:paraId="6AA5AA7E" w14:textId="78280EED">
      <w:pPr>
        <w:pStyle w:val="Normal"/>
        <w:ind w:left="0"/>
        <w:rPr>
          <w:rFonts w:ascii="Arial" w:hAnsi="Arial" w:eastAsia="Arial" w:cs="Arial"/>
          <w:noProof w:val="0"/>
          <w:sz w:val="22"/>
          <w:szCs w:val="22"/>
          <w:lang w:val="en-GB"/>
        </w:rPr>
      </w:pPr>
      <w:r w:rsidRPr="511A1D00" w:rsidR="05FA9FB0">
        <w:rPr>
          <w:rFonts w:ascii="Arial" w:hAnsi="Arial" w:eastAsia="Arial" w:cs="Arial"/>
          <w:noProof w:val="0"/>
          <w:sz w:val="22"/>
          <w:szCs w:val="22"/>
          <w:lang w:val="en-GB"/>
        </w:rPr>
        <w:t>The Care Act 2014 further supports these principles by promoting wellbeing, personalised care and collaboration between health and social care services. By applying person-centred care, partnership working and ethical practice together, professionals can provide holistic support that addresses Joan's individual needs, encourages greater involvement in her care and helps reduce the likelihood of future hospital admissions.</w:t>
      </w:r>
    </w:p>
    <w:p w:rsidR="5EAA6185" w:rsidP="511A1D00" w:rsidRDefault="5EAA6185" w14:paraId="639644BF" w14:textId="7486854E">
      <w:pPr>
        <w:pStyle w:val="Normal"/>
        <w:ind w:left="0"/>
        <w:rPr>
          <w:rFonts w:ascii="Arial" w:hAnsi="Arial" w:eastAsia="Arial" w:cs="Arial"/>
          <w:b w:val="1"/>
          <w:bCs w:val="1"/>
          <w:noProof w:val="0"/>
          <w:sz w:val="22"/>
          <w:szCs w:val="22"/>
          <w:u w:val="single"/>
          <w:lang w:val="en-GB"/>
        </w:rPr>
      </w:pPr>
      <w:r w:rsidRPr="511A1D00" w:rsidR="5EAA6185">
        <w:rPr>
          <w:rFonts w:ascii="Arial" w:hAnsi="Arial" w:eastAsia="Arial" w:cs="Arial"/>
          <w:b w:val="1"/>
          <w:bCs w:val="1"/>
          <w:noProof w:val="0"/>
          <w:sz w:val="22"/>
          <w:szCs w:val="22"/>
          <w:u w:val="single"/>
          <w:lang w:val="en-GB"/>
        </w:rPr>
        <w:t>Practical Examples of Concepts in Practice</w:t>
      </w:r>
    </w:p>
    <w:p w:rsidR="4E7EB90B" w:rsidP="511A1D00" w:rsidRDefault="4E7EB90B" w14:paraId="6D424309" w14:textId="4405A1A4">
      <w:pPr>
        <w:pStyle w:val="Normal"/>
        <w:ind w:left="0"/>
      </w:pPr>
      <w:r w:rsidRPr="511A1D00" w:rsidR="4E7EB90B">
        <w:rPr>
          <w:rFonts w:ascii="Arial" w:hAnsi="Arial" w:eastAsia="Arial" w:cs="Arial"/>
          <w:noProof w:val="0"/>
          <w:sz w:val="22"/>
          <w:szCs w:val="22"/>
          <w:lang w:val="en-GB"/>
        </w:rPr>
        <w:t>Joan's case study demonstrates how person-centred care, partnership working and ethical practice can be applied in health and social care to improve outcomes for an individual living with a long-term condition. Joan has Chronic Obstructive Pulmonary Disease (COPD) and has been advised to attend pulmonary rehabilitation. However, she struggles to attend appointments because she feels overwhelmed, which has resulted in several emergency hospital admissions. This shows the importance of looking beyond her medical condition and providing care that considers her emotional, social and physical needs.</w:t>
      </w:r>
    </w:p>
    <w:p w:rsidR="4E7EB90B" w:rsidP="511A1D00" w:rsidRDefault="4E7EB90B" w14:paraId="0A6AA7FB" w14:textId="5FF1DCC0">
      <w:pPr>
        <w:pStyle w:val="Normal"/>
        <w:ind w:left="0"/>
      </w:pPr>
      <w:r w:rsidRPr="511A1D00" w:rsidR="4E7EB90B">
        <w:rPr>
          <w:rFonts w:ascii="Arial" w:hAnsi="Arial" w:eastAsia="Arial" w:cs="Arial"/>
          <w:noProof w:val="0"/>
          <w:sz w:val="22"/>
          <w:szCs w:val="22"/>
          <w:lang w:val="en-GB"/>
        </w:rPr>
        <w:t>Person-centred care would play an important role in supporting Joan. Rather than expecting her to follow treatment without understanding her situation, healthcare professionals should take time to explore why she finds it difficult to attend pulmonary rehabilitation. They could discuss any worries or barriers she may have and involve her in creating a care plan that suits her individual needs and preferences. This approach would help Joan feel listened to and respected while encouraging her to become more involved in managing her condition. The Person-centred Practice Framework highlights that involving individuals in decisions about their care improves confidence, engagement and overall health outcomes (McCormack and McCance, 2021).</w:t>
      </w:r>
    </w:p>
    <w:p w:rsidR="4E7EB90B" w:rsidP="511A1D00" w:rsidRDefault="4E7EB90B" w14:paraId="244AB8C8" w14:textId="5DE0A2DC">
      <w:pPr>
        <w:pStyle w:val="Normal"/>
        <w:ind w:left="0"/>
      </w:pPr>
      <w:r w:rsidRPr="511A1D00" w:rsidR="4E7EB90B">
        <w:rPr>
          <w:rFonts w:ascii="Arial" w:hAnsi="Arial" w:eastAsia="Arial" w:cs="Arial"/>
          <w:noProof w:val="0"/>
          <w:sz w:val="22"/>
          <w:szCs w:val="22"/>
          <w:lang w:val="en-GB"/>
        </w:rPr>
        <w:t>Partnership working would also have a positive impact on Joan's care. Her GP, respiratory nurse, physiotherapist, social worker and any family members involved should communicate regularly and work together to provide consistent support. By sharing information and agreeing on common goals, professionals can ensure Joan receives coordinated care and reduce the risk of unnecessary hospital admissions. The Health and Care Act 2022 supports integrated care by encouraging health and social care organisations to work together to improve the quality of services and meet individuals' needs (Department of Health and Social Care, 2022). NICE (2023) also recommends coordinated care for people living with long-term respiratory conditions to improve self-management and quality of life.</w:t>
      </w:r>
    </w:p>
    <w:p w:rsidR="4E7EB90B" w:rsidP="511A1D00" w:rsidRDefault="4E7EB90B" w14:paraId="62593D76" w14:textId="74EDF1F1">
      <w:pPr>
        <w:pStyle w:val="Normal"/>
        <w:ind w:left="0"/>
      </w:pPr>
      <w:r w:rsidRPr="511A1D00" w:rsidR="4E7EB90B">
        <w:rPr>
          <w:rFonts w:ascii="Arial" w:hAnsi="Arial" w:eastAsia="Arial" w:cs="Arial"/>
          <w:noProof w:val="0"/>
          <w:sz w:val="22"/>
          <w:szCs w:val="22"/>
          <w:lang w:val="en-GB"/>
        </w:rPr>
        <w:t xml:space="preserve">Ethical practice is equally important throughout Joan's care. Professionals should respect her dignity, maintain confidentiality and support her right to make informed decisions about her treatment. Although Joan has the right to refuse pulmonary rehabilitation, professionals have a responsibility to explain the benefits of attending and the possible risks of not following the recommended treatment. Following the </w:t>
      </w:r>
      <w:r w:rsidRPr="511A1D00" w:rsidR="4E7EB90B">
        <w:rPr>
          <w:rFonts w:ascii="Arial" w:hAnsi="Arial" w:eastAsia="Arial" w:cs="Arial"/>
          <w:b w:val="1"/>
          <w:bCs w:val="1"/>
          <w:noProof w:val="0"/>
          <w:sz w:val="22"/>
          <w:szCs w:val="22"/>
          <w:lang w:val="en-GB"/>
        </w:rPr>
        <w:t>6 C's</w:t>
      </w:r>
      <w:r w:rsidRPr="511A1D00" w:rsidR="4E7EB90B">
        <w:rPr>
          <w:rFonts w:ascii="Arial" w:hAnsi="Arial" w:eastAsia="Arial" w:cs="Arial"/>
          <w:noProof w:val="0"/>
          <w:sz w:val="22"/>
          <w:szCs w:val="22"/>
          <w:lang w:val="en-GB"/>
        </w:rPr>
        <w:t>—care, compassion, competence, communication, courage and commitment—would help professionals build a trusting relationship with Joan and provide care that is respectful and supportive (NHS England, 2023).</w:t>
      </w:r>
    </w:p>
    <w:p w:rsidR="4E7EB90B" w:rsidP="511A1D00" w:rsidRDefault="4E7EB90B" w14:paraId="4F79D449" w14:textId="7402158D">
      <w:pPr>
        <w:pStyle w:val="Normal"/>
        <w:ind w:left="0"/>
      </w:pPr>
      <w:r w:rsidRPr="511A1D00" w:rsidR="4E7EB90B">
        <w:rPr>
          <w:rFonts w:ascii="Arial" w:hAnsi="Arial" w:eastAsia="Arial" w:cs="Arial"/>
          <w:noProof w:val="0"/>
          <w:sz w:val="22"/>
          <w:szCs w:val="22"/>
          <w:lang w:val="en-GB"/>
        </w:rPr>
        <w:t>There may be challenges when applying these principles. Joan may continue to feel anxious about attending appointments, and busy healthcare services can sometimes make it difficult for professionals to spend enough time with individuals. Communication between different services may also be inconsistent. These challenges could be overcome by arranging regular multidisciplinary team meetings, providing clear communication between professionals and offering Joan additional support, such as telephone reviews or community respiratory services. The Care Quality Commission (2023) states that effective communication, collaboration and person-centred care are essential for delivering safe and high-quality services.</w:t>
      </w:r>
    </w:p>
    <w:p w:rsidR="4E7EB90B" w:rsidP="511A1D00" w:rsidRDefault="4E7EB90B" w14:paraId="7DF01609" w14:textId="4EEAEF70">
      <w:pPr>
        <w:pStyle w:val="Normal"/>
        <w:ind w:left="0"/>
      </w:pPr>
      <w:r w:rsidRPr="511A1D00" w:rsidR="4E7EB90B">
        <w:rPr>
          <w:rFonts w:ascii="Arial" w:hAnsi="Arial" w:eastAsia="Arial" w:cs="Arial"/>
          <w:noProof w:val="0"/>
          <w:sz w:val="22"/>
          <w:szCs w:val="22"/>
          <w:lang w:val="en-GB"/>
        </w:rPr>
        <w:t>Overall, Joan's case study demonstrates that applying person-centred care, partnership working and ethical practice together can improve her experience of care and help her manage her COPD more effectively. By working collaboratively and involving Joan in decisions about her treatment, professionals can support her independence, improve her wellbeing and reduce the likelihood of future hospital admissions.</w:t>
      </w:r>
    </w:p>
    <w:p w:rsidR="68FB947D" w:rsidP="5F4CD417" w:rsidRDefault="68FB947D" w14:paraId="3C30A9DC" w14:textId="3B342A7E">
      <w:pPr>
        <w:pStyle w:val="Normal"/>
        <w:ind w:left="0"/>
      </w:pPr>
      <w:r w:rsidR="68FB947D">
        <w:drawing>
          <wp:inline wp14:editId="1E50B587" wp14:anchorId="007441DB">
            <wp:extent cx="3316741" cy="1857375"/>
            <wp:effectExtent l="0" t="0" r="0" b="0"/>
            <wp:docPr id="14733313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3331307" name="Picture 1473331307"/>
                    <pic:cNvPicPr/>
                  </pic:nvPicPr>
                  <pic:blipFill>
                    <a:blip xmlns:r="http://schemas.openxmlformats.org/officeDocument/2006/relationships" r:embed="rId1589660188">
                      <a:extLst>
                        <a:ext uri="{28A0092B-C50C-407E-A947-70E740481C1C}">
                          <a14:useLocalDpi xmlns:a14="http://schemas.microsoft.com/office/drawing/2010/main"/>
                        </a:ext>
                      </a:extLst>
                    </a:blip>
                    <a:stretch>
                      <a:fillRect/>
                    </a:stretch>
                  </pic:blipFill>
                  <pic:spPr>
                    <a:xfrm rot="0">
                      <a:off x="0" y="0"/>
                      <a:ext cx="3316741" cy="1857375"/>
                    </a:xfrm>
                    <a:prstGeom prst="rect">
                      <a:avLst/>
                    </a:prstGeom>
                  </pic:spPr>
                </pic:pic>
              </a:graphicData>
            </a:graphic>
          </wp:inline>
        </w:drawing>
      </w:r>
      <w:r w:rsidR="5F4CD417">
        <w:drawing>
          <wp:inline wp14:editId="7C801F1B" wp14:anchorId="75F142A3">
            <wp:extent cx="3359661" cy="1881410"/>
            <wp:effectExtent l="0" t="0" r="0" b="0"/>
            <wp:docPr id="8061003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6100301" name="Picture 806100301"/>
                    <pic:cNvPicPr/>
                  </pic:nvPicPr>
                  <pic:blipFill>
                    <a:blip xmlns:r="http://schemas.openxmlformats.org/officeDocument/2006/relationships" r:embed="rId1816231294">
                      <a:extLst>
                        <a:ext uri="{28A0092B-C50C-407E-A947-70E740481C1C}">
                          <a14:useLocalDpi xmlns:a14="http://schemas.microsoft.com/office/drawing/2010/main"/>
                        </a:ext>
                      </a:extLst>
                    </a:blip>
                    <a:stretch>
                      <a:fillRect/>
                    </a:stretch>
                  </pic:blipFill>
                  <pic:spPr>
                    <a:xfrm rot="0">
                      <a:off x="0" y="0"/>
                      <a:ext cx="3359661" cy="1881410"/>
                    </a:xfrm>
                    <a:prstGeom prst="rect">
                      <a:avLst/>
                    </a:prstGeom>
                  </pic:spPr>
                </pic:pic>
              </a:graphicData>
            </a:graphic>
          </wp:inline>
        </w:drawing>
      </w:r>
    </w:p>
    <w:p w:rsidR="68FB947D" w:rsidP="5F4CD417" w:rsidRDefault="68FB947D" w14:paraId="2DFA4A17" w14:textId="77ABC0B9">
      <w:pPr>
        <w:pStyle w:val="Normal"/>
        <w:ind w:left="0"/>
        <w:rPr>
          <w:rFonts w:ascii="Aptos" w:hAnsi="Aptos" w:eastAsia="Aptos" w:cs="Aptos"/>
          <w:noProof w:val="0"/>
          <w:sz w:val="24"/>
          <w:szCs w:val="24"/>
          <w:lang w:val="en-GB"/>
        </w:rPr>
      </w:pPr>
      <w:hyperlink r:id="R80e89f6afdc44a2c">
        <w:r w:rsidRPr="511A1D00" w:rsidR="68FB947D">
          <w:rPr>
            <w:rStyle w:val="Hyperlink"/>
            <w:noProof w:val="0"/>
            <w:lang w:val="en-GB"/>
          </w:rPr>
          <w:t>What is Health and Social Care? – Everything You Need to Know</w:t>
        </w:r>
      </w:hyperlink>
      <w:r w:rsidRPr="511A1D00" w:rsidR="68FB947D">
        <w:rPr>
          <w:noProof w:val="0"/>
          <w:lang w:val="en-GB"/>
        </w:rPr>
        <w:t xml:space="preserve"> </w:t>
      </w:r>
    </w:p>
    <w:p w:rsidR="511A1D00" w:rsidP="511A1D00" w:rsidRDefault="511A1D00" w14:paraId="1289A978" w14:textId="15B47232">
      <w:pPr>
        <w:pStyle w:val="Normal"/>
        <w:ind w:left="0"/>
        <w:rPr>
          <w:rFonts w:ascii="Arial" w:hAnsi="Arial" w:eastAsia="Arial" w:cs="Arial"/>
          <w:b w:val="1"/>
          <w:bCs w:val="1"/>
          <w:noProof w:val="0"/>
          <w:sz w:val="24"/>
          <w:szCs w:val="24"/>
          <w:u w:val="single"/>
          <w:lang w:val="en-GB"/>
        </w:rPr>
      </w:pPr>
    </w:p>
    <w:p w:rsidR="511A1D00" w:rsidP="511A1D00" w:rsidRDefault="511A1D00" w14:paraId="796AE861" w14:textId="1834311E">
      <w:pPr>
        <w:pStyle w:val="Normal"/>
        <w:ind w:left="0"/>
        <w:rPr>
          <w:rFonts w:ascii="Arial" w:hAnsi="Arial" w:eastAsia="Arial" w:cs="Arial"/>
          <w:b w:val="1"/>
          <w:bCs w:val="1"/>
          <w:noProof w:val="0"/>
          <w:sz w:val="24"/>
          <w:szCs w:val="24"/>
          <w:u w:val="single"/>
          <w:lang w:val="en-GB"/>
        </w:rPr>
      </w:pPr>
    </w:p>
    <w:p w:rsidR="511A1D00" w:rsidP="511A1D00" w:rsidRDefault="511A1D00" w14:paraId="6642E386" w14:textId="3319EC10">
      <w:pPr>
        <w:pStyle w:val="Normal"/>
        <w:ind w:left="0"/>
        <w:rPr>
          <w:rFonts w:ascii="Arial" w:hAnsi="Arial" w:eastAsia="Arial" w:cs="Arial"/>
          <w:b w:val="1"/>
          <w:bCs w:val="1"/>
          <w:noProof w:val="0"/>
          <w:sz w:val="24"/>
          <w:szCs w:val="24"/>
          <w:u w:val="single"/>
          <w:lang w:val="en-GB"/>
        </w:rPr>
      </w:pPr>
    </w:p>
    <w:p w:rsidR="511A1D00" w:rsidP="511A1D00" w:rsidRDefault="511A1D00" w14:paraId="0E28E799" w14:textId="6C27EE34">
      <w:pPr>
        <w:pStyle w:val="Normal"/>
        <w:ind w:left="0"/>
        <w:rPr>
          <w:rFonts w:ascii="Arial" w:hAnsi="Arial" w:eastAsia="Arial" w:cs="Arial"/>
          <w:b w:val="1"/>
          <w:bCs w:val="1"/>
          <w:noProof w:val="0"/>
          <w:sz w:val="24"/>
          <w:szCs w:val="24"/>
          <w:u w:val="single"/>
          <w:lang w:val="en-GB"/>
        </w:rPr>
      </w:pPr>
    </w:p>
    <w:p w:rsidR="6DE4AA10" w:rsidP="5F4CD417" w:rsidRDefault="6DE4AA10" w14:paraId="30664551" w14:textId="686255D7">
      <w:pPr>
        <w:pStyle w:val="Normal"/>
        <w:ind w:left="0"/>
        <w:rPr>
          <w:rFonts w:ascii="Arial" w:hAnsi="Arial" w:eastAsia="Arial" w:cs="Arial"/>
          <w:b w:val="1"/>
          <w:bCs w:val="1"/>
          <w:noProof w:val="0"/>
          <w:sz w:val="24"/>
          <w:szCs w:val="24"/>
          <w:u w:val="single"/>
          <w:lang w:val="en-GB"/>
        </w:rPr>
      </w:pPr>
      <w:r w:rsidRPr="511A1D00" w:rsidR="6DE4AA10">
        <w:rPr>
          <w:rFonts w:ascii="Arial" w:hAnsi="Arial" w:eastAsia="Arial" w:cs="Arial"/>
          <w:b w:val="1"/>
          <w:bCs w:val="1"/>
          <w:noProof w:val="0"/>
          <w:sz w:val="24"/>
          <w:szCs w:val="24"/>
          <w:u w:val="single"/>
          <w:lang w:val="en-GB"/>
        </w:rPr>
        <w:t>Self-Reflection as a Health and Social Care Professional</w:t>
      </w:r>
    </w:p>
    <w:p w:rsidR="5F4CD417" w:rsidP="5F4CD417" w:rsidRDefault="5F4CD417" w14:paraId="2641D288" w14:textId="343017ED">
      <w:pPr>
        <w:pStyle w:val="Normal"/>
        <w:ind w:left="0"/>
      </w:pPr>
      <w:r w:rsidRPr="511A1D00" w:rsidR="016D94A9">
        <w:rPr>
          <w:rFonts w:ascii="Arial" w:hAnsi="Arial" w:eastAsia="Arial" w:cs="Arial"/>
          <w:noProof w:val="0"/>
          <w:sz w:val="22"/>
          <w:szCs w:val="22"/>
          <w:lang w:val="en-GB"/>
        </w:rPr>
        <w:t>Reflecting on Joan's case study has helped me understand how person-centred care, partnership working and ethical practice can improve the care provided to individuals with long-term conditions. If I were involved in Joan's care, I would aim to apply these principles to provide support that focuses on her individual needs rather than just her COPD. This reflection has also helped me recognise my own strengths and identify areas where I would like to develop as a future health and social care professional.</w:t>
      </w:r>
    </w:p>
    <w:p w:rsidR="016D94A9" w:rsidP="511A1D00" w:rsidRDefault="016D94A9" w14:paraId="6D937492" w14:textId="383FC511">
      <w:pPr>
        <w:pStyle w:val="Normal"/>
        <w:ind w:left="0"/>
      </w:pPr>
      <w:r w:rsidRPr="511A1D00" w:rsidR="016D94A9">
        <w:rPr>
          <w:rFonts w:ascii="Arial" w:hAnsi="Arial" w:eastAsia="Arial" w:cs="Arial"/>
          <w:noProof w:val="0"/>
          <w:sz w:val="22"/>
          <w:szCs w:val="22"/>
          <w:lang w:val="en-GB"/>
        </w:rPr>
        <w:t>Person-centred care is one of the most important principles I would apply. Joan's case shows that although the correct medical treatment has been offered, she struggles to attend pulmonary rehabilitation because she feels overwhelmed. If I were supporting Joan, I would take time to listen to her concerns and understand what is stopping her from attending appointments. I would involve her in decisions about her care and encourage her to express her views so that together we could find solutions that suited her needs. McCormack and McCance (2021) explain that person-centred care helps individuals become active partners in their care, which can improve confidence and engagement with treatment.</w:t>
      </w:r>
    </w:p>
    <w:p w:rsidR="016D94A9" w:rsidP="511A1D00" w:rsidRDefault="016D94A9" w14:paraId="44C41A4A" w14:textId="1340F915">
      <w:pPr>
        <w:pStyle w:val="Normal"/>
        <w:ind w:left="0"/>
      </w:pPr>
      <w:r w:rsidRPr="511A1D00" w:rsidR="016D94A9">
        <w:rPr>
          <w:rFonts w:ascii="Arial" w:hAnsi="Arial" w:eastAsia="Arial" w:cs="Arial"/>
          <w:noProof w:val="0"/>
          <w:sz w:val="22"/>
          <w:szCs w:val="22"/>
          <w:lang w:val="en-GB"/>
        </w:rPr>
        <w:t>Partnership working would also be essential. I would communicate effectively with Joan's GP, respiratory nurse, physiotherapist and other professionals involved in her care to ensure everyone was working towards the same goals. I believe one of my strengths is communicating well with others and being willing to work as part of a team. Good communication reduces misunderstandings and helps provide consistent care, which is important for someone like Joan who needs support from several different services (Glasby and Dickinson, 2021).</w:t>
      </w:r>
    </w:p>
    <w:p w:rsidR="016D94A9" w:rsidP="511A1D00" w:rsidRDefault="016D94A9" w14:paraId="2B13A903" w14:textId="17D4CED3">
      <w:pPr>
        <w:pStyle w:val="Normal"/>
        <w:ind w:left="0"/>
      </w:pPr>
      <w:r w:rsidRPr="511A1D00" w:rsidR="016D94A9">
        <w:rPr>
          <w:rFonts w:ascii="Arial" w:hAnsi="Arial" w:eastAsia="Arial" w:cs="Arial"/>
          <w:noProof w:val="0"/>
          <w:sz w:val="22"/>
          <w:szCs w:val="22"/>
          <w:lang w:val="en-GB"/>
        </w:rPr>
        <w:t xml:space="preserve">Ethical practice would guide the decisions I make while supporting Joan. I would treat her with dignity, respect her </w:t>
      </w:r>
      <w:r w:rsidRPr="511A1D00" w:rsidR="016D94A9">
        <w:rPr>
          <w:rFonts w:ascii="Arial" w:hAnsi="Arial" w:eastAsia="Arial" w:cs="Arial"/>
          <w:noProof w:val="0"/>
          <w:sz w:val="22"/>
          <w:szCs w:val="22"/>
          <w:lang w:val="en-GB"/>
        </w:rPr>
        <w:t>privacy</w:t>
      </w:r>
      <w:r w:rsidRPr="511A1D00" w:rsidR="016D94A9">
        <w:rPr>
          <w:rFonts w:ascii="Arial" w:hAnsi="Arial" w:eastAsia="Arial" w:cs="Arial"/>
          <w:noProof w:val="0"/>
          <w:sz w:val="22"/>
          <w:szCs w:val="22"/>
          <w:lang w:val="en-GB"/>
        </w:rPr>
        <w:t xml:space="preserve"> and make sure she understood the benefits of pulmonary rehabilitation before making any decisions about her treatment. Although Joan has the right to refuse treatment, I would ensure she had the information needed to make an informed choice. Following the </w:t>
      </w:r>
      <w:r w:rsidRPr="511A1D00" w:rsidR="016D94A9">
        <w:rPr>
          <w:rFonts w:ascii="Arial" w:hAnsi="Arial" w:eastAsia="Arial" w:cs="Arial"/>
          <w:b w:val="1"/>
          <w:bCs w:val="1"/>
          <w:noProof w:val="0"/>
          <w:sz w:val="22"/>
          <w:szCs w:val="22"/>
          <w:lang w:val="en-GB"/>
        </w:rPr>
        <w:t>NMC Code</w:t>
      </w:r>
      <w:r w:rsidRPr="511A1D00" w:rsidR="016D94A9">
        <w:rPr>
          <w:rFonts w:ascii="Arial" w:hAnsi="Arial" w:eastAsia="Arial" w:cs="Arial"/>
          <w:noProof w:val="0"/>
          <w:sz w:val="22"/>
          <w:szCs w:val="22"/>
          <w:lang w:val="en-GB"/>
        </w:rPr>
        <w:t xml:space="preserve"> (Nursing and Midwifery Council, 2024) would help me provide safe, </w:t>
      </w:r>
      <w:r w:rsidRPr="511A1D00" w:rsidR="016D94A9">
        <w:rPr>
          <w:rFonts w:ascii="Arial" w:hAnsi="Arial" w:eastAsia="Arial" w:cs="Arial"/>
          <w:noProof w:val="0"/>
          <w:sz w:val="22"/>
          <w:szCs w:val="22"/>
          <w:lang w:val="en-GB"/>
        </w:rPr>
        <w:t>respectful</w:t>
      </w:r>
      <w:r w:rsidRPr="511A1D00" w:rsidR="016D94A9">
        <w:rPr>
          <w:rFonts w:ascii="Arial" w:hAnsi="Arial" w:eastAsia="Arial" w:cs="Arial"/>
          <w:noProof w:val="0"/>
          <w:sz w:val="22"/>
          <w:szCs w:val="22"/>
          <w:lang w:val="en-GB"/>
        </w:rPr>
        <w:t xml:space="preserve"> and compassionate care. </w:t>
      </w:r>
    </w:p>
    <w:p w:rsidR="016D94A9" w:rsidRDefault="016D94A9" w14:paraId="52502652" w14:textId="013FC347">
      <w:r w:rsidRPr="511A1D00" w:rsidR="016D94A9">
        <w:rPr>
          <w:rFonts w:ascii="Arial" w:hAnsi="Arial" w:eastAsia="Arial" w:cs="Arial"/>
          <w:noProof w:val="0"/>
          <w:sz w:val="22"/>
          <w:szCs w:val="22"/>
          <w:lang w:val="en-GB"/>
        </w:rPr>
        <w:t>Reflecting on this case has also helped me identify areas where I need to improve. Although I feel I am caring, approachable and a good listener, I know I need to build my confidence when supporting people with more complex health needs. I also want to develop my knowledge of current legislation, policies and professional guidance so I can make informed decisions and provide the best possible care.</w:t>
      </w:r>
    </w:p>
    <w:p w:rsidR="016D94A9" w:rsidRDefault="016D94A9" w14:paraId="26803018" w14:textId="0417A92D">
      <w:r w:rsidRPr="511A1D00" w:rsidR="016D94A9">
        <w:rPr>
          <w:rFonts w:ascii="Arial" w:hAnsi="Arial" w:eastAsia="Arial" w:cs="Arial"/>
          <w:noProof w:val="0"/>
          <w:sz w:val="22"/>
          <w:szCs w:val="22"/>
          <w:lang w:val="en-GB"/>
        </w:rPr>
        <w:t>To improve, I plan to continue learning through training, research and professional development. I will also reflect on my practice regularly and use feedback to develop my skills. Joan's case has shown me that providing good care is about more than treating a medical condition. It is about understanding the individual, working effectively with others and respecting each person's rights. By continuing to develop these skills, I will be better prepared to provide safe, person-centred and compassionate care in the future.</w:t>
      </w:r>
    </w:p>
    <w:p w:rsidR="511A1D00" w:rsidP="511A1D00" w:rsidRDefault="511A1D00" w14:paraId="5D26D4CF" w14:textId="6192C9C1">
      <w:pPr>
        <w:pStyle w:val="Normal"/>
        <w:ind w:left="0"/>
        <w:rPr>
          <w:rFonts w:ascii="Arial" w:hAnsi="Arial" w:eastAsia="Arial" w:cs="Arial"/>
          <w:noProof w:val="0"/>
          <w:sz w:val="22"/>
          <w:szCs w:val="22"/>
          <w:lang w:val="en-GB"/>
        </w:rPr>
      </w:pPr>
    </w:p>
    <w:p w:rsidR="5F4CD417" w:rsidP="5F4CD417" w:rsidRDefault="5F4CD417" w14:paraId="680C82B2" w14:textId="46F3FFE7">
      <w:pPr>
        <w:pStyle w:val="Normal"/>
        <w:ind w:left="0"/>
        <w:rPr>
          <w:rFonts w:ascii="Arial" w:hAnsi="Arial" w:eastAsia="Arial" w:cs="Arial"/>
          <w:noProof w:val="0"/>
          <w:sz w:val="22"/>
          <w:szCs w:val="22"/>
          <w:lang w:val="en-GB"/>
        </w:rPr>
      </w:pPr>
    </w:p>
    <w:p w:rsidR="511A1D00" w:rsidP="511A1D00" w:rsidRDefault="511A1D00" w14:paraId="1BF19DBD" w14:textId="37688390">
      <w:pPr>
        <w:pStyle w:val="Normal"/>
        <w:ind w:left="0"/>
        <w:rPr>
          <w:rFonts w:ascii="Arial" w:hAnsi="Arial" w:eastAsia="Arial" w:cs="Arial"/>
          <w:b w:val="1"/>
          <w:bCs w:val="1"/>
          <w:noProof w:val="0"/>
          <w:sz w:val="24"/>
          <w:szCs w:val="24"/>
          <w:u w:val="single"/>
          <w:lang w:val="en-GB"/>
        </w:rPr>
      </w:pPr>
    </w:p>
    <w:p w:rsidR="4F93FFE1" w:rsidP="5F4CD417" w:rsidRDefault="4F93FFE1" w14:paraId="58EB0DAD" w14:textId="45EB1AD7">
      <w:pPr>
        <w:pStyle w:val="Normal"/>
        <w:ind w:left="0"/>
        <w:rPr>
          <w:rFonts w:ascii="Arial" w:hAnsi="Arial" w:eastAsia="Arial" w:cs="Arial"/>
          <w:b w:val="1"/>
          <w:bCs w:val="1"/>
          <w:noProof w:val="0"/>
          <w:sz w:val="24"/>
          <w:szCs w:val="24"/>
          <w:u w:val="single"/>
          <w:lang w:val="en-GB"/>
        </w:rPr>
      </w:pPr>
      <w:r w:rsidRPr="511A1D00" w:rsidR="4F93FFE1">
        <w:rPr>
          <w:rFonts w:ascii="Arial" w:hAnsi="Arial" w:eastAsia="Arial" w:cs="Arial"/>
          <w:b w:val="1"/>
          <w:bCs w:val="1"/>
          <w:noProof w:val="0"/>
          <w:sz w:val="24"/>
          <w:szCs w:val="24"/>
          <w:u w:val="single"/>
          <w:lang w:val="en-GB"/>
        </w:rPr>
        <w:t xml:space="preserve">Conclusion </w:t>
      </w:r>
    </w:p>
    <w:p w:rsidR="698A9B63" w:rsidP="5F4CD417" w:rsidRDefault="698A9B63" w14:paraId="1365A8FA" w14:textId="1601C747">
      <w:pPr>
        <w:pStyle w:val="Normal"/>
        <w:ind w:left="0"/>
        <w:rPr>
          <w:rFonts w:ascii="Arial" w:hAnsi="Arial" w:eastAsia="Arial" w:cs="Arial"/>
          <w:noProof w:val="0"/>
          <w:sz w:val="22"/>
          <w:szCs w:val="22"/>
          <w:lang w:val="en-GB"/>
        </w:rPr>
      </w:pPr>
      <w:r w:rsidRPr="5F4CD417" w:rsidR="698A9B63">
        <w:rPr>
          <w:rFonts w:ascii="Arial" w:hAnsi="Arial" w:eastAsia="Arial" w:cs="Arial"/>
          <w:noProof w:val="0"/>
          <w:sz w:val="22"/>
          <w:szCs w:val="22"/>
          <w:lang w:val="en-GB"/>
        </w:rPr>
        <w:t>To conclude, this report has shown how important person-centred care, partnership working, and ethical practice are in health and social care. Looking at Joan's case study helped me understand how these principles can improve the care and support people receive, especially those living with long-term conditions such as COPD. It has also highlighted that while the Medical Model of Health is important for diagnosing and treating illnesses, it is equally important to understand the person behind the condition. Overall, this report has helped me reflect on how I can use these principles in my own practice to provide the best possible care and support for individuals.</w:t>
      </w:r>
    </w:p>
    <w:p w:rsidR="5F4CD417" w:rsidP="5F4CD417" w:rsidRDefault="5F4CD417" w14:paraId="3C891524" w14:textId="28F37549">
      <w:pPr>
        <w:pStyle w:val="Normal"/>
        <w:ind w:left="0"/>
        <w:rPr>
          <w:rFonts w:ascii="Arial" w:hAnsi="Arial" w:eastAsia="Arial" w:cs="Arial"/>
          <w:noProof w:val="0"/>
          <w:sz w:val="24"/>
          <w:szCs w:val="24"/>
          <w:lang w:val="en-GB"/>
        </w:rPr>
      </w:pPr>
    </w:p>
    <w:p w:rsidR="5F4CD417" w:rsidP="5F4CD417" w:rsidRDefault="5F4CD417" w14:paraId="2D73C8CA" w14:textId="5823F099">
      <w:pPr>
        <w:pStyle w:val="Normal"/>
        <w:ind w:left="0"/>
        <w:rPr>
          <w:rFonts w:ascii="Arial" w:hAnsi="Arial" w:eastAsia="Arial" w:cs="Arial"/>
          <w:noProof w:val="0"/>
          <w:sz w:val="24"/>
          <w:szCs w:val="24"/>
          <w:lang w:val="en-GB"/>
        </w:rPr>
      </w:pPr>
    </w:p>
    <w:p w:rsidR="5F4CD417" w:rsidP="5F4CD417" w:rsidRDefault="5F4CD417" w14:paraId="18E7BAFD" w14:textId="443019C0">
      <w:pPr>
        <w:pStyle w:val="Normal"/>
        <w:ind w:left="0"/>
        <w:rPr>
          <w:rFonts w:ascii="Arial" w:hAnsi="Arial" w:eastAsia="Arial" w:cs="Arial"/>
          <w:noProof w:val="0"/>
          <w:sz w:val="24"/>
          <w:szCs w:val="24"/>
          <w:lang w:val="en-GB"/>
        </w:rPr>
      </w:pPr>
    </w:p>
    <w:p w:rsidR="5F4CD417" w:rsidP="5F4CD417" w:rsidRDefault="5F4CD417" w14:paraId="13434DD1" w14:textId="15519543">
      <w:pPr>
        <w:pStyle w:val="Normal"/>
        <w:ind w:left="0"/>
        <w:rPr>
          <w:rFonts w:ascii="Arial" w:hAnsi="Arial" w:eastAsia="Arial" w:cs="Arial"/>
          <w:noProof w:val="0"/>
          <w:sz w:val="24"/>
          <w:szCs w:val="24"/>
          <w:lang w:val="en-GB"/>
        </w:rPr>
      </w:pPr>
    </w:p>
    <w:p w:rsidR="5F4CD417" w:rsidP="5F4CD417" w:rsidRDefault="5F4CD417" w14:paraId="7EB5CDFD" w14:textId="521774BF">
      <w:pPr>
        <w:pStyle w:val="Normal"/>
        <w:ind w:left="0"/>
        <w:rPr>
          <w:rFonts w:ascii="Arial" w:hAnsi="Arial" w:eastAsia="Arial" w:cs="Arial"/>
          <w:noProof w:val="0"/>
          <w:sz w:val="24"/>
          <w:szCs w:val="24"/>
          <w:lang w:val="en-GB"/>
        </w:rPr>
      </w:pPr>
    </w:p>
    <w:p w:rsidR="5F4CD417" w:rsidP="5F4CD417" w:rsidRDefault="5F4CD417" w14:paraId="186E07F0" w14:textId="2DA10EF8">
      <w:pPr>
        <w:pStyle w:val="Normal"/>
        <w:ind w:left="0"/>
        <w:rPr>
          <w:rFonts w:ascii="Arial" w:hAnsi="Arial" w:eastAsia="Arial" w:cs="Arial"/>
          <w:noProof w:val="0"/>
          <w:sz w:val="24"/>
          <w:szCs w:val="24"/>
          <w:lang w:val="en-GB"/>
        </w:rPr>
      </w:pPr>
    </w:p>
    <w:p w:rsidR="5F4CD417" w:rsidP="5F4CD417" w:rsidRDefault="5F4CD417" w14:paraId="25F72627" w14:textId="0703F4B1">
      <w:pPr>
        <w:pStyle w:val="Normal"/>
        <w:ind w:left="0"/>
        <w:rPr>
          <w:rFonts w:ascii="Arial" w:hAnsi="Arial" w:eastAsia="Arial" w:cs="Arial"/>
          <w:noProof w:val="0"/>
          <w:sz w:val="24"/>
          <w:szCs w:val="24"/>
          <w:lang w:val="en-GB"/>
        </w:rPr>
      </w:pPr>
    </w:p>
    <w:p w:rsidR="5F4CD417" w:rsidP="5F4CD417" w:rsidRDefault="5F4CD417" w14:paraId="40B851DE" w14:textId="00D6CE28">
      <w:pPr>
        <w:pStyle w:val="Normal"/>
        <w:ind w:left="0"/>
        <w:rPr>
          <w:rFonts w:ascii="Arial" w:hAnsi="Arial" w:eastAsia="Arial" w:cs="Arial"/>
          <w:noProof w:val="0"/>
          <w:sz w:val="24"/>
          <w:szCs w:val="24"/>
          <w:lang w:val="en-GB"/>
        </w:rPr>
      </w:pPr>
    </w:p>
    <w:p w:rsidR="5F4CD417" w:rsidP="5F4CD417" w:rsidRDefault="5F4CD417" w14:paraId="1951B8BA" w14:textId="5F4D84E6">
      <w:pPr>
        <w:pStyle w:val="Normal"/>
        <w:ind w:left="0"/>
        <w:rPr>
          <w:rFonts w:ascii="Arial" w:hAnsi="Arial" w:eastAsia="Arial" w:cs="Arial"/>
          <w:noProof w:val="0"/>
          <w:sz w:val="24"/>
          <w:szCs w:val="24"/>
          <w:lang w:val="en-GB"/>
        </w:rPr>
      </w:pPr>
    </w:p>
    <w:p w:rsidR="5F4CD417" w:rsidP="5F4CD417" w:rsidRDefault="5F4CD417" w14:paraId="64B7F82B" w14:textId="4B8B9904">
      <w:pPr>
        <w:pStyle w:val="Normal"/>
        <w:ind w:left="0"/>
        <w:rPr>
          <w:rFonts w:ascii="Arial" w:hAnsi="Arial" w:eastAsia="Arial" w:cs="Arial"/>
          <w:noProof w:val="0"/>
          <w:sz w:val="24"/>
          <w:szCs w:val="24"/>
          <w:lang w:val="en-GB"/>
        </w:rPr>
      </w:pPr>
    </w:p>
    <w:p w:rsidR="5F4CD417" w:rsidP="5F4CD417" w:rsidRDefault="5F4CD417" w14:paraId="24D4EE42" w14:textId="63C6491C">
      <w:pPr>
        <w:pStyle w:val="Normal"/>
        <w:ind w:left="0"/>
        <w:rPr>
          <w:rFonts w:ascii="Arial" w:hAnsi="Arial" w:eastAsia="Arial" w:cs="Arial"/>
          <w:noProof w:val="0"/>
          <w:sz w:val="24"/>
          <w:szCs w:val="24"/>
          <w:lang w:val="en-GB"/>
        </w:rPr>
      </w:pPr>
    </w:p>
    <w:p w:rsidR="5F4CD417" w:rsidP="5F4CD417" w:rsidRDefault="5F4CD417" w14:paraId="3B3424B3" w14:textId="39E21C1A">
      <w:pPr>
        <w:pStyle w:val="Normal"/>
        <w:ind w:left="0"/>
        <w:rPr>
          <w:rFonts w:ascii="Arial" w:hAnsi="Arial" w:eastAsia="Arial" w:cs="Arial"/>
          <w:noProof w:val="0"/>
          <w:sz w:val="24"/>
          <w:szCs w:val="24"/>
          <w:lang w:val="en-GB"/>
        </w:rPr>
      </w:pPr>
    </w:p>
    <w:p w:rsidR="5F4CD417" w:rsidP="5F4CD417" w:rsidRDefault="5F4CD417" w14:paraId="7D71112D" w14:textId="20EDC375">
      <w:pPr>
        <w:pStyle w:val="Normal"/>
        <w:ind w:left="0"/>
        <w:rPr>
          <w:rFonts w:ascii="Arial" w:hAnsi="Arial" w:eastAsia="Arial" w:cs="Arial"/>
          <w:noProof w:val="0"/>
          <w:sz w:val="24"/>
          <w:szCs w:val="24"/>
          <w:lang w:val="en-GB"/>
        </w:rPr>
      </w:pPr>
    </w:p>
    <w:p w:rsidR="5F4CD417" w:rsidP="5F4CD417" w:rsidRDefault="5F4CD417" w14:paraId="7E109152" w14:textId="48DFB3D7">
      <w:pPr>
        <w:pStyle w:val="Normal"/>
        <w:ind w:left="0"/>
        <w:rPr>
          <w:rFonts w:ascii="Arial" w:hAnsi="Arial" w:eastAsia="Arial" w:cs="Arial"/>
          <w:noProof w:val="0"/>
          <w:sz w:val="24"/>
          <w:szCs w:val="24"/>
          <w:lang w:val="en-GB"/>
        </w:rPr>
      </w:pPr>
    </w:p>
    <w:p w:rsidR="5F4CD417" w:rsidP="5F4CD417" w:rsidRDefault="5F4CD417" w14:paraId="57A9C045" w14:textId="316E2B8B">
      <w:pPr>
        <w:pStyle w:val="Normal"/>
        <w:ind w:left="0"/>
        <w:rPr>
          <w:rFonts w:ascii="Arial" w:hAnsi="Arial" w:eastAsia="Arial" w:cs="Arial"/>
          <w:noProof w:val="0"/>
          <w:sz w:val="24"/>
          <w:szCs w:val="24"/>
          <w:lang w:val="en-GB"/>
        </w:rPr>
      </w:pPr>
    </w:p>
    <w:p w:rsidR="5F4CD417" w:rsidP="5F4CD417" w:rsidRDefault="5F4CD417" w14:paraId="03AC3A6F" w14:textId="6FB5F959">
      <w:pPr>
        <w:pStyle w:val="Normal"/>
        <w:ind w:left="0"/>
        <w:rPr>
          <w:rFonts w:ascii="Arial" w:hAnsi="Arial" w:eastAsia="Arial" w:cs="Arial"/>
          <w:noProof w:val="0"/>
          <w:sz w:val="24"/>
          <w:szCs w:val="24"/>
          <w:lang w:val="en-GB"/>
        </w:rPr>
      </w:pPr>
    </w:p>
    <w:p w:rsidR="5F4CD417" w:rsidP="5F4CD417" w:rsidRDefault="5F4CD417" w14:paraId="4762A73A" w14:textId="03A156E8">
      <w:pPr>
        <w:pStyle w:val="Normal"/>
        <w:ind w:left="0"/>
        <w:rPr>
          <w:rFonts w:ascii="Arial" w:hAnsi="Arial" w:eastAsia="Arial" w:cs="Arial"/>
          <w:noProof w:val="0"/>
          <w:sz w:val="24"/>
          <w:szCs w:val="24"/>
          <w:lang w:val="en-GB"/>
        </w:rPr>
      </w:pPr>
    </w:p>
    <w:p w:rsidR="5F4CD417" w:rsidP="5F4CD417" w:rsidRDefault="5F4CD417" w14:paraId="093716F6" w14:textId="6AA2AFAA">
      <w:pPr>
        <w:pStyle w:val="Normal"/>
        <w:ind w:left="0"/>
        <w:rPr>
          <w:rFonts w:ascii="Arial" w:hAnsi="Arial" w:eastAsia="Arial" w:cs="Arial"/>
          <w:noProof w:val="0"/>
          <w:sz w:val="24"/>
          <w:szCs w:val="24"/>
          <w:lang w:val="en-GB"/>
        </w:rPr>
      </w:pPr>
    </w:p>
    <w:p w:rsidR="5F4CD417" w:rsidP="5F4CD417" w:rsidRDefault="5F4CD417" w14:paraId="113B9568" w14:textId="4C769512">
      <w:pPr>
        <w:pStyle w:val="Normal"/>
        <w:ind w:left="0"/>
        <w:rPr>
          <w:rFonts w:ascii="Arial" w:hAnsi="Arial" w:eastAsia="Arial" w:cs="Arial"/>
          <w:noProof w:val="0"/>
          <w:sz w:val="24"/>
          <w:szCs w:val="24"/>
          <w:lang w:val="en-GB"/>
        </w:rPr>
      </w:pPr>
    </w:p>
    <w:p w:rsidR="5F4CD417" w:rsidP="511A1D00" w:rsidRDefault="5F4CD417" w14:paraId="54DD1B33" w14:textId="0E225C48">
      <w:pPr>
        <w:pStyle w:val="Normal"/>
        <w:ind w:left="0"/>
        <w:rPr>
          <w:rFonts w:ascii="Arial" w:hAnsi="Arial" w:eastAsia="Arial" w:cs="Arial"/>
          <w:b w:val="1"/>
          <w:bCs w:val="1"/>
          <w:noProof w:val="0"/>
          <w:sz w:val="24"/>
          <w:szCs w:val="24"/>
          <w:u w:val="single"/>
          <w:lang w:val="en-GB"/>
        </w:rPr>
      </w:pPr>
    </w:p>
    <w:p w:rsidR="5F4CD417" w:rsidP="511A1D00" w:rsidRDefault="5F4CD417" w14:paraId="32B4697A" w14:textId="6EB35740">
      <w:pPr>
        <w:pStyle w:val="Normal"/>
        <w:ind w:left="0"/>
        <w:rPr>
          <w:rFonts w:ascii="Arial" w:hAnsi="Arial" w:eastAsia="Arial" w:cs="Arial"/>
          <w:b w:val="1"/>
          <w:bCs w:val="1"/>
          <w:noProof w:val="0"/>
          <w:sz w:val="24"/>
          <w:szCs w:val="24"/>
          <w:u w:val="single"/>
          <w:lang w:val="en-GB"/>
        </w:rPr>
      </w:pPr>
    </w:p>
    <w:p w:rsidR="5F4CD417" w:rsidP="511A1D00" w:rsidRDefault="5F4CD417" w14:paraId="3B86AF25" w14:textId="269CECC1">
      <w:pPr>
        <w:pStyle w:val="Normal"/>
        <w:ind w:left="0"/>
        <w:rPr>
          <w:rFonts w:ascii="Arial" w:hAnsi="Arial" w:eastAsia="Arial" w:cs="Arial"/>
          <w:b w:val="1"/>
          <w:bCs w:val="1"/>
          <w:noProof w:val="0"/>
          <w:sz w:val="24"/>
          <w:szCs w:val="24"/>
          <w:u w:val="single"/>
          <w:lang w:val="en-GB"/>
        </w:rPr>
      </w:pPr>
    </w:p>
    <w:p w:rsidR="5F4CD417" w:rsidP="511A1D00" w:rsidRDefault="5F4CD417" w14:paraId="462ABAC0" w14:textId="59C13708">
      <w:pPr>
        <w:pStyle w:val="Normal"/>
        <w:ind w:left="0"/>
        <w:rPr>
          <w:rFonts w:ascii="Arial" w:hAnsi="Arial" w:eastAsia="Arial" w:cs="Arial"/>
          <w:b w:val="1"/>
          <w:bCs w:val="1"/>
          <w:noProof w:val="0"/>
          <w:sz w:val="24"/>
          <w:szCs w:val="24"/>
          <w:u w:val="single"/>
          <w:lang w:val="en-GB"/>
        </w:rPr>
      </w:pPr>
    </w:p>
    <w:p w:rsidR="5F4CD417" w:rsidP="511A1D00" w:rsidRDefault="5F4CD417" w14:paraId="6CCB77E8" w14:textId="1FA11E82">
      <w:pPr>
        <w:pStyle w:val="Normal"/>
        <w:ind w:left="0"/>
        <w:rPr>
          <w:rFonts w:ascii="Arial" w:hAnsi="Arial" w:eastAsia="Arial" w:cs="Arial"/>
          <w:b w:val="1"/>
          <w:bCs w:val="1"/>
          <w:noProof w:val="0"/>
          <w:color w:val="auto"/>
          <w:sz w:val="22"/>
          <w:szCs w:val="22"/>
          <w:u w:val="single"/>
          <w:lang w:val="en-GB"/>
        </w:rPr>
      </w:pPr>
      <w:r w:rsidRPr="511A1D00" w:rsidR="7ECEC1C4">
        <w:rPr>
          <w:rFonts w:ascii="Arial" w:hAnsi="Arial" w:eastAsia="Arial" w:cs="Arial"/>
          <w:b w:val="1"/>
          <w:bCs w:val="1"/>
          <w:noProof w:val="0"/>
          <w:color w:val="auto"/>
          <w:sz w:val="22"/>
          <w:szCs w:val="22"/>
          <w:u w:val="single"/>
          <w:lang w:val="en-GB"/>
        </w:rPr>
        <w:t xml:space="preserve">Reference list </w:t>
      </w:r>
    </w:p>
    <w:p w:rsidR="5F4CD417" w:rsidP="511A1D00" w:rsidRDefault="5F4CD417" w14:paraId="1F7974FC" w14:textId="0DA8C129">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Bronfenbrenner, U. (1979) </w:t>
      </w:r>
      <w:r w:rsidRPr="511A1D00" w:rsidR="75D45B2A">
        <w:rPr>
          <w:rFonts w:ascii="Arial" w:hAnsi="Arial" w:eastAsia="Arial" w:cs="Arial"/>
          <w:i w:val="1"/>
          <w:iCs w:val="1"/>
          <w:noProof w:val="0"/>
          <w:color w:val="auto"/>
          <w:sz w:val="22"/>
          <w:szCs w:val="22"/>
          <w:lang w:val="en-GB"/>
        </w:rPr>
        <w:t>The Ecology of Human Development: Experiments by Nature and Design</w:t>
      </w:r>
      <w:r w:rsidRPr="511A1D00" w:rsidR="75D45B2A">
        <w:rPr>
          <w:rFonts w:ascii="Arial" w:hAnsi="Arial" w:eastAsia="Arial" w:cs="Arial"/>
          <w:noProof w:val="0"/>
          <w:color w:val="auto"/>
          <w:sz w:val="22"/>
          <w:szCs w:val="22"/>
          <w:lang w:val="en-GB"/>
        </w:rPr>
        <w:t>. Cambridge, MA: Harvard University Press.</w:t>
      </w:r>
    </w:p>
    <w:p w:rsidR="5F4CD417" w:rsidP="511A1D00" w:rsidRDefault="5F4CD417" w14:paraId="1B164303" w14:textId="7C2EFEFD">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Care Act 2014. c.23. London: The Stationery Office. Available at: </w:t>
      </w:r>
      <w:hyperlink r:id="Ra2c9cb5a3f604769">
        <w:r w:rsidRPr="511A1D00" w:rsidR="75D45B2A">
          <w:rPr>
            <w:rStyle w:val="Hyperlink"/>
            <w:rFonts w:ascii="Arial" w:hAnsi="Arial" w:eastAsia="Arial" w:cs="Arial"/>
            <w:noProof w:val="0"/>
            <w:color w:val="auto"/>
            <w:sz w:val="22"/>
            <w:szCs w:val="22"/>
            <w:lang w:val="en-GB"/>
          </w:rPr>
          <w:t>https://www.legislation.gov.uk/ukpga/2014/23/contents</w:t>
        </w:r>
      </w:hyperlink>
      <w:r w:rsidRPr="511A1D00" w:rsidR="75D45B2A">
        <w:rPr>
          <w:rFonts w:ascii="Arial" w:hAnsi="Arial" w:eastAsia="Arial" w:cs="Arial"/>
          <w:noProof w:val="0"/>
          <w:color w:val="auto"/>
          <w:sz w:val="22"/>
          <w:szCs w:val="22"/>
          <w:lang w:val="en-GB"/>
        </w:rPr>
        <w:t xml:space="preserve"> (Accessed: 30 June 2026).</w:t>
      </w:r>
    </w:p>
    <w:p w:rsidR="5F4CD417" w:rsidP="511A1D00" w:rsidRDefault="5F4CD417" w14:paraId="52EFB57F" w14:textId="298B9ADD">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Care Quality Commission (2023) </w:t>
      </w:r>
      <w:r w:rsidRPr="511A1D00" w:rsidR="75D45B2A">
        <w:rPr>
          <w:rFonts w:ascii="Arial" w:hAnsi="Arial" w:eastAsia="Arial" w:cs="Arial"/>
          <w:i w:val="1"/>
          <w:iCs w:val="1"/>
          <w:noProof w:val="0"/>
          <w:color w:val="auto"/>
          <w:sz w:val="22"/>
          <w:szCs w:val="22"/>
          <w:lang w:val="en-GB"/>
        </w:rPr>
        <w:t>Single Assessment Framework</w:t>
      </w:r>
      <w:r w:rsidRPr="511A1D00" w:rsidR="75D45B2A">
        <w:rPr>
          <w:rFonts w:ascii="Arial" w:hAnsi="Arial" w:eastAsia="Arial" w:cs="Arial"/>
          <w:noProof w:val="0"/>
          <w:color w:val="auto"/>
          <w:sz w:val="22"/>
          <w:szCs w:val="22"/>
          <w:lang w:val="en-GB"/>
        </w:rPr>
        <w:t xml:space="preserve">. Available at: </w:t>
      </w:r>
      <w:hyperlink r:id="R31b544874f6c468e">
        <w:r w:rsidRPr="511A1D00" w:rsidR="75D45B2A">
          <w:rPr>
            <w:rStyle w:val="Hyperlink"/>
            <w:rFonts w:ascii="Arial" w:hAnsi="Arial" w:eastAsia="Arial" w:cs="Arial"/>
            <w:noProof w:val="0"/>
            <w:color w:val="auto"/>
            <w:sz w:val="22"/>
            <w:szCs w:val="22"/>
            <w:lang w:val="en-GB"/>
          </w:rPr>
          <w:t>https://www.cqc.org.uk/about-us/how-we-do-our-job/single-assessment-framework</w:t>
        </w:r>
      </w:hyperlink>
      <w:r w:rsidRPr="511A1D00" w:rsidR="75D45B2A">
        <w:rPr>
          <w:rFonts w:ascii="Arial" w:hAnsi="Arial" w:eastAsia="Arial" w:cs="Arial"/>
          <w:noProof w:val="0"/>
          <w:color w:val="auto"/>
          <w:sz w:val="22"/>
          <w:szCs w:val="22"/>
          <w:lang w:val="en-GB"/>
        </w:rPr>
        <w:t xml:space="preserve"> (Accessed: 30 June 2026).</w:t>
      </w:r>
    </w:p>
    <w:p w:rsidR="5F4CD417" w:rsidP="511A1D00" w:rsidRDefault="5F4CD417" w14:paraId="1DAA2175" w14:textId="0C84A522">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Department of Health and Social Care (2022) </w:t>
      </w:r>
      <w:r w:rsidRPr="511A1D00" w:rsidR="75D45B2A">
        <w:rPr>
          <w:rFonts w:ascii="Arial" w:hAnsi="Arial" w:eastAsia="Arial" w:cs="Arial"/>
          <w:i w:val="1"/>
          <w:iCs w:val="1"/>
          <w:noProof w:val="0"/>
          <w:color w:val="auto"/>
          <w:sz w:val="22"/>
          <w:szCs w:val="22"/>
          <w:lang w:val="en-GB"/>
        </w:rPr>
        <w:t>Health and Care Act 2022</w:t>
      </w:r>
      <w:r w:rsidRPr="511A1D00" w:rsidR="75D45B2A">
        <w:rPr>
          <w:rFonts w:ascii="Arial" w:hAnsi="Arial" w:eastAsia="Arial" w:cs="Arial"/>
          <w:noProof w:val="0"/>
          <w:color w:val="auto"/>
          <w:sz w:val="22"/>
          <w:szCs w:val="22"/>
          <w:lang w:val="en-GB"/>
        </w:rPr>
        <w:t xml:space="preserve">. London: The Stationery Office. Available at: </w:t>
      </w:r>
      <w:hyperlink r:id="R6527691b5f554a5f">
        <w:r w:rsidRPr="511A1D00" w:rsidR="75D45B2A">
          <w:rPr>
            <w:rStyle w:val="Hyperlink"/>
            <w:rFonts w:ascii="Arial" w:hAnsi="Arial" w:eastAsia="Arial" w:cs="Arial"/>
            <w:noProof w:val="0"/>
            <w:color w:val="auto"/>
            <w:sz w:val="22"/>
            <w:szCs w:val="22"/>
            <w:lang w:val="en-GB"/>
          </w:rPr>
          <w:t>https://www.legislation.gov.uk/ukpga/2022/31/contents</w:t>
        </w:r>
      </w:hyperlink>
      <w:r w:rsidRPr="511A1D00" w:rsidR="75D45B2A">
        <w:rPr>
          <w:rFonts w:ascii="Arial" w:hAnsi="Arial" w:eastAsia="Arial" w:cs="Arial"/>
          <w:noProof w:val="0"/>
          <w:color w:val="auto"/>
          <w:sz w:val="22"/>
          <w:szCs w:val="22"/>
          <w:lang w:val="en-GB"/>
        </w:rPr>
        <w:t xml:space="preserve"> (Accessed: 30 June 2026).</w:t>
      </w:r>
    </w:p>
    <w:p w:rsidR="5F4CD417" w:rsidP="511A1D00" w:rsidRDefault="5F4CD417" w14:paraId="1C7F89FE" w14:textId="6F64ED36">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Fridberg, H., Wallin, L. and Tistad, M. (2022) ‘Operationalisation of person-centred care in a real-world setting: a case study with six embedded units’, </w:t>
      </w:r>
      <w:r w:rsidRPr="511A1D00" w:rsidR="75D45B2A">
        <w:rPr>
          <w:rFonts w:ascii="Arial" w:hAnsi="Arial" w:eastAsia="Arial" w:cs="Arial"/>
          <w:i w:val="1"/>
          <w:iCs w:val="1"/>
          <w:noProof w:val="0"/>
          <w:color w:val="auto"/>
          <w:sz w:val="22"/>
          <w:szCs w:val="22"/>
          <w:lang w:val="en-GB"/>
        </w:rPr>
        <w:t>BMC Health Services Research</w:t>
      </w:r>
      <w:r w:rsidRPr="511A1D00" w:rsidR="75D45B2A">
        <w:rPr>
          <w:rFonts w:ascii="Arial" w:hAnsi="Arial" w:eastAsia="Arial" w:cs="Arial"/>
          <w:noProof w:val="0"/>
          <w:color w:val="auto"/>
          <w:sz w:val="22"/>
          <w:szCs w:val="22"/>
          <w:lang w:val="en-GB"/>
        </w:rPr>
        <w:t>, 22, 1160.</w:t>
      </w:r>
    </w:p>
    <w:p w:rsidR="5F4CD417" w:rsidP="511A1D00" w:rsidRDefault="5F4CD417" w14:paraId="5D765D04" w14:textId="77AEFBAA">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Glasby, J. and Dickinson, H. (2021) </w:t>
      </w:r>
      <w:r w:rsidRPr="511A1D00" w:rsidR="75D45B2A">
        <w:rPr>
          <w:rFonts w:ascii="Arial" w:hAnsi="Arial" w:eastAsia="Arial" w:cs="Arial"/>
          <w:i w:val="1"/>
          <w:iCs w:val="1"/>
          <w:noProof w:val="0"/>
          <w:color w:val="auto"/>
          <w:sz w:val="22"/>
          <w:szCs w:val="22"/>
          <w:lang w:val="en-GB"/>
        </w:rPr>
        <w:t>Partnership Working in Health and Social Care</w:t>
      </w:r>
      <w:r w:rsidRPr="511A1D00" w:rsidR="75D45B2A">
        <w:rPr>
          <w:rFonts w:ascii="Arial" w:hAnsi="Arial" w:eastAsia="Arial" w:cs="Arial"/>
          <w:noProof w:val="0"/>
          <w:color w:val="auto"/>
          <w:sz w:val="22"/>
          <w:szCs w:val="22"/>
          <w:lang w:val="en-GB"/>
        </w:rPr>
        <w:t>. 3rd edn. Bristol: Policy Press.</w:t>
      </w:r>
    </w:p>
    <w:p w:rsidR="5F4CD417" w:rsidP="511A1D00" w:rsidRDefault="5F4CD417" w14:paraId="24D0731B" w14:textId="15BB4E5C">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Maslow, A.H. (1943) ‘A theory of human motivation’, </w:t>
      </w:r>
      <w:r w:rsidRPr="511A1D00" w:rsidR="75D45B2A">
        <w:rPr>
          <w:rFonts w:ascii="Arial" w:hAnsi="Arial" w:eastAsia="Arial" w:cs="Arial"/>
          <w:i w:val="1"/>
          <w:iCs w:val="1"/>
          <w:noProof w:val="0"/>
          <w:color w:val="auto"/>
          <w:sz w:val="22"/>
          <w:szCs w:val="22"/>
          <w:lang w:val="en-GB"/>
        </w:rPr>
        <w:t>Psychological Review</w:t>
      </w:r>
      <w:r w:rsidRPr="511A1D00" w:rsidR="75D45B2A">
        <w:rPr>
          <w:rFonts w:ascii="Arial" w:hAnsi="Arial" w:eastAsia="Arial" w:cs="Arial"/>
          <w:noProof w:val="0"/>
          <w:color w:val="auto"/>
          <w:sz w:val="22"/>
          <w:szCs w:val="22"/>
          <w:lang w:val="en-GB"/>
        </w:rPr>
        <w:t>, 50(4), pp. 370–396.</w:t>
      </w:r>
    </w:p>
    <w:p w:rsidR="5F4CD417" w:rsidP="511A1D00" w:rsidRDefault="5F4CD417" w14:paraId="04800C17" w14:textId="28A1F30C">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McCormack, B. and McCance, T. (2021) </w:t>
      </w:r>
      <w:r w:rsidRPr="511A1D00" w:rsidR="75D45B2A">
        <w:rPr>
          <w:rFonts w:ascii="Arial" w:hAnsi="Arial" w:eastAsia="Arial" w:cs="Arial"/>
          <w:i w:val="1"/>
          <w:iCs w:val="1"/>
          <w:noProof w:val="0"/>
          <w:color w:val="auto"/>
          <w:sz w:val="22"/>
          <w:szCs w:val="22"/>
          <w:lang w:val="en-GB"/>
        </w:rPr>
        <w:t>Person-Centred Practice in Nursing and Health Care: Theory and Practice</w:t>
      </w:r>
      <w:r w:rsidRPr="511A1D00" w:rsidR="75D45B2A">
        <w:rPr>
          <w:rFonts w:ascii="Arial" w:hAnsi="Arial" w:eastAsia="Arial" w:cs="Arial"/>
          <w:noProof w:val="0"/>
          <w:color w:val="auto"/>
          <w:sz w:val="22"/>
          <w:szCs w:val="22"/>
          <w:lang w:val="en-GB"/>
        </w:rPr>
        <w:t>. 3rd edn. Oxford: Wiley-Blackwell.</w:t>
      </w:r>
    </w:p>
    <w:p w:rsidR="5F4CD417" w:rsidP="511A1D00" w:rsidRDefault="5F4CD417" w14:paraId="235339E1" w14:textId="19BFB58C">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McCormack, B. et al. (2021) </w:t>
      </w:r>
      <w:r w:rsidRPr="511A1D00" w:rsidR="75D45B2A">
        <w:rPr>
          <w:rFonts w:ascii="Arial" w:hAnsi="Arial" w:eastAsia="Arial" w:cs="Arial"/>
          <w:i w:val="1"/>
          <w:iCs w:val="1"/>
          <w:noProof w:val="0"/>
          <w:color w:val="auto"/>
          <w:sz w:val="22"/>
          <w:szCs w:val="22"/>
          <w:lang w:val="en-GB"/>
        </w:rPr>
        <w:t>Fundamentals of Person-Centred Healthcare Practice</w:t>
      </w:r>
      <w:r w:rsidRPr="511A1D00" w:rsidR="75D45B2A">
        <w:rPr>
          <w:rFonts w:ascii="Arial" w:hAnsi="Arial" w:eastAsia="Arial" w:cs="Arial"/>
          <w:noProof w:val="0"/>
          <w:color w:val="auto"/>
          <w:sz w:val="22"/>
          <w:szCs w:val="22"/>
          <w:lang w:val="en-GB"/>
        </w:rPr>
        <w:t>. Oxford: Wiley-Blackwell.</w:t>
      </w:r>
    </w:p>
    <w:p w:rsidR="5F4CD417" w:rsidP="511A1D00" w:rsidRDefault="5F4CD417" w14:paraId="62E8C3B2" w14:textId="71E79D9E">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Mental Capacity Act 2005. c.9. London: The Stationery Office. Available at: </w:t>
      </w:r>
      <w:hyperlink r:id="R95f9d446a2ba48d6">
        <w:r w:rsidRPr="511A1D00" w:rsidR="75D45B2A">
          <w:rPr>
            <w:rStyle w:val="Hyperlink"/>
            <w:rFonts w:ascii="Arial" w:hAnsi="Arial" w:eastAsia="Arial" w:cs="Arial"/>
            <w:noProof w:val="0"/>
            <w:color w:val="auto"/>
            <w:sz w:val="22"/>
            <w:szCs w:val="22"/>
            <w:lang w:val="en-GB"/>
          </w:rPr>
          <w:t>https://www.legislation.gov.uk/ukpga/2005/9/contents</w:t>
        </w:r>
      </w:hyperlink>
      <w:r w:rsidRPr="511A1D00" w:rsidR="75D45B2A">
        <w:rPr>
          <w:rFonts w:ascii="Arial" w:hAnsi="Arial" w:eastAsia="Arial" w:cs="Arial"/>
          <w:noProof w:val="0"/>
          <w:color w:val="auto"/>
          <w:sz w:val="22"/>
          <w:szCs w:val="22"/>
          <w:lang w:val="en-GB"/>
        </w:rPr>
        <w:t xml:space="preserve"> (Accessed: 30 June 2026).</w:t>
      </w:r>
    </w:p>
    <w:p w:rsidR="5F4CD417" w:rsidP="511A1D00" w:rsidRDefault="5F4CD417" w14:paraId="35EF7FF7" w14:textId="4BB67365">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National Institute for Health and Care Excellence (NICE) (2023) </w:t>
      </w:r>
      <w:r w:rsidRPr="511A1D00" w:rsidR="75D45B2A">
        <w:rPr>
          <w:rFonts w:ascii="Arial" w:hAnsi="Arial" w:eastAsia="Arial" w:cs="Arial"/>
          <w:i w:val="1"/>
          <w:iCs w:val="1"/>
          <w:noProof w:val="0"/>
          <w:color w:val="auto"/>
          <w:sz w:val="22"/>
          <w:szCs w:val="22"/>
          <w:lang w:val="en-GB"/>
        </w:rPr>
        <w:t>Chronic obstructive pulmonary disease in over 16s: diagnosis and management (NG115)</w:t>
      </w:r>
      <w:r w:rsidRPr="511A1D00" w:rsidR="75D45B2A">
        <w:rPr>
          <w:rFonts w:ascii="Arial" w:hAnsi="Arial" w:eastAsia="Arial" w:cs="Arial"/>
          <w:noProof w:val="0"/>
          <w:color w:val="auto"/>
          <w:sz w:val="22"/>
          <w:szCs w:val="22"/>
          <w:lang w:val="en-GB"/>
        </w:rPr>
        <w:t xml:space="preserve">. Available at: </w:t>
      </w:r>
      <w:hyperlink r:id="R857066d765694820">
        <w:r w:rsidRPr="511A1D00" w:rsidR="75D45B2A">
          <w:rPr>
            <w:rStyle w:val="Hyperlink"/>
            <w:rFonts w:ascii="Arial" w:hAnsi="Arial" w:eastAsia="Arial" w:cs="Arial"/>
            <w:noProof w:val="0"/>
            <w:color w:val="auto"/>
            <w:sz w:val="22"/>
            <w:szCs w:val="22"/>
            <w:lang w:val="en-GB"/>
          </w:rPr>
          <w:t>https://www.nice.org.uk/guidance/ng115</w:t>
        </w:r>
      </w:hyperlink>
      <w:r w:rsidRPr="511A1D00" w:rsidR="75D45B2A">
        <w:rPr>
          <w:rFonts w:ascii="Arial" w:hAnsi="Arial" w:eastAsia="Arial" w:cs="Arial"/>
          <w:noProof w:val="0"/>
          <w:color w:val="auto"/>
          <w:sz w:val="22"/>
          <w:szCs w:val="22"/>
          <w:lang w:val="en-GB"/>
        </w:rPr>
        <w:t xml:space="preserve"> (Accessed: 30 June 2026).</w:t>
      </w:r>
    </w:p>
    <w:p w:rsidR="5F4CD417" w:rsidP="511A1D00" w:rsidRDefault="5F4CD417" w14:paraId="2EAAC383" w14:textId="10D486DC">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NHS England (2023) </w:t>
      </w:r>
      <w:r w:rsidRPr="511A1D00" w:rsidR="75D45B2A">
        <w:rPr>
          <w:rFonts w:ascii="Arial" w:hAnsi="Arial" w:eastAsia="Arial" w:cs="Arial"/>
          <w:i w:val="1"/>
          <w:iCs w:val="1"/>
          <w:noProof w:val="0"/>
          <w:color w:val="auto"/>
          <w:sz w:val="22"/>
          <w:szCs w:val="22"/>
          <w:lang w:val="en-GB"/>
        </w:rPr>
        <w:t>Comprehensive model for personalised care</w:t>
      </w:r>
      <w:r w:rsidRPr="511A1D00" w:rsidR="75D45B2A">
        <w:rPr>
          <w:rFonts w:ascii="Arial" w:hAnsi="Arial" w:eastAsia="Arial" w:cs="Arial"/>
          <w:noProof w:val="0"/>
          <w:color w:val="auto"/>
          <w:sz w:val="22"/>
          <w:szCs w:val="22"/>
          <w:lang w:val="en-GB"/>
        </w:rPr>
        <w:t xml:space="preserve">. Available at: </w:t>
      </w:r>
      <w:hyperlink r:id="Ra68e6c90bb76494e">
        <w:r w:rsidRPr="511A1D00" w:rsidR="75D45B2A">
          <w:rPr>
            <w:rStyle w:val="Hyperlink"/>
            <w:rFonts w:ascii="Arial" w:hAnsi="Arial" w:eastAsia="Arial" w:cs="Arial"/>
            <w:noProof w:val="0"/>
            <w:color w:val="auto"/>
            <w:sz w:val="22"/>
            <w:szCs w:val="22"/>
            <w:lang w:val="en-GB"/>
          </w:rPr>
          <w:t>https://www.england.nhs.uk/personalisedcare/</w:t>
        </w:r>
      </w:hyperlink>
      <w:r w:rsidRPr="511A1D00" w:rsidR="75D45B2A">
        <w:rPr>
          <w:rFonts w:ascii="Arial" w:hAnsi="Arial" w:eastAsia="Arial" w:cs="Arial"/>
          <w:noProof w:val="0"/>
          <w:color w:val="auto"/>
          <w:sz w:val="22"/>
          <w:szCs w:val="22"/>
          <w:lang w:val="en-GB"/>
        </w:rPr>
        <w:t xml:space="preserve"> (Accessed: 30 June 2026).</w:t>
      </w:r>
    </w:p>
    <w:p w:rsidR="5F4CD417" w:rsidP="511A1D00" w:rsidRDefault="5F4CD417" w14:paraId="3CC8CB4E" w14:textId="7B6A312E">
      <w:pPr>
        <w:pStyle w:val="ListParagraph"/>
        <w:numPr>
          <w:ilvl w:val="0"/>
          <w:numId w:val="11"/>
        </w:numPr>
        <w:ind/>
        <w:rPr>
          <w:rFonts w:ascii="Arial" w:hAnsi="Arial" w:eastAsia="Arial" w:cs="Arial"/>
          <w:noProof w:val="0"/>
          <w:color w:val="auto"/>
          <w:sz w:val="22"/>
          <w:szCs w:val="22"/>
          <w:lang w:val="en-GB"/>
        </w:rPr>
      </w:pPr>
      <w:r w:rsidRPr="511A1D00" w:rsidR="75D45B2A">
        <w:rPr>
          <w:rFonts w:ascii="Arial" w:hAnsi="Arial" w:eastAsia="Arial" w:cs="Arial"/>
          <w:noProof w:val="0"/>
          <w:color w:val="auto"/>
          <w:sz w:val="22"/>
          <w:szCs w:val="22"/>
          <w:lang w:val="en-GB"/>
        </w:rPr>
        <w:t xml:space="preserve">Nursing and Midwifery Council (2024) </w:t>
      </w:r>
      <w:r w:rsidRPr="511A1D00" w:rsidR="75D45B2A">
        <w:rPr>
          <w:rFonts w:ascii="Arial" w:hAnsi="Arial" w:eastAsia="Arial" w:cs="Arial"/>
          <w:i w:val="1"/>
          <w:iCs w:val="1"/>
          <w:noProof w:val="0"/>
          <w:color w:val="auto"/>
          <w:sz w:val="22"/>
          <w:szCs w:val="22"/>
          <w:lang w:val="en-GB"/>
        </w:rPr>
        <w:t>The Code: Professional Standards of Practice and Behaviour for Nurses, Midwives and Nursing Associates</w:t>
      </w:r>
      <w:r w:rsidRPr="511A1D00" w:rsidR="75D45B2A">
        <w:rPr>
          <w:rFonts w:ascii="Arial" w:hAnsi="Arial" w:eastAsia="Arial" w:cs="Arial"/>
          <w:noProof w:val="0"/>
          <w:color w:val="auto"/>
          <w:sz w:val="22"/>
          <w:szCs w:val="22"/>
          <w:lang w:val="en-GB"/>
        </w:rPr>
        <w:t xml:space="preserve">. London: NMC. Available at: </w:t>
      </w:r>
      <w:hyperlink r:id="Rad6b92a573154a2d">
        <w:r w:rsidRPr="511A1D00" w:rsidR="75D45B2A">
          <w:rPr>
            <w:rStyle w:val="Hyperlink"/>
            <w:rFonts w:ascii="Arial" w:hAnsi="Arial" w:eastAsia="Arial" w:cs="Arial"/>
            <w:noProof w:val="0"/>
            <w:color w:val="auto"/>
            <w:sz w:val="22"/>
            <w:szCs w:val="22"/>
            <w:lang w:val="en-GB"/>
          </w:rPr>
          <w:t>https://www.nmc.org.uk/standards/code/</w:t>
        </w:r>
      </w:hyperlink>
      <w:r w:rsidRPr="511A1D00" w:rsidR="75D45B2A">
        <w:rPr>
          <w:rFonts w:ascii="Arial" w:hAnsi="Arial" w:eastAsia="Arial" w:cs="Arial"/>
          <w:noProof w:val="0"/>
          <w:color w:val="auto"/>
          <w:sz w:val="22"/>
          <w:szCs w:val="22"/>
          <w:lang w:val="en-GB"/>
        </w:rPr>
        <w:t xml:space="preserve"> (Accessed: 30 June 2026).</w:t>
      </w:r>
    </w:p>
    <w:p w:rsidR="5F4CD417" w:rsidP="5F4CD417" w:rsidRDefault="5F4CD417" w14:paraId="5C703DFE" w14:textId="710248F3">
      <w:pPr>
        <w:pStyle w:val="ListParagraph"/>
        <w:ind w:left="720"/>
        <w:rPr>
          <w:rFonts w:ascii="Arial" w:hAnsi="Arial" w:eastAsia="Arial" w:cs="Arial"/>
          <w:noProof w:val="0"/>
          <w:sz w:val="22"/>
          <w:szCs w:val="22"/>
          <w:lang w:val="en-GB"/>
        </w:rPr>
      </w:pPr>
    </w:p>
    <w:p w:rsidR="5F4CD417" w:rsidP="5F4CD417" w:rsidRDefault="5F4CD417" w14:paraId="448B3CC5" w14:textId="2340E182">
      <w:pPr>
        <w:pStyle w:val="Normal"/>
        <w:ind w:left="0"/>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56969bf28f234a17"/>
      <w:footerReference w:type="default" r:id="Re3fefded4c1340d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4CD417" w:rsidTr="5F4CD417" w14:paraId="6BDB5B56">
      <w:trPr>
        <w:trHeight w:val="300"/>
      </w:trPr>
      <w:tc>
        <w:tcPr>
          <w:tcW w:w="3005" w:type="dxa"/>
          <w:tcMar/>
        </w:tcPr>
        <w:p w:rsidR="5F4CD417" w:rsidP="5F4CD417" w:rsidRDefault="5F4CD417" w14:paraId="69041F90" w14:textId="3F661654">
          <w:pPr>
            <w:pStyle w:val="Header"/>
            <w:bidi w:val="0"/>
            <w:ind w:left="-115"/>
            <w:jc w:val="left"/>
          </w:pPr>
        </w:p>
      </w:tc>
      <w:tc>
        <w:tcPr>
          <w:tcW w:w="3005" w:type="dxa"/>
          <w:tcMar/>
        </w:tcPr>
        <w:p w:rsidR="5F4CD417" w:rsidP="5F4CD417" w:rsidRDefault="5F4CD417" w14:paraId="0595FCC7" w14:textId="1840C615">
          <w:pPr>
            <w:pStyle w:val="Header"/>
            <w:bidi w:val="0"/>
            <w:jc w:val="center"/>
          </w:pPr>
        </w:p>
      </w:tc>
      <w:tc>
        <w:tcPr>
          <w:tcW w:w="3005" w:type="dxa"/>
          <w:tcMar/>
        </w:tcPr>
        <w:p w:rsidR="5F4CD417" w:rsidP="5F4CD417" w:rsidRDefault="5F4CD417" w14:paraId="3522568C" w14:textId="095E28AC">
          <w:pPr>
            <w:pStyle w:val="Header"/>
            <w:bidi w:val="0"/>
            <w:ind w:right="-115"/>
            <w:jc w:val="right"/>
          </w:pPr>
        </w:p>
      </w:tc>
    </w:tr>
  </w:tbl>
  <w:p w:rsidR="5F4CD417" w:rsidP="5F4CD417" w:rsidRDefault="5F4CD417" w14:paraId="0556E783" w14:textId="711BD7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4CD417" w:rsidTr="5F4CD417" w14:paraId="37D38D35">
      <w:trPr>
        <w:trHeight w:val="300"/>
      </w:trPr>
      <w:tc>
        <w:tcPr>
          <w:tcW w:w="3005" w:type="dxa"/>
          <w:tcMar/>
        </w:tcPr>
        <w:p w:rsidR="5F4CD417" w:rsidP="5F4CD417" w:rsidRDefault="5F4CD417" w14:paraId="7F706768" w14:textId="3CBE6418">
          <w:pPr>
            <w:pStyle w:val="Header"/>
            <w:bidi w:val="0"/>
            <w:ind w:left="-115"/>
            <w:jc w:val="left"/>
          </w:pPr>
        </w:p>
      </w:tc>
      <w:tc>
        <w:tcPr>
          <w:tcW w:w="3005" w:type="dxa"/>
          <w:tcMar/>
        </w:tcPr>
        <w:p w:rsidR="5F4CD417" w:rsidP="5F4CD417" w:rsidRDefault="5F4CD417" w14:paraId="068F652D" w14:textId="4319D545">
          <w:pPr>
            <w:pStyle w:val="Header"/>
            <w:bidi w:val="0"/>
            <w:jc w:val="center"/>
          </w:pPr>
        </w:p>
      </w:tc>
      <w:tc>
        <w:tcPr>
          <w:tcW w:w="3005" w:type="dxa"/>
          <w:tcMar/>
        </w:tcPr>
        <w:p w:rsidR="5F4CD417" w:rsidP="5F4CD417" w:rsidRDefault="5F4CD417" w14:paraId="36C008BD" w14:textId="3767DB91">
          <w:pPr>
            <w:pStyle w:val="Header"/>
            <w:bidi w:val="0"/>
            <w:ind w:right="-115"/>
            <w:jc w:val="right"/>
          </w:pPr>
        </w:p>
      </w:tc>
    </w:tr>
  </w:tbl>
  <w:p w:rsidR="5F4CD417" w:rsidP="5F4CD417" w:rsidRDefault="5F4CD417" w14:paraId="5E0458C1" w14:textId="47AC82C0">
    <w:pPr>
      <w:pStyle w:val="Header"/>
      <w:bidi w:val="0"/>
    </w:pPr>
  </w:p>
</w:hdr>
</file>

<file path=word/numbering.xml><?xml version="1.0" encoding="utf-8"?>
<w:numbering xmlns:w="http://schemas.openxmlformats.org/wordprocessingml/2006/main">
  <w:abstractNum xmlns:w="http://schemas.openxmlformats.org/wordprocessingml/2006/main" w:abstractNumId="11">
    <w:nsid w:val="2c7414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b5fa0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4b143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95c8e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70623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5497e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a83a6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b9984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c68a5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0d37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fd05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2826B0"/>
    <w:rsid w:val="00723205"/>
    <w:rsid w:val="00C635D5"/>
    <w:rsid w:val="00D36628"/>
    <w:rsid w:val="016D94A9"/>
    <w:rsid w:val="01810ED9"/>
    <w:rsid w:val="04FAFEE5"/>
    <w:rsid w:val="052CE48D"/>
    <w:rsid w:val="057139EB"/>
    <w:rsid w:val="05FA9FB0"/>
    <w:rsid w:val="06A4C083"/>
    <w:rsid w:val="06CC7553"/>
    <w:rsid w:val="06CC7553"/>
    <w:rsid w:val="08D1A345"/>
    <w:rsid w:val="09E4532D"/>
    <w:rsid w:val="0AA61FA3"/>
    <w:rsid w:val="0AA61FA3"/>
    <w:rsid w:val="0B672352"/>
    <w:rsid w:val="0C42F620"/>
    <w:rsid w:val="10CE6EB7"/>
    <w:rsid w:val="12620862"/>
    <w:rsid w:val="12FCF544"/>
    <w:rsid w:val="152BB575"/>
    <w:rsid w:val="16D44EF5"/>
    <w:rsid w:val="172BE888"/>
    <w:rsid w:val="1748A344"/>
    <w:rsid w:val="17F15FAA"/>
    <w:rsid w:val="1859DF98"/>
    <w:rsid w:val="187A49CB"/>
    <w:rsid w:val="18CCDF00"/>
    <w:rsid w:val="18F30BF0"/>
    <w:rsid w:val="19FBF72A"/>
    <w:rsid w:val="1A6B1294"/>
    <w:rsid w:val="1AF9A456"/>
    <w:rsid w:val="1D217AE2"/>
    <w:rsid w:val="1D92A377"/>
    <w:rsid w:val="1E338900"/>
    <w:rsid w:val="1F0855C9"/>
    <w:rsid w:val="1F30F366"/>
    <w:rsid w:val="22E7247E"/>
    <w:rsid w:val="2399362E"/>
    <w:rsid w:val="25F30BEE"/>
    <w:rsid w:val="25F30BEE"/>
    <w:rsid w:val="276FA317"/>
    <w:rsid w:val="283814A2"/>
    <w:rsid w:val="295EE0B3"/>
    <w:rsid w:val="29AE3FFD"/>
    <w:rsid w:val="2B131E9A"/>
    <w:rsid w:val="2B4BB446"/>
    <w:rsid w:val="2DB1AA0F"/>
    <w:rsid w:val="2E42A7FD"/>
    <w:rsid w:val="3097A92C"/>
    <w:rsid w:val="323FC181"/>
    <w:rsid w:val="338C8EDE"/>
    <w:rsid w:val="33C5668F"/>
    <w:rsid w:val="35061FAA"/>
    <w:rsid w:val="352D7AA8"/>
    <w:rsid w:val="3565B119"/>
    <w:rsid w:val="360E540F"/>
    <w:rsid w:val="3852B974"/>
    <w:rsid w:val="391192C2"/>
    <w:rsid w:val="3A46AA6C"/>
    <w:rsid w:val="3AB71D97"/>
    <w:rsid w:val="3BEE277A"/>
    <w:rsid w:val="3BFA740D"/>
    <w:rsid w:val="3CEFA6FB"/>
    <w:rsid w:val="3DEFF6CF"/>
    <w:rsid w:val="402E3FDD"/>
    <w:rsid w:val="41426987"/>
    <w:rsid w:val="41BDD956"/>
    <w:rsid w:val="424257C9"/>
    <w:rsid w:val="426CFF13"/>
    <w:rsid w:val="42BEE05F"/>
    <w:rsid w:val="445A178F"/>
    <w:rsid w:val="44E41143"/>
    <w:rsid w:val="45E4A28B"/>
    <w:rsid w:val="46B0E1E1"/>
    <w:rsid w:val="47D1F454"/>
    <w:rsid w:val="48147C66"/>
    <w:rsid w:val="483C88C1"/>
    <w:rsid w:val="488BAC40"/>
    <w:rsid w:val="493A3657"/>
    <w:rsid w:val="4B6BBC52"/>
    <w:rsid w:val="4BE201B6"/>
    <w:rsid w:val="4CC25B1D"/>
    <w:rsid w:val="4E7EB90B"/>
    <w:rsid w:val="4F8B31AE"/>
    <w:rsid w:val="4F93FFE1"/>
    <w:rsid w:val="4F96099F"/>
    <w:rsid w:val="4FF7C38D"/>
    <w:rsid w:val="511A1D00"/>
    <w:rsid w:val="51C4B47E"/>
    <w:rsid w:val="53AE0784"/>
    <w:rsid w:val="547CDB0E"/>
    <w:rsid w:val="549E63E1"/>
    <w:rsid w:val="549E63E1"/>
    <w:rsid w:val="553DA1C5"/>
    <w:rsid w:val="55B5FD11"/>
    <w:rsid w:val="5948E389"/>
    <w:rsid w:val="5BD3C132"/>
    <w:rsid w:val="5C321A5A"/>
    <w:rsid w:val="5CF90BF0"/>
    <w:rsid w:val="5D900912"/>
    <w:rsid w:val="5E073347"/>
    <w:rsid w:val="5EAA6185"/>
    <w:rsid w:val="5F4CD417"/>
    <w:rsid w:val="5F9FCBCA"/>
    <w:rsid w:val="5FF6FB55"/>
    <w:rsid w:val="616391C5"/>
    <w:rsid w:val="616D9A5A"/>
    <w:rsid w:val="619BD0C7"/>
    <w:rsid w:val="642A74EE"/>
    <w:rsid w:val="65B46B9B"/>
    <w:rsid w:val="675D355B"/>
    <w:rsid w:val="680C3C77"/>
    <w:rsid w:val="68C80D8E"/>
    <w:rsid w:val="68FB947D"/>
    <w:rsid w:val="692826B0"/>
    <w:rsid w:val="698765B4"/>
    <w:rsid w:val="698A9B63"/>
    <w:rsid w:val="69C5E5D0"/>
    <w:rsid w:val="6A9AD651"/>
    <w:rsid w:val="6AE9F4C3"/>
    <w:rsid w:val="6C0FC0DC"/>
    <w:rsid w:val="6DE4AA10"/>
    <w:rsid w:val="6F1DEAC6"/>
    <w:rsid w:val="6FA14D8D"/>
    <w:rsid w:val="6FAC034A"/>
    <w:rsid w:val="6FC94614"/>
    <w:rsid w:val="6FD0D845"/>
    <w:rsid w:val="705D2FED"/>
    <w:rsid w:val="709EE5F3"/>
    <w:rsid w:val="7116B419"/>
    <w:rsid w:val="7120D7A7"/>
    <w:rsid w:val="714B9F5B"/>
    <w:rsid w:val="714B9F5B"/>
    <w:rsid w:val="73529BD6"/>
    <w:rsid w:val="74351038"/>
    <w:rsid w:val="75D45B2A"/>
    <w:rsid w:val="76A435D2"/>
    <w:rsid w:val="7775D622"/>
    <w:rsid w:val="777BDF05"/>
    <w:rsid w:val="785759BE"/>
    <w:rsid w:val="785759BE"/>
    <w:rsid w:val="79E9F067"/>
    <w:rsid w:val="7A61B525"/>
    <w:rsid w:val="7B31F845"/>
    <w:rsid w:val="7C08E676"/>
    <w:rsid w:val="7C60B2F7"/>
    <w:rsid w:val="7D4EAFF0"/>
    <w:rsid w:val="7DEE430E"/>
    <w:rsid w:val="7ECEC1C4"/>
    <w:rsid w:val="7F3DCF67"/>
    <w:rsid w:val="7F4B5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4BA51"/>
  <w15:chartTrackingRefBased/>
  <w15:docId w15:val="{69831536-CA4A-4B79-B094-1D13601EB6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0723205"/>
    <w:pPr>
      <w:spacing/>
      <w:ind w:left="720"/>
      <w:contextualSpacing/>
    </w:pPr>
  </w:style>
  <w:style w:type="paragraph" w:styleId="Header">
    <w:uiPriority w:val="99"/>
    <w:name w:val="header"/>
    <w:basedOn w:val="Normal"/>
    <w:unhideWhenUsed/>
    <w:rsid w:val="5F4CD417"/>
    <w:pPr>
      <w:tabs>
        <w:tab w:val="center" w:leader="none" w:pos="4680"/>
        <w:tab w:val="right" w:leader="none" w:pos="9360"/>
      </w:tabs>
      <w:spacing w:after="0" w:line="240" w:lineRule="auto"/>
    </w:pPr>
  </w:style>
  <w:style w:type="paragraph" w:styleId="Footer">
    <w:uiPriority w:val="99"/>
    <w:name w:val="footer"/>
    <w:basedOn w:val="Normal"/>
    <w:unhideWhenUsed/>
    <w:rsid w:val="5F4CD41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F4CD41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511A1D0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0c983acf9e54e1e" /><Relationship Type="http://schemas.openxmlformats.org/officeDocument/2006/relationships/image" Target="/media/image.png" Id="rId1589660188" /><Relationship Type="http://schemas.openxmlformats.org/officeDocument/2006/relationships/image" Target="/media/image2.png" Id="rId1816231294" /><Relationship Type="http://schemas.openxmlformats.org/officeDocument/2006/relationships/header" Target="/word/header.xml" Id="R56969bf28f234a17" /><Relationship Type="http://schemas.openxmlformats.org/officeDocument/2006/relationships/footer" Target="/word/footer.xml" Id="Re3fefded4c1340d6" /><Relationship Type="http://schemas.openxmlformats.org/officeDocument/2006/relationships/hyperlink" Target="https://trainingexpress.org.uk/what-is-health-and-social-care/" TargetMode="External" Id="R80e89f6afdc44a2c" /><Relationship Type="http://schemas.openxmlformats.org/officeDocument/2006/relationships/hyperlink" Target="https://www.legislation.gov.uk/ukpga/2014/23/contents" TargetMode="External" Id="Ra2c9cb5a3f604769" /><Relationship Type="http://schemas.openxmlformats.org/officeDocument/2006/relationships/hyperlink" Target="https://www.cqc.org.uk/about-us/how-we-do-our-job/single-assessment-framework" TargetMode="External" Id="R31b544874f6c468e" /><Relationship Type="http://schemas.openxmlformats.org/officeDocument/2006/relationships/hyperlink" Target="https://www.legislation.gov.uk/ukpga/2022/31/contents" TargetMode="External" Id="R6527691b5f554a5f" /><Relationship Type="http://schemas.openxmlformats.org/officeDocument/2006/relationships/hyperlink" Target="https://www.legislation.gov.uk/ukpga/2005/9/contents" TargetMode="External" Id="R95f9d446a2ba48d6" /><Relationship Type="http://schemas.openxmlformats.org/officeDocument/2006/relationships/hyperlink" Target="https://www.nice.org.uk/guidance/ng115" TargetMode="External" Id="R857066d765694820" /><Relationship Type="http://schemas.openxmlformats.org/officeDocument/2006/relationships/hyperlink" Target="https://www.england.nhs.uk/personalisedcare/" TargetMode="External" Id="Ra68e6c90bb76494e" /><Relationship Type="http://schemas.openxmlformats.org/officeDocument/2006/relationships/hyperlink" Target="https://www.nmc.org.uk/standards/code/" TargetMode="External" Id="Rad6b92a573154a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Kieley Ann Kali (2008020)</dc:creator>
  <keywords/>
  <dc:description/>
  <lastModifiedBy>Kieley Ann Kali (2008020)</lastModifiedBy>
  <revision>5</revision>
  <dcterms:created xsi:type="dcterms:W3CDTF">2026-06-11T16:01:19.4582365Z</dcterms:created>
  <dcterms:modified xsi:type="dcterms:W3CDTF">2026-06-30T14:46:12.1975803Z</dcterms:modified>
</coreProperties>
</file>