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8233D" w14:textId="77777777" w:rsidR="006E0332" w:rsidRPr="00CA6257" w:rsidRDefault="006E0332" w:rsidP="006E0332">
      <w:pPr>
        <w:spacing w:line="360" w:lineRule="auto"/>
        <w:jc w:val="center"/>
        <w:rPr>
          <w:rFonts w:asciiTheme="majorBidi" w:hAnsiTheme="majorBidi" w:cstheme="majorBidi"/>
          <w:b/>
          <w:bCs/>
          <w:color w:val="000000" w:themeColor="text1"/>
          <w:sz w:val="28"/>
          <w:szCs w:val="28"/>
          <w:lang w:val="en-GB"/>
        </w:rPr>
      </w:pPr>
      <w:r w:rsidRPr="00CA6257">
        <w:rPr>
          <w:rFonts w:asciiTheme="majorBidi" w:hAnsiTheme="majorBidi" w:cstheme="majorBidi"/>
          <w:b/>
          <w:bCs/>
          <w:color w:val="000000" w:themeColor="text1"/>
          <w:sz w:val="28"/>
          <w:szCs w:val="28"/>
        </w:rPr>
        <w:t>Cybersecurity and Data Governance Policy for SteelForm Manufacturing Ltd (SFM)</w:t>
      </w:r>
    </w:p>
    <w:p w14:paraId="44A96A7D" w14:textId="77777777" w:rsidR="00CA6257" w:rsidRDefault="00CA6257" w:rsidP="006E0332">
      <w:pPr>
        <w:spacing w:line="360" w:lineRule="auto"/>
        <w:jc w:val="center"/>
        <w:rPr>
          <w:rFonts w:asciiTheme="majorBidi" w:hAnsiTheme="majorBidi" w:cstheme="majorBidi"/>
          <w:b/>
          <w:bCs/>
          <w:color w:val="000000" w:themeColor="text1"/>
          <w:sz w:val="20"/>
          <w:szCs w:val="20"/>
          <w:lang w:val="en-GB"/>
        </w:rPr>
      </w:pPr>
    </w:p>
    <w:p w14:paraId="3901F7C4" w14:textId="2E76BB43" w:rsidR="00CA6257" w:rsidRDefault="00CA6257" w:rsidP="006E0332">
      <w:pPr>
        <w:spacing w:line="360" w:lineRule="auto"/>
        <w:jc w:val="center"/>
        <w:rPr>
          <w:rFonts w:asciiTheme="majorBidi" w:hAnsiTheme="majorBidi" w:cstheme="majorBidi"/>
          <w:b/>
          <w:bCs/>
          <w:color w:val="000000" w:themeColor="text1"/>
          <w:sz w:val="20"/>
          <w:szCs w:val="20"/>
          <w:lang w:val="en-GB"/>
        </w:rPr>
      </w:pPr>
      <w:r>
        <w:rPr>
          <w:noProof/>
        </w:rPr>
        <w:drawing>
          <wp:inline distT="0" distB="0" distL="0" distR="0" wp14:anchorId="1BFAD37B" wp14:editId="008FDCDF">
            <wp:extent cx="1630934" cy="1680845"/>
            <wp:effectExtent l="0" t="0" r="0" b="0"/>
            <wp:docPr id="130" name="Picture 130" descr="A black and yellow shield with blue flowers and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130" name="Picture 130" descr="A black and yellow shield with blue flowers and leaves&#10;&#10;AI-generated content may be incorrect."/>
                    <pic:cNvPicPr/>
                  </pic:nvPicPr>
                  <pic:blipFill>
                    <a:blip r:embed="rId5"/>
                    <a:stretch>
                      <a:fillRect/>
                    </a:stretch>
                  </pic:blipFill>
                  <pic:spPr>
                    <a:xfrm>
                      <a:off x="0" y="0"/>
                      <a:ext cx="1630934" cy="1680845"/>
                    </a:xfrm>
                    <a:prstGeom prst="rect">
                      <a:avLst/>
                    </a:prstGeom>
                  </pic:spPr>
                </pic:pic>
              </a:graphicData>
            </a:graphic>
          </wp:inline>
        </w:drawing>
      </w:r>
    </w:p>
    <w:p w14:paraId="49AE7CA0" w14:textId="77777777" w:rsidR="00CA6257" w:rsidRDefault="00CA6257" w:rsidP="00CA6257">
      <w:pPr>
        <w:spacing w:after="173" w:line="269" w:lineRule="auto"/>
        <w:rPr>
          <w:rFonts w:ascii="Calibri" w:eastAsia="Calibri" w:hAnsi="Calibri" w:cs="Calibri"/>
          <w:b/>
          <w:bCs/>
          <w:i/>
          <w:iCs/>
          <w:color w:val="000000"/>
          <w:lang w:val="en-GB" w:eastAsia="en-GB"/>
        </w:rPr>
      </w:pPr>
    </w:p>
    <w:p w14:paraId="1CB24C73" w14:textId="77777777" w:rsidR="00CA6257" w:rsidRDefault="00CA6257" w:rsidP="00CA6257">
      <w:pPr>
        <w:spacing w:after="173" w:line="269" w:lineRule="auto"/>
        <w:rPr>
          <w:rFonts w:ascii="Calibri" w:eastAsia="Calibri" w:hAnsi="Calibri" w:cs="Calibri"/>
          <w:b/>
          <w:bCs/>
          <w:i/>
          <w:iCs/>
          <w:color w:val="000000"/>
          <w:lang w:val="en-GB" w:eastAsia="en-GB"/>
        </w:rPr>
      </w:pPr>
    </w:p>
    <w:p w14:paraId="37E81EA2" w14:textId="45EFD45A" w:rsidR="00CA6257" w:rsidRPr="00CA6257" w:rsidRDefault="00CA6257" w:rsidP="00CA6257">
      <w:pPr>
        <w:spacing w:after="173" w:line="269" w:lineRule="auto"/>
        <w:rPr>
          <w:rFonts w:ascii="Calibri" w:eastAsia="Calibri" w:hAnsi="Calibri" w:cs="Calibri"/>
          <w:color w:val="000000"/>
          <w:sz w:val="22"/>
          <w:szCs w:val="22"/>
          <w:lang w:eastAsia="en-GB"/>
        </w:rPr>
      </w:pPr>
      <w:r w:rsidRPr="00CA6257">
        <w:rPr>
          <w:rFonts w:ascii="Calibri" w:eastAsia="Calibri" w:hAnsi="Calibri" w:cs="Calibri"/>
          <w:b/>
          <w:bCs/>
          <w:color w:val="000000"/>
          <w:sz w:val="22"/>
          <w:szCs w:val="22"/>
          <w:lang w:eastAsia="en-GB"/>
        </w:rPr>
        <w:t xml:space="preserve">Student Name </w:t>
      </w:r>
      <w:r w:rsidRPr="00CA6257">
        <w:rPr>
          <w:rFonts w:ascii="Calibri" w:eastAsia="Calibri" w:hAnsi="Calibri" w:cs="Calibri"/>
          <w:color w:val="000000"/>
          <w:sz w:val="22"/>
          <w:szCs w:val="22"/>
          <w:lang w:eastAsia="en-GB"/>
        </w:rPr>
        <w:t xml:space="preserve">:Lucia Nieto Gisbert </w:t>
      </w:r>
    </w:p>
    <w:p w14:paraId="5EEC0C75" w14:textId="77777777" w:rsidR="00CA6257" w:rsidRPr="00CA6257" w:rsidRDefault="00CA6257" w:rsidP="00CA6257">
      <w:pPr>
        <w:spacing w:after="173" w:line="269" w:lineRule="auto"/>
        <w:ind w:left="-5" w:hanging="10"/>
        <w:rPr>
          <w:rFonts w:ascii="Calibri" w:eastAsia="Calibri" w:hAnsi="Calibri" w:cs="Calibri"/>
          <w:color w:val="000000"/>
          <w:sz w:val="22"/>
          <w:szCs w:val="22"/>
          <w:lang w:eastAsia="en-GB"/>
        </w:rPr>
      </w:pPr>
      <w:r w:rsidRPr="00CA6257">
        <w:rPr>
          <w:rFonts w:ascii="Calibri" w:eastAsia="Calibri" w:hAnsi="Calibri" w:cs="Calibri"/>
          <w:b/>
          <w:bCs/>
          <w:color w:val="000000"/>
          <w:sz w:val="22"/>
          <w:szCs w:val="22"/>
          <w:lang w:eastAsia="en-GB"/>
        </w:rPr>
        <w:t>Student ID</w:t>
      </w:r>
      <w:r w:rsidRPr="00CA6257">
        <w:rPr>
          <w:rFonts w:ascii="Calibri" w:eastAsia="Calibri" w:hAnsi="Calibri" w:cs="Calibri"/>
          <w:color w:val="000000"/>
          <w:sz w:val="22"/>
          <w:szCs w:val="22"/>
          <w:lang w:eastAsia="en-GB"/>
        </w:rPr>
        <w:t xml:space="preserve"> :2440002 </w:t>
      </w:r>
    </w:p>
    <w:p w14:paraId="20A6DC04" w14:textId="77777777" w:rsidR="00CA6257" w:rsidRPr="00CA6257" w:rsidRDefault="00CA6257" w:rsidP="00CA6257">
      <w:pPr>
        <w:spacing w:after="173" w:line="269" w:lineRule="auto"/>
        <w:ind w:left="-5" w:hanging="10"/>
        <w:rPr>
          <w:rFonts w:ascii="Calibri" w:eastAsia="Calibri" w:hAnsi="Calibri" w:cs="Calibri"/>
          <w:color w:val="000000"/>
          <w:sz w:val="22"/>
          <w:szCs w:val="22"/>
          <w:lang w:eastAsia="en-GB"/>
        </w:rPr>
      </w:pPr>
      <w:r w:rsidRPr="00CA6257">
        <w:rPr>
          <w:rFonts w:ascii="Calibri" w:eastAsia="Calibri" w:hAnsi="Calibri" w:cs="Calibri"/>
          <w:b/>
          <w:bCs/>
          <w:color w:val="000000"/>
          <w:sz w:val="22"/>
          <w:szCs w:val="22"/>
          <w:lang w:eastAsia="en-GB"/>
        </w:rPr>
        <w:t>Course Name</w:t>
      </w:r>
      <w:r w:rsidRPr="00CA6257">
        <w:rPr>
          <w:rFonts w:ascii="Calibri" w:eastAsia="Calibri" w:hAnsi="Calibri" w:cs="Calibri"/>
          <w:color w:val="000000"/>
          <w:sz w:val="22"/>
          <w:szCs w:val="22"/>
          <w:lang w:eastAsia="en-GB"/>
        </w:rPr>
        <w:t xml:space="preserve"> :Computer Skills for Workplace Level 4</w:t>
      </w:r>
    </w:p>
    <w:p w14:paraId="3C53546E" w14:textId="303A68B2" w:rsidR="00CA6257" w:rsidRPr="00CA6257" w:rsidRDefault="00CA6257" w:rsidP="00CA6257">
      <w:pPr>
        <w:spacing w:after="173" w:line="269" w:lineRule="auto"/>
        <w:ind w:left="-5" w:hanging="10"/>
        <w:rPr>
          <w:rFonts w:ascii="Calibri" w:eastAsia="Calibri" w:hAnsi="Calibri" w:cs="Calibri"/>
          <w:color w:val="000000"/>
          <w:sz w:val="22"/>
          <w:szCs w:val="22"/>
          <w:lang w:val="en-GB" w:eastAsia="en-GB"/>
        </w:rPr>
      </w:pPr>
      <w:r w:rsidRPr="00CA6257">
        <w:rPr>
          <w:rFonts w:ascii="Calibri" w:eastAsia="Calibri" w:hAnsi="Calibri" w:cs="Calibri"/>
          <w:b/>
          <w:bCs/>
          <w:color w:val="000000"/>
          <w:sz w:val="22"/>
          <w:szCs w:val="22"/>
          <w:lang w:eastAsia="en-GB"/>
        </w:rPr>
        <w:t>Module Name</w:t>
      </w:r>
      <w:r w:rsidRPr="00CA6257">
        <w:rPr>
          <w:rFonts w:ascii="Calibri" w:eastAsia="Calibri" w:hAnsi="Calibri" w:cs="Calibri"/>
          <w:color w:val="000000"/>
          <w:sz w:val="22"/>
          <w:szCs w:val="22"/>
          <w:lang w:eastAsia="en-GB"/>
        </w:rPr>
        <w:t xml:space="preserve">: </w:t>
      </w:r>
      <w:r>
        <w:rPr>
          <w:rFonts w:ascii="Calibri" w:eastAsia="Calibri" w:hAnsi="Calibri" w:cs="Calibri"/>
          <w:color w:val="000000"/>
          <w:sz w:val="22"/>
          <w:szCs w:val="22"/>
          <w:lang w:val="en-GB" w:eastAsia="en-GB"/>
        </w:rPr>
        <w:t xml:space="preserve">Networking and Ciber Security Essentials </w:t>
      </w:r>
    </w:p>
    <w:p w14:paraId="63DAC4AB" w14:textId="590CB4DA" w:rsidR="00CA6257" w:rsidRPr="00CA6257" w:rsidRDefault="00CA6257" w:rsidP="00CA6257">
      <w:pPr>
        <w:spacing w:after="114" w:line="269" w:lineRule="auto"/>
        <w:rPr>
          <w:rFonts w:ascii="Calibri" w:eastAsia="Calibri" w:hAnsi="Calibri" w:cs="Calibri"/>
          <w:color w:val="000000"/>
          <w:sz w:val="22"/>
          <w:szCs w:val="22"/>
          <w:lang w:eastAsia="en-GB"/>
        </w:rPr>
      </w:pPr>
      <w:r w:rsidRPr="00CA6257">
        <w:rPr>
          <w:rFonts w:ascii="Calibri" w:eastAsia="Calibri" w:hAnsi="Calibri" w:cs="Calibri"/>
          <w:b/>
          <w:bCs/>
          <w:color w:val="000000"/>
          <w:sz w:val="22"/>
          <w:szCs w:val="22"/>
          <w:lang w:eastAsia="en-GB"/>
        </w:rPr>
        <w:t>Modulo Code</w:t>
      </w:r>
      <w:r w:rsidRPr="00CA6257">
        <w:rPr>
          <w:rFonts w:ascii="Calibri" w:eastAsia="Calibri" w:hAnsi="Calibri" w:cs="Calibri"/>
          <w:color w:val="000000"/>
          <w:sz w:val="22"/>
          <w:szCs w:val="22"/>
          <w:lang w:eastAsia="en-GB"/>
        </w:rPr>
        <w:t xml:space="preserve"> :ACCA</w:t>
      </w:r>
      <w:r>
        <w:rPr>
          <w:rFonts w:ascii="Calibri" w:eastAsia="Calibri" w:hAnsi="Calibri" w:cs="Calibri"/>
          <w:color w:val="000000"/>
          <w:sz w:val="22"/>
          <w:szCs w:val="22"/>
          <w:lang w:val="en-GB" w:eastAsia="en-GB"/>
        </w:rPr>
        <w:t>4024</w:t>
      </w:r>
      <w:r w:rsidRPr="00CA6257">
        <w:rPr>
          <w:rFonts w:ascii="Courier New" w:eastAsia="Courier New" w:hAnsi="Courier New" w:cs="Courier New"/>
          <w:color w:val="000000"/>
          <w:sz w:val="22"/>
          <w:szCs w:val="22"/>
          <w:vertAlign w:val="subscript"/>
          <w:lang w:eastAsia="en-GB"/>
        </w:rPr>
        <w:t xml:space="preserve">  </w:t>
      </w:r>
    </w:p>
    <w:p w14:paraId="5AB7C39D" w14:textId="77777777" w:rsidR="00CA6257" w:rsidRPr="00CA6257" w:rsidRDefault="00CA6257" w:rsidP="00CA6257">
      <w:pPr>
        <w:spacing w:after="173" w:line="269" w:lineRule="auto"/>
        <w:ind w:left="-5" w:hanging="10"/>
        <w:rPr>
          <w:rFonts w:ascii="Calibri" w:eastAsia="Calibri" w:hAnsi="Calibri" w:cs="Calibri"/>
          <w:color w:val="000000"/>
          <w:sz w:val="22"/>
          <w:szCs w:val="22"/>
          <w:lang w:eastAsia="en-GB"/>
        </w:rPr>
      </w:pPr>
      <w:r w:rsidRPr="00CA6257">
        <w:rPr>
          <w:rFonts w:ascii="Calibri" w:eastAsia="Calibri" w:hAnsi="Calibri" w:cs="Calibri"/>
          <w:b/>
          <w:bCs/>
          <w:color w:val="000000"/>
          <w:sz w:val="22"/>
          <w:szCs w:val="22"/>
          <w:lang w:eastAsia="en-GB"/>
        </w:rPr>
        <w:t>Date</w:t>
      </w:r>
      <w:r w:rsidRPr="00CA6257">
        <w:rPr>
          <w:rFonts w:ascii="Calibri" w:eastAsia="Calibri" w:hAnsi="Calibri" w:cs="Calibri"/>
          <w:color w:val="000000"/>
          <w:sz w:val="22"/>
          <w:szCs w:val="22"/>
          <w:lang w:eastAsia="en-GB"/>
        </w:rPr>
        <w:t xml:space="preserve">:06/08/2026 </w:t>
      </w:r>
    </w:p>
    <w:p w14:paraId="679D1BFB" w14:textId="125A7497" w:rsidR="006154C9" w:rsidRDefault="00CA6257" w:rsidP="006154C9">
      <w:pPr>
        <w:spacing w:after="173" w:line="269" w:lineRule="auto"/>
        <w:ind w:left="-5" w:hanging="10"/>
        <w:rPr>
          <w:rFonts w:ascii="Calibri" w:eastAsia="Calibri" w:hAnsi="Calibri" w:cs="Calibri"/>
          <w:color w:val="000000"/>
          <w:sz w:val="22"/>
          <w:szCs w:val="22"/>
          <w:lang w:val="en-GB" w:eastAsia="en-GB"/>
        </w:rPr>
      </w:pPr>
      <w:r w:rsidRPr="00CA6257">
        <w:rPr>
          <w:rFonts w:ascii="Calibri" w:eastAsia="Calibri" w:hAnsi="Calibri" w:cs="Calibri"/>
          <w:b/>
          <w:bCs/>
          <w:color w:val="000000"/>
          <w:sz w:val="22"/>
          <w:szCs w:val="22"/>
          <w:lang w:eastAsia="en-GB"/>
        </w:rPr>
        <w:t>Teaching</w:t>
      </w:r>
      <w:r w:rsidRPr="00CA6257">
        <w:rPr>
          <w:rFonts w:ascii="Calibri" w:eastAsia="Calibri" w:hAnsi="Calibri" w:cs="Calibri"/>
          <w:color w:val="000000"/>
          <w:sz w:val="22"/>
          <w:szCs w:val="22"/>
          <w:lang w:eastAsia="en-GB"/>
        </w:rPr>
        <w:t xml:space="preserve">: </w:t>
      </w:r>
      <w:r>
        <w:rPr>
          <w:rFonts w:ascii="Calibri" w:eastAsia="Calibri" w:hAnsi="Calibri" w:cs="Calibri"/>
          <w:color w:val="000000"/>
          <w:sz w:val="22"/>
          <w:szCs w:val="22"/>
          <w:lang w:val="en-GB" w:eastAsia="en-GB"/>
        </w:rPr>
        <w:t xml:space="preserve">Amit Naik </w:t>
      </w:r>
    </w:p>
    <w:p w14:paraId="722A0562" w14:textId="691F3EEA" w:rsidR="006154C9" w:rsidRPr="006154C9" w:rsidRDefault="006154C9" w:rsidP="006154C9">
      <w:pPr>
        <w:spacing w:after="173" w:line="269" w:lineRule="auto"/>
        <w:ind w:left="-5" w:hanging="10"/>
        <w:rPr>
          <w:rFonts w:ascii="Calibri" w:eastAsia="Calibri" w:hAnsi="Calibri" w:cs="Calibri"/>
          <w:color w:val="000000"/>
          <w:sz w:val="22"/>
          <w:szCs w:val="22"/>
          <w:lang w:val="en-GB" w:eastAsia="en-GB"/>
        </w:rPr>
      </w:pPr>
      <w:r>
        <w:rPr>
          <w:rFonts w:ascii="Calibri" w:eastAsia="Calibri" w:hAnsi="Calibri" w:cs="Calibri"/>
          <w:b/>
          <w:bCs/>
          <w:color w:val="000000"/>
          <w:sz w:val="22"/>
          <w:szCs w:val="22"/>
          <w:lang w:val="en-GB" w:eastAsia="en-GB"/>
        </w:rPr>
        <w:t>Group</w:t>
      </w:r>
      <w:r w:rsidRPr="006154C9">
        <w:rPr>
          <w:rFonts w:ascii="Calibri" w:eastAsia="Calibri" w:hAnsi="Calibri" w:cs="Calibri"/>
          <w:color w:val="000000"/>
          <w:sz w:val="22"/>
          <w:szCs w:val="22"/>
          <w:lang w:val="en-GB" w:eastAsia="en-GB"/>
        </w:rPr>
        <w:t>:</w:t>
      </w:r>
      <w:r>
        <w:rPr>
          <w:rFonts w:ascii="Calibri" w:eastAsia="Calibri" w:hAnsi="Calibri" w:cs="Calibri"/>
          <w:color w:val="000000"/>
          <w:sz w:val="22"/>
          <w:szCs w:val="22"/>
          <w:lang w:val="en-GB" w:eastAsia="en-GB"/>
        </w:rPr>
        <w:t>4</w:t>
      </w:r>
    </w:p>
    <w:p w14:paraId="483603FF" w14:textId="77777777" w:rsidR="00CA6257" w:rsidRPr="00CA6257" w:rsidRDefault="00CA6257" w:rsidP="006E0332">
      <w:pPr>
        <w:rPr>
          <w:rFonts w:asciiTheme="majorBidi" w:hAnsiTheme="majorBidi" w:cstheme="majorBidi"/>
          <w:b/>
          <w:bCs/>
          <w:color w:val="000000" w:themeColor="text1"/>
          <w:lang w:val="en-GB"/>
        </w:rPr>
      </w:pPr>
      <w:bookmarkStart w:id="0" w:name="_Toc235580860"/>
    </w:p>
    <w:p w14:paraId="7DDA74D3" w14:textId="77777777" w:rsidR="00CA6257" w:rsidRPr="00CA6257" w:rsidRDefault="00CA6257" w:rsidP="006E0332">
      <w:pPr>
        <w:rPr>
          <w:lang w:val="en-GB"/>
        </w:rPr>
        <w:sectPr w:rsidR="00CA6257" w:rsidRPr="00CA6257" w:rsidSect="006E0332">
          <w:pgSz w:w="11906" w:h="16838"/>
          <w:pgMar w:top="1440" w:right="1440" w:bottom="1440" w:left="1440" w:header="708" w:footer="708" w:gutter="0"/>
          <w:cols w:space="708"/>
          <w:docGrid w:linePitch="360"/>
        </w:sectPr>
      </w:pPr>
    </w:p>
    <w:p w14:paraId="40C0B1C5" w14:textId="77777777" w:rsidR="006E0332" w:rsidRPr="006E0332" w:rsidRDefault="006E0332" w:rsidP="006E0332">
      <w:pPr>
        <w:pStyle w:val="Heading1"/>
        <w:spacing w:line="360" w:lineRule="auto"/>
        <w:rPr>
          <w:rFonts w:asciiTheme="majorBidi" w:hAnsiTheme="majorBidi"/>
          <w:b/>
          <w:bCs/>
          <w:color w:val="000000" w:themeColor="text1"/>
          <w:sz w:val="20"/>
          <w:szCs w:val="20"/>
        </w:rPr>
      </w:pPr>
      <w:r w:rsidRPr="006E0332">
        <w:rPr>
          <w:rFonts w:asciiTheme="majorBidi" w:hAnsiTheme="majorBidi"/>
          <w:b/>
          <w:bCs/>
          <w:color w:val="000000" w:themeColor="text1"/>
          <w:sz w:val="20"/>
          <w:szCs w:val="20"/>
        </w:rPr>
        <w:t>Abstract</w:t>
      </w:r>
      <w:bookmarkEnd w:id="0"/>
    </w:p>
    <w:p w14:paraId="790600A2" w14:textId="74941C6C"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 xml:space="preserve">Escalating cybersecurity threats is a risk that SteelForm Manufacturing Ltd (SFM) has to face as it makes an embrace of Industry 4.0 technologies such as the IoT-enabled sensors, automated machines, and cloud-based production management systems. Cyberattacks are the greatest threat against the manufacturing industry with ransomware attacks up 37% over the last year in the sector. This report is a synthesis of the industry standards presented in ISO 27001, Principles for GDPR, and the NIST </w:t>
      </w:r>
      <w:r w:rsidRPr="006E0332">
        <w:rPr>
          <w:rFonts w:asciiTheme="majorBidi" w:hAnsiTheme="majorBidi" w:cstheme="majorBidi"/>
          <w:color w:val="000000" w:themeColor="text1"/>
          <w:sz w:val="20"/>
          <w:szCs w:val="20"/>
        </w:rPr>
        <w:t>Cybersecurity Framework 2.0</w:t>
      </w:r>
      <w:r w:rsidRPr="006E0332">
        <w:rPr>
          <w:rFonts w:asciiTheme="majorBidi" w:hAnsiTheme="majorBidi" w:cstheme="majorBidi"/>
          <w:color w:val="000000" w:themeColor="text1"/>
          <w:sz w:val="20"/>
          <w:szCs w:val="20"/>
          <w:lang w:val="en-US"/>
        </w:rPr>
        <w:t xml:space="preserve"> </w:t>
      </w:r>
      <w:r w:rsidRPr="006E0332">
        <w:rPr>
          <w:rFonts w:asciiTheme="majorBidi" w:hAnsiTheme="majorBidi" w:cstheme="majorBidi"/>
          <w:noProof/>
          <w:color w:val="000000" w:themeColor="text1"/>
          <w:sz w:val="20"/>
          <w:szCs w:val="20"/>
          <w:lang w:val="en-US"/>
        </w:rPr>
        <w:t>(ISO, 2022)</w:t>
      </w:r>
      <w:r w:rsidRPr="006E0332">
        <w:rPr>
          <w:rFonts w:asciiTheme="majorBidi" w:hAnsiTheme="majorBidi" w:cstheme="majorBidi"/>
          <w:color w:val="000000" w:themeColor="text1"/>
          <w:sz w:val="20"/>
          <w:szCs w:val="20"/>
        </w:rPr>
        <w:t>. The framework proposed will include key internal/external threats, suggestions of practical and enforceable security policies and procedures, the logistics or technical feasibility on how to mitigate those threats and finally an extensive staff training program designed to assist with monitoring and incident response. The recommendations are designed to help protect the operational and information technology systems at SFM, secure proprietary intellectual property and ensure continuity of production systems.</w:t>
      </w:r>
    </w:p>
    <w:p w14:paraId="76534E52" w14:textId="77777777" w:rsidR="006E0332" w:rsidRPr="006E0332" w:rsidRDefault="006E0332" w:rsidP="006E0332">
      <w:pPr>
        <w:pStyle w:val="Heading1"/>
        <w:spacing w:line="360" w:lineRule="auto"/>
        <w:rPr>
          <w:rFonts w:asciiTheme="majorBidi" w:hAnsiTheme="majorBidi"/>
          <w:b/>
          <w:bCs/>
          <w:color w:val="000000" w:themeColor="text1"/>
          <w:sz w:val="20"/>
          <w:szCs w:val="20"/>
        </w:rPr>
      </w:pPr>
      <w:bookmarkStart w:id="1" w:name="_Toc235580861"/>
      <w:r w:rsidRPr="006E0332">
        <w:rPr>
          <w:rFonts w:asciiTheme="majorBidi" w:hAnsiTheme="majorBidi"/>
          <w:b/>
          <w:bCs/>
          <w:color w:val="000000" w:themeColor="text1"/>
          <w:sz w:val="20"/>
          <w:szCs w:val="20"/>
        </w:rPr>
        <w:lastRenderedPageBreak/>
        <w:t>1. Introduction</w:t>
      </w:r>
      <w:bookmarkEnd w:id="1"/>
    </w:p>
    <w:p w14:paraId="74F08936"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The intersection of information technology and operational technology in today's manufacturing world has revolutionized cyber security. This is digital transformation that has heralded an era of unprecedented efficiency gains for SteelForm Manufacturing Ltd, a medium-sized custom-engineered component maker for automotive, aerospace, and other customers. Smart manufacturing technologies such as integrated sensors, automated machines, and cloud-based production management systems have added up to a massive attack surface, giving rise to new avenues for cyber attacks. This report is a multi-layered security solution that adheres to the NIST Cybersecurity Framework 2.0 (CSF 2.0), which outlines the five core functions of Govern, Identify, Protect, Detect, Respond and Recover, and includes components of the NIST CSF 2.0 and the CIA Triad principles of Confidentiality, Integrity and Availability. The proposed framework acknowledges the need for a balance between operational continuity and security measures.</w:t>
      </w:r>
    </w:p>
    <w:p w14:paraId="4ACCCC56" w14:textId="77777777" w:rsidR="006E0332" w:rsidRPr="006E0332" w:rsidRDefault="006E0332" w:rsidP="006E0332">
      <w:pPr>
        <w:pStyle w:val="Heading1"/>
        <w:spacing w:line="360" w:lineRule="auto"/>
        <w:rPr>
          <w:rFonts w:asciiTheme="majorBidi" w:hAnsiTheme="majorBidi"/>
          <w:b/>
          <w:bCs/>
          <w:color w:val="000000" w:themeColor="text1"/>
          <w:sz w:val="20"/>
          <w:szCs w:val="20"/>
        </w:rPr>
      </w:pPr>
      <w:bookmarkStart w:id="2" w:name="_Toc235580862"/>
      <w:r w:rsidRPr="006E0332">
        <w:rPr>
          <w:rFonts w:asciiTheme="majorBidi" w:hAnsiTheme="majorBidi"/>
          <w:b/>
          <w:bCs/>
          <w:color w:val="000000" w:themeColor="text1"/>
          <w:sz w:val="20"/>
          <w:szCs w:val="20"/>
        </w:rPr>
        <w:t>2. Identification of Internal and External Threats</w:t>
      </w:r>
      <w:bookmarkEnd w:id="2"/>
    </w:p>
    <w:p w14:paraId="2DC7D27D"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3" w:name="_Toc235580863"/>
      <w:r w:rsidRPr="006E0332">
        <w:rPr>
          <w:rFonts w:asciiTheme="majorBidi" w:hAnsiTheme="majorBidi"/>
          <w:b/>
          <w:bCs/>
          <w:color w:val="000000" w:themeColor="text1"/>
          <w:sz w:val="20"/>
          <w:szCs w:val="20"/>
        </w:rPr>
        <w:t>2.1 External Threats</w:t>
      </w:r>
      <w:bookmarkEnd w:id="3"/>
    </w:p>
    <w:p w14:paraId="65E2D7AE"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Ransomware Attacks:</w:t>
      </w:r>
      <w:r w:rsidRPr="006E0332">
        <w:rPr>
          <w:rFonts w:asciiTheme="majorBidi" w:hAnsiTheme="majorBidi" w:cstheme="majorBidi"/>
          <w:color w:val="000000" w:themeColor="text1"/>
          <w:sz w:val="20"/>
          <w:szCs w:val="20"/>
        </w:rPr>
        <w:t xml:space="preserve"> The threat of ransomware is a growing attack surface for manufacturing organisations, and ransomware is now being increasingly targeted to disrupt, and extort, as much. Ransomware operators have shown they can be pretty sophisticated in finding high-value assets with the real-world impact of lost production.</w:t>
      </w:r>
    </w:p>
    <w:p w14:paraId="4A7918FC"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Cs/>
          <w:color w:val="000000" w:themeColor="text1"/>
          <w:sz w:val="20"/>
          <w:szCs w:val="20"/>
        </w:rPr>
        <w:t>Targeting the procurement staff</w:t>
      </w:r>
      <w:r w:rsidRPr="006E0332">
        <w:rPr>
          <w:rFonts w:asciiTheme="majorBidi" w:hAnsiTheme="majorBidi" w:cstheme="majorBidi"/>
          <w:color w:val="000000" w:themeColor="text1"/>
          <w:sz w:val="20"/>
          <w:szCs w:val="20"/>
        </w:rPr>
        <w:t xml:space="preserve"> at SFM and more generally exploiting human psychology for initial access into the </w:t>
      </w:r>
      <w:r w:rsidRPr="006E0332">
        <w:rPr>
          <w:rFonts w:asciiTheme="majorBidi" w:hAnsiTheme="majorBidi" w:cstheme="majorBidi"/>
          <w:color w:val="000000" w:themeColor="text1"/>
          <w:sz w:val="20"/>
          <w:szCs w:val="20"/>
        </w:rPr>
        <w:t>network; phishing and Social Engineering. Phishing scams have matured beyond their generic email campaigns to more personalised ‘spear’ phishing emails that seem to be from existing business contacts.</w:t>
      </w:r>
    </w:p>
    <w:p w14:paraId="22C04F2B" w14:textId="1A40A12D"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Industrial Espionage:</w:t>
      </w:r>
      <w:r w:rsidRPr="006E0332">
        <w:rPr>
          <w:rFonts w:asciiTheme="majorBidi" w:hAnsiTheme="majorBidi" w:cstheme="majorBidi"/>
          <w:color w:val="000000" w:themeColor="text1"/>
          <w:sz w:val="20"/>
          <w:szCs w:val="20"/>
        </w:rPr>
        <w:t xml:space="preserve"> SFM's relationships with the automotive and aerospace industries also mean that it has proprietary engineering designs, manufacturing processes and quality control procedures that are valuable assets it can give to an adversary</w:t>
      </w:r>
      <w:r w:rsidRPr="006E0332">
        <w:rPr>
          <w:rFonts w:asciiTheme="majorBidi" w:hAnsiTheme="majorBidi" w:cstheme="majorBidi"/>
          <w:noProof/>
          <w:color w:val="000000" w:themeColor="text1"/>
          <w:sz w:val="20"/>
          <w:szCs w:val="20"/>
        </w:rPr>
        <w:t xml:space="preserve"> [1]</w:t>
      </w:r>
      <w:r w:rsidRPr="006E0332">
        <w:rPr>
          <w:rFonts w:asciiTheme="majorBidi" w:hAnsiTheme="majorBidi" w:cstheme="majorBidi"/>
          <w:color w:val="000000" w:themeColor="text1"/>
          <w:sz w:val="20"/>
          <w:szCs w:val="20"/>
        </w:rPr>
        <w:t>.</w:t>
      </w:r>
    </w:p>
    <w:p w14:paraId="46A9F35F"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With the understood interdependency of contemporary manufacturing, an attack on any point in the chain is an attack on the entire chain of manufacturing</w:t>
      </w:r>
      <w:r w:rsidRPr="006E0332">
        <w:rPr>
          <w:rFonts w:asciiTheme="majorBidi" w:hAnsiTheme="majorBidi" w:cstheme="majorBidi"/>
          <w:color w:val="000000" w:themeColor="text1"/>
          <w:sz w:val="20"/>
          <w:szCs w:val="20"/>
          <w:lang w:val="en-US"/>
        </w:rPr>
        <w:t xml:space="preserve">. The </w:t>
      </w:r>
      <w:r w:rsidRPr="006E0332">
        <w:rPr>
          <w:rFonts w:asciiTheme="majorBidi" w:hAnsiTheme="majorBidi" w:cstheme="majorBidi"/>
          <w:color w:val="000000" w:themeColor="text1"/>
          <w:sz w:val="20"/>
          <w:szCs w:val="20"/>
        </w:rPr>
        <w:t>security of SFM is as good as the weakest link in that supply chain.</w:t>
      </w:r>
    </w:p>
    <w:p w14:paraId="00EA59AF" w14:textId="3855CC62"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IT/OT Exploitation:</w:t>
      </w:r>
      <w:r w:rsidRPr="006E0332">
        <w:rPr>
          <w:rFonts w:asciiTheme="majorBidi" w:hAnsiTheme="majorBidi" w:cstheme="majorBidi"/>
          <w:color w:val="000000" w:themeColor="text1"/>
          <w:sz w:val="20"/>
          <w:szCs w:val="20"/>
        </w:rPr>
        <w:t xml:space="preserve"> The integration of IoT sensors and cloud systems into production networks can introduce risks for attackers to access Ios and manipulate machinery, adjust production or even cause physical damage</w:t>
      </w:r>
      <w:r w:rsidRPr="006E0332">
        <w:rPr>
          <w:rFonts w:asciiTheme="majorBidi" w:hAnsiTheme="majorBidi" w:cstheme="majorBidi"/>
          <w:noProof/>
          <w:color w:val="000000" w:themeColor="text1"/>
          <w:sz w:val="20"/>
          <w:szCs w:val="20"/>
        </w:rPr>
        <w:t xml:space="preserve"> [2]</w:t>
      </w:r>
      <w:r w:rsidRPr="006E0332">
        <w:rPr>
          <w:rFonts w:asciiTheme="majorBidi" w:hAnsiTheme="majorBidi" w:cstheme="majorBidi"/>
          <w:color w:val="000000" w:themeColor="text1"/>
          <w:sz w:val="20"/>
          <w:szCs w:val="20"/>
        </w:rPr>
        <w:t>.</w:t>
      </w:r>
    </w:p>
    <w:p w14:paraId="397F3DB4"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4" w:name="_Toc235580864"/>
      <w:r w:rsidRPr="006E0332">
        <w:rPr>
          <w:rFonts w:asciiTheme="majorBidi" w:hAnsiTheme="majorBidi"/>
          <w:b/>
          <w:bCs/>
          <w:color w:val="000000" w:themeColor="text1"/>
          <w:sz w:val="20"/>
          <w:szCs w:val="20"/>
        </w:rPr>
        <w:t>2.2 Internal Threats</w:t>
      </w:r>
      <w:bookmarkEnd w:id="4"/>
    </w:p>
    <w:p w14:paraId="616F05E5" w14:textId="18714A61"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Malicious Insiders:</w:t>
      </w:r>
      <w:r w:rsidRPr="006E0332">
        <w:rPr>
          <w:rFonts w:asciiTheme="majorBidi" w:hAnsiTheme="majorBidi" w:cstheme="majorBidi"/>
          <w:color w:val="000000" w:themeColor="text1"/>
          <w:sz w:val="20"/>
          <w:szCs w:val="20"/>
        </w:rPr>
        <w:t xml:space="preserve"> Disgruntled employees or employees forced by competitors to steal intellectual property, disrupt production processes or give credentials to outsiders is another potential area of vulnerability </w:t>
      </w:r>
      <w:r w:rsidRPr="006E0332">
        <w:rPr>
          <w:rFonts w:asciiTheme="majorBidi" w:hAnsiTheme="majorBidi" w:cstheme="majorBidi"/>
          <w:noProof/>
          <w:color w:val="000000" w:themeColor="text1"/>
          <w:sz w:val="20"/>
          <w:szCs w:val="20"/>
        </w:rPr>
        <w:t>[3]</w:t>
      </w:r>
      <w:r w:rsidRPr="006E0332">
        <w:rPr>
          <w:rFonts w:asciiTheme="majorBidi" w:hAnsiTheme="majorBidi" w:cstheme="majorBidi"/>
          <w:color w:val="000000" w:themeColor="text1"/>
          <w:sz w:val="20"/>
          <w:szCs w:val="20"/>
        </w:rPr>
        <w:t>. These are especially challenging threats to spot because they are already insiders, who have legitimate access and knowledge of security controls.</w:t>
      </w:r>
    </w:p>
    <w:p w14:paraId="7B420FE2"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Negligent Employees:</w:t>
      </w:r>
      <w:r w:rsidRPr="006E0332">
        <w:rPr>
          <w:rFonts w:asciiTheme="majorBidi" w:hAnsiTheme="majorBidi" w:cstheme="majorBidi"/>
          <w:color w:val="000000" w:themeColor="text1"/>
          <w:sz w:val="20"/>
          <w:szCs w:val="20"/>
        </w:rPr>
        <w:t xml:space="preserve"> Human error still continues to be the biggest culprit by employees unwittingly clicking on a phishing link, using a weak or reused </w:t>
      </w:r>
      <w:r w:rsidRPr="006E0332">
        <w:rPr>
          <w:rFonts w:asciiTheme="majorBidi" w:hAnsiTheme="majorBidi" w:cstheme="majorBidi"/>
          <w:color w:val="000000" w:themeColor="text1"/>
          <w:sz w:val="20"/>
          <w:szCs w:val="20"/>
        </w:rPr>
        <w:lastRenderedPageBreak/>
        <w:t>password, not adhering to security procedures, or plugging unauthorized devices into the network.</w:t>
      </w:r>
    </w:p>
    <w:p w14:paraId="30684E4F"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Compromised Accounts:</w:t>
      </w:r>
      <w:r w:rsidRPr="006E0332">
        <w:rPr>
          <w:rFonts w:asciiTheme="majorBidi" w:hAnsiTheme="majorBidi" w:cstheme="majorBidi"/>
          <w:color w:val="000000" w:themeColor="text1"/>
          <w:sz w:val="20"/>
          <w:szCs w:val="20"/>
        </w:rPr>
        <w:t xml:space="preserve"> Employee credentials can be compromised because of phishing, credential stuffing attack or password reuse on both personal and corporate accounts</w:t>
      </w:r>
      <w:r w:rsidRPr="006E0332">
        <w:rPr>
          <w:rFonts w:asciiTheme="majorBidi" w:hAnsiTheme="majorBidi" w:cstheme="majorBidi"/>
          <w:color w:val="000000" w:themeColor="text1"/>
          <w:sz w:val="20"/>
          <w:szCs w:val="20"/>
          <w:lang w:val="en-US"/>
        </w:rPr>
        <w:t xml:space="preserve">. </w:t>
      </w:r>
    </w:p>
    <w:p w14:paraId="2C90F442"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Unsecured IoT Devices:</w:t>
      </w:r>
      <w:r w:rsidRPr="006E0332">
        <w:rPr>
          <w:rFonts w:asciiTheme="majorBidi" w:hAnsiTheme="majorBidi" w:cstheme="majorBidi"/>
          <w:color w:val="000000" w:themeColor="text1"/>
          <w:sz w:val="20"/>
          <w:szCs w:val="20"/>
        </w:rPr>
        <w:t xml:space="preserve"> Sensors and connected manufacturing equipment often are shipped with default credentials and/or unpatched vulnerabilities. Such devices can be ignored in the security auditing process, offering the attacker access to the production network.</w:t>
      </w:r>
    </w:p>
    <w:p w14:paraId="4FF74D5C" w14:textId="1D1ABAAB"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Privilege Misuse:</w:t>
      </w:r>
      <w:r w:rsidRPr="006E0332">
        <w:rPr>
          <w:rFonts w:asciiTheme="majorBidi" w:hAnsiTheme="majorBidi" w:cstheme="majorBidi"/>
          <w:color w:val="000000" w:themeColor="text1"/>
          <w:sz w:val="20"/>
          <w:szCs w:val="20"/>
        </w:rPr>
        <w:t xml:space="preserve"> Administrative employees may use their elevated privileges either intentionally or unintentionally to do damage or compromise information </w:t>
      </w:r>
      <w:r w:rsidRPr="006E0332">
        <w:rPr>
          <w:rFonts w:asciiTheme="majorBidi" w:hAnsiTheme="majorBidi" w:cstheme="majorBidi"/>
          <w:noProof/>
          <w:color w:val="000000" w:themeColor="text1"/>
          <w:sz w:val="20"/>
          <w:szCs w:val="20"/>
        </w:rPr>
        <w:t>[4]</w:t>
      </w:r>
      <w:r w:rsidRPr="006E0332">
        <w:rPr>
          <w:rFonts w:asciiTheme="majorBidi" w:hAnsiTheme="majorBidi" w:cstheme="majorBidi"/>
          <w:color w:val="000000" w:themeColor="text1"/>
          <w:sz w:val="20"/>
          <w:szCs w:val="20"/>
        </w:rPr>
        <w:t>.</w:t>
      </w:r>
    </w:p>
    <w:p w14:paraId="5D5FA3E7"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Shadow IT:</w:t>
      </w:r>
      <w:r w:rsidRPr="006E0332">
        <w:rPr>
          <w:rFonts w:asciiTheme="majorBidi" w:hAnsiTheme="majorBidi" w:cstheme="majorBidi"/>
          <w:color w:val="000000" w:themeColor="text1"/>
          <w:sz w:val="20"/>
          <w:szCs w:val="20"/>
        </w:rPr>
        <w:t xml:space="preserve"> Staff members can instal unauthorized cloud applications, programs, or hardware without their systems being secured, creating unknown threats.</w:t>
      </w:r>
    </w:p>
    <w:p w14:paraId="391FBAD2" w14:textId="77777777" w:rsidR="006E0332" w:rsidRPr="006E0332" w:rsidRDefault="006E0332" w:rsidP="006E0332">
      <w:pPr>
        <w:pStyle w:val="Heading1"/>
        <w:spacing w:line="360" w:lineRule="auto"/>
        <w:rPr>
          <w:rFonts w:asciiTheme="majorBidi" w:hAnsiTheme="majorBidi"/>
          <w:b/>
          <w:bCs/>
          <w:color w:val="000000" w:themeColor="text1"/>
          <w:sz w:val="20"/>
          <w:szCs w:val="20"/>
        </w:rPr>
      </w:pPr>
      <w:bookmarkStart w:id="5" w:name="_Toc235580865"/>
      <w:r w:rsidRPr="006E0332">
        <w:rPr>
          <w:rFonts w:asciiTheme="majorBidi" w:hAnsiTheme="majorBidi"/>
          <w:b/>
          <w:bCs/>
          <w:color w:val="000000" w:themeColor="text1"/>
          <w:sz w:val="20"/>
          <w:szCs w:val="20"/>
        </w:rPr>
        <w:t>3. Security Policies</w:t>
      </w:r>
      <w:bookmarkEnd w:id="5"/>
    </w:p>
    <w:p w14:paraId="114EE555"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6" w:name="_Toc235580866"/>
      <w:r w:rsidRPr="006E0332">
        <w:rPr>
          <w:rFonts w:asciiTheme="majorBidi" w:hAnsiTheme="majorBidi"/>
          <w:b/>
          <w:bCs/>
          <w:color w:val="000000" w:themeColor="text1"/>
          <w:sz w:val="20"/>
          <w:szCs w:val="20"/>
        </w:rPr>
        <w:t>3.1 Information Security Policy Statement</w:t>
      </w:r>
      <w:bookmarkEnd w:id="6"/>
    </w:p>
    <w:p w14:paraId="1AC09598" w14:textId="3BA93E11"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The objectives of an information security management system to be developed, implemented, operated, maintained and continually improved under the Plan-Do-Check-Act cycle shall be focused on the confidentiality, integrity and availability of all information assets under the control of SFM</w:t>
      </w:r>
      <w:r w:rsidRPr="006E0332">
        <w:rPr>
          <w:rFonts w:asciiTheme="majorBidi" w:hAnsiTheme="majorBidi" w:cstheme="majorBidi"/>
          <w:color w:val="000000" w:themeColor="text1"/>
          <w:sz w:val="20"/>
          <w:szCs w:val="20"/>
          <w:lang w:val="en-US"/>
        </w:rPr>
        <w:t xml:space="preserve"> </w:t>
      </w:r>
      <w:r w:rsidRPr="006E0332">
        <w:rPr>
          <w:rFonts w:asciiTheme="majorBidi" w:hAnsiTheme="majorBidi" w:cstheme="majorBidi"/>
          <w:noProof/>
          <w:color w:val="000000" w:themeColor="text1"/>
          <w:sz w:val="20"/>
          <w:szCs w:val="20"/>
          <w:lang w:val="en-US"/>
        </w:rPr>
        <w:t>[5]</w:t>
      </w:r>
      <w:r w:rsidRPr="006E0332">
        <w:rPr>
          <w:rFonts w:asciiTheme="majorBidi" w:hAnsiTheme="majorBidi" w:cstheme="majorBidi"/>
          <w:color w:val="000000" w:themeColor="text1"/>
          <w:sz w:val="20"/>
          <w:szCs w:val="20"/>
        </w:rPr>
        <w:t>. The policy shall take effect on any employee, contract employee, consultant or third-party supplier who accesses SFM information systems. The policy will be monitored on an annual basis and be modified to address new threats and evolving business needs.</w:t>
      </w:r>
    </w:p>
    <w:p w14:paraId="6937A608"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7" w:name="_Toc235580867"/>
      <w:r w:rsidRPr="006E0332">
        <w:rPr>
          <w:rFonts w:asciiTheme="majorBidi" w:hAnsiTheme="majorBidi"/>
          <w:b/>
          <w:bCs/>
          <w:color w:val="000000" w:themeColor="text1"/>
          <w:sz w:val="20"/>
          <w:szCs w:val="20"/>
        </w:rPr>
        <w:t>3.2 Access Control Policy</w:t>
      </w:r>
      <w:bookmarkEnd w:id="7"/>
    </w:p>
    <w:p w14:paraId="16E97B7E" w14:textId="5490B3C1"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Access to systems shall be limited by the principle of least privilege so that users have access only to the necessary permissions for their job functions</w:t>
      </w:r>
      <w:r w:rsidRPr="006E0332">
        <w:rPr>
          <w:rFonts w:asciiTheme="majorBidi" w:hAnsiTheme="majorBidi" w:cstheme="majorBidi"/>
          <w:color w:val="000000" w:themeColor="text1"/>
          <w:sz w:val="20"/>
          <w:szCs w:val="20"/>
          <w:lang w:val="en-US"/>
        </w:rPr>
        <w:t xml:space="preserve"> </w:t>
      </w:r>
      <w:r w:rsidRPr="006E0332">
        <w:rPr>
          <w:rFonts w:asciiTheme="majorBidi" w:hAnsiTheme="majorBidi" w:cstheme="majorBidi"/>
          <w:noProof/>
          <w:color w:val="000000" w:themeColor="text1"/>
          <w:sz w:val="20"/>
          <w:szCs w:val="20"/>
          <w:lang w:val="en-US"/>
        </w:rPr>
        <w:t>[6]</w:t>
      </w:r>
      <w:r w:rsidRPr="006E0332">
        <w:rPr>
          <w:rFonts w:asciiTheme="majorBidi" w:hAnsiTheme="majorBidi" w:cstheme="majorBidi"/>
          <w:color w:val="000000" w:themeColor="text1"/>
          <w:sz w:val="20"/>
          <w:szCs w:val="20"/>
        </w:rPr>
        <w:t>. This policy will include formal arrangements for users' registration, verification of their identity and arrangement of authorisation by line managers. Access shall be removed immediately on such employment termination or role change, in accordance with de-registration procedures. All remote access, privileged access and access to sensitive data repositories shall use multi-factor authentication.</w:t>
      </w:r>
    </w:p>
    <w:p w14:paraId="16334A8C"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8" w:name="_Toc235580868"/>
      <w:r w:rsidRPr="006E0332">
        <w:rPr>
          <w:rFonts w:asciiTheme="majorBidi" w:hAnsiTheme="majorBidi"/>
          <w:b/>
          <w:bCs/>
          <w:color w:val="000000" w:themeColor="text1"/>
          <w:sz w:val="20"/>
          <w:szCs w:val="20"/>
        </w:rPr>
        <w:t>3.3 Password and Authentication Policy</w:t>
      </w:r>
      <w:bookmarkEnd w:id="8"/>
    </w:p>
    <w:p w14:paraId="48BF920F" w14:textId="1495DEB0"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All users must have a password that complies with minimum password requirements, which includes a minimum length of 12 characters including upper- and lower-case letters, numbers and special characters. Reusing passwords will not be allowed and users are not to record or share their password in accessible places</w:t>
      </w:r>
      <w:r w:rsidRPr="006E0332">
        <w:rPr>
          <w:rFonts w:asciiTheme="majorBidi" w:hAnsiTheme="majorBidi" w:cstheme="majorBidi"/>
          <w:noProof/>
          <w:color w:val="000000" w:themeColor="text1"/>
          <w:sz w:val="20"/>
          <w:szCs w:val="20"/>
        </w:rPr>
        <w:t xml:space="preserve"> [7]</w:t>
      </w:r>
      <w:r w:rsidRPr="006E0332">
        <w:rPr>
          <w:rFonts w:asciiTheme="majorBidi" w:hAnsiTheme="majorBidi" w:cstheme="majorBidi"/>
          <w:color w:val="000000" w:themeColor="text1"/>
          <w:sz w:val="20"/>
          <w:szCs w:val="20"/>
        </w:rPr>
        <w:t>. Passwords will be changed every 90 days and password history will be kept to ensure that password is not used again. Where possible, biometric authentication shall be used for physical access to secure areas that have sensitive infrastructure</w:t>
      </w:r>
      <w:r w:rsidRPr="006E0332">
        <w:rPr>
          <w:rFonts w:asciiTheme="majorBidi" w:hAnsiTheme="majorBidi" w:cstheme="majorBidi"/>
          <w:noProof/>
          <w:color w:val="000000" w:themeColor="text1"/>
          <w:sz w:val="20"/>
          <w:szCs w:val="20"/>
          <w:lang w:val="en-US"/>
        </w:rPr>
        <w:t xml:space="preserve"> </w:t>
      </w:r>
      <w:r w:rsidRPr="006E0332">
        <w:rPr>
          <w:rFonts w:asciiTheme="majorBidi" w:hAnsiTheme="majorBidi" w:cstheme="majorBidi"/>
          <w:noProof/>
          <w:color w:val="000000" w:themeColor="text1"/>
          <w:sz w:val="20"/>
          <w:szCs w:val="20"/>
        </w:rPr>
        <w:t>[8]</w:t>
      </w:r>
      <w:r w:rsidRPr="006E0332">
        <w:rPr>
          <w:rFonts w:asciiTheme="majorBidi" w:hAnsiTheme="majorBidi" w:cstheme="majorBidi"/>
          <w:color w:val="000000" w:themeColor="text1"/>
          <w:sz w:val="20"/>
          <w:szCs w:val="20"/>
        </w:rPr>
        <w:t>.</w:t>
      </w:r>
    </w:p>
    <w:p w14:paraId="785321F0"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9" w:name="_Toc235580869"/>
      <w:r w:rsidRPr="006E0332">
        <w:rPr>
          <w:rFonts w:asciiTheme="majorBidi" w:hAnsiTheme="majorBidi"/>
          <w:b/>
          <w:bCs/>
          <w:color w:val="000000" w:themeColor="text1"/>
          <w:sz w:val="20"/>
          <w:szCs w:val="20"/>
        </w:rPr>
        <w:t>3.4 Data Classification and Handling Policy</w:t>
      </w:r>
      <w:bookmarkEnd w:id="9"/>
    </w:p>
    <w:p w14:paraId="2849E1E2" w14:textId="5A819320"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 xml:space="preserve">All information assets should be described as being at different levels of sensitivity and criticality and handling procedures established for each level. Public, Internal, Confidential, and Restricted will be the types of classification categories. The information asset inventory shall be kept and periodically reviewed to ensure that data protection measures are commensurate with the value of the data </w:t>
      </w:r>
      <w:r w:rsidRPr="006E0332">
        <w:rPr>
          <w:rFonts w:asciiTheme="majorBidi" w:hAnsiTheme="majorBidi" w:cstheme="majorBidi"/>
          <w:noProof/>
          <w:color w:val="000000" w:themeColor="text1"/>
          <w:sz w:val="20"/>
          <w:szCs w:val="20"/>
        </w:rPr>
        <w:t>[9]</w:t>
      </w:r>
      <w:r w:rsidRPr="006E0332">
        <w:rPr>
          <w:rFonts w:asciiTheme="majorBidi" w:hAnsiTheme="majorBidi" w:cstheme="majorBidi"/>
          <w:color w:val="000000" w:themeColor="text1"/>
          <w:sz w:val="20"/>
          <w:szCs w:val="20"/>
        </w:rPr>
        <w:t>. Data in at rest will be encrypted with industry standard algorithms and data in transit will be encrypted with TLS encryption.</w:t>
      </w:r>
    </w:p>
    <w:p w14:paraId="356B71F2"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0" w:name="_Toc235580870"/>
      <w:r w:rsidRPr="006E0332">
        <w:rPr>
          <w:rFonts w:asciiTheme="majorBidi" w:hAnsiTheme="majorBidi"/>
          <w:b/>
          <w:bCs/>
          <w:color w:val="000000" w:themeColor="text1"/>
          <w:sz w:val="20"/>
          <w:szCs w:val="20"/>
        </w:rPr>
        <w:lastRenderedPageBreak/>
        <w:t>3.5 Acceptable Use Policy</w:t>
      </w:r>
      <w:bookmarkEnd w:id="10"/>
    </w:p>
    <w:p w14:paraId="75FF1865"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There shall be clear policies that govern the use of SFM's IT resources, such as no unauthorised software being installed on production systems, personal devices being used for business purposes shall be conducted in a secure way and the handling of mobile devices shall be done within policy. Internet access will be monitored and controlled, as required, to ensure that inappropriate and/or malicious material is not accessed.</w:t>
      </w:r>
    </w:p>
    <w:p w14:paraId="5657BF78"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1" w:name="_Toc235580871"/>
      <w:r w:rsidRPr="006E0332">
        <w:rPr>
          <w:rFonts w:asciiTheme="majorBidi" w:hAnsiTheme="majorBidi"/>
          <w:b/>
          <w:bCs/>
          <w:color w:val="000000" w:themeColor="text1"/>
          <w:sz w:val="20"/>
          <w:szCs w:val="20"/>
        </w:rPr>
        <w:t>3.6 Bring Your Own Device Policy</w:t>
      </w:r>
      <w:bookmarkEnd w:id="11"/>
    </w:p>
    <w:p w14:paraId="7F594445"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Employees who are allowed to use personal devices for business shall be required to be part of mobile device management, have remote wipe, and security policies such as device encryption and screen lock.</w:t>
      </w:r>
    </w:p>
    <w:p w14:paraId="1E9CF791" w14:textId="77777777" w:rsidR="006E0332" w:rsidRPr="006E0332" w:rsidRDefault="006E0332" w:rsidP="006E0332">
      <w:pPr>
        <w:pStyle w:val="Heading1"/>
        <w:spacing w:line="360" w:lineRule="auto"/>
        <w:rPr>
          <w:rFonts w:asciiTheme="majorBidi" w:hAnsiTheme="majorBidi"/>
          <w:b/>
          <w:bCs/>
          <w:color w:val="000000" w:themeColor="text1"/>
          <w:sz w:val="20"/>
          <w:szCs w:val="20"/>
        </w:rPr>
      </w:pPr>
      <w:bookmarkStart w:id="12" w:name="_Toc235580872"/>
      <w:r w:rsidRPr="006E0332">
        <w:rPr>
          <w:rFonts w:asciiTheme="majorBidi" w:hAnsiTheme="majorBidi"/>
          <w:b/>
          <w:bCs/>
          <w:color w:val="000000" w:themeColor="text1"/>
          <w:sz w:val="20"/>
          <w:szCs w:val="20"/>
        </w:rPr>
        <w:t>4. Mitigation Measures</w:t>
      </w:r>
      <w:bookmarkEnd w:id="12"/>
    </w:p>
    <w:p w14:paraId="06D229C1"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3" w:name="_Toc235580873"/>
      <w:r w:rsidRPr="006E0332">
        <w:rPr>
          <w:rFonts w:asciiTheme="majorBidi" w:hAnsiTheme="majorBidi"/>
          <w:b/>
          <w:bCs/>
          <w:color w:val="000000" w:themeColor="text1"/>
          <w:sz w:val="20"/>
          <w:szCs w:val="20"/>
        </w:rPr>
        <w:t>4.1 Technical Controls</w:t>
      </w:r>
      <w:bookmarkEnd w:id="13"/>
    </w:p>
    <w:p w14:paraId="47988DCE" w14:textId="5897B06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Network Segmentation and Zoning:</w:t>
      </w:r>
      <w:r w:rsidRPr="006E0332">
        <w:rPr>
          <w:rFonts w:asciiTheme="majorBidi" w:hAnsiTheme="majorBidi" w:cstheme="majorBidi"/>
          <w:color w:val="000000" w:themeColor="text1"/>
          <w:sz w:val="20"/>
          <w:szCs w:val="20"/>
        </w:rPr>
        <w:t xml:space="preserve"> IT and OT network shall be logically separated by the use of firewalls and ACLs and clear demilitarised zones defined between IT and OT environments. The segmentation helps to keep production systems running even if the corporate network is taken over</w:t>
      </w:r>
      <w:r w:rsidRPr="006E0332">
        <w:rPr>
          <w:rFonts w:asciiTheme="majorBidi" w:hAnsiTheme="majorBidi" w:cstheme="majorBidi"/>
          <w:noProof/>
          <w:color w:val="000000" w:themeColor="text1"/>
          <w:sz w:val="20"/>
          <w:szCs w:val="20"/>
        </w:rPr>
        <w:t xml:space="preserve"> [10]</w:t>
      </w:r>
      <w:r w:rsidRPr="006E0332">
        <w:rPr>
          <w:rFonts w:asciiTheme="majorBidi" w:hAnsiTheme="majorBidi" w:cstheme="majorBidi"/>
          <w:color w:val="000000" w:themeColor="text1"/>
          <w:sz w:val="20"/>
          <w:szCs w:val="20"/>
        </w:rPr>
        <w:t>. The protocols of industrial procedures shall be accessed and filtered for any unauthorised commands before they enter machines.</w:t>
      </w:r>
    </w:p>
    <w:p w14:paraId="4284F69F"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Endpoint Protection:</w:t>
      </w:r>
      <w:r w:rsidRPr="006E0332">
        <w:rPr>
          <w:rFonts w:asciiTheme="majorBidi" w:hAnsiTheme="majorBidi" w:cstheme="majorBidi"/>
          <w:color w:val="000000" w:themeColor="text1"/>
          <w:sz w:val="20"/>
          <w:szCs w:val="20"/>
        </w:rPr>
        <w:t xml:space="preserve"> Advanced endpoint detection and response solutions shall be deployed across all devices with real-time monitoring, threat hunting and automated response. Antivirus signatures and threat intelligence feeds will be updated daily.</w:t>
      </w:r>
    </w:p>
    <w:p w14:paraId="01F602FD" w14:textId="20694726"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Email Security:</w:t>
      </w:r>
      <w:r w:rsidRPr="006E0332">
        <w:rPr>
          <w:rFonts w:asciiTheme="majorBidi" w:hAnsiTheme="majorBidi" w:cstheme="majorBidi"/>
          <w:color w:val="000000" w:themeColor="text1"/>
          <w:sz w:val="20"/>
          <w:szCs w:val="20"/>
        </w:rPr>
        <w:t xml:space="preserve"> Information shall be transmitted using email encryption and anti-phishing technologies shall be deployed, such as checking for SPF, DKIM </w:t>
      </w:r>
      <w:r w:rsidRPr="006E0332">
        <w:rPr>
          <w:rFonts w:asciiTheme="majorBidi" w:hAnsiTheme="majorBidi" w:cstheme="majorBidi"/>
          <w:color w:val="000000" w:themeColor="text1"/>
          <w:sz w:val="20"/>
          <w:szCs w:val="20"/>
        </w:rPr>
        <w:t>and DMARC verification</w:t>
      </w:r>
      <w:r w:rsidRPr="006E0332">
        <w:rPr>
          <w:rFonts w:asciiTheme="majorBidi" w:hAnsiTheme="majorBidi" w:cstheme="majorBidi"/>
          <w:noProof/>
          <w:color w:val="000000" w:themeColor="text1"/>
          <w:sz w:val="20"/>
          <w:szCs w:val="20"/>
          <w:lang w:val="en-US"/>
        </w:rPr>
        <w:t xml:space="preserve"> [11]</w:t>
      </w:r>
      <w:r w:rsidRPr="006E0332">
        <w:rPr>
          <w:rFonts w:asciiTheme="majorBidi" w:hAnsiTheme="majorBidi" w:cstheme="majorBidi"/>
          <w:color w:val="000000" w:themeColor="text1"/>
          <w:sz w:val="20"/>
          <w:szCs w:val="20"/>
        </w:rPr>
        <w:t>. A suspicious message shall be detected and quarantined by the use of AI-assistance in the filtering of emails</w:t>
      </w:r>
      <w:r w:rsidRPr="006E0332">
        <w:rPr>
          <w:rFonts w:asciiTheme="majorBidi" w:hAnsiTheme="majorBidi" w:cstheme="majorBidi"/>
          <w:color w:val="000000" w:themeColor="text1"/>
          <w:sz w:val="20"/>
          <w:szCs w:val="20"/>
          <w:lang w:val="en-US"/>
        </w:rPr>
        <w:t xml:space="preserve">. </w:t>
      </w:r>
    </w:p>
    <w:p w14:paraId="55DD537D"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Vulnerability Management:</w:t>
      </w:r>
      <w:r w:rsidRPr="006E0332">
        <w:rPr>
          <w:rFonts w:asciiTheme="majorBidi" w:hAnsiTheme="majorBidi" w:cstheme="majorBidi"/>
          <w:color w:val="000000" w:themeColor="text1"/>
          <w:sz w:val="20"/>
          <w:szCs w:val="20"/>
        </w:rPr>
        <w:t xml:space="preserve"> All core systems are to be scanned for vulnerabilities on at least a quarterly basis and when significant changes are made. Patches will be applied based on the risk prioritisation and if possible, within 48 hours for critical patches. Unique requirements of OT environments shall be taken into account and patches shall be deployed to a staging environment instead of a production system first.</w:t>
      </w:r>
    </w:p>
    <w:p w14:paraId="26D8C95E"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Regular Backup and Disaster Recovery:</w:t>
      </w:r>
      <w:r w:rsidRPr="006E0332">
        <w:rPr>
          <w:rFonts w:asciiTheme="majorBidi" w:hAnsiTheme="majorBidi" w:cstheme="majorBidi"/>
          <w:color w:val="000000" w:themeColor="text1"/>
          <w:sz w:val="20"/>
          <w:szCs w:val="20"/>
        </w:rPr>
        <w:t xml:space="preserve"> Production data, system configuration and intellectual property shall be backed up regularly with incremental backups daily, full backups weekly. Quarterly tests will be carried out on restoration procedures to verify that they are recoverable</w:t>
      </w:r>
      <w:r w:rsidRPr="006E0332">
        <w:rPr>
          <w:rFonts w:asciiTheme="majorBidi" w:hAnsiTheme="majorBidi" w:cstheme="majorBidi"/>
          <w:color w:val="000000" w:themeColor="text1"/>
          <w:sz w:val="20"/>
          <w:szCs w:val="20"/>
          <w:lang w:val="en-US"/>
        </w:rPr>
        <w:t xml:space="preserve">. </w:t>
      </w:r>
    </w:p>
    <w:p w14:paraId="65B1D54A"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4" w:name="_Toc235580874"/>
      <w:r w:rsidRPr="006E0332">
        <w:rPr>
          <w:rFonts w:asciiTheme="majorBidi" w:hAnsiTheme="majorBidi"/>
          <w:b/>
          <w:bCs/>
          <w:color w:val="000000" w:themeColor="text1"/>
          <w:sz w:val="20"/>
          <w:szCs w:val="20"/>
        </w:rPr>
        <w:t>4.2 Administrative Controls</w:t>
      </w:r>
      <w:bookmarkEnd w:id="14"/>
    </w:p>
    <w:p w14:paraId="72507649"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Internal and External security Audits and Compliance Assessments</w:t>
      </w:r>
      <w:r w:rsidRPr="006E0332">
        <w:rPr>
          <w:rFonts w:asciiTheme="majorBidi" w:hAnsiTheme="majorBidi" w:cstheme="majorBidi"/>
          <w:color w:val="000000" w:themeColor="text1"/>
          <w:sz w:val="20"/>
          <w:szCs w:val="20"/>
        </w:rPr>
        <w:t xml:space="preserve"> will be performed annually to ensure that policies are being adhered to and that controls are effective and improving.</w:t>
      </w:r>
    </w:p>
    <w:p w14:paraId="13D6B8C5" w14:textId="0362B03C"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Supplier and Third-Party Security:</w:t>
      </w:r>
      <w:r w:rsidRPr="006E0332">
        <w:rPr>
          <w:rFonts w:asciiTheme="majorBidi" w:hAnsiTheme="majorBidi" w:cstheme="majorBidi"/>
          <w:color w:val="000000" w:themeColor="text1"/>
          <w:sz w:val="20"/>
          <w:szCs w:val="20"/>
        </w:rPr>
        <w:t xml:space="preserve"> All suppliers, contractors and partners must be bound to SFM's security policies, such as service level agreements and non-disclosure agreements</w:t>
      </w:r>
      <w:r w:rsidRPr="006E0332">
        <w:rPr>
          <w:rFonts w:asciiTheme="majorBidi" w:hAnsiTheme="majorBidi" w:cstheme="majorBidi"/>
          <w:noProof/>
          <w:color w:val="000000" w:themeColor="text1"/>
          <w:sz w:val="20"/>
          <w:szCs w:val="20"/>
        </w:rPr>
        <w:t xml:space="preserve"> </w:t>
      </w:r>
      <w:r w:rsidRPr="006E0332">
        <w:rPr>
          <w:rFonts w:asciiTheme="majorBidi" w:hAnsiTheme="majorBidi" w:cstheme="majorBidi"/>
          <w:noProof/>
          <w:color w:val="000000" w:themeColor="text1"/>
          <w:sz w:val="20"/>
          <w:szCs w:val="20"/>
          <w:lang w:val="en-US"/>
        </w:rPr>
        <w:t>[12]</w:t>
      </w:r>
      <w:r w:rsidRPr="006E0332">
        <w:rPr>
          <w:rFonts w:asciiTheme="majorBidi" w:hAnsiTheme="majorBidi" w:cstheme="majorBidi"/>
          <w:color w:val="000000" w:themeColor="text1"/>
          <w:sz w:val="20"/>
          <w:szCs w:val="20"/>
        </w:rPr>
        <w:t>.</w:t>
      </w:r>
    </w:p>
    <w:p w14:paraId="2F7B26EC"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Change Management:</w:t>
      </w:r>
      <w:r w:rsidRPr="006E0332">
        <w:rPr>
          <w:rFonts w:asciiTheme="majorBidi" w:hAnsiTheme="majorBidi" w:cstheme="majorBidi"/>
          <w:color w:val="000000" w:themeColor="text1"/>
          <w:sz w:val="20"/>
          <w:szCs w:val="20"/>
        </w:rPr>
        <w:t xml:space="preserve"> Formal Change Management procedures to be adhered to for all changes to IT and OT systems, including security impacts, assessment and approval prior to implementing changes.</w:t>
      </w:r>
    </w:p>
    <w:p w14:paraId="2290FEE8"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5" w:name="_Toc235580875"/>
      <w:r w:rsidRPr="006E0332">
        <w:rPr>
          <w:rFonts w:asciiTheme="majorBidi" w:hAnsiTheme="majorBidi"/>
          <w:b/>
          <w:bCs/>
          <w:color w:val="000000" w:themeColor="text1"/>
          <w:sz w:val="20"/>
          <w:szCs w:val="20"/>
        </w:rPr>
        <w:lastRenderedPageBreak/>
        <w:t>4.3 Physical Security Controls</w:t>
      </w:r>
      <w:bookmarkEnd w:id="15"/>
    </w:p>
    <w:p w14:paraId="2F8FD596"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All data centres, server rooms and important production equipment will be secured by biometric authentication and access recordings. The "secure areas" shall be covered by CCTV monitoring and visitors to the area shall have to be escorted.</w:t>
      </w:r>
    </w:p>
    <w:p w14:paraId="3C01A406" w14:textId="77777777" w:rsidR="006E0332" w:rsidRPr="006E0332" w:rsidRDefault="006E0332" w:rsidP="006E0332">
      <w:pPr>
        <w:pStyle w:val="Heading1"/>
        <w:spacing w:line="360" w:lineRule="auto"/>
        <w:rPr>
          <w:rFonts w:asciiTheme="majorBidi" w:hAnsiTheme="majorBidi"/>
          <w:b/>
          <w:bCs/>
          <w:color w:val="000000" w:themeColor="text1"/>
          <w:sz w:val="20"/>
          <w:szCs w:val="20"/>
        </w:rPr>
      </w:pPr>
      <w:bookmarkStart w:id="16" w:name="_Toc235580876"/>
      <w:r w:rsidRPr="006E0332">
        <w:rPr>
          <w:rFonts w:asciiTheme="majorBidi" w:hAnsiTheme="majorBidi"/>
          <w:b/>
          <w:bCs/>
          <w:color w:val="000000" w:themeColor="text1"/>
          <w:sz w:val="20"/>
          <w:szCs w:val="20"/>
        </w:rPr>
        <w:t>5. Monitoring and Incident Response</w:t>
      </w:r>
      <w:bookmarkEnd w:id="16"/>
    </w:p>
    <w:p w14:paraId="25FE4D6D"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7" w:name="_Toc235580877"/>
      <w:r w:rsidRPr="006E0332">
        <w:rPr>
          <w:rFonts w:asciiTheme="majorBidi" w:hAnsiTheme="majorBidi"/>
          <w:b/>
          <w:bCs/>
          <w:color w:val="000000" w:themeColor="text1"/>
          <w:sz w:val="20"/>
          <w:szCs w:val="20"/>
        </w:rPr>
        <w:t>5.1 Continuous Monitoring Framework</w:t>
      </w:r>
      <w:bookmarkEnd w:id="17"/>
    </w:p>
    <w:p w14:paraId="27ED20DF"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In real-time, continuous monitoring shall be used to detect anomalies and indicators of compromise and adverse events. Security Information and Event Management shall enable Security log correlation between all critical systems and alerting on a centralised manner. Network traffic will be continuously monitored with baseline anomalies being identified for investigation. The system is to be monitored 24/7 and automated notifications shall be provided for service interruptions.</w:t>
      </w:r>
    </w:p>
    <w:p w14:paraId="4F12CF6C"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8" w:name="_Toc235580878"/>
      <w:r w:rsidRPr="006E0332">
        <w:rPr>
          <w:rFonts w:asciiTheme="majorBidi" w:hAnsiTheme="majorBidi"/>
          <w:b/>
          <w:bCs/>
          <w:color w:val="000000" w:themeColor="text1"/>
          <w:sz w:val="20"/>
          <w:szCs w:val="20"/>
        </w:rPr>
        <w:t>5.2 Incident Response Plan</w:t>
      </w:r>
      <w:bookmarkEnd w:id="18"/>
    </w:p>
    <w:p w14:paraId="1FAC35DB"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The incident response plan will then follow the NIST CSF 2.0 Respond function which will include:</w:t>
      </w:r>
    </w:p>
    <w:p w14:paraId="2C9AE14F" w14:textId="7E3A4E5F"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Detection and Analysis:</w:t>
      </w:r>
      <w:r w:rsidRPr="006E0332">
        <w:rPr>
          <w:rFonts w:asciiTheme="majorBidi" w:hAnsiTheme="majorBidi" w:cstheme="majorBidi"/>
          <w:color w:val="000000" w:themeColor="text1"/>
          <w:sz w:val="20"/>
          <w:szCs w:val="20"/>
        </w:rPr>
        <w:t xml:space="preserve"> Security incidents are detected by continuous monitoring and immediately reported to the incident response team. Incidents will be categorized according to severity and response will vary accordingly</w:t>
      </w:r>
      <w:r w:rsidRPr="006E0332">
        <w:rPr>
          <w:rFonts w:asciiTheme="majorBidi" w:hAnsiTheme="majorBidi" w:cstheme="majorBidi"/>
          <w:noProof/>
          <w:color w:val="000000" w:themeColor="text1"/>
          <w:sz w:val="20"/>
          <w:szCs w:val="20"/>
        </w:rPr>
        <w:t xml:space="preserve"> </w:t>
      </w:r>
      <w:r w:rsidRPr="006E0332">
        <w:rPr>
          <w:rFonts w:asciiTheme="majorBidi" w:hAnsiTheme="majorBidi" w:cstheme="majorBidi"/>
          <w:noProof/>
          <w:color w:val="000000" w:themeColor="text1"/>
          <w:sz w:val="20"/>
          <w:szCs w:val="20"/>
          <w:lang w:val="en-US"/>
        </w:rPr>
        <w:t>[13]</w:t>
      </w:r>
      <w:r w:rsidRPr="006E0332">
        <w:rPr>
          <w:rFonts w:asciiTheme="majorBidi" w:hAnsiTheme="majorBidi" w:cstheme="majorBidi"/>
          <w:color w:val="000000" w:themeColor="text1"/>
          <w:sz w:val="20"/>
          <w:szCs w:val="20"/>
        </w:rPr>
        <w:t>.</w:t>
      </w:r>
    </w:p>
    <w:p w14:paraId="4CC269DE"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Containment:</w:t>
      </w:r>
      <w:r w:rsidRPr="006E0332">
        <w:rPr>
          <w:rFonts w:asciiTheme="majorBidi" w:hAnsiTheme="majorBidi" w:cstheme="majorBidi"/>
          <w:color w:val="000000" w:themeColor="text1"/>
          <w:sz w:val="20"/>
          <w:szCs w:val="20"/>
        </w:rPr>
        <w:t xml:space="preserve"> Affected systems shall be isolated to prevent any further spread and careful consideration shall be given to OT environments to prevent any disruption to the safety systems.</w:t>
      </w:r>
    </w:p>
    <w:p w14:paraId="59643F24" w14:textId="41DF7D46"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Eradication:</w:t>
      </w:r>
      <w:r w:rsidRPr="006E0332">
        <w:rPr>
          <w:rFonts w:asciiTheme="majorBidi" w:hAnsiTheme="majorBidi" w:cstheme="majorBidi"/>
          <w:color w:val="000000" w:themeColor="text1"/>
          <w:sz w:val="20"/>
          <w:szCs w:val="20"/>
        </w:rPr>
        <w:t xml:space="preserve"> Root cause will be found and mitigated using threat hunting and forensic investigation methods. Malware will be taken out; vulnerabilities will be fixed to stop it from happening again</w:t>
      </w:r>
      <w:r w:rsidRPr="006E0332">
        <w:rPr>
          <w:rFonts w:asciiTheme="majorBidi" w:hAnsiTheme="majorBidi" w:cstheme="majorBidi"/>
          <w:noProof/>
          <w:color w:val="000000" w:themeColor="text1"/>
          <w:sz w:val="20"/>
          <w:szCs w:val="20"/>
        </w:rPr>
        <w:t xml:space="preserve"> </w:t>
      </w:r>
      <w:r w:rsidRPr="006E0332">
        <w:rPr>
          <w:rFonts w:asciiTheme="majorBidi" w:hAnsiTheme="majorBidi" w:cstheme="majorBidi"/>
          <w:noProof/>
          <w:color w:val="000000" w:themeColor="text1"/>
          <w:sz w:val="20"/>
          <w:szCs w:val="20"/>
          <w:lang w:val="en-US"/>
        </w:rPr>
        <w:t>[14]</w:t>
      </w:r>
      <w:r w:rsidRPr="006E0332">
        <w:rPr>
          <w:rFonts w:asciiTheme="majorBidi" w:hAnsiTheme="majorBidi" w:cstheme="majorBidi"/>
          <w:color w:val="000000" w:themeColor="text1"/>
          <w:sz w:val="20"/>
          <w:szCs w:val="20"/>
        </w:rPr>
        <w:t>.</w:t>
      </w:r>
    </w:p>
    <w:p w14:paraId="75D72B94"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Recovery:</w:t>
      </w:r>
      <w:r w:rsidRPr="006E0332">
        <w:rPr>
          <w:rFonts w:asciiTheme="majorBidi" w:hAnsiTheme="majorBidi" w:cstheme="majorBidi"/>
          <w:color w:val="000000" w:themeColor="text1"/>
          <w:sz w:val="20"/>
          <w:szCs w:val="20"/>
        </w:rPr>
        <w:t xml:space="preserve"> Recovery shall be performed with validated backups to restore systems with defined recovery time and recovery point objectives. Systems will be watched for re-infection.</w:t>
      </w:r>
    </w:p>
    <w:p w14:paraId="5AAFD55C"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Post-Incident Review:</w:t>
      </w:r>
      <w:r w:rsidRPr="006E0332">
        <w:rPr>
          <w:rFonts w:asciiTheme="majorBidi" w:hAnsiTheme="majorBidi" w:cstheme="majorBidi"/>
          <w:color w:val="000000" w:themeColor="text1"/>
          <w:sz w:val="20"/>
          <w:szCs w:val="20"/>
        </w:rPr>
        <w:t xml:space="preserve"> Lessons learned shall be recorded and improvements shall be taken to further enhance the overall security posture.</w:t>
      </w:r>
    </w:p>
    <w:p w14:paraId="2699095C"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19" w:name="_Toc235580879"/>
      <w:r w:rsidRPr="006E0332">
        <w:rPr>
          <w:rFonts w:asciiTheme="majorBidi" w:hAnsiTheme="majorBidi"/>
          <w:b/>
          <w:bCs/>
          <w:color w:val="000000" w:themeColor="text1"/>
          <w:sz w:val="20"/>
          <w:szCs w:val="20"/>
        </w:rPr>
        <w:t>5.3 Incident Response Flow Diagram</w:t>
      </w:r>
      <w:bookmarkEnd w:id="19"/>
    </w:p>
    <w:p w14:paraId="5808C737"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noProof/>
          <w:color w:val="000000" w:themeColor="text1"/>
          <w:sz w:val="20"/>
          <w:szCs w:val="20"/>
        </w:rPr>
        <w:drawing>
          <wp:inline distT="0" distB="0" distL="0" distR="0" wp14:anchorId="02A2CDF2" wp14:editId="4E6BD5C4">
            <wp:extent cx="2999197" cy="1450338"/>
            <wp:effectExtent l="0" t="0" r="0" b="0"/>
            <wp:docPr id="1348390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90160" name="Picture 1348390160"/>
                    <pic:cNvPicPr/>
                  </pic:nvPicPr>
                  <pic:blipFill rotWithShape="1">
                    <a:blip r:embed="rId6" cstate="print">
                      <a:extLst>
                        <a:ext uri="{28A0092B-C50C-407E-A947-70E740481C1C}">
                          <a14:useLocalDpi xmlns:a14="http://schemas.microsoft.com/office/drawing/2010/main" val="0"/>
                        </a:ext>
                      </a:extLst>
                    </a:blip>
                    <a:srcRect t="13363"/>
                    <a:stretch>
                      <a:fillRect/>
                    </a:stretch>
                  </pic:blipFill>
                  <pic:spPr bwMode="auto">
                    <a:xfrm>
                      <a:off x="0" y="0"/>
                      <a:ext cx="3011484" cy="1456280"/>
                    </a:xfrm>
                    <a:prstGeom prst="rect">
                      <a:avLst/>
                    </a:prstGeom>
                    <a:ln>
                      <a:noFill/>
                    </a:ln>
                    <a:extLst>
                      <a:ext uri="{53640926-AAD7-44D8-BBD7-CCE9431645EC}">
                        <a14:shadowObscured xmlns:a14="http://schemas.microsoft.com/office/drawing/2010/main"/>
                      </a:ext>
                    </a:extLst>
                  </pic:spPr>
                </pic:pic>
              </a:graphicData>
            </a:graphic>
          </wp:inline>
        </w:drawing>
      </w:r>
      <w:r w:rsidRPr="006E0332">
        <w:rPr>
          <w:rFonts w:asciiTheme="majorBidi" w:hAnsiTheme="majorBidi" w:cstheme="majorBidi"/>
          <w:b/>
          <w:bCs/>
          <w:color w:val="000000" w:themeColor="text1"/>
          <w:sz w:val="20"/>
          <w:szCs w:val="20"/>
        </w:rPr>
        <w:t>6. Training and Awareness Programme</w:t>
      </w:r>
    </w:p>
    <w:p w14:paraId="63CF7D0B"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20" w:name="_Toc235580880"/>
      <w:r w:rsidRPr="006E0332">
        <w:rPr>
          <w:rFonts w:asciiTheme="majorBidi" w:hAnsiTheme="majorBidi"/>
          <w:b/>
          <w:bCs/>
          <w:color w:val="000000" w:themeColor="text1"/>
          <w:sz w:val="20"/>
          <w:szCs w:val="20"/>
        </w:rPr>
        <w:t>6.1 Programme Overview</w:t>
      </w:r>
      <w:bookmarkEnd w:id="20"/>
    </w:p>
    <w:p w14:paraId="29FCF6B3" w14:textId="0A2FDBF2"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SFM will put in place an extensive cyber security training programme to help employees turn into an active protection instead of a potential attack vector</w:t>
      </w:r>
      <w:r w:rsidRPr="006E0332">
        <w:rPr>
          <w:rFonts w:asciiTheme="majorBidi" w:hAnsiTheme="majorBidi" w:cstheme="majorBidi"/>
          <w:noProof/>
          <w:color w:val="000000" w:themeColor="text1"/>
          <w:sz w:val="20"/>
          <w:szCs w:val="20"/>
          <w:lang w:val="en-US"/>
        </w:rPr>
        <w:t xml:space="preserve"> [15]</w:t>
      </w:r>
      <w:r w:rsidRPr="006E0332">
        <w:rPr>
          <w:rFonts w:asciiTheme="majorBidi" w:hAnsiTheme="majorBidi" w:cstheme="majorBidi"/>
          <w:color w:val="000000" w:themeColor="text1"/>
          <w:sz w:val="20"/>
          <w:szCs w:val="20"/>
        </w:rPr>
        <w:t>. 80% of security incidents are caused by human error, making training the most cost-effective investment in security that you can make.</w:t>
      </w:r>
    </w:p>
    <w:p w14:paraId="6890F37D"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21" w:name="_Toc235580881"/>
      <w:r w:rsidRPr="006E0332">
        <w:rPr>
          <w:rFonts w:asciiTheme="majorBidi" w:hAnsiTheme="majorBidi"/>
          <w:b/>
          <w:bCs/>
          <w:color w:val="000000" w:themeColor="text1"/>
          <w:sz w:val="20"/>
          <w:szCs w:val="20"/>
        </w:rPr>
        <w:t>6.2 Training Components</w:t>
      </w:r>
      <w:bookmarkEnd w:id="21"/>
    </w:p>
    <w:p w14:paraId="1BD9E0AC" w14:textId="79910D25"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New Employee Induction Training:</w:t>
      </w:r>
      <w:r w:rsidRPr="006E0332">
        <w:rPr>
          <w:rFonts w:asciiTheme="majorBidi" w:hAnsiTheme="majorBidi" w:cstheme="majorBidi"/>
          <w:color w:val="000000" w:themeColor="text1"/>
          <w:sz w:val="20"/>
          <w:szCs w:val="20"/>
        </w:rPr>
        <w:t xml:space="preserve"> All new employees will receive mandatory training for information security as a part of their induction that will cover: Security Policy, Password Hygiene, Phishing Awareness, Data classification and Reporting of incidents. Training to be conducted prior to access to the network</w:t>
      </w:r>
      <w:r w:rsidRPr="006E0332">
        <w:rPr>
          <w:rFonts w:asciiTheme="majorBidi" w:hAnsiTheme="majorBidi" w:cstheme="majorBidi"/>
          <w:noProof/>
          <w:color w:val="000000" w:themeColor="text1"/>
          <w:sz w:val="20"/>
          <w:szCs w:val="20"/>
        </w:rPr>
        <w:t xml:space="preserve"> </w:t>
      </w:r>
      <w:r w:rsidRPr="006E0332">
        <w:rPr>
          <w:rFonts w:asciiTheme="majorBidi" w:hAnsiTheme="majorBidi" w:cstheme="majorBidi"/>
          <w:noProof/>
          <w:color w:val="000000" w:themeColor="text1"/>
          <w:sz w:val="20"/>
          <w:szCs w:val="20"/>
          <w:lang w:val="en-US"/>
        </w:rPr>
        <w:t>[16]</w:t>
      </w:r>
      <w:r w:rsidRPr="006E0332">
        <w:rPr>
          <w:rFonts w:asciiTheme="majorBidi" w:hAnsiTheme="majorBidi" w:cstheme="majorBidi"/>
          <w:color w:val="000000" w:themeColor="text1"/>
          <w:sz w:val="20"/>
          <w:szCs w:val="20"/>
        </w:rPr>
        <w:t>.</w:t>
      </w:r>
    </w:p>
    <w:p w14:paraId="108CED4B" w14:textId="77777777"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Annual Refresher Training:</w:t>
      </w:r>
      <w:r w:rsidRPr="006E0332">
        <w:rPr>
          <w:rFonts w:asciiTheme="majorBidi" w:hAnsiTheme="majorBidi" w:cstheme="majorBidi"/>
          <w:color w:val="000000" w:themeColor="text1"/>
          <w:sz w:val="20"/>
          <w:szCs w:val="20"/>
        </w:rPr>
        <w:t xml:space="preserve"> General cybersecurity training shall be provided at </w:t>
      </w:r>
      <w:r w:rsidRPr="006E0332">
        <w:rPr>
          <w:rFonts w:asciiTheme="majorBidi" w:hAnsiTheme="majorBidi" w:cstheme="majorBidi"/>
          <w:color w:val="000000" w:themeColor="text1"/>
          <w:sz w:val="20"/>
          <w:szCs w:val="20"/>
        </w:rPr>
        <w:lastRenderedPageBreak/>
        <w:t>least every 36 months, and shall be updated as new policies, threats and incidents occur.</w:t>
      </w:r>
    </w:p>
    <w:p w14:paraId="097822AD" w14:textId="13A80561" w:rsidR="006E0332" w:rsidRPr="006E0332" w:rsidRDefault="006E0332" w:rsidP="006E0332">
      <w:pPr>
        <w:pStyle w:val="ListParagraph"/>
        <w:numPr>
          <w:ilvl w:val="0"/>
          <w:numId w:val="1"/>
        </w:num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b/>
          <w:bCs/>
          <w:color w:val="000000" w:themeColor="text1"/>
          <w:sz w:val="20"/>
          <w:szCs w:val="20"/>
        </w:rPr>
        <w:t>Targeted Role Based Training:</w:t>
      </w:r>
      <w:r w:rsidRPr="006E0332">
        <w:rPr>
          <w:rFonts w:asciiTheme="majorBidi" w:hAnsiTheme="majorBidi" w:cstheme="majorBidi"/>
          <w:color w:val="000000" w:themeColor="text1"/>
          <w:sz w:val="20"/>
          <w:szCs w:val="20"/>
        </w:rPr>
        <w:t xml:space="preserve"> Procurement staff to be given specialised training on phishing prevention and supplier fraud awareness</w:t>
      </w:r>
      <w:r w:rsidRPr="006E0332">
        <w:rPr>
          <w:rFonts w:asciiTheme="majorBidi" w:hAnsiTheme="majorBidi" w:cstheme="majorBidi"/>
          <w:noProof/>
          <w:color w:val="000000" w:themeColor="text1"/>
          <w:sz w:val="20"/>
          <w:szCs w:val="20"/>
          <w:lang w:val="en-US"/>
        </w:rPr>
        <w:t xml:space="preserve"> [17]</w:t>
      </w:r>
      <w:r w:rsidRPr="006E0332">
        <w:rPr>
          <w:rFonts w:asciiTheme="majorBidi" w:hAnsiTheme="majorBidi" w:cstheme="majorBidi"/>
          <w:color w:val="000000" w:themeColor="text1"/>
          <w:sz w:val="20"/>
          <w:szCs w:val="20"/>
        </w:rPr>
        <w:t>. Advanced IT and OT security awareness and technical training shall be provided.</w:t>
      </w:r>
    </w:p>
    <w:p w14:paraId="60D704D0"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22" w:name="_Toc235580882"/>
      <w:r w:rsidRPr="006E0332">
        <w:rPr>
          <w:rFonts w:asciiTheme="majorBidi" w:hAnsiTheme="majorBidi"/>
          <w:b/>
          <w:bCs/>
          <w:color w:val="000000" w:themeColor="text1"/>
          <w:sz w:val="20"/>
          <w:szCs w:val="20"/>
        </w:rPr>
        <w:t>6.3 Phishing Simulation Programme</w:t>
      </w:r>
      <w:bookmarkEnd w:id="22"/>
    </w:p>
    <w:p w14:paraId="33E081B8" w14:textId="24E00E36"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Industry-standard phishing simulation platforms with realistic scenarios shall be used on a regular basis, at least once per month. Results will be rolled up and reported, and extra training will be offered to employees who click on phishing simulations</w:t>
      </w:r>
      <w:r w:rsidRPr="006E0332">
        <w:rPr>
          <w:rFonts w:asciiTheme="majorBidi" w:hAnsiTheme="majorBidi" w:cstheme="majorBidi"/>
          <w:noProof/>
          <w:color w:val="000000" w:themeColor="text1"/>
          <w:sz w:val="20"/>
          <w:szCs w:val="20"/>
        </w:rPr>
        <w:t xml:space="preserve"> </w:t>
      </w:r>
      <w:r w:rsidRPr="006E0332">
        <w:rPr>
          <w:rFonts w:asciiTheme="majorBidi" w:hAnsiTheme="majorBidi" w:cstheme="majorBidi"/>
          <w:noProof/>
          <w:color w:val="000000" w:themeColor="text1"/>
          <w:sz w:val="20"/>
          <w:szCs w:val="20"/>
          <w:lang w:val="en-US"/>
        </w:rPr>
        <w:t>[18]</w:t>
      </w:r>
      <w:r w:rsidRPr="006E0332">
        <w:rPr>
          <w:rFonts w:asciiTheme="majorBidi" w:hAnsiTheme="majorBidi" w:cstheme="majorBidi"/>
          <w:color w:val="000000" w:themeColor="text1"/>
          <w:sz w:val="20"/>
          <w:szCs w:val="20"/>
        </w:rPr>
        <w:t>. Improvement shall be measured in follow-up simulations and programme refinement shall be continued based on any subsequent simulations.</w:t>
      </w:r>
    </w:p>
    <w:p w14:paraId="46DD47BC"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23" w:name="_Toc235580883"/>
      <w:r w:rsidRPr="006E0332">
        <w:rPr>
          <w:rFonts w:asciiTheme="majorBidi" w:hAnsiTheme="majorBidi"/>
          <w:b/>
          <w:bCs/>
          <w:color w:val="000000" w:themeColor="text1"/>
          <w:sz w:val="20"/>
          <w:szCs w:val="20"/>
        </w:rPr>
        <w:t>6.4 Training Methodologies</w:t>
      </w:r>
      <w:bookmarkEnd w:id="23"/>
    </w:p>
    <w:p w14:paraId="3215D39C"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 xml:space="preserve">Training shall be based on adult learning principles, with scenarios-based material, interactive learning materials with gamification features, practical activities featuring real world cybercrime scenarios, frequent reminder and notification of security awareness through various means, workshops and </w:t>
      </w:r>
      <w:r w:rsidRPr="006E0332">
        <w:rPr>
          <w:rFonts w:asciiTheme="majorBidi" w:hAnsiTheme="majorBidi" w:cstheme="majorBidi"/>
          <w:color w:val="000000" w:themeColor="text1"/>
          <w:sz w:val="20"/>
          <w:szCs w:val="20"/>
        </w:rPr>
        <w:t>lunch-and-learn sessions offering alternative ways of learning, or any other combination of these elements.</w:t>
      </w:r>
    </w:p>
    <w:p w14:paraId="0A63D91F" w14:textId="77777777" w:rsidR="006E0332" w:rsidRPr="006E0332" w:rsidRDefault="006E0332" w:rsidP="006E0332">
      <w:pPr>
        <w:pStyle w:val="Heading2"/>
        <w:spacing w:line="360" w:lineRule="auto"/>
        <w:rPr>
          <w:rFonts w:asciiTheme="majorBidi" w:hAnsiTheme="majorBidi"/>
          <w:b/>
          <w:bCs/>
          <w:color w:val="000000" w:themeColor="text1"/>
          <w:sz w:val="20"/>
          <w:szCs w:val="20"/>
        </w:rPr>
      </w:pPr>
      <w:bookmarkStart w:id="24" w:name="_Toc235580884"/>
      <w:r w:rsidRPr="006E0332">
        <w:rPr>
          <w:rFonts w:asciiTheme="majorBidi" w:hAnsiTheme="majorBidi"/>
          <w:b/>
          <w:bCs/>
          <w:color w:val="000000" w:themeColor="text1"/>
          <w:sz w:val="20"/>
          <w:szCs w:val="20"/>
        </w:rPr>
        <w:t>6.5 Measuring Programme Effectiveness</w:t>
      </w:r>
      <w:bookmarkEnd w:id="24"/>
    </w:p>
    <w:p w14:paraId="338D3EBF" w14:textId="77777777" w:rsidR="006E0332" w:rsidRPr="006E0332" w:rsidRDefault="006E0332" w:rsidP="006E0332">
      <w:pPr>
        <w:spacing w:line="360" w:lineRule="auto"/>
        <w:jc w:val="both"/>
        <w:rPr>
          <w:rFonts w:asciiTheme="majorBidi" w:hAnsiTheme="majorBidi" w:cstheme="majorBidi"/>
          <w:color w:val="000000" w:themeColor="text1"/>
          <w:sz w:val="20"/>
          <w:szCs w:val="20"/>
          <w:lang w:val="en-US"/>
        </w:rPr>
      </w:pPr>
      <w:r w:rsidRPr="006E0332">
        <w:rPr>
          <w:rFonts w:asciiTheme="majorBidi" w:hAnsiTheme="majorBidi" w:cstheme="majorBidi"/>
          <w:color w:val="000000" w:themeColor="text1"/>
          <w:sz w:val="20"/>
          <w:szCs w:val="20"/>
        </w:rPr>
        <w:t>Key performance metrics shall be the Percent of Candidates that Complete Security Training, the Percent of Candidates that Click on Phishing Simulation, the Percent of Security Incidents Reported and Enhancement of Security Awareness Assessment Score. Results will be reviewed quarterly and will help inform programme improvements</w:t>
      </w:r>
      <w:r w:rsidRPr="006E0332">
        <w:rPr>
          <w:rFonts w:asciiTheme="majorBidi" w:hAnsiTheme="majorBidi" w:cstheme="majorBidi"/>
          <w:color w:val="000000" w:themeColor="text1"/>
          <w:sz w:val="20"/>
          <w:szCs w:val="20"/>
          <w:lang w:val="en-US"/>
        </w:rPr>
        <w:t xml:space="preserve">. </w:t>
      </w:r>
    </w:p>
    <w:p w14:paraId="4CACFFF9" w14:textId="77777777" w:rsidR="006E0332" w:rsidRPr="006E0332" w:rsidRDefault="006E0332" w:rsidP="006E0332">
      <w:pPr>
        <w:pStyle w:val="Heading1"/>
        <w:spacing w:line="360" w:lineRule="auto"/>
        <w:rPr>
          <w:rFonts w:asciiTheme="majorBidi" w:hAnsiTheme="majorBidi"/>
          <w:b/>
          <w:bCs/>
          <w:color w:val="000000" w:themeColor="text1"/>
          <w:sz w:val="20"/>
          <w:szCs w:val="20"/>
        </w:rPr>
      </w:pPr>
      <w:bookmarkStart w:id="25" w:name="_Toc235580885"/>
      <w:r w:rsidRPr="006E0332">
        <w:rPr>
          <w:rFonts w:asciiTheme="majorBidi" w:hAnsiTheme="majorBidi"/>
          <w:b/>
          <w:bCs/>
          <w:color w:val="000000" w:themeColor="text1"/>
          <w:sz w:val="20"/>
          <w:szCs w:val="20"/>
        </w:rPr>
        <w:t>7. Conclusion</w:t>
      </w:r>
      <w:bookmarkEnd w:id="25"/>
    </w:p>
    <w:p w14:paraId="23E4E473"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r w:rsidRPr="006E0332">
        <w:rPr>
          <w:rFonts w:asciiTheme="majorBidi" w:hAnsiTheme="majorBidi" w:cstheme="majorBidi"/>
          <w:color w:val="000000" w:themeColor="text1"/>
          <w:sz w:val="20"/>
          <w:szCs w:val="20"/>
        </w:rPr>
        <w:t>SteelForm Manufacturing Ltd is at a major risk from cyber security threats, which must be addressed in a comprehensive, multi-layered strategy combining strong policies, technical countermeasures, regular monitoring and robust and complete workforce training. The recommendations from this report, such as network segmentation, privileged access, vulnerability management, ongoing monitoring, and an incident response plan, can help SFM improve their security stance on both internal and external threats.</w:t>
      </w:r>
    </w:p>
    <w:p w14:paraId="1F1CE652" w14:textId="77777777" w:rsidR="006E0332" w:rsidRPr="006E0332" w:rsidRDefault="006E0332" w:rsidP="006E0332">
      <w:pPr>
        <w:pStyle w:val="Heading1"/>
        <w:spacing w:line="360" w:lineRule="auto"/>
        <w:rPr>
          <w:rFonts w:asciiTheme="majorBidi" w:hAnsiTheme="majorBidi"/>
          <w:b/>
          <w:bCs/>
          <w:color w:val="auto"/>
          <w:sz w:val="20"/>
          <w:szCs w:val="20"/>
        </w:rPr>
        <w:sectPr w:rsidR="006E0332" w:rsidRPr="006E0332" w:rsidSect="006E0332">
          <w:type w:val="continuous"/>
          <w:pgSz w:w="11906" w:h="16838"/>
          <w:pgMar w:top="1440" w:right="1440" w:bottom="1440" w:left="1440" w:header="708" w:footer="708" w:gutter="0"/>
          <w:cols w:num="2" w:space="708"/>
          <w:docGrid w:linePitch="360"/>
        </w:sectPr>
      </w:pPr>
      <w:bookmarkStart w:id="26" w:name="_Toc235580886"/>
    </w:p>
    <w:p w14:paraId="32BCA9C3" w14:textId="77777777" w:rsidR="006E0332" w:rsidRPr="006E0332" w:rsidRDefault="006E0332" w:rsidP="006E0332">
      <w:pPr>
        <w:pStyle w:val="Heading1"/>
        <w:spacing w:line="360" w:lineRule="auto"/>
        <w:rPr>
          <w:rFonts w:asciiTheme="majorBidi" w:hAnsiTheme="majorBidi"/>
          <w:b/>
          <w:bCs/>
          <w:color w:val="auto"/>
          <w:sz w:val="20"/>
          <w:szCs w:val="20"/>
        </w:rPr>
      </w:pPr>
      <w:r w:rsidRPr="006E0332">
        <w:rPr>
          <w:rFonts w:asciiTheme="majorBidi" w:hAnsiTheme="majorBidi"/>
          <w:b/>
          <w:bCs/>
          <w:color w:val="auto"/>
          <w:sz w:val="20"/>
          <w:szCs w:val="20"/>
        </w:rPr>
        <w:t>References</w:t>
      </w:r>
      <w:bookmarkEnd w:id="26"/>
    </w:p>
    <w:p w14:paraId="39E09098"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sz w:val="20"/>
          <w:szCs w:val="20"/>
        </w:rPr>
        <w:t xml:space="preserve">[1] Fitri, R. D., Hilman, M., &amp; Yazid, S. (2025). Improving password policy strategies: a government employee perspective. </w:t>
      </w:r>
      <w:r w:rsidRPr="006E0332">
        <w:rPr>
          <w:rFonts w:asciiTheme="majorBidi" w:hAnsiTheme="majorBidi" w:cstheme="majorBidi"/>
          <w:i/>
          <w:sz w:val="20"/>
          <w:szCs w:val="20"/>
        </w:rPr>
        <w:t>Information &amp; Computer Security</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33</w:t>
      </w:r>
      <w:r w:rsidRPr="006E0332">
        <w:rPr>
          <w:rFonts w:asciiTheme="majorBidi" w:hAnsiTheme="majorBidi" w:cstheme="majorBidi"/>
          <w:sz w:val="20"/>
          <w:szCs w:val="20"/>
        </w:rPr>
        <w:t xml:space="preserve">(4), 547–572. </w:t>
      </w:r>
    </w:p>
    <w:p w14:paraId="4FCDD806"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[2] </w:t>
      </w:r>
      <w:r w:rsidRPr="006E0332">
        <w:rPr>
          <w:rFonts w:asciiTheme="majorBidi" w:hAnsiTheme="majorBidi" w:cstheme="majorBidi"/>
          <w:sz w:val="20"/>
          <w:szCs w:val="20"/>
        </w:rPr>
        <w:t xml:space="preserve">Ehuan, A., &amp; Kaur, G. (2025). Cybersecurity Implications of IT and OT Convergence. </w:t>
      </w:r>
      <w:r w:rsidRPr="006E0332">
        <w:rPr>
          <w:rFonts w:asciiTheme="majorBidi" w:hAnsiTheme="majorBidi" w:cstheme="majorBidi"/>
          <w:i/>
          <w:sz w:val="20"/>
          <w:szCs w:val="20"/>
        </w:rPr>
        <w:t>Chemical Engineering</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122</w:t>
      </w:r>
      <w:r w:rsidRPr="006E0332">
        <w:rPr>
          <w:rFonts w:asciiTheme="majorBidi" w:hAnsiTheme="majorBidi" w:cstheme="majorBidi"/>
          <w:sz w:val="20"/>
          <w:szCs w:val="20"/>
        </w:rPr>
        <w:t xml:space="preserve">(3). </w:t>
      </w:r>
    </w:p>
    <w:p w14:paraId="26E52F4B"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[3] </w:t>
      </w:r>
      <w:r w:rsidRPr="006E0332">
        <w:rPr>
          <w:rFonts w:asciiTheme="majorBidi" w:hAnsiTheme="majorBidi" w:cstheme="majorBidi"/>
          <w:sz w:val="20"/>
          <w:szCs w:val="20"/>
        </w:rPr>
        <w:t xml:space="preserve">Lishchynsky, M. (2025). The Insider Threat: A Socio-Technical Analysis of Preventing Data Breaches and Espionage Within </w:t>
      </w:r>
      <w:r w:rsidRPr="006E0332">
        <w:rPr>
          <w:rFonts w:asciiTheme="majorBidi" w:hAnsiTheme="majorBidi" w:cstheme="majorBidi"/>
          <w:sz w:val="20"/>
          <w:szCs w:val="20"/>
        </w:rPr>
        <w:t xml:space="preserve">Governmental Agencies. </w:t>
      </w:r>
      <w:r w:rsidRPr="006E0332">
        <w:rPr>
          <w:rFonts w:asciiTheme="majorBidi" w:hAnsiTheme="majorBidi" w:cstheme="majorBidi"/>
          <w:i/>
          <w:sz w:val="20"/>
          <w:szCs w:val="20"/>
        </w:rPr>
        <w:t>Politics &amp; Security</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12</w:t>
      </w:r>
      <w:r w:rsidRPr="006E0332">
        <w:rPr>
          <w:rFonts w:asciiTheme="majorBidi" w:hAnsiTheme="majorBidi" w:cstheme="majorBidi"/>
          <w:sz w:val="20"/>
          <w:szCs w:val="20"/>
        </w:rPr>
        <w:t xml:space="preserve">(2), 88–103. </w:t>
      </w:r>
    </w:p>
    <w:p w14:paraId="41540898"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[4] </w:t>
      </w:r>
      <w:r w:rsidRPr="006E0332">
        <w:rPr>
          <w:rFonts w:asciiTheme="majorBidi" w:hAnsiTheme="majorBidi" w:cstheme="majorBidi"/>
          <w:sz w:val="20"/>
          <w:szCs w:val="20"/>
        </w:rPr>
        <w:t xml:space="preserve">Schwarcz, D., Wolff, J., &amp; Woods, D. W. (2022). How privilege undermines cybersecurity. </w:t>
      </w:r>
      <w:r w:rsidRPr="006E0332">
        <w:rPr>
          <w:rFonts w:asciiTheme="majorBidi" w:hAnsiTheme="majorBidi" w:cstheme="majorBidi"/>
          <w:i/>
          <w:sz w:val="20"/>
          <w:szCs w:val="20"/>
        </w:rPr>
        <w:t>Harv. JL &amp; Tech.</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36</w:t>
      </w:r>
      <w:r w:rsidRPr="006E0332">
        <w:rPr>
          <w:rFonts w:asciiTheme="majorBidi" w:hAnsiTheme="majorBidi" w:cstheme="majorBidi"/>
          <w:sz w:val="20"/>
          <w:szCs w:val="20"/>
        </w:rPr>
        <w:t xml:space="preserve">, 421. </w:t>
      </w:r>
    </w:p>
    <w:p w14:paraId="4FDA7979"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[5] </w:t>
      </w:r>
      <w:r w:rsidRPr="006E0332">
        <w:rPr>
          <w:rFonts w:asciiTheme="majorBidi" w:hAnsiTheme="majorBidi" w:cstheme="majorBidi"/>
          <w:sz w:val="20"/>
          <w:szCs w:val="20"/>
        </w:rPr>
        <w:t xml:space="preserve">Mushtaq, S., &amp; Shah, M. (2025). Threats to the digital ecosystem: Can information security management frameworks, guided by criminological literature, effectively prevent cybercrime and protect public data? </w:t>
      </w:r>
      <w:r w:rsidRPr="006E0332">
        <w:rPr>
          <w:rFonts w:asciiTheme="majorBidi" w:hAnsiTheme="majorBidi" w:cstheme="majorBidi"/>
          <w:i/>
          <w:sz w:val="20"/>
          <w:szCs w:val="20"/>
        </w:rPr>
        <w:t>Computers</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14</w:t>
      </w:r>
      <w:r w:rsidRPr="006E0332">
        <w:rPr>
          <w:rFonts w:asciiTheme="majorBidi" w:hAnsiTheme="majorBidi" w:cstheme="majorBidi"/>
          <w:sz w:val="20"/>
          <w:szCs w:val="20"/>
        </w:rPr>
        <w:t xml:space="preserve">(6), 219. </w:t>
      </w:r>
    </w:p>
    <w:p w14:paraId="0B72F106"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[6] </w:t>
      </w:r>
      <w:r w:rsidRPr="006E0332">
        <w:rPr>
          <w:rFonts w:asciiTheme="majorBidi" w:hAnsiTheme="majorBidi" w:cstheme="majorBidi"/>
          <w:sz w:val="20"/>
          <w:szCs w:val="20"/>
        </w:rPr>
        <w:t xml:space="preserve">Plachkinova, M., &amp; Knapp, K. (2023). Least privilege across people, process, and technology: endpoint security framework. </w:t>
      </w:r>
      <w:r w:rsidRPr="006E0332">
        <w:rPr>
          <w:rFonts w:asciiTheme="majorBidi" w:hAnsiTheme="majorBidi" w:cstheme="majorBidi"/>
          <w:i/>
          <w:sz w:val="20"/>
          <w:szCs w:val="20"/>
        </w:rPr>
        <w:lastRenderedPageBreak/>
        <w:t>Journal of Computer Information Systems</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63</w:t>
      </w:r>
      <w:r w:rsidRPr="006E0332">
        <w:rPr>
          <w:rFonts w:asciiTheme="majorBidi" w:hAnsiTheme="majorBidi" w:cstheme="majorBidi"/>
          <w:sz w:val="20"/>
          <w:szCs w:val="20"/>
        </w:rPr>
        <w:t xml:space="preserve">(5), 1153–1165. </w:t>
      </w:r>
    </w:p>
    <w:p w14:paraId="53953364"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[7] </w:t>
      </w:r>
      <w:r w:rsidRPr="006E0332">
        <w:rPr>
          <w:rFonts w:asciiTheme="majorBidi" w:hAnsiTheme="majorBidi" w:cstheme="majorBidi"/>
          <w:sz w:val="20"/>
          <w:szCs w:val="20"/>
        </w:rPr>
        <w:t xml:space="preserve">Freet, D., &amp; Agrawal, R. (2022). Cyber espionage. In </w:t>
      </w:r>
      <w:r w:rsidRPr="006E0332">
        <w:rPr>
          <w:rFonts w:asciiTheme="majorBidi" w:hAnsiTheme="majorBidi" w:cstheme="majorBidi"/>
          <w:i/>
          <w:sz w:val="20"/>
          <w:szCs w:val="20"/>
        </w:rPr>
        <w:t>Encyclopedia of Big Data</w:t>
      </w:r>
      <w:r w:rsidRPr="006E0332">
        <w:rPr>
          <w:rFonts w:asciiTheme="majorBidi" w:hAnsiTheme="majorBidi" w:cstheme="majorBidi"/>
          <w:sz w:val="20"/>
          <w:szCs w:val="20"/>
        </w:rPr>
        <w:t xml:space="preserve"> (pp. 242–246). Springer. </w:t>
      </w:r>
    </w:p>
    <w:p w14:paraId="1DE176B8"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[8] </w:t>
      </w:r>
      <w:r w:rsidRPr="006E0332">
        <w:rPr>
          <w:rFonts w:asciiTheme="majorBidi" w:hAnsiTheme="majorBidi" w:cstheme="majorBidi"/>
          <w:sz w:val="20"/>
          <w:szCs w:val="20"/>
        </w:rPr>
        <w:t xml:space="preserve">Alcaraz, C., &amp; Zeadally, S. (2015). Critical infrastructure protection: Requirements and challenges for the 21st century. </w:t>
      </w:r>
      <w:r w:rsidRPr="006E0332">
        <w:rPr>
          <w:rFonts w:asciiTheme="majorBidi" w:hAnsiTheme="majorBidi" w:cstheme="majorBidi"/>
          <w:i/>
          <w:sz w:val="20"/>
          <w:szCs w:val="20"/>
        </w:rPr>
        <w:t>International journal of critical infrastructure protection</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8</w:t>
      </w:r>
      <w:r w:rsidRPr="006E0332">
        <w:rPr>
          <w:rFonts w:asciiTheme="majorBidi" w:hAnsiTheme="majorBidi" w:cstheme="majorBidi"/>
          <w:sz w:val="20"/>
          <w:szCs w:val="20"/>
        </w:rPr>
        <w:t xml:space="preserve">, 53–66. </w:t>
      </w:r>
    </w:p>
    <w:p w14:paraId="6D944031"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[9] </w:t>
      </w:r>
      <w:r w:rsidRPr="006E0332">
        <w:rPr>
          <w:rFonts w:asciiTheme="majorBidi" w:hAnsiTheme="majorBidi" w:cstheme="majorBidi"/>
          <w:sz w:val="20"/>
          <w:szCs w:val="20"/>
        </w:rPr>
        <w:t xml:space="preserve">Dalal, A. (2023). Building comprehensive cybersecurity policies to protect sensitive data in the digital era. </w:t>
      </w:r>
      <w:r w:rsidRPr="006E0332">
        <w:rPr>
          <w:rFonts w:asciiTheme="majorBidi" w:hAnsiTheme="majorBidi" w:cstheme="majorBidi"/>
          <w:i/>
          <w:sz w:val="20"/>
          <w:szCs w:val="20"/>
        </w:rPr>
        <w:t>Available at SSRN 5424094</w:t>
      </w:r>
      <w:r w:rsidRPr="006E0332">
        <w:rPr>
          <w:rFonts w:asciiTheme="majorBidi" w:hAnsiTheme="majorBidi" w:cstheme="majorBidi"/>
          <w:sz w:val="20"/>
          <w:szCs w:val="20"/>
        </w:rPr>
        <w:t xml:space="preserve">. </w:t>
      </w:r>
    </w:p>
    <w:p w14:paraId="34B646FB"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p>
    <w:p w14:paraId="7717EFDB"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rPr>
        <w:t xml:space="preserve">[10] </w:t>
      </w:r>
      <w:r w:rsidRPr="006E0332">
        <w:rPr>
          <w:rFonts w:asciiTheme="majorBidi" w:hAnsiTheme="majorBidi" w:cstheme="majorBidi"/>
          <w:sz w:val="20"/>
          <w:szCs w:val="20"/>
        </w:rPr>
        <w:t xml:space="preserve">da Silva Brum, M. C., Solana-González, P., &amp; Vanti, A. A. (2023). Influence of internal controls to risk mitigation: A focus on compliance of accounting information. </w:t>
      </w:r>
      <w:r w:rsidRPr="006E0332">
        <w:rPr>
          <w:rFonts w:asciiTheme="majorBidi" w:hAnsiTheme="majorBidi" w:cstheme="majorBidi"/>
          <w:i/>
          <w:sz w:val="20"/>
          <w:szCs w:val="20"/>
        </w:rPr>
        <w:t>Contabilidad y Negocios</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18</w:t>
      </w:r>
      <w:r w:rsidRPr="006E0332">
        <w:rPr>
          <w:rFonts w:asciiTheme="majorBidi" w:hAnsiTheme="majorBidi" w:cstheme="majorBidi"/>
          <w:sz w:val="20"/>
          <w:szCs w:val="20"/>
        </w:rPr>
        <w:t xml:space="preserve">(36), 139–160. </w:t>
      </w:r>
    </w:p>
    <w:p w14:paraId="6C59A030"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CA6257">
        <w:rPr>
          <w:rFonts w:asciiTheme="majorBidi" w:hAnsiTheme="majorBidi" w:cstheme="majorBidi"/>
          <w:color w:val="000000" w:themeColor="text1"/>
          <w:sz w:val="20"/>
          <w:szCs w:val="20"/>
          <w:lang w:val="es-ES"/>
        </w:rPr>
        <w:t xml:space="preserve">[11] </w:t>
      </w:r>
      <w:r w:rsidRPr="006E0332">
        <w:rPr>
          <w:rFonts w:asciiTheme="majorBidi" w:hAnsiTheme="majorBidi" w:cstheme="majorBidi"/>
          <w:sz w:val="20"/>
          <w:szCs w:val="20"/>
        </w:rPr>
        <w:t xml:space="preserve">Bada, M., Sasse, A. M., &amp; Nurse, J. R. (2019). Cyber security awareness campaigns: Why do they fail to change behaviour? </w:t>
      </w:r>
      <w:r w:rsidRPr="006E0332">
        <w:rPr>
          <w:rFonts w:asciiTheme="majorBidi" w:hAnsiTheme="majorBidi" w:cstheme="majorBidi"/>
          <w:i/>
          <w:sz w:val="20"/>
          <w:szCs w:val="20"/>
        </w:rPr>
        <w:t>arXiv preprint arXiv:1901.02672</w:t>
      </w:r>
      <w:r w:rsidRPr="006E0332">
        <w:rPr>
          <w:rFonts w:asciiTheme="majorBidi" w:hAnsiTheme="majorBidi" w:cstheme="majorBidi"/>
          <w:sz w:val="20"/>
          <w:szCs w:val="20"/>
        </w:rPr>
        <w:t xml:space="preserve">. </w:t>
      </w:r>
    </w:p>
    <w:p w14:paraId="4563468D"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lang w:val="en-US"/>
        </w:rPr>
        <w:t xml:space="preserve">[12] </w:t>
      </w:r>
      <w:r w:rsidRPr="006E0332">
        <w:rPr>
          <w:rFonts w:asciiTheme="majorBidi" w:hAnsiTheme="majorBidi" w:cstheme="majorBidi"/>
          <w:sz w:val="20"/>
          <w:szCs w:val="20"/>
        </w:rPr>
        <w:t xml:space="preserve">Mohammed, A. (2023). SOC Audits in Action: Best Practices for Strengthening Threat Detection and Ensuring Compliance. </w:t>
      </w:r>
      <w:r w:rsidRPr="006E0332">
        <w:rPr>
          <w:rFonts w:asciiTheme="majorBidi" w:hAnsiTheme="majorBidi" w:cstheme="majorBidi"/>
          <w:i/>
          <w:sz w:val="20"/>
          <w:szCs w:val="20"/>
        </w:rPr>
        <w:t>Baltic Journal of Engineering and Technology</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2</w:t>
      </w:r>
      <w:r w:rsidRPr="006E0332">
        <w:rPr>
          <w:rFonts w:asciiTheme="majorBidi" w:hAnsiTheme="majorBidi" w:cstheme="majorBidi"/>
          <w:sz w:val="20"/>
          <w:szCs w:val="20"/>
        </w:rPr>
        <w:t xml:space="preserve">(1), 62–69. </w:t>
      </w:r>
    </w:p>
    <w:p w14:paraId="0C966578"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lang w:val="en-US"/>
        </w:rPr>
        <w:t xml:space="preserve">[13] </w:t>
      </w:r>
      <w:r w:rsidRPr="006E0332">
        <w:rPr>
          <w:rFonts w:asciiTheme="majorBidi" w:hAnsiTheme="majorBidi" w:cstheme="majorBidi"/>
          <w:sz w:val="20"/>
          <w:szCs w:val="20"/>
        </w:rPr>
        <w:t xml:space="preserve">Morić, Z., Dakić, V., Kapulica, A., &amp; Redžepagić, J. (2025). Best Practices for Incident Response Changes with NIST CSF 2.0. 2025 10th International Conference on Cloud Computing and Big Data Analytics (ICCCBDA), </w:t>
      </w:r>
    </w:p>
    <w:p w14:paraId="00BF62B2"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lang w:val="en-US"/>
        </w:rPr>
        <w:t xml:space="preserve">[14] </w:t>
      </w:r>
      <w:r w:rsidRPr="006E0332">
        <w:rPr>
          <w:rFonts w:asciiTheme="majorBidi" w:hAnsiTheme="majorBidi" w:cstheme="majorBidi"/>
          <w:sz w:val="20"/>
          <w:szCs w:val="20"/>
        </w:rPr>
        <w:t xml:space="preserve">Parmar, M., &amp; Miles, A. (2024). Cyber security frameworks (CSFs): An assessment between the NIST CSF v2. 0 and EU standards. 2024 Security for Space Systems (3S), </w:t>
      </w:r>
    </w:p>
    <w:p w14:paraId="4939FFAF"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lang w:val="en-US"/>
        </w:rPr>
        <w:t xml:space="preserve">[15] </w:t>
      </w:r>
      <w:r w:rsidRPr="006E0332">
        <w:rPr>
          <w:rFonts w:asciiTheme="majorBidi" w:hAnsiTheme="majorBidi" w:cstheme="majorBidi"/>
          <w:sz w:val="20"/>
          <w:szCs w:val="20"/>
        </w:rPr>
        <w:t xml:space="preserve">NIST. (2026). </w:t>
      </w:r>
      <w:r w:rsidRPr="006E0332">
        <w:rPr>
          <w:rFonts w:asciiTheme="majorBidi" w:hAnsiTheme="majorBidi" w:cstheme="majorBidi"/>
          <w:i/>
          <w:sz w:val="20"/>
          <w:szCs w:val="20"/>
        </w:rPr>
        <w:t>Cybersecurity Framework</w:t>
      </w:r>
      <w:r w:rsidRPr="006E0332">
        <w:rPr>
          <w:rFonts w:asciiTheme="majorBidi" w:hAnsiTheme="majorBidi" w:cstheme="majorBidi"/>
          <w:sz w:val="20"/>
          <w:szCs w:val="20"/>
        </w:rPr>
        <w:t>. https://www.nist.gov/cyberframework</w:t>
      </w:r>
    </w:p>
    <w:p w14:paraId="5112BF2E"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lang w:val="en-US"/>
        </w:rPr>
        <w:t xml:space="preserve">[16] </w:t>
      </w:r>
      <w:r w:rsidRPr="006E0332">
        <w:rPr>
          <w:rFonts w:asciiTheme="majorBidi" w:hAnsiTheme="majorBidi" w:cstheme="majorBidi"/>
          <w:sz w:val="20"/>
          <w:szCs w:val="20"/>
        </w:rPr>
        <w:t xml:space="preserve">Fagbule, O. (2023). </w:t>
      </w:r>
      <w:r w:rsidRPr="006E0332">
        <w:rPr>
          <w:rFonts w:asciiTheme="majorBidi" w:hAnsiTheme="majorBidi" w:cstheme="majorBidi"/>
          <w:i/>
          <w:sz w:val="20"/>
          <w:szCs w:val="20"/>
        </w:rPr>
        <w:t>Cyber security training in small to medium-sized enterprises (SMEs): Exploring organisation culture and employee training needs</w:t>
      </w:r>
      <w:r w:rsidRPr="006E0332">
        <w:rPr>
          <w:rFonts w:asciiTheme="majorBidi" w:hAnsiTheme="majorBidi" w:cstheme="majorBidi"/>
          <w:sz w:val="20"/>
          <w:szCs w:val="20"/>
        </w:rPr>
        <w:t xml:space="preserve"> Bournemouth University]. </w:t>
      </w:r>
    </w:p>
    <w:p w14:paraId="573D2E83" w14:textId="77777777" w:rsidR="006E0332" w:rsidRPr="006E0332" w:rsidRDefault="006E0332" w:rsidP="006E0332">
      <w:pPr>
        <w:pStyle w:val="EndNoteBibliography"/>
        <w:spacing w:line="360" w:lineRule="auto"/>
        <w:ind w:left="720" w:hanging="720"/>
        <w:rPr>
          <w:rFonts w:asciiTheme="majorBidi" w:hAnsiTheme="majorBidi" w:cstheme="majorBidi"/>
          <w:sz w:val="20"/>
          <w:szCs w:val="20"/>
        </w:rPr>
      </w:pPr>
      <w:r w:rsidRPr="006E0332">
        <w:rPr>
          <w:rFonts w:asciiTheme="majorBidi" w:hAnsiTheme="majorBidi" w:cstheme="majorBidi"/>
          <w:sz w:val="20"/>
          <w:szCs w:val="20"/>
        </w:rPr>
        <w:t xml:space="preserve"> </w:t>
      </w:r>
      <w:r w:rsidRPr="006E0332">
        <w:rPr>
          <w:rFonts w:asciiTheme="majorBidi" w:hAnsiTheme="majorBidi" w:cstheme="majorBidi"/>
          <w:color w:val="000000" w:themeColor="text1"/>
          <w:sz w:val="20"/>
          <w:szCs w:val="20"/>
          <w:lang w:val="en-US"/>
        </w:rPr>
        <w:t xml:space="preserve">[17] </w:t>
      </w:r>
      <w:r w:rsidRPr="006E0332">
        <w:rPr>
          <w:rFonts w:asciiTheme="majorBidi" w:hAnsiTheme="majorBidi" w:cstheme="majorBidi"/>
          <w:sz w:val="20"/>
          <w:szCs w:val="20"/>
        </w:rPr>
        <w:t xml:space="preserve">Ussher-Eke, D. (2023). From Awareness to Action: Designing effective cybersecurity training programs. </w:t>
      </w:r>
      <w:r w:rsidRPr="006E0332">
        <w:rPr>
          <w:rFonts w:asciiTheme="majorBidi" w:hAnsiTheme="majorBidi" w:cstheme="majorBidi"/>
          <w:i/>
          <w:sz w:val="20"/>
          <w:szCs w:val="20"/>
        </w:rPr>
        <w:t>International Journal of Science and Research Archive</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16</w:t>
      </w:r>
      <w:r w:rsidRPr="006E0332">
        <w:rPr>
          <w:rFonts w:asciiTheme="majorBidi" w:hAnsiTheme="majorBidi" w:cstheme="majorBidi"/>
          <w:sz w:val="20"/>
          <w:szCs w:val="20"/>
        </w:rPr>
        <w:t xml:space="preserve">, 494–504. </w:t>
      </w:r>
    </w:p>
    <w:p w14:paraId="612E3985" w14:textId="77777777" w:rsidR="006E0332" w:rsidRPr="006E0332" w:rsidRDefault="006E0332" w:rsidP="006E0332">
      <w:pPr>
        <w:pStyle w:val="EndNoteBibliography"/>
        <w:spacing w:after="0" w:line="360" w:lineRule="auto"/>
        <w:ind w:left="720" w:hanging="720"/>
        <w:rPr>
          <w:rFonts w:asciiTheme="majorBidi" w:hAnsiTheme="majorBidi" w:cstheme="majorBidi"/>
          <w:sz w:val="20"/>
          <w:szCs w:val="20"/>
        </w:rPr>
      </w:pPr>
      <w:r w:rsidRPr="006E0332">
        <w:rPr>
          <w:rFonts w:asciiTheme="majorBidi" w:hAnsiTheme="majorBidi" w:cstheme="majorBidi"/>
          <w:color w:val="000000" w:themeColor="text1"/>
          <w:sz w:val="20"/>
          <w:szCs w:val="20"/>
          <w:lang w:val="en-US"/>
        </w:rPr>
        <w:t xml:space="preserve">[18] </w:t>
      </w:r>
      <w:r w:rsidRPr="006E0332">
        <w:rPr>
          <w:rFonts w:asciiTheme="majorBidi" w:hAnsiTheme="majorBidi" w:cstheme="majorBidi"/>
          <w:sz w:val="20"/>
          <w:szCs w:val="20"/>
        </w:rPr>
        <w:t xml:space="preserve">Ahmad, A., Maynard, S. B., &amp; Park, S. (2014). Information security strategies: towards an organizational multi-strategy perspective. </w:t>
      </w:r>
      <w:r w:rsidRPr="006E0332">
        <w:rPr>
          <w:rFonts w:asciiTheme="majorBidi" w:hAnsiTheme="majorBidi" w:cstheme="majorBidi"/>
          <w:i/>
          <w:sz w:val="20"/>
          <w:szCs w:val="20"/>
        </w:rPr>
        <w:t>Journal of Intelligent Manufacturing</w:t>
      </w:r>
      <w:r w:rsidRPr="006E0332">
        <w:rPr>
          <w:rFonts w:asciiTheme="majorBidi" w:hAnsiTheme="majorBidi" w:cstheme="majorBidi"/>
          <w:sz w:val="20"/>
          <w:szCs w:val="20"/>
        </w:rPr>
        <w:t>,</w:t>
      </w:r>
      <w:r w:rsidRPr="006E0332">
        <w:rPr>
          <w:rFonts w:asciiTheme="majorBidi" w:hAnsiTheme="majorBidi" w:cstheme="majorBidi"/>
          <w:i/>
          <w:sz w:val="20"/>
          <w:szCs w:val="20"/>
        </w:rPr>
        <w:t xml:space="preserve"> 25</w:t>
      </w:r>
      <w:r w:rsidRPr="006E0332">
        <w:rPr>
          <w:rFonts w:asciiTheme="majorBidi" w:hAnsiTheme="majorBidi" w:cstheme="majorBidi"/>
          <w:sz w:val="20"/>
          <w:szCs w:val="20"/>
        </w:rPr>
        <w:t xml:space="preserve">(2), 357–370. </w:t>
      </w:r>
    </w:p>
    <w:p w14:paraId="15BC438D" w14:textId="77777777" w:rsidR="006E0332" w:rsidRPr="006E0332" w:rsidRDefault="006E0332" w:rsidP="006E0332">
      <w:pPr>
        <w:spacing w:line="360" w:lineRule="auto"/>
        <w:jc w:val="both"/>
        <w:rPr>
          <w:rFonts w:asciiTheme="majorBidi" w:hAnsiTheme="majorBidi" w:cstheme="majorBidi"/>
          <w:sz w:val="20"/>
          <w:szCs w:val="20"/>
        </w:rPr>
      </w:pPr>
    </w:p>
    <w:p w14:paraId="7278234E" w14:textId="77777777" w:rsidR="006E0332" w:rsidRPr="006E0332" w:rsidRDefault="006E0332" w:rsidP="006E0332">
      <w:pPr>
        <w:spacing w:line="360" w:lineRule="auto"/>
        <w:rPr>
          <w:rFonts w:asciiTheme="majorBidi" w:hAnsiTheme="majorBidi" w:cstheme="majorBidi"/>
          <w:sz w:val="20"/>
          <w:szCs w:val="20"/>
        </w:rPr>
        <w:sectPr w:rsidR="006E0332" w:rsidRPr="006E0332" w:rsidSect="006E0332">
          <w:type w:val="continuous"/>
          <w:pgSz w:w="11906" w:h="16838"/>
          <w:pgMar w:top="1440" w:right="1440" w:bottom="1440" w:left="1440" w:header="708" w:footer="708" w:gutter="0"/>
          <w:cols w:num="2" w:space="708"/>
          <w:docGrid w:linePitch="360"/>
        </w:sectPr>
      </w:pPr>
    </w:p>
    <w:p w14:paraId="05EF5230" w14:textId="77777777" w:rsidR="006E0332" w:rsidRPr="006E0332" w:rsidRDefault="006E0332" w:rsidP="006E0332">
      <w:pPr>
        <w:spacing w:line="360" w:lineRule="auto"/>
        <w:rPr>
          <w:rFonts w:asciiTheme="majorBidi" w:hAnsiTheme="majorBidi" w:cstheme="majorBidi"/>
          <w:sz w:val="20"/>
          <w:szCs w:val="20"/>
        </w:rPr>
      </w:pPr>
      <w:r w:rsidRPr="006E0332">
        <w:rPr>
          <w:rFonts w:asciiTheme="majorBidi" w:hAnsiTheme="majorBidi" w:cstheme="majorBidi"/>
          <w:sz w:val="20"/>
          <w:szCs w:val="20"/>
        </w:rPr>
        <w:br w:type="page"/>
      </w:r>
    </w:p>
    <w:p w14:paraId="4930AFD0" w14:textId="77777777" w:rsidR="006E0332" w:rsidRPr="006E0332" w:rsidRDefault="006E0332" w:rsidP="006E0332">
      <w:pPr>
        <w:pStyle w:val="Heading1"/>
        <w:spacing w:line="360" w:lineRule="auto"/>
        <w:rPr>
          <w:rFonts w:asciiTheme="majorBidi" w:hAnsiTheme="majorBidi"/>
          <w:b/>
          <w:bCs/>
          <w:color w:val="auto"/>
          <w:sz w:val="20"/>
          <w:szCs w:val="20"/>
        </w:rPr>
      </w:pPr>
      <w:bookmarkStart w:id="27" w:name="_Toc235580887"/>
      <w:r w:rsidRPr="006E0332">
        <w:rPr>
          <w:rFonts w:asciiTheme="majorBidi" w:hAnsiTheme="majorBidi"/>
          <w:b/>
          <w:bCs/>
          <w:color w:val="auto"/>
          <w:sz w:val="20"/>
          <w:szCs w:val="20"/>
        </w:rPr>
        <w:lastRenderedPageBreak/>
        <w:t>Appendix: Presentation</w:t>
      </w:r>
      <w:bookmarkEnd w:id="27"/>
    </w:p>
    <w:p w14:paraId="6BD59720" w14:textId="6BCAFC20"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drawing>
          <wp:inline distT="0" distB="0" distL="0" distR="0" wp14:anchorId="653740AC" wp14:editId="46E07546">
            <wp:extent cx="5731510" cy="3223895"/>
            <wp:effectExtent l="0" t="0" r="2540" b="0"/>
            <wp:docPr id="20613210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21093"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7C139B49" w14:textId="46FA2826"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drawing>
          <wp:inline distT="0" distB="0" distL="0" distR="0" wp14:anchorId="05E31273" wp14:editId="36F72BE2">
            <wp:extent cx="5731510" cy="3223895"/>
            <wp:effectExtent l="0" t="0" r="2540" b="0"/>
            <wp:docPr id="767598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980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73938AE" w14:textId="3BB41354"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lastRenderedPageBreak/>
        <w:drawing>
          <wp:inline distT="0" distB="0" distL="0" distR="0" wp14:anchorId="06565A5B" wp14:editId="67F68E41">
            <wp:extent cx="5731510" cy="3223895"/>
            <wp:effectExtent l="0" t="0" r="2540" b="0"/>
            <wp:docPr id="4141552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5522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9403A1D" w14:textId="65560CA4"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drawing>
          <wp:inline distT="0" distB="0" distL="0" distR="0" wp14:anchorId="312FE345" wp14:editId="0066044A">
            <wp:extent cx="5731510" cy="3223895"/>
            <wp:effectExtent l="0" t="0" r="2540" b="0"/>
            <wp:docPr id="12636512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5122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00022848" w14:textId="6F6A8BC1"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lastRenderedPageBreak/>
        <w:drawing>
          <wp:inline distT="0" distB="0" distL="0" distR="0" wp14:anchorId="65804DDE" wp14:editId="72178D91">
            <wp:extent cx="5731510" cy="3223895"/>
            <wp:effectExtent l="0" t="0" r="2540" b="0"/>
            <wp:docPr id="1349672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7282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DCFF90B" w14:textId="59EB16E4"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drawing>
          <wp:inline distT="0" distB="0" distL="0" distR="0" wp14:anchorId="2ADA0285" wp14:editId="78CB9ABA">
            <wp:extent cx="5731510" cy="3223895"/>
            <wp:effectExtent l="0" t="0" r="2540" b="0"/>
            <wp:docPr id="1545534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340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E91FF40" w14:textId="1A261F57"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lastRenderedPageBreak/>
        <w:drawing>
          <wp:inline distT="0" distB="0" distL="0" distR="0" wp14:anchorId="438CFA03" wp14:editId="695C2603">
            <wp:extent cx="5731510" cy="3223895"/>
            <wp:effectExtent l="0" t="0" r="2540" b="0"/>
            <wp:docPr id="9509118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1181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1FA2360" w14:textId="5757EB2D"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drawing>
          <wp:inline distT="0" distB="0" distL="0" distR="0" wp14:anchorId="62E5F6A9" wp14:editId="39977C37">
            <wp:extent cx="5731510" cy="3223895"/>
            <wp:effectExtent l="0" t="0" r="2540" b="0"/>
            <wp:docPr id="17476865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8653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142BEDA6"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2386816A" w14:textId="05A604DB"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lastRenderedPageBreak/>
        <w:drawing>
          <wp:inline distT="0" distB="0" distL="0" distR="0" wp14:anchorId="4D14F776" wp14:editId="2CB32995">
            <wp:extent cx="5731510" cy="3223895"/>
            <wp:effectExtent l="0" t="0" r="2540" b="0"/>
            <wp:docPr id="2605731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7314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7A1F95BF" w14:textId="504A19E0"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drawing>
          <wp:inline distT="0" distB="0" distL="0" distR="0" wp14:anchorId="45CF87DC" wp14:editId="78BA6787">
            <wp:extent cx="5731510" cy="3223895"/>
            <wp:effectExtent l="0" t="0" r="2540" b="0"/>
            <wp:docPr id="15134216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2164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28C0C337" w14:textId="635C8260"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lastRenderedPageBreak/>
        <w:drawing>
          <wp:inline distT="0" distB="0" distL="0" distR="0" wp14:anchorId="6F028207" wp14:editId="3BAA5897">
            <wp:extent cx="5731510" cy="3223895"/>
            <wp:effectExtent l="0" t="0" r="2540" b="0"/>
            <wp:docPr id="1835054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05400"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060DCE28" w14:textId="625E3495" w:rsidR="006E0332" w:rsidRPr="006E0332" w:rsidRDefault="005F6BD0" w:rsidP="006E0332">
      <w:pPr>
        <w:spacing w:line="360" w:lineRule="auto"/>
        <w:jc w:val="both"/>
        <w:rPr>
          <w:rFonts w:asciiTheme="majorBidi" w:hAnsiTheme="majorBidi" w:cstheme="majorBidi"/>
          <w:color w:val="000000" w:themeColor="text1"/>
          <w:sz w:val="20"/>
          <w:szCs w:val="20"/>
        </w:rPr>
      </w:pPr>
      <w:r>
        <w:rPr>
          <w:noProof/>
        </w:rPr>
        <w:drawing>
          <wp:inline distT="0" distB="0" distL="0" distR="0" wp14:anchorId="53141D48" wp14:editId="48E08195">
            <wp:extent cx="5731510" cy="3223895"/>
            <wp:effectExtent l="0" t="0" r="2540" b="0"/>
            <wp:docPr id="19076401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64017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5AAA7858" w14:textId="7469DFBE" w:rsidR="006E0332" w:rsidRPr="006E0332" w:rsidRDefault="006E0332" w:rsidP="006E0332">
      <w:pPr>
        <w:spacing w:line="360" w:lineRule="auto"/>
        <w:jc w:val="both"/>
        <w:rPr>
          <w:rFonts w:asciiTheme="majorBidi" w:hAnsiTheme="majorBidi" w:cstheme="majorBidi"/>
          <w:color w:val="000000" w:themeColor="text1"/>
          <w:sz w:val="20"/>
          <w:szCs w:val="20"/>
        </w:rPr>
      </w:pPr>
    </w:p>
    <w:p w14:paraId="58D7C16D"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68245D4B"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561BF943" w14:textId="1CB9703D" w:rsidR="006E0332" w:rsidRPr="006E0332" w:rsidRDefault="006E0332" w:rsidP="006E0332">
      <w:pPr>
        <w:spacing w:line="360" w:lineRule="auto"/>
        <w:jc w:val="both"/>
        <w:rPr>
          <w:rFonts w:asciiTheme="majorBidi" w:hAnsiTheme="majorBidi" w:cstheme="majorBidi"/>
          <w:color w:val="000000" w:themeColor="text1"/>
          <w:sz w:val="20"/>
          <w:szCs w:val="20"/>
        </w:rPr>
      </w:pPr>
    </w:p>
    <w:p w14:paraId="0A365237"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60FCB769" w14:textId="1113A383" w:rsidR="006E0332" w:rsidRPr="006E0332" w:rsidRDefault="006E0332" w:rsidP="006E0332">
      <w:pPr>
        <w:spacing w:line="360" w:lineRule="auto"/>
        <w:jc w:val="both"/>
        <w:rPr>
          <w:rFonts w:asciiTheme="majorBidi" w:hAnsiTheme="majorBidi" w:cstheme="majorBidi"/>
          <w:color w:val="000000" w:themeColor="text1"/>
          <w:sz w:val="20"/>
          <w:szCs w:val="20"/>
        </w:rPr>
      </w:pPr>
    </w:p>
    <w:p w14:paraId="5A151028"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7519C6A3" w14:textId="397499C7" w:rsidR="006E0332" w:rsidRPr="006E0332" w:rsidRDefault="006E0332" w:rsidP="006E0332">
      <w:pPr>
        <w:spacing w:line="360" w:lineRule="auto"/>
        <w:jc w:val="both"/>
        <w:rPr>
          <w:rFonts w:asciiTheme="majorBidi" w:hAnsiTheme="majorBidi" w:cstheme="majorBidi"/>
          <w:color w:val="000000" w:themeColor="text1"/>
          <w:sz w:val="20"/>
          <w:szCs w:val="20"/>
        </w:rPr>
      </w:pPr>
    </w:p>
    <w:p w14:paraId="78E661EF"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3947FE71"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19F90F31" w14:textId="493C422E" w:rsidR="006E0332" w:rsidRPr="006E0332" w:rsidRDefault="006E0332" w:rsidP="006E0332">
      <w:pPr>
        <w:spacing w:line="360" w:lineRule="auto"/>
        <w:jc w:val="both"/>
        <w:rPr>
          <w:rFonts w:asciiTheme="majorBidi" w:hAnsiTheme="majorBidi" w:cstheme="majorBidi"/>
          <w:color w:val="000000" w:themeColor="text1"/>
          <w:sz w:val="20"/>
          <w:szCs w:val="20"/>
        </w:rPr>
      </w:pPr>
    </w:p>
    <w:p w14:paraId="02C891FD"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63953973" w14:textId="77777777" w:rsidR="006E0332" w:rsidRPr="006E0332" w:rsidRDefault="006E0332" w:rsidP="006E0332">
      <w:pPr>
        <w:spacing w:line="360" w:lineRule="auto"/>
        <w:jc w:val="both"/>
        <w:rPr>
          <w:rFonts w:asciiTheme="majorBidi" w:hAnsiTheme="majorBidi" w:cstheme="majorBidi"/>
          <w:color w:val="000000" w:themeColor="text1"/>
          <w:sz w:val="20"/>
          <w:szCs w:val="20"/>
        </w:rPr>
      </w:pPr>
    </w:p>
    <w:p w14:paraId="6EC9E6DD" w14:textId="77777777" w:rsidR="00D32B84" w:rsidRPr="006E0332" w:rsidRDefault="00D32B84" w:rsidP="006E0332">
      <w:pPr>
        <w:spacing w:line="360" w:lineRule="auto"/>
        <w:rPr>
          <w:rFonts w:asciiTheme="majorBidi" w:hAnsiTheme="majorBidi" w:cstheme="majorBidi"/>
          <w:sz w:val="20"/>
          <w:szCs w:val="20"/>
        </w:rPr>
      </w:pPr>
    </w:p>
    <w:sectPr w:rsidR="00D32B84" w:rsidRPr="006E0332" w:rsidSect="006E033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913267"/>
    <w:multiLevelType w:val="hybridMultilevel"/>
    <w:tmpl w:val="C18837FA"/>
    <w:lvl w:ilvl="0" w:tplc="EE68968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036931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6E0332"/>
    <w:rsid w:val="00110CB2"/>
    <w:rsid w:val="00136B78"/>
    <w:rsid w:val="00312155"/>
    <w:rsid w:val="005F6BD0"/>
    <w:rsid w:val="006154C9"/>
    <w:rsid w:val="006E0332"/>
    <w:rsid w:val="0082059D"/>
    <w:rsid w:val="00CA6257"/>
    <w:rsid w:val="00D1007C"/>
    <w:rsid w:val="00D32B84"/>
    <w:rsid w:val="00ED378C"/>
    <w:rsid w:val="00FF1876"/>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9A99"/>
  <w15:chartTrackingRefBased/>
  <w15:docId w15:val="{4ED84166-D3C0-4C8B-8B7D-429E12BDB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332"/>
  </w:style>
  <w:style w:type="paragraph" w:styleId="Heading1">
    <w:name w:val="heading 1"/>
    <w:basedOn w:val="Normal"/>
    <w:next w:val="Normal"/>
    <w:link w:val="Heading1Char"/>
    <w:uiPriority w:val="9"/>
    <w:qFormat/>
    <w:rsid w:val="006E03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03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3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3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3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3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3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3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3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332"/>
    <w:rPr>
      <w:rFonts w:asciiTheme="majorHAnsi" w:eastAsiaTheme="majorEastAsia" w:hAnsiTheme="majorHAnsi" w:cstheme="majorBidi"/>
      <w:color w:val="0F4761" w:themeColor="accent1" w:themeShade="BF"/>
      <w:sz w:val="40"/>
      <w:szCs w:val="40"/>
      <w:lang/>
    </w:rPr>
  </w:style>
  <w:style w:type="character" w:customStyle="1" w:styleId="Heading2Char">
    <w:name w:val="Heading 2 Char"/>
    <w:basedOn w:val="DefaultParagraphFont"/>
    <w:link w:val="Heading2"/>
    <w:uiPriority w:val="9"/>
    <w:rsid w:val="006E0332"/>
    <w:rPr>
      <w:rFonts w:asciiTheme="majorHAnsi" w:eastAsiaTheme="majorEastAsia" w:hAnsiTheme="majorHAnsi" w:cstheme="majorBidi"/>
      <w:color w:val="0F4761" w:themeColor="accent1" w:themeShade="BF"/>
      <w:sz w:val="32"/>
      <w:szCs w:val="32"/>
      <w:lang/>
    </w:rPr>
  </w:style>
  <w:style w:type="character" w:customStyle="1" w:styleId="Heading3Char">
    <w:name w:val="Heading 3 Char"/>
    <w:basedOn w:val="DefaultParagraphFont"/>
    <w:link w:val="Heading3"/>
    <w:uiPriority w:val="9"/>
    <w:semiHidden/>
    <w:rsid w:val="006E0332"/>
    <w:rPr>
      <w:rFonts w:eastAsiaTheme="majorEastAsia" w:cstheme="majorBidi"/>
      <w:color w:val="0F4761" w:themeColor="accent1" w:themeShade="BF"/>
      <w:sz w:val="28"/>
      <w:szCs w:val="28"/>
      <w:lang/>
    </w:rPr>
  </w:style>
  <w:style w:type="character" w:customStyle="1" w:styleId="Heading4Char">
    <w:name w:val="Heading 4 Char"/>
    <w:basedOn w:val="DefaultParagraphFont"/>
    <w:link w:val="Heading4"/>
    <w:uiPriority w:val="9"/>
    <w:semiHidden/>
    <w:rsid w:val="006E0332"/>
    <w:rPr>
      <w:rFonts w:eastAsiaTheme="majorEastAsia" w:cstheme="majorBidi"/>
      <w:i/>
      <w:iCs/>
      <w:color w:val="0F4761" w:themeColor="accent1" w:themeShade="BF"/>
      <w:lang/>
    </w:rPr>
  </w:style>
  <w:style w:type="character" w:customStyle="1" w:styleId="Heading5Char">
    <w:name w:val="Heading 5 Char"/>
    <w:basedOn w:val="DefaultParagraphFont"/>
    <w:link w:val="Heading5"/>
    <w:uiPriority w:val="9"/>
    <w:semiHidden/>
    <w:rsid w:val="006E0332"/>
    <w:rPr>
      <w:rFonts w:eastAsiaTheme="majorEastAsia" w:cstheme="majorBidi"/>
      <w:color w:val="0F4761" w:themeColor="accent1" w:themeShade="BF"/>
      <w:lang/>
    </w:rPr>
  </w:style>
  <w:style w:type="character" w:customStyle="1" w:styleId="Heading6Char">
    <w:name w:val="Heading 6 Char"/>
    <w:basedOn w:val="DefaultParagraphFont"/>
    <w:link w:val="Heading6"/>
    <w:uiPriority w:val="9"/>
    <w:semiHidden/>
    <w:rsid w:val="006E0332"/>
    <w:rPr>
      <w:rFonts w:eastAsiaTheme="majorEastAsia" w:cstheme="majorBidi"/>
      <w:i/>
      <w:iCs/>
      <w:color w:val="595959" w:themeColor="text1" w:themeTint="A6"/>
      <w:lang/>
    </w:rPr>
  </w:style>
  <w:style w:type="character" w:customStyle="1" w:styleId="Heading7Char">
    <w:name w:val="Heading 7 Char"/>
    <w:basedOn w:val="DefaultParagraphFont"/>
    <w:link w:val="Heading7"/>
    <w:uiPriority w:val="9"/>
    <w:semiHidden/>
    <w:rsid w:val="006E0332"/>
    <w:rPr>
      <w:rFonts w:eastAsiaTheme="majorEastAsia" w:cstheme="majorBidi"/>
      <w:color w:val="595959" w:themeColor="text1" w:themeTint="A6"/>
      <w:lang/>
    </w:rPr>
  </w:style>
  <w:style w:type="character" w:customStyle="1" w:styleId="Heading8Char">
    <w:name w:val="Heading 8 Char"/>
    <w:basedOn w:val="DefaultParagraphFont"/>
    <w:link w:val="Heading8"/>
    <w:uiPriority w:val="9"/>
    <w:semiHidden/>
    <w:rsid w:val="006E0332"/>
    <w:rPr>
      <w:rFonts w:eastAsiaTheme="majorEastAsia" w:cstheme="majorBidi"/>
      <w:i/>
      <w:iCs/>
      <w:color w:val="272727" w:themeColor="text1" w:themeTint="D8"/>
      <w:lang/>
    </w:rPr>
  </w:style>
  <w:style w:type="character" w:customStyle="1" w:styleId="Heading9Char">
    <w:name w:val="Heading 9 Char"/>
    <w:basedOn w:val="DefaultParagraphFont"/>
    <w:link w:val="Heading9"/>
    <w:uiPriority w:val="9"/>
    <w:semiHidden/>
    <w:rsid w:val="006E0332"/>
    <w:rPr>
      <w:rFonts w:eastAsiaTheme="majorEastAsia" w:cstheme="majorBidi"/>
      <w:color w:val="272727" w:themeColor="text1" w:themeTint="D8"/>
      <w:lang/>
    </w:rPr>
  </w:style>
  <w:style w:type="paragraph" w:styleId="Title">
    <w:name w:val="Title"/>
    <w:basedOn w:val="Normal"/>
    <w:next w:val="Normal"/>
    <w:link w:val="TitleChar"/>
    <w:uiPriority w:val="10"/>
    <w:qFormat/>
    <w:rsid w:val="006E03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332"/>
    <w:rPr>
      <w:rFonts w:asciiTheme="majorHAnsi" w:eastAsiaTheme="majorEastAsia" w:hAnsiTheme="majorHAnsi" w:cstheme="majorBidi"/>
      <w:spacing w:val="-10"/>
      <w:kern w:val="28"/>
      <w:sz w:val="56"/>
      <w:szCs w:val="56"/>
      <w:lang/>
    </w:rPr>
  </w:style>
  <w:style w:type="paragraph" w:styleId="Subtitle">
    <w:name w:val="Subtitle"/>
    <w:basedOn w:val="Normal"/>
    <w:next w:val="Normal"/>
    <w:link w:val="SubtitleChar"/>
    <w:uiPriority w:val="11"/>
    <w:qFormat/>
    <w:rsid w:val="006E03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332"/>
    <w:rPr>
      <w:rFonts w:eastAsiaTheme="majorEastAsia" w:cstheme="majorBidi"/>
      <w:color w:val="595959" w:themeColor="text1" w:themeTint="A6"/>
      <w:spacing w:val="15"/>
      <w:sz w:val="28"/>
      <w:szCs w:val="28"/>
      <w:lang/>
    </w:rPr>
  </w:style>
  <w:style w:type="paragraph" w:styleId="Quote">
    <w:name w:val="Quote"/>
    <w:basedOn w:val="Normal"/>
    <w:next w:val="Normal"/>
    <w:link w:val="QuoteChar"/>
    <w:uiPriority w:val="29"/>
    <w:qFormat/>
    <w:rsid w:val="006E0332"/>
    <w:pPr>
      <w:spacing w:before="160"/>
      <w:jc w:val="center"/>
    </w:pPr>
    <w:rPr>
      <w:i/>
      <w:iCs/>
      <w:color w:val="404040" w:themeColor="text1" w:themeTint="BF"/>
    </w:rPr>
  </w:style>
  <w:style w:type="character" w:customStyle="1" w:styleId="QuoteChar">
    <w:name w:val="Quote Char"/>
    <w:basedOn w:val="DefaultParagraphFont"/>
    <w:link w:val="Quote"/>
    <w:uiPriority w:val="29"/>
    <w:rsid w:val="006E0332"/>
    <w:rPr>
      <w:i/>
      <w:iCs/>
      <w:color w:val="404040" w:themeColor="text1" w:themeTint="BF"/>
      <w:lang/>
    </w:rPr>
  </w:style>
  <w:style w:type="paragraph" w:styleId="ListParagraph">
    <w:name w:val="List Paragraph"/>
    <w:basedOn w:val="Normal"/>
    <w:link w:val="ListParagraphChar"/>
    <w:uiPriority w:val="34"/>
    <w:qFormat/>
    <w:rsid w:val="006E0332"/>
    <w:pPr>
      <w:ind w:left="720"/>
      <w:contextualSpacing/>
    </w:pPr>
  </w:style>
  <w:style w:type="character" w:styleId="IntenseEmphasis">
    <w:name w:val="Intense Emphasis"/>
    <w:basedOn w:val="DefaultParagraphFont"/>
    <w:uiPriority w:val="21"/>
    <w:qFormat/>
    <w:rsid w:val="006E0332"/>
    <w:rPr>
      <w:i/>
      <w:iCs/>
      <w:color w:val="0F4761" w:themeColor="accent1" w:themeShade="BF"/>
    </w:rPr>
  </w:style>
  <w:style w:type="paragraph" w:styleId="IntenseQuote">
    <w:name w:val="Intense Quote"/>
    <w:basedOn w:val="Normal"/>
    <w:next w:val="Normal"/>
    <w:link w:val="IntenseQuoteChar"/>
    <w:uiPriority w:val="30"/>
    <w:qFormat/>
    <w:rsid w:val="006E03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332"/>
    <w:rPr>
      <w:i/>
      <w:iCs/>
      <w:color w:val="0F4761" w:themeColor="accent1" w:themeShade="BF"/>
      <w:lang/>
    </w:rPr>
  </w:style>
  <w:style w:type="character" w:styleId="IntenseReference">
    <w:name w:val="Intense Reference"/>
    <w:basedOn w:val="DefaultParagraphFont"/>
    <w:uiPriority w:val="32"/>
    <w:qFormat/>
    <w:rsid w:val="006E0332"/>
    <w:rPr>
      <w:b/>
      <w:bCs/>
      <w:smallCaps/>
      <w:color w:val="0F4761" w:themeColor="accent1" w:themeShade="BF"/>
      <w:spacing w:val="5"/>
    </w:rPr>
  </w:style>
  <w:style w:type="paragraph" w:styleId="Header">
    <w:name w:val="header"/>
    <w:basedOn w:val="Normal"/>
    <w:link w:val="HeaderChar"/>
    <w:uiPriority w:val="99"/>
    <w:unhideWhenUsed/>
    <w:rsid w:val="006E0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332"/>
    <w:rPr>
      <w:lang/>
    </w:rPr>
  </w:style>
  <w:style w:type="paragraph" w:styleId="Footer">
    <w:name w:val="footer"/>
    <w:basedOn w:val="Normal"/>
    <w:link w:val="FooterChar"/>
    <w:uiPriority w:val="99"/>
    <w:unhideWhenUsed/>
    <w:rsid w:val="006E0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332"/>
    <w:rPr>
      <w:lang/>
    </w:rPr>
  </w:style>
  <w:style w:type="paragraph" w:styleId="TOCHeading">
    <w:name w:val="TOC Heading"/>
    <w:basedOn w:val="Heading1"/>
    <w:next w:val="Normal"/>
    <w:uiPriority w:val="39"/>
    <w:unhideWhenUsed/>
    <w:qFormat/>
    <w:rsid w:val="006E033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6E0332"/>
    <w:pPr>
      <w:spacing w:after="100"/>
    </w:pPr>
  </w:style>
  <w:style w:type="paragraph" w:styleId="TOC2">
    <w:name w:val="toc 2"/>
    <w:basedOn w:val="Normal"/>
    <w:next w:val="Normal"/>
    <w:autoRedefine/>
    <w:uiPriority w:val="39"/>
    <w:unhideWhenUsed/>
    <w:rsid w:val="006E0332"/>
    <w:pPr>
      <w:spacing w:after="100"/>
      <w:ind w:left="240"/>
    </w:pPr>
  </w:style>
  <w:style w:type="character" w:styleId="Hyperlink">
    <w:name w:val="Hyperlink"/>
    <w:basedOn w:val="DefaultParagraphFont"/>
    <w:uiPriority w:val="99"/>
    <w:unhideWhenUsed/>
    <w:rsid w:val="006E0332"/>
    <w:rPr>
      <w:color w:val="467886" w:themeColor="hyperlink"/>
      <w:u w:val="single"/>
    </w:rPr>
  </w:style>
  <w:style w:type="paragraph" w:customStyle="1" w:styleId="EndNoteBibliographyTitle">
    <w:name w:val="EndNote Bibliography Title"/>
    <w:basedOn w:val="Normal"/>
    <w:link w:val="EndNoteBibliographyTitleChar"/>
    <w:rsid w:val="006E0332"/>
    <w:pPr>
      <w:spacing w:after="0"/>
      <w:jc w:val="center"/>
    </w:pPr>
    <w:rPr>
      <w:rFonts w:ascii="Aptos" w:hAnsi="Aptos"/>
      <w:noProof/>
    </w:rPr>
  </w:style>
  <w:style w:type="character" w:customStyle="1" w:styleId="ListParagraphChar">
    <w:name w:val="List Paragraph Char"/>
    <w:basedOn w:val="DefaultParagraphFont"/>
    <w:link w:val="ListParagraph"/>
    <w:uiPriority w:val="34"/>
    <w:rsid w:val="006E0332"/>
    <w:rPr>
      <w:lang/>
    </w:rPr>
  </w:style>
  <w:style w:type="character" w:customStyle="1" w:styleId="EndNoteBibliographyTitleChar">
    <w:name w:val="EndNote Bibliography Title Char"/>
    <w:basedOn w:val="ListParagraphChar"/>
    <w:link w:val="EndNoteBibliographyTitle"/>
    <w:rsid w:val="006E0332"/>
    <w:rPr>
      <w:rFonts w:ascii="Aptos" w:hAnsi="Aptos"/>
      <w:noProof/>
      <w:lang/>
    </w:rPr>
  </w:style>
  <w:style w:type="paragraph" w:customStyle="1" w:styleId="EndNoteBibliography">
    <w:name w:val="EndNote Bibliography"/>
    <w:basedOn w:val="Normal"/>
    <w:link w:val="EndNoteBibliographyChar"/>
    <w:rsid w:val="006E0332"/>
    <w:pPr>
      <w:spacing w:line="240" w:lineRule="auto"/>
      <w:jc w:val="both"/>
    </w:pPr>
    <w:rPr>
      <w:rFonts w:ascii="Aptos" w:hAnsi="Aptos"/>
      <w:noProof/>
    </w:rPr>
  </w:style>
  <w:style w:type="character" w:customStyle="1" w:styleId="EndNoteBibliographyChar">
    <w:name w:val="EndNote Bibliography Char"/>
    <w:basedOn w:val="ListParagraphChar"/>
    <w:link w:val="EndNoteBibliography"/>
    <w:rsid w:val="006E0332"/>
    <w:rPr>
      <w:rFonts w:ascii="Aptos" w:hAnsi="Aptos"/>
      <w:noProof/>
      <w:lang/>
    </w:rPr>
  </w:style>
  <w:style w:type="character" w:styleId="UnresolvedMention">
    <w:name w:val="Unresolved Mention"/>
    <w:basedOn w:val="DefaultParagraphFont"/>
    <w:uiPriority w:val="99"/>
    <w:semiHidden/>
    <w:unhideWhenUsed/>
    <w:rsid w:val="006E03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2.sv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svg"/><Relationship Id="rId5" Type="http://schemas.openxmlformats.org/officeDocument/2006/relationships/image" Target="media/image1.jp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svg"/><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2750</Words>
  <Characters>15731</Characters>
  <Application>Microsoft Office Word</Application>
  <DocSecurity>0</DocSecurity>
  <Lines>449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Haider</dc:creator>
  <cp:keywords/>
  <dc:description/>
  <cp:lastModifiedBy>lucia nieto gisbert</cp:lastModifiedBy>
  <cp:revision>2</cp:revision>
  <dcterms:created xsi:type="dcterms:W3CDTF">2026-08-06T16:27:00Z</dcterms:created>
  <dcterms:modified xsi:type="dcterms:W3CDTF">2026-08-06T16:27:00Z</dcterms:modified>
</cp:coreProperties>
</file>