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CBA46">
      <w:pPr>
        <w:pStyle w:val="2"/>
        <w:keepNext w:val="0"/>
        <w:keepLines w:val="0"/>
        <w:widowControl/>
        <w:suppressLineNumbers w:val="0"/>
        <w:jc w:val="center"/>
        <w:rPr>
          <w:rFonts w:hint="default" w:ascii="Arial" w:hAnsi="Arial" w:eastAsia="SimSun" w:cs="Arial"/>
          <w:sz w:val="28"/>
          <w:szCs w:val="28"/>
        </w:rPr>
      </w:pPr>
    </w:p>
    <w:p w14:paraId="73044F38">
      <w:pPr>
        <w:pStyle w:val="2"/>
        <w:keepNext w:val="0"/>
        <w:keepLines w:val="0"/>
        <w:widowControl/>
        <w:suppressLineNumbers w:val="0"/>
        <w:jc w:val="center"/>
        <w:rPr>
          <w:rFonts w:hint="default" w:ascii="Arial" w:hAnsi="Arial" w:eastAsia="SimSun" w:cs="Arial"/>
          <w:sz w:val="28"/>
          <w:szCs w:val="28"/>
        </w:rPr>
      </w:pPr>
      <w:r>
        <w:rPr>
          <w:rFonts w:ascii="SimSun" w:hAnsi="SimSun" w:eastAsia="SimSun" w:cs="SimSun"/>
          <w:kern w:val="0"/>
          <w:sz w:val="24"/>
          <w:szCs w:val="24"/>
          <w:lang w:val="en-US" w:eastAsia="zh-CN" w:bidi="ar"/>
        </w:rPr>
        <w:drawing>
          <wp:inline distT="0" distB="0" distL="114300" distR="114300">
            <wp:extent cx="3435985" cy="819785"/>
            <wp:effectExtent l="0" t="0" r="8255" b="3175"/>
            <wp:docPr id="5" name="Picture 2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0" descr="IMG_256"/>
                    <pic:cNvPicPr>
                      <a:picLocks noChangeAspect="1"/>
                    </pic:cNvPicPr>
                  </pic:nvPicPr>
                  <pic:blipFill>
                    <a:blip r:embed="rId4"/>
                    <a:stretch>
                      <a:fillRect/>
                    </a:stretch>
                  </pic:blipFill>
                  <pic:spPr>
                    <a:xfrm>
                      <a:off x="0" y="0"/>
                      <a:ext cx="3435985" cy="819785"/>
                    </a:xfrm>
                    <a:prstGeom prst="rect">
                      <a:avLst/>
                    </a:prstGeom>
                    <a:noFill/>
                    <a:ln w="9525">
                      <a:noFill/>
                    </a:ln>
                  </pic:spPr>
                </pic:pic>
              </a:graphicData>
            </a:graphic>
          </wp:inline>
        </w:drawing>
      </w:r>
    </w:p>
    <w:p w14:paraId="1B72ED53">
      <w:pPr>
        <w:keepNext w:val="0"/>
        <w:keepLines w:val="0"/>
        <w:widowControl/>
        <w:suppressLineNumbers w:val="0"/>
        <w:jc w:val="center"/>
      </w:pPr>
    </w:p>
    <w:p w14:paraId="02D5E4B2">
      <w:pPr>
        <w:keepNext w:val="0"/>
        <w:keepLines w:val="0"/>
        <w:widowControl/>
        <w:suppressLineNumbers w:val="0"/>
        <w:jc w:val="center"/>
      </w:pPr>
      <w:r>
        <w:rPr>
          <w:rFonts w:ascii="Aptos" w:hAnsi="Aptos" w:eastAsia="Aptos" w:cs="Aptos"/>
          <w:color w:val="000000"/>
          <w:kern w:val="0"/>
          <w:sz w:val="38"/>
          <w:szCs w:val="38"/>
          <w:lang w:val="en-US" w:eastAsia="zh-CN" w:bidi="ar"/>
        </w:rPr>
        <w:t>Master of Business Administration</w:t>
      </w:r>
    </w:p>
    <w:p w14:paraId="0AEE1C9D">
      <w:pPr>
        <w:keepNext w:val="0"/>
        <w:keepLines w:val="0"/>
        <w:widowControl/>
        <w:suppressLineNumbers w:val="0"/>
        <w:jc w:val="center"/>
        <w:rPr>
          <w:rFonts w:hint="default" w:ascii="Aptos" w:hAnsi="Aptos" w:eastAsia="Aptos" w:cs="Aptos"/>
          <w:color w:val="000000"/>
          <w:kern w:val="0"/>
          <w:sz w:val="32"/>
          <w:szCs w:val="32"/>
          <w:lang w:val="en-US" w:eastAsia="zh-CN" w:bidi="ar"/>
        </w:rPr>
      </w:pPr>
      <w:r>
        <w:rPr>
          <w:rFonts w:hint="default" w:ascii="Aptos" w:hAnsi="Aptos" w:eastAsia="Aptos" w:cs="Aptos"/>
          <w:color w:val="000000"/>
          <w:kern w:val="0"/>
          <w:sz w:val="32"/>
          <w:szCs w:val="32"/>
          <w:lang w:val="en-US" w:eastAsia="zh-CN" w:bidi="ar"/>
        </w:rPr>
        <w:t>International Business pathway</w:t>
      </w:r>
    </w:p>
    <w:p w14:paraId="03056D9A">
      <w:pPr>
        <w:keepNext w:val="0"/>
        <w:keepLines w:val="0"/>
        <w:widowControl/>
        <w:suppressLineNumbers w:val="0"/>
        <w:jc w:val="center"/>
        <w:rPr>
          <w:rFonts w:hint="default" w:ascii="Aptos" w:hAnsi="Aptos" w:eastAsia="Aptos" w:cs="Aptos"/>
          <w:color w:val="000000"/>
          <w:kern w:val="0"/>
          <w:sz w:val="32"/>
          <w:szCs w:val="32"/>
          <w:lang w:val="en-US" w:eastAsia="zh-CN" w:bidi="ar"/>
        </w:rPr>
      </w:pPr>
    </w:p>
    <w:p w14:paraId="13764B44">
      <w:pPr>
        <w:keepNext w:val="0"/>
        <w:keepLines w:val="0"/>
        <w:widowControl/>
        <w:suppressLineNumbers w:val="0"/>
        <w:jc w:val="center"/>
      </w:pPr>
      <w:r>
        <w:rPr>
          <w:rFonts w:ascii="SimSun" w:hAnsi="SimSun" w:eastAsia="SimSun" w:cs="SimSun"/>
          <w:kern w:val="0"/>
          <w:sz w:val="24"/>
          <w:szCs w:val="24"/>
          <w:lang w:val="en-US" w:eastAsia="zh-CN" w:bidi="ar"/>
        </w:rPr>
        <w:drawing>
          <wp:inline distT="0" distB="0" distL="114300" distR="114300">
            <wp:extent cx="3508375" cy="3508375"/>
            <wp:effectExtent l="0" t="0" r="12065" b="12065"/>
            <wp:docPr id="4" name="Picture 2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1" descr="IMG_257"/>
                    <pic:cNvPicPr>
                      <a:picLocks noChangeAspect="1"/>
                    </pic:cNvPicPr>
                  </pic:nvPicPr>
                  <pic:blipFill>
                    <a:blip r:embed="rId5"/>
                    <a:stretch>
                      <a:fillRect/>
                    </a:stretch>
                  </pic:blipFill>
                  <pic:spPr>
                    <a:xfrm>
                      <a:off x="0" y="0"/>
                      <a:ext cx="3508375" cy="3508375"/>
                    </a:xfrm>
                    <a:prstGeom prst="rect">
                      <a:avLst/>
                    </a:prstGeom>
                    <a:noFill/>
                    <a:ln w="9525">
                      <a:noFill/>
                    </a:ln>
                  </pic:spPr>
                </pic:pic>
              </a:graphicData>
            </a:graphic>
          </wp:inline>
        </w:drawing>
      </w:r>
    </w:p>
    <w:p w14:paraId="7E5D844A">
      <w:pPr>
        <w:keepNext w:val="0"/>
        <w:keepLines w:val="0"/>
        <w:widowControl/>
        <w:suppressLineNumbers w:val="0"/>
        <w:ind w:firstLine="1261" w:firstLineChars="350"/>
        <w:jc w:val="left"/>
        <w:rPr>
          <w:rFonts w:hint="default" w:ascii="Arial" w:hAnsi="Arial" w:eastAsia="Aptos-Bold" w:cs="Arial"/>
          <w:b/>
          <w:bCs/>
          <w:color w:val="EE0000"/>
          <w:kern w:val="0"/>
          <w:sz w:val="36"/>
          <w:szCs w:val="36"/>
          <w:lang w:val="en-US" w:eastAsia="zh-CN" w:bidi="ar"/>
        </w:rPr>
      </w:pPr>
    </w:p>
    <w:p w14:paraId="432FE441">
      <w:pPr>
        <w:keepNext w:val="0"/>
        <w:keepLines w:val="0"/>
        <w:widowControl/>
        <w:suppressLineNumbers w:val="0"/>
        <w:ind w:firstLine="1261" w:firstLineChars="350"/>
        <w:jc w:val="left"/>
        <w:rPr>
          <w:rFonts w:hint="default" w:ascii="Arial" w:hAnsi="Arial" w:cs="Arial"/>
          <w:sz w:val="36"/>
          <w:szCs w:val="36"/>
        </w:rPr>
      </w:pPr>
      <w:r>
        <w:rPr>
          <w:rFonts w:hint="default" w:ascii="Arial" w:hAnsi="Arial" w:eastAsia="Aptos-Bold" w:cs="Arial"/>
          <w:b/>
          <w:bCs/>
          <w:color w:val="EE0000"/>
          <w:kern w:val="0"/>
          <w:sz w:val="36"/>
          <w:szCs w:val="36"/>
          <w:lang w:val="en-US" w:eastAsia="zh-CN" w:bidi="ar"/>
        </w:rPr>
        <w:t>Contemporary employability skills</w:t>
      </w:r>
    </w:p>
    <w:p w14:paraId="72927A07">
      <w:pPr>
        <w:keepNext w:val="0"/>
        <w:keepLines w:val="0"/>
        <w:widowControl/>
        <w:suppressLineNumbers w:val="0"/>
        <w:ind w:firstLine="1260" w:firstLineChars="450"/>
        <w:jc w:val="left"/>
      </w:pPr>
      <w:r>
        <w:rPr>
          <w:rFonts w:ascii="Aptos" w:hAnsi="Aptos" w:eastAsia="Aptos" w:cs="Aptos"/>
          <w:color w:val="000000"/>
          <w:kern w:val="0"/>
          <w:sz w:val="28"/>
          <w:szCs w:val="28"/>
          <w:lang w:val="en-US" w:eastAsia="zh-CN" w:bidi="ar"/>
        </w:rPr>
        <w:t xml:space="preserve">Assessment </w:t>
      </w:r>
      <w:r>
        <w:rPr>
          <w:rFonts w:hint="default" w:ascii="Aptos" w:hAnsi="Aptos" w:eastAsia="Aptos" w:cs="Aptos"/>
          <w:color w:val="EE0000"/>
          <w:kern w:val="0"/>
          <w:sz w:val="28"/>
          <w:szCs w:val="28"/>
          <w:lang w:val="en-US" w:eastAsia="zh-CN" w:bidi="ar"/>
        </w:rPr>
        <w:t>1</w:t>
      </w:r>
      <w:r>
        <w:rPr>
          <w:rFonts w:ascii="ChromeSansMM" w:hAnsi="ChromeSansMM" w:eastAsia="ChromeSansMM" w:cs="ChromeSansMM"/>
          <w:color w:val="000000"/>
          <w:kern w:val="0"/>
          <w:sz w:val="28"/>
          <w:szCs w:val="28"/>
          <w:lang w:val="en-US" w:eastAsia="zh-CN" w:bidi="ar"/>
        </w:rPr>
        <w:t xml:space="preserve"> </w:t>
      </w:r>
      <w:r>
        <w:rPr>
          <w:rFonts w:hint="default" w:ascii="Aptos" w:hAnsi="Aptos" w:eastAsia="Aptos" w:cs="Aptos"/>
          <w:color w:val="EE0000"/>
          <w:kern w:val="0"/>
          <w:sz w:val="28"/>
          <w:szCs w:val="28"/>
          <w:lang w:val="en-US" w:eastAsia="zh-CN" w:bidi="ar"/>
        </w:rPr>
        <w:t>: Individual repor</w:t>
      </w:r>
      <w:r>
        <w:rPr>
          <w:rFonts w:hint="default" w:ascii="Aptos" w:hAnsi="Aptos" w:eastAsia="Aptos" w:cs="Aptos"/>
          <w:color w:val="FF0000"/>
          <w:kern w:val="0"/>
          <w:sz w:val="28"/>
          <w:szCs w:val="28"/>
          <w:lang w:val="en-US" w:eastAsia="zh-CN" w:bidi="ar"/>
        </w:rPr>
        <w:t>t.</w:t>
      </w:r>
      <w:r>
        <w:rPr>
          <w:rFonts w:hint="default" w:ascii="Aptos" w:hAnsi="Aptos" w:eastAsia="Aptos" w:cs="Aptos"/>
          <w:color w:val="000000"/>
          <w:kern w:val="0"/>
          <w:sz w:val="28"/>
          <w:szCs w:val="28"/>
          <w:lang w:val="en-US" w:eastAsia="zh-CN" w:bidi="ar"/>
        </w:rPr>
        <w:t xml:space="preserve"> Weight: </w:t>
      </w:r>
      <w:r>
        <w:rPr>
          <w:rFonts w:hint="default" w:ascii="Aptos" w:hAnsi="Aptos" w:eastAsia="Aptos" w:cs="Aptos"/>
          <w:color w:val="FF0000"/>
          <w:kern w:val="0"/>
          <w:sz w:val="28"/>
          <w:szCs w:val="28"/>
          <w:lang w:val="en-GB" w:eastAsia="zh-CN" w:bidi="ar"/>
        </w:rPr>
        <w:t>100</w:t>
      </w:r>
      <w:r>
        <w:rPr>
          <w:rFonts w:hint="default" w:ascii="Aptos" w:hAnsi="Aptos" w:eastAsia="Aptos" w:cs="Aptos"/>
          <w:color w:val="EE0000"/>
          <w:kern w:val="0"/>
          <w:sz w:val="28"/>
          <w:szCs w:val="28"/>
          <w:lang w:val="en-US" w:eastAsia="zh-CN" w:bidi="ar"/>
        </w:rPr>
        <w:t>%</w:t>
      </w:r>
    </w:p>
    <w:p w14:paraId="4A328480">
      <w:pPr>
        <w:keepNext w:val="0"/>
        <w:keepLines w:val="0"/>
        <w:widowControl/>
        <w:suppressLineNumbers w:val="0"/>
        <w:jc w:val="left"/>
        <w:rPr>
          <w:rFonts w:hint="default" w:ascii="Arial" w:hAnsi="Arial" w:eastAsia="Aptos-Bold" w:cs="Arial"/>
          <w:b/>
          <w:bCs/>
          <w:color w:val="000000"/>
          <w:kern w:val="0"/>
          <w:sz w:val="28"/>
          <w:szCs w:val="28"/>
          <w:lang w:val="en-US" w:eastAsia="zh-CN" w:bidi="ar"/>
        </w:rPr>
      </w:pPr>
    </w:p>
    <w:p w14:paraId="4FAEC3A2">
      <w:pPr>
        <w:keepNext w:val="0"/>
        <w:keepLines w:val="0"/>
        <w:widowControl/>
        <w:suppressLineNumbers w:val="0"/>
        <w:jc w:val="left"/>
        <w:rPr>
          <w:rFonts w:hint="default" w:ascii="Arial" w:hAnsi="Arial" w:eastAsia="Aptos-Bold" w:cs="Arial"/>
          <w:b/>
          <w:bCs/>
          <w:color w:val="000000"/>
          <w:kern w:val="0"/>
          <w:sz w:val="28"/>
          <w:szCs w:val="28"/>
          <w:lang w:val="en-US" w:eastAsia="zh-CN" w:bidi="ar"/>
        </w:rPr>
      </w:pPr>
    </w:p>
    <w:p w14:paraId="29906E9C">
      <w:pPr>
        <w:keepNext w:val="0"/>
        <w:keepLines w:val="0"/>
        <w:widowControl/>
        <w:suppressLineNumbers w:val="0"/>
        <w:jc w:val="left"/>
        <w:rPr>
          <w:rFonts w:hint="default" w:ascii="Arial" w:hAnsi="Arial" w:eastAsia="Aptos-Bold" w:cs="Arial"/>
          <w:b/>
          <w:bCs/>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Module name:</w:t>
      </w:r>
      <w:r>
        <w:rPr>
          <w:rFonts w:hint="default" w:ascii="Arial" w:hAnsi="Arial" w:eastAsia="Aptos-Bold" w:cs="Arial"/>
          <w:b/>
          <w:bCs/>
          <w:color w:val="000000"/>
          <w:kern w:val="0"/>
          <w:sz w:val="24"/>
          <w:szCs w:val="24"/>
          <w:lang w:val="en-GB" w:eastAsia="zh-CN" w:bidi="ar"/>
        </w:rPr>
        <w:t xml:space="preserve"> </w:t>
      </w:r>
      <w:r>
        <w:rPr>
          <w:rFonts w:hint="default" w:ascii="Arial" w:hAnsi="Arial" w:eastAsia="Aptos-Bold" w:cs="Arial"/>
          <w:b w:val="0"/>
          <w:bCs w:val="0"/>
          <w:color w:val="000000"/>
          <w:kern w:val="0"/>
          <w:sz w:val="24"/>
          <w:szCs w:val="24"/>
          <w:lang w:val="en-GB" w:eastAsia="zh-CN" w:bidi="ar"/>
        </w:rPr>
        <w:t>Strategic Management</w:t>
      </w:r>
    </w:p>
    <w:p w14:paraId="455A3FF1">
      <w:pPr>
        <w:keepNext w:val="0"/>
        <w:keepLines w:val="0"/>
        <w:widowControl/>
        <w:suppressLineNumbers w:val="0"/>
        <w:jc w:val="left"/>
        <w:rPr>
          <w:rFonts w:hint="default" w:ascii="Arial" w:hAnsi="Arial" w:cs="Arial"/>
          <w:b w:val="0"/>
          <w:bCs w:val="0"/>
          <w:sz w:val="24"/>
          <w:szCs w:val="24"/>
          <w:lang w:val="en-GB"/>
        </w:rPr>
      </w:pPr>
      <w:r>
        <w:rPr>
          <w:rFonts w:hint="default" w:ascii="Arial" w:hAnsi="Arial" w:eastAsia="Aptos-Bold" w:cs="Arial"/>
          <w:b/>
          <w:bCs/>
          <w:color w:val="000000"/>
          <w:kern w:val="0"/>
          <w:sz w:val="24"/>
          <w:szCs w:val="24"/>
          <w:lang w:val="en-US" w:eastAsia="zh-CN" w:bidi="ar"/>
        </w:rPr>
        <w:t>Module cod</w:t>
      </w:r>
      <w:r>
        <w:rPr>
          <w:rFonts w:hint="default" w:ascii="Arial" w:hAnsi="Arial" w:eastAsia="Aptos-Bold" w:cs="Arial"/>
          <w:b/>
          <w:bCs/>
          <w:color w:val="000000"/>
          <w:kern w:val="0"/>
          <w:sz w:val="24"/>
          <w:szCs w:val="24"/>
          <w:lang w:val="en-US" w:eastAsia="zh-CN" w:bidi="ar"/>
        </w:rPr>
        <w:t>e</w:t>
      </w:r>
      <w:r>
        <w:rPr>
          <w:rFonts w:hint="default" w:ascii="Arial" w:hAnsi="Arial" w:eastAsia="Aptos" w:cs="Arial"/>
          <w:b/>
          <w:bCs/>
          <w:color w:val="000000"/>
          <w:kern w:val="0"/>
          <w:sz w:val="24"/>
          <w:szCs w:val="24"/>
          <w:lang w:val="en-US" w:eastAsia="zh-CN" w:bidi="ar"/>
        </w:rPr>
        <w:t>:</w:t>
      </w:r>
      <w:r>
        <w:rPr>
          <w:rFonts w:hint="default" w:ascii="Arial" w:hAnsi="Arial" w:eastAsia="Aptos" w:cs="Arial"/>
          <w:b w:val="0"/>
          <w:bCs w:val="0"/>
          <w:color w:val="000000"/>
          <w:kern w:val="0"/>
          <w:sz w:val="24"/>
          <w:szCs w:val="24"/>
          <w:lang w:val="en-US" w:eastAsia="zh-CN" w:bidi="ar"/>
        </w:rPr>
        <w:t xml:space="preserve"> </w:t>
      </w:r>
      <w:r>
        <w:rPr>
          <w:rFonts w:hint="default" w:ascii="Arial" w:hAnsi="Arial" w:eastAsia="Aptos" w:cs="Arial"/>
          <w:b w:val="0"/>
          <w:bCs w:val="0"/>
          <w:color w:val="000000"/>
          <w:kern w:val="0"/>
          <w:sz w:val="24"/>
          <w:szCs w:val="24"/>
          <w:lang w:val="en-GB" w:eastAsia="zh-CN" w:bidi="ar"/>
        </w:rPr>
        <w:t>LCMB7003</w:t>
      </w:r>
    </w:p>
    <w:p w14:paraId="40323499">
      <w:pPr>
        <w:keepNext w:val="0"/>
        <w:keepLines w:val="0"/>
        <w:widowControl/>
        <w:suppressLineNumbers w:val="0"/>
        <w:jc w:val="left"/>
        <w:rPr>
          <w:rFonts w:hint="default" w:ascii="Arial" w:hAnsi="Arial" w:eastAsia="Aptos" w:cs="Arial"/>
          <w:b w:val="0"/>
          <w:bCs w:val="0"/>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Lecturer name</w:t>
      </w:r>
      <w:r>
        <w:rPr>
          <w:rFonts w:hint="default" w:ascii="Arial" w:hAnsi="Arial" w:eastAsia="Aptos" w:cs="Arial"/>
          <w:b/>
          <w:bCs/>
          <w:color w:val="000000"/>
          <w:kern w:val="0"/>
          <w:sz w:val="24"/>
          <w:szCs w:val="24"/>
          <w:lang w:val="en-US" w:eastAsia="zh-CN" w:bidi="ar"/>
        </w:rPr>
        <w:t>:</w:t>
      </w:r>
      <w:r>
        <w:rPr>
          <w:rFonts w:hint="default" w:ascii="Arial" w:hAnsi="Arial" w:eastAsia="Aptos" w:cs="Arial"/>
          <w:b/>
          <w:bCs/>
          <w:color w:val="000000"/>
          <w:kern w:val="0"/>
          <w:sz w:val="24"/>
          <w:szCs w:val="24"/>
          <w:lang w:val="en-GB" w:eastAsia="zh-CN" w:bidi="ar"/>
        </w:rPr>
        <w:t xml:space="preserve"> </w:t>
      </w:r>
      <w:r>
        <w:rPr>
          <w:rFonts w:hint="default" w:ascii="Arial" w:hAnsi="Arial" w:eastAsia="Aptos" w:cs="Arial"/>
          <w:b w:val="0"/>
          <w:bCs w:val="0"/>
          <w:color w:val="000000"/>
          <w:kern w:val="0"/>
          <w:sz w:val="24"/>
          <w:szCs w:val="24"/>
          <w:lang w:val="en-GB" w:eastAsia="zh-CN" w:bidi="ar"/>
        </w:rPr>
        <w:t>Hoang Nguyen</w:t>
      </w:r>
    </w:p>
    <w:p w14:paraId="19E6B862">
      <w:pPr>
        <w:keepNext w:val="0"/>
        <w:keepLines w:val="0"/>
        <w:widowControl/>
        <w:suppressLineNumbers w:val="0"/>
        <w:jc w:val="left"/>
        <w:rPr>
          <w:rFonts w:hint="default" w:ascii="Arial" w:hAnsi="Arial" w:eastAsia="Aptos" w:cs="Arial"/>
          <w:b w:val="0"/>
          <w:bCs w:val="0"/>
          <w:color w:val="000000"/>
          <w:kern w:val="0"/>
          <w:sz w:val="24"/>
          <w:szCs w:val="24"/>
          <w:lang w:val="en-US" w:eastAsia="zh-CN" w:bidi="ar"/>
        </w:rPr>
      </w:pPr>
    </w:p>
    <w:p w14:paraId="3E5489BD">
      <w:pPr>
        <w:keepNext w:val="0"/>
        <w:keepLines w:val="0"/>
        <w:widowControl/>
        <w:suppressLineNumbers w:val="0"/>
        <w:jc w:val="left"/>
        <w:rPr>
          <w:rFonts w:hint="default" w:ascii="Arial" w:hAnsi="Arial" w:cs="Arial"/>
          <w:sz w:val="24"/>
          <w:szCs w:val="24"/>
          <w:lang w:val="en-GB"/>
        </w:rPr>
      </w:pPr>
      <w:r>
        <w:rPr>
          <w:rFonts w:hint="default" w:ascii="Arial" w:hAnsi="Arial" w:eastAsia="Aptos-Bold" w:cs="Arial"/>
          <w:b/>
          <w:bCs/>
          <w:color w:val="000000"/>
          <w:kern w:val="0"/>
          <w:sz w:val="24"/>
          <w:szCs w:val="24"/>
          <w:lang w:val="en-US" w:eastAsia="zh-CN" w:bidi="ar"/>
        </w:rPr>
        <w:t>Student na</w:t>
      </w:r>
      <w:r>
        <w:rPr>
          <w:rFonts w:hint="default" w:ascii="Arial" w:hAnsi="Arial" w:eastAsia="Aptos-Bold" w:cs="Arial"/>
          <w:b/>
          <w:bCs/>
          <w:color w:val="000000"/>
          <w:kern w:val="0"/>
          <w:sz w:val="24"/>
          <w:szCs w:val="24"/>
          <w:lang w:val="en-US" w:eastAsia="zh-CN" w:bidi="ar"/>
        </w:rPr>
        <w:t>me</w:t>
      </w:r>
      <w:r>
        <w:rPr>
          <w:rFonts w:hint="default" w:ascii="Arial" w:hAnsi="Arial" w:eastAsia="Aptos" w:cs="Arial"/>
          <w:b/>
          <w:bCs/>
          <w:color w:val="000000"/>
          <w:kern w:val="0"/>
          <w:sz w:val="24"/>
          <w:szCs w:val="24"/>
          <w:lang w:val="en-US" w:eastAsia="zh-CN" w:bidi="ar"/>
        </w:rPr>
        <w:t>:</w:t>
      </w:r>
      <w:r>
        <w:rPr>
          <w:rFonts w:hint="default" w:ascii="Arial" w:hAnsi="Arial" w:eastAsia="Aptos" w:cs="Arial"/>
          <w:color w:val="000000"/>
          <w:kern w:val="0"/>
          <w:sz w:val="24"/>
          <w:szCs w:val="24"/>
          <w:lang w:val="en-GB" w:eastAsia="zh-CN" w:bidi="ar"/>
        </w:rPr>
        <w:t xml:space="preserve"> Rainak Zabin</w:t>
      </w:r>
    </w:p>
    <w:p w14:paraId="3522EEDE">
      <w:pPr>
        <w:keepNext w:val="0"/>
        <w:keepLines w:val="0"/>
        <w:widowControl/>
        <w:suppressLineNumbers w:val="0"/>
        <w:jc w:val="left"/>
        <w:rPr>
          <w:rFonts w:hint="default" w:ascii="Arial" w:hAnsi="Arial" w:eastAsia="Aptos" w:cs="Arial"/>
          <w:color w:val="000000"/>
          <w:kern w:val="0"/>
          <w:sz w:val="24"/>
          <w:szCs w:val="24"/>
          <w:lang w:val="en-GB" w:eastAsia="zh-CN" w:bidi="ar"/>
        </w:rPr>
      </w:pPr>
      <w:r>
        <w:rPr>
          <w:rFonts w:hint="default" w:ascii="Arial" w:hAnsi="Arial" w:eastAsia="Aptos-Bold" w:cs="Arial"/>
          <w:b/>
          <w:bCs/>
          <w:color w:val="000000"/>
          <w:kern w:val="0"/>
          <w:sz w:val="24"/>
          <w:szCs w:val="24"/>
          <w:lang w:val="en-US" w:eastAsia="zh-CN" w:bidi="ar"/>
        </w:rPr>
        <w:t>Student I</w:t>
      </w:r>
      <w:r>
        <w:rPr>
          <w:rFonts w:hint="default" w:ascii="Arial" w:hAnsi="Arial" w:eastAsia="Aptos-Bold" w:cs="Arial"/>
          <w:b/>
          <w:bCs/>
          <w:color w:val="000000"/>
          <w:kern w:val="0"/>
          <w:sz w:val="24"/>
          <w:szCs w:val="24"/>
          <w:lang w:val="en-US" w:eastAsia="zh-CN" w:bidi="ar"/>
        </w:rPr>
        <w:t>D</w:t>
      </w:r>
      <w:r>
        <w:rPr>
          <w:rFonts w:hint="default" w:ascii="Arial" w:hAnsi="Arial" w:eastAsia="Aptos" w:cs="Arial"/>
          <w:b/>
          <w:bCs/>
          <w:color w:val="000000"/>
          <w:kern w:val="0"/>
          <w:sz w:val="24"/>
          <w:szCs w:val="24"/>
          <w:lang w:val="en-US" w:eastAsia="zh-CN" w:bidi="ar"/>
        </w:rPr>
        <w:t>:</w:t>
      </w:r>
      <w:r>
        <w:rPr>
          <w:rFonts w:hint="default" w:ascii="Arial" w:hAnsi="Arial" w:eastAsia="Aptos" w:cs="Arial"/>
          <w:b/>
          <w:bCs/>
          <w:color w:val="000000"/>
          <w:kern w:val="0"/>
          <w:sz w:val="24"/>
          <w:szCs w:val="24"/>
          <w:lang w:val="en-GB" w:eastAsia="zh-CN" w:bidi="ar"/>
        </w:rPr>
        <w:t xml:space="preserve"> </w:t>
      </w:r>
      <w:r>
        <w:rPr>
          <w:rFonts w:hint="default" w:ascii="Arial" w:hAnsi="Arial" w:eastAsia="Aptos" w:cs="Arial"/>
          <w:color w:val="000000"/>
          <w:kern w:val="0"/>
          <w:sz w:val="24"/>
          <w:szCs w:val="24"/>
          <w:lang w:val="en-GB" w:eastAsia="zh-CN" w:bidi="ar"/>
        </w:rPr>
        <w:t>2522511</w:t>
      </w:r>
    </w:p>
    <w:p w14:paraId="038EC296">
      <w:pPr>
        <w:keepNext w:val="0"/>
        <w:keepLines w:val="0"/>
        <w:widowControl/>
        <w:suppressLineNumbers w:val="0"/>
        <w:jc w:val="left"/>
        <w:rPr>
          <w:rFonts w:hint="default" w:ascii="Arial" w:hAnsi="Arial" w:eastAsia="Aptos" w:cs="Arial"/>
          <w:color w:val="000000"/>
          <w:kern w:val="0"/>
          <w:sz w:val="24"/>
          <w:szCs w:val="24"/>
          <w:lang w:val="en-US" w:eastAsia="zh-CN" w:bidi="ar"/>
        </w:rPr>
      </w:pPr>
    </w:p>
    <w:p w14:paraId="73825CB2">
      <w:pPr>
        <w:keepNext w:val="0"/>
        <w:keepLines w:val="0"/>
        <w:widowControl/>
        <w:suppressLineNumbers w:val="0"/>
        <w:jc w:val="left"/>
        <w:rPr>
          <w:rFonts w:hint="default" w:ascii="Arial" w:hAnsi="Arial" w:cs="Arial"/>
          <w:b w:val="0"/>
          <w:bCs w:val="0"/>
          <w:sz w:val="24"/>
          <w:szCs w:val="24"/>
          <w:lang w:val="en-GB"/>
        </w:rPr>
      </w:pPr>
      <w:r>
        <w:rPr>
          <w:rFonts w:hint="default" w:ascii="Arial" w:hAnsi="Arial" w:eastAsia="Aptos-Bold" w:cs="Arial"/>
          <w:b/>
          <w:bCs/>
          <w:color w:val="000000"/>
          <w:kern w:val="0"/>
          <w:sz w:val="24"/>
          <w:szCs w:val="24"/>
          <w:lang w:val="en-US" w:eastAsia="zh-CN" w:bidi="ar"/>
        </w:rPr>
        <w:t>Word cou</w:t>
      </w:r>
      <w:r>
        <w:rPr>
          <w:rFonts w:hint="default" w:ascii="Arial" w:hAnsi="Arial" w:eastAsia="Aptos-Bold" w:cs="Arial"/>
          <w:b/>
          <w:bCs/>
          <w:color w:val="000000"/>
          <w:kern w:val="0"/>
          <w:sz w:val="24"/>
          <w:szCs w:val="24"/>
          <w:lang w:val="en-US" w:eastAsia="zh-CN" w:bidi="ar"/>
        </w:rPr>
        <w:t>nt</w:t>
      </w:r>
      <w:r>
        <w:rPr>
          <w:rFonts w:hint="default" w:ascii="Arial" w:hAnsi="Arial" w:eastAsia="Aptos" w:cs="Arial"/>
          <w:b/>
          <w:bCs/>
          <w:color w:val="000000"/>
          <w:kern w:val="0"/>
          <w:sz w:val="24"/>
          <w:szCs w:val="24"/>
          <w:lang w:val="en-US" w:eastAsia="zh-CN" w:bidi="ar"/>
        </w:rPr>
        <w:t xml:space="preserve">: </w:t>
      </w:r>
      <w:r>
        <w:rPr>
          <w:rFonts w:hint="default" w:ascii="Arial" w:hAnsi="Arial" w:eastAsia="Aptos" w:cs="Arial"/>
          <w:b w:val="0"/>
          <w:bCs w:val="0"/>
          <w:color w:val="000000"/>
          <w:kern w:val="0"/>
          <w:sz w:val="24"/>
          <w:szCs w:val="24"/>
          <w:lang w:val="en-GB" w:eastAsia="zh-CN" w:bidi="ar"/>
        </w:rPr>
        <w:t>4900</w:t>
      </w:r>
    </w:p>
    <w:p w14:paraId="4939400A">
      <w:pPr>
        <w:keepNext w:val="0"/>
        <w:keepLines w:val="0"/>
        <w:widowControl/>
        <w:suppressLineNumbers w:val="0"/>
        <w:jc w:val="left"/>
        <w:rPr>
          <w:rFonts w:hint="default" w:ascii="Arial" w:hAnsi="Arial" w:cs="Arial"/>
          <w:sz w:val="24"/>
          <w:szCs w:val="24"/>
          <w:lang w:val="en-GB"/>
        </w:rPr>
      </w:pPr>
      <w:r>
        <w:rPr>
          <w:rFonts w:hint="default" w:ascii="Arial" w:hAnsi="Arial" w:eastAsia="Aptos-Bold" w:cs="Arial"/>
          <w:b/>
          <w:bCs/>
          <w:color w:val="000000"/>
          <w:kern w:val="0"/>
          <w:sz w:val="24"/>
          <w:szCs w:val="24"/>
          <w:lang w:val="en-US" w:eastAsia="zh-CN" w:bidi="ar"/>
        </w:rPr>
        <w:t>Submission da</w:t>
      </w:r>
      <w:r>
        <w:rPr>
          <w:rFonts w:hint="default" w:ascii="Arial" w:hAnsi="Arial" w:eastAsia="Aptos-Bold" w:cs="Arial"/>
          <w:b/>
          <w:bCs/>
          <w:color w:val="000000"/>
          <w:kern w:val="0"/>
          <w:sz w:val="24"/>
          <w:szCs w:val="24"/>
          <w:lang w:val="en-US" w:eastAsia="zh-CN" w:bidi="ar"/>
        </w:rPr>
        <w:t>te</w:t>
      </w:r>
      <w:r>
        <w:rPr>
          <w:rFonts w:hint="default" w:ascii="Arial" w:hAnsi="Arial" w:eastAsia="Aptos" w:cs="Arial"/>
          <w:b/>
          <w:bCs/>
          <w:color w:val="000000"/>
          <w:kern w:val="0"/>
          <w:sz w:val="24"/>
          <w:szCs w:val="24"/>
          <w:lang w:val="en-US" w:eastAsia="zh-CN" w:bidi="ar"/>
        </w:rPr>
        <w:t>:</w:t>
      </w:r>
      <w:r>
        <w:rPr>
          <w:rFonts w:hint="default" w:ascii="Arial" w:hAnsi="Arial" w:eastAsia="Aptos" w:cs="Arial"/>
          <w:color w:val="000000"/>
          <w:kern w:val="0"/>
          <w:sz w:val="24"/>
          <w:szCs w:val="24"/>
          <w:lang w:val="en-GB" w:eastAsia="zh-CN" w:bidi="ar"/>
        </w:rPr>
        <w:t xml:space="preserve"> 12</w:t>
      </w:r>
      <w:r>
        <w:rPr>
          <w:rFonts w:hint="default" w:ascii="Arial" w:hAnsi="Arial" w:eastAsia="Aptos" w:cs="Arial"/>
          <w:color w:val="000000"/>
          <w:kern w:val="0"/>
          <w:sz w:val="24"/>
          <w:szCs w:val="24"/>
          <w:vertAlign w:val="superscript"/>
          <w:lang w:val="en-GB" w:eastAsia="zh-CN" w:bidi="ar"/>
        </w:rPr>
        <w:t>th</w:t>
      </w:r>
      <w:r>
        <w:rPr>
          <w:rFonts w:hint="default" w:ascii="Arial" w:hAnsi="Arial" w:eastAsia="Aptos" w:cs="Arial"/>
          <w:color w:val="000000"/>
          <w:kern w:val="0"/>
          <w:sz w:val="24"/>
          <w:szCs w:val="24"/>
          <w:lang w:val="en-GB" w:eastAsia="zh-CN" w:bidi="ar"/>
        </w:rPr>
        <w:t xml:space="preserve"> August, 2026 </w:t>
      </w:r>
      <w:bookmarkStart w:id="0" w:name="_GoBack"/>
      <w:bookmarkEnd w:id="0"/>
    </w:p>
    <w:p w14:paraId="340339DE">
      <w:pPr>
        <w:rPr>
          <w:rFonts w:hint="default" w:ascii="Arial" w:hAnsi="Arial" w:eastAsia="SimSun" w:cs="Arial"/>
          <w:sz w:val="28"/>
          <w:szCs w:val="28"/>
        </w:rPr>
      </w:pPr>
    </w:p>
    <w:p w14:paraId="201FBAC6">
      <w:pPr>
        <w:rPr>
          <w:rFonts w:hint="default" w:ascii="Arial" w:hAnsi="Arial" w:eastAsia="SimSun" w:cs="Arial"/>
          <w:sz w:val="28"/>
          <w:szCs w:val="28"/>
        </w:rPr>
      </w:pPr>
    </w:p>
    <w:p w14:paraId="41EA1EF2">
      <w:pPr>
        <w:pStyle w:val="2"/>
        <w:keepNext w:val="0"/>
        <w:keepLines w:val="0"/>
        <w:widowControl/>
        <w:suppressLineNumbers w:val="0"/>
        <w:rPr>
          <w:rFonts w:hint="default" w:ascii="Arial" w:hAnsi="Arial" w:eastAsia="SimSun" w:cs="Arial"/>
          <w:sz w:val="28"/>
          <w:szCs w:val="28"/>
        </w:rPr>
      </w:pPr>
    </w:p>
    <w:p w14:paraId="1F5CF09E">
      <w:pPr>
        <w:pStyle w:val="2"/>
        <w:keepNext w:val="0"/>
        <w:keepLines w:val="0"/>
        <w:widowControl/>
        <w:suppressLineNumbers w:val="0"/>
        <w:rPr>
          <w:rFonts w:hint="default" w:ascii="Arial" w:hAnsi="Arial" w:eastAsia="SimSun" w:cs="Arial"/>
          <w:sz w:val="28"/>
          <w:szCs w:val="28"/>
        </w:rPr>
      </w:pPr>
      <w:r>
        <w:rPr>
          <w:rFonts w:hint="default" w:ascii="Arial" w:hAnsi="Arial" w:eastAsia="SimSun" w:cs="Arial"/>
          <w:sz w:val="28"/>
          <w:szCs w:val="28"/>
        </w:rPr>
        <w:t xml:space="preserve">AI </w:t>
      </w:r>
      <w:r>
        <w:rPr>
          <w:rFonts w:hint="default" w:ascii="Arial" w:hAnsi="Arial" w:cs="Arial"/>
          <w:sz w:val="28"/>
          <w:szCs w:val="28"/>
          <w:lang w:val="en-GB"/>
        </w:rPr>
        <w:t xml:space="preserve">Use </w:t>
      </w:r>
      <w:r>
        <w:rPr>
          <w:rFonts w:hint="default" w:ascii="Arial" w:hAnsi="Arial" w:eastAsia="SimSun" w:cs="Arial"/>
          <w:sz w:val="28"/>
          <w:szCs w:val="28"/>
        </w:rPr>
        <w:t>Acknowledgement</w:t>
      </w:r>
    </w:p>
    <w:p w14:paraId="6C31FF02">
      <w:pPr>
        <w:rPr>
          <w:rFonts w:hint="default"/>
        </w:rPr>
      </w:pPr>
    </w:p>
    <w:p w14:paraId="3C3BCDC0">
      <w:pPr>
        <w:pStyle w:val="2"/>
        <w:keepNext w:val="0"/>
        <w:keepLines w:val="0"/>
        <w:widowControl/>
        <w:suppressLineNumbers w:val="0"/>
        <w:rPr>
          <w:rFonts w:hint="default" w:ascii="Arial" w:hAnsi="Arial" w:eastAsia="SimSun" w:cs="Arial"/>
          <w:b w:val="0"/>
          <w:bCs w:val="0"/>
          <w:sz w:val="22"/>
          <w:szCs w:val="22"/>
        </w:rPr>
      </w:pPr>
      <w:r>
        <w:rPr>
          <w:rFonts w:hint="default" w:ascii="Arial" w:hAnsi="Arial" w:eastAsia="SimSun" w:cs="Arial"/>
          <w:b w:val="0"/>
          <w:bCs w:val="0"/>
          <w:sz w:val="22"/>
          <w:szCs w:val="22"/>
        </w:rPr>
        <w:t xml:space="preserve">I acknowledge the use of ChatGPT (OpenAI) (https://chatgpt.com/) to support the preparation of this Dior Beauty strategic analysis report. AI was used to assist with </w:t>
      </w:r>
      <w:r>
        <w:rPr>
          <w:rFonts w:hint="default" w:ascii="Arial" w:hAnsi="Arial" w:cs="Arial"/>
          <w:b w:val="0"/>
          <w:bCs w:val="0"/>
          <w:sz w:val="22"/>
          <w:szCs w:val="22"/>
          <w:lang w:val="en-GB"/>
        </w:rPr>
        <w:t>organizing</w:t>
      </w:r>
      <w:r>
        <w:rPr>
          <w:rFonts w:hint="default" w:ascii="Arial" w:hAnsi="Arial" w:eastAsia="SimSun" w:cs="Arial"/>
          <w:b w:val="0"/>
          <w:bCs w:val="0"/>
          <w:sz w:val="22"/>
          <w:szCs w:val="22"/>
        </w:rPr>
        <w:t xml:space="preserve"> ideas</w:t>
      </w:r>
      <w:r>
        <w:rPr>
          <w:rFonts w:hint="default" w:ascii="Arial" w:hAnsi="Arial" w:cs="Arial"/>
          <w:b w:val="0"/>
          <w:bCs w:val="0"/>
          <w:sz w:val="22"/>
          <w:szCs w:val="22"/>
          <w:lang w:val="en-GB"/>
        </w:rPr>
        <w:t xml:space="preserve"> and research.</w:t>
      </w:r>
      <w:r>
        <w:rPr>
          <w:rFonts w:hint="default" w:ascii="Arial" w:hAnsi="Arial" w:eastAsia="SimSun" w:cs="Arial"/>
          <w:b w:val="0"/>
          <w:bCs w:val="0"/>
          <w:sz w:val="22"/>
          <w:szCs w:val="22"/>
        </w:rPr>
        <w:t xml:space="preserve"> The following prompts were used:</w:t>
      </w:r>
    </w:p>
    <w:p w14:paraId="0ED3B91B">
      <w:pPr>
        <w:pStyle w:val="2"/>
        <w:keepNext w:val="0"/>
        <w:keepLines w:val="0"/>
        <w:widowControl/>
        <w:suppressLineNumbers w:val="0"/>
        <w:rPr>
          <w:rFonts w:hint="default" w:ascii="Arial" w:hAnsi="Arial" w:eastAsia="SimSun" w:cs="Arial"/>
          <w:b w:val="0"/>
          <w:bCs w:val="0"/>
          <w:sz w:val="22"/>
          <w:szCs w:val="22"/>
        </w:rPr>
      </w:pPr>
      <w:r>
        <w:rPr>
          <w:rFonts w:hint="default" w:ascii="Arial" w:hAnsi="Arial" w:cs="Arial"/>
          <w:b w:val="0"/>
          <w:bCs w:val="0"/>
          <w:sz w:val="22"/>
          <w:szCs w:val="22"/>
          <w:lang w:val="en-GB"/>
        </w:rPr>
        <w:t xml:space="preserve">I used </w:t>
      </w:r>
      <w:r>
        <w:rPr>
          <w:rFonts w:hint="default" w:ascii="Arial" w:hAnsi="Arial" w:eastAsia="SimSun" w:cs="Arial"/>
          <w:b w:val="0"/>
          <w:bCs w:val="0"/>
          <w:sz w:val="22"/>
          <w:szCs w:val="22"/>
        </w:rPr>
        <w:t>the prompt(s):</w:t>
      </w:r>
    </w:p>
    <w:p w14:paraId="142E84A8">
      <w:pPr>
        <w:pStyle w:val="2"/>
        <w:keepNext w:val="0"/>
        <w:keepLines w:val="0"/>
        <w:widowControl/>
        <w:suppressLineNumbers w:val="0"/>
        <w:rPr>
          <w:rFonts w:hint="default" w:ascii="Arial" w:hAnsi="Arial" w:eastAsia="SimSun" w:cs="Arial"/>
          <w:b w:val="0"/>
          <w:bCs w:val="0"/>
          <w:sz w:val="22"/>
          <w:szCs w:val="22"/>
          <w:lang w:val="en-GB"/>
        </w:rPr>
      </w:pPr>
      <w:r>
        <w:rPr>
          <w:rFonts w:hint="default" w:ascii="Arial" w:hAnsi="Arial" w:eastAsia="SimSun" w:cs="Arial"/>
          <w:b w:val="0"/>
          <w:bCs w:val="0"/>
          <w:sz w:val="22"/>
          <w:szCs w:val="22"/>
        </w:rPr>
        <w:t xml:space="preserve">1. </w:t>
      </w:r>
      <w:r>
        <w:rPr>
          <w:rFonts w:hint="default" w:ascii="Arial" w:hAnsi="Arial" w:cs="Arial"/>
          <w:b w:val="0"/>
          <w:bCs w:val="0"/>
          <w:sz w:val="22"/>
          <w:szCs w:val="22"/>
          <w:lang w:val="en-GB"/>
        </w:rPr>
        <w:t xml:space="preserve">“ </w:t>
      </w:r>
      <w:r>
        <w:rPr>
          <w:rFonts w:hint="default" w:ascii="Arial" w:hAnsi="Arial" w:eastAsia="SimSun" w:cs="Arial"/>
          <w:b w:val="0"/>
          <w:bCs w:val="0"/>
          <w:sz w:val="22"/>
          <w:szCs w:val="22"/>
        </w:rPr>
        <w:t xml:space="preserve">Please </w:t>
      </w:r>
      <w:r>
        <w:rPr>
          <w:rFonts w:hint="default" w:ascii="Arial" w:hAnsi="Arial" w:cs="Arial"/>
          <w:b w:val="0"/>
          <w:bCs w:val="0"/>
          <w:sz w:val="22"/>
          <w:szCs w:val="22"/>
          <w:lang w:val="en-GB"/>
        </w:rPr>
        <w:t>explain me the economical situational of Dior Beauty in UK.”</w:t>
      </w:r>
    </w:p>
    <w:p w14:paraId="183EB270">
      <w:pPr>
        <w:pStyle w:val="2"/>
        <w:keepNext w:val="0"/>
        <w:keepLines w:val="0"/>
        <w:widowControl/>
        <w:suppressLineNumbers w:val="0"/>
        <w:rPr>
          <w:rFonts w:hint="default" w:ascii="Arial" w:hAnsi="Arial" w:eastAsia="SimSun" w:cs="Arial"/>
          <w:b w:val="0"/>
          <w:bCs w:val="0"/>
          <w:sz w:val="22"/>
          <w:szCs w:val="22"/>
          <w:lang w:val="en-GB"/>
        </w:rPr>
      </w:pPr>
      <w:r>
        <w:rPr>
          <w:rFonts w:hint="default" w:ascii="Arial" w:hAnsi="Arial" w:eastAsia="SimSun" w:cs="Arial"/>
          <w:b w:val="0"/>
          <w:bCs w:val="0"/>
          <w:sz w:val="22"/>
          <w:szCs w:val="22"/>
        </w:rPr>
        <w:t xml:space="preserve">2. </w:t>
      </w:r>
      <w:r>
        <w:rPr>
          <w:rFonts w:hint="default" w:ascii="Arial" w:hAnsi="Arial" w:cs="Arial"/>
          <w:b w:val="0"/>
          <w:bCs w:val="0"/>
          <w:sz w:val="22"/>
          <w:szCs w:val="22"/>
          <w:lang w:val="en-GB"/>
        </w:rPr>
        <w:t>“ Please give me some details of Dior Beauties last years financial performance.”</w:t>
      </w:r>
    </w:p>
    <w:p w14:paraId="4E6D67A5">
      <w:pPr>
        <w:pStyle w:val="2"/>
        <w:keepNext w:val="0"/>
        <w:keepLines w:val="0"/>
        <w:widowControl/>
        <w:suppressLineNumbers w:val="0"/>
        <w:rPr>
          <w:rFonts w:hint="default" w:ascii="Arial" w:hAnsi="Arial" w:cs="Arial"/>
          <w:b w:val="0"/>
          <w:bCs w:val="0"/>
          <w:sz w:val="22"/>
          <w:szCs w:val="22"/>
          <w:lang w:val="en-GB"/>
        </w:rPr>
      </w:pPr>
      <w:r>
        <w:rPr>
          <w:rFonts w:hint="default" w:ascii="Arial" w:hAnsi="Arial" w:eastAsia="SimSun" w:cs="Arial"/>
          <w:b w:val="0"/>
          <w:bCs w:val="0"/>
          <w:sz w:val="22"/>
          <w:szCs w:val="22"/>
        </w:rPr>
        <w:t xml:space="preserve">3. </w:t>
      </w:r>
      <w:r>
        <w:rPr>
          <w:rFonts w:hint="default" w:ascii="Arial" w:hAnsi="Arial" w:cs="Arial"/>
          <w:b w:val="0"/>
          <w:bCs w:val="0"/>
          <w:sz w:val="22"/>
          <w:szCs w:val="22"/>
          <w:lang w:val="en-GB"/>
        </w:rPr>
        <w:t>“ Please help me understand from Ansoff Matrix how market development can benefit Dior Beauty in long run.”</w:t>
      </w:r>
    </w:p>
    <w:p w14:paraId="26EF0694">
      <w:pPr>
        <w:rPr>
          <w:rFonts w:hint="default" w:ascii="Arial" w:hAnsi="Arial" w:cs="Arial"/>
          <w:b w:val="0"/>
          <w:bCs w:val="0"/>
          <w:sz w:val="22"/>
          <w:szCs w:val="22"/>
          <w:lang w:val="en-GB"/>
        </w:rPr>
      </w:pPr>
    </w:p>
    <w:p w14:paraId="27BD63D0">
      <w:pPr>
        <w:rPr>
          <w:rFonts w:hint="default" w:ascii="Arial" w:hAnsi="Arial" w:cs="Arial"/>
          <w:b w:val="0"/>
          <w:bCs w:val="0"/>
          <w:sz w:val="22"/>
          <w:szCs w:val="22"/>
          <w:lang w:val="en-GB"/>
        </w:rPr>
      </w:pPr>
      <w:r>
        <w:rPr>
          <w:rFonts w:hint="default" w:ascii="Arial" w:hAnsi="Arial" w:cs="Arial"/>
          <w:b w:val="0"/>
          <w:bCs w:val="0"/>
          <w:sz w:val="22"/>
          <w:szCs w:val="22"/>
          <w:lang w:val="en-GB"/>
        </w:rPr>
        <w:t xml:space="preserve">I confirm that I have not presented any AI generated text as my own work. I confirm I </w:t>
      </w:r>
    </w:p>
    <w:p w14:paraId="44856ADE">
      <w:pPr>
        <w:rPr>
          <w:rFonts w:hint="default" w:ascii="Arial" w:hAnsi="Arial" w:cs="Arial"/>
          <w:b w:val="0"/>
          <w:bCs w:val="0"/>
          <w:sz w:val="22"/>
          <w:szCs w:val="22"/>
          <w:lang w:val="en-GB"/>
        </w:rPr>
      </w:pPr>
      <w:r>
        <w:rPr>
          <w:rFonts w:hint="default" w:ascii="Arial" w:hAnsi="Arial" w:cs="Arial"/>
          <w:b w:val="0"/>
          <w:bCs w:val="0"/>
          <w:sz w:val="22"/>
          <w:szCs w:val="22"/>
          <w:lang w:val="en-GB"/>
        </w:rPr>
        <w:t>have copies of my drafts, notes, and other resources I used before, and after the use of AI tools which I may be asked to provide in evidence.</w:t>
      </w:r>
    </w:p>
    <w:p w14:paraId="3A0BE20D">
      <w:pPr>
        <w:pStyle w:val="2"/>
        <w:keepNext w:val="0"/>
        <w:keepLines w:val="0"/>
        <w:widowControl/>
        <w:suppressLineNumbers w:val="0"/>
        <w:rPr>
          <w:rFonts w:hint="default" w:ascii="Arial" w:hAnsi="Arial" w:eastAsia="SimSun" w:cs="Arial"/>
          <w:sz w:val="22"/>
          <w:szCs w:val="22"/>
        </w:rPr>
      </w:pPr>
    </w:p>
    <w:p w14:paraId="4E7331D7">
      <w:pPr>
        <w:pStyle w:val="2"/>
        <w:keepNext w:val="0"/>
        <w:keepLines w:val="0"/>
        <w:widowControl/>
        <w:suppressLineNumbers w:val="0"/>
        <w:rPr>
          <w:rFonts w:hint="default" w:ascii="Arial" w:hAnsi="Arial" w:eastAsia="SimSun" w:cs="Arial"/>
          <w:sz w:val="28"/>
          <w:szCs w:val="28"/>
        </w:rPr>
      </w:pPr>
    </w:p>
    <w:p w14:paraId="7D582F00">
      <w:pPr>
        <w:pStyle w:val="2"/>
        <w:keepNext w:val="0"/>
        <w:keepLines w:val="0"/>
        <w:widowControl/>
        <w:suppressLineNumbers w:val="0"/>
        <w:rPr>
          <w:rFonts w:hint="default" w:ascii="Arial" w:hAnsi="Arial" w:eastAsia="SimSun" w:cs="Arial"/>
          <w:sz w:val="28"/>
          <w:szCs w:val="28"/>
        </w:rPr>
      </w:pPr>
    </w:p>
    <w:p w14:paraId="5550694F">
      <w:pPr>
        <w:rPr>
          <w:rFonts w:hint="default" w:ascii="Arial" w:hAnsi="Arial" w:eastAsia="SimSun" w:cs="Arial"/>
          <w:sz w:val="28"/>
          <w:szCs w:val="28"/>
        </w:rPr>
      </w:pPr>
    </w:p>
    <w:p w14:paraId="74043BE2">
      <w:pPr>
        <w:rPr>
          <w:rFonts w:hint="default" w:ascii="Arial" w:hAnsi="Arial" w:eastAsia="SimSun" w:cs="Arial"/>
          <w:sz w:val="28"/>
          <w:szCs w:val="28"/>
        </w:rPr>
      </w:pPr>
    </w:p>
    <w:p w14:paraId="0724A381">
      <w:pPr>
        <w:rPr>
          <w:rFonts w:hint="default" w:ascii="Arial" w:hAnsi="Arial" w:eastAsia="SimSun" w:cs="Arial"/>
          <w:sz w:val="28"/>
          <w:szCs w:val="28"/>
        </w:rPr>
      </w:pPr>
    </w:p>
    <w:p w14:paraId="4AFDC4D3">
      <w:pPr>
        <w:rPr>
          <w:rFonts w:hint="default" w:ascii="Arial" w:hAnsi="Arial" w:eastAsia="SimSun" w:cs="Arial"/>
          <w:sz w:val="28"/>
          <w:szCs w:val="28"/>
        </w:rPr>
      </w:pPr>
    </w:p>
    <w:p w14:paraId="6BF54D28">
      <w:pPr>
        <w:rPr>
          <w:rFonts w:hint="default" w:ascii="Arial" w:hAnsi="Arial" w:eastAsia="SimSun" w:cs="Arial"/>
          <w:sz w:val="28"/>
          <w:szCs w:val="28"/>
        </w:rPr>
      </w:pPr>
    </w:p>
    <w:p w14:paraId="691B73CC">
      <w:pPr>
        <w:rPr>
          <w:rFonts w:hint="default" w:ascii="Arial" w:hAnsi="Arial" w:eastAsia="SimSun" w:cs="Arial"/>
          <w:sz w:val="28"/>
          <w:szCs w:val="28"/>
        </w:rPr>
      </w:pPr>
    </w:p>
    <w:p w14:paraId="0DB28CB6">
      <w:pPr>
        <w:rPr>
          <w:rFonts w:hint="default" w:ascii="Arial" w:hAnsi="Arial" w:eastAsia="SimSun" w:cs="Arial"/>
          <w:sz w:val="28"/>
          <w:szCs w:val="28"/>
        </w:rPr>
      </w:pPr>
    </w:p>
    <w:p w14:paraId="3FC224AD">
      <w:pPr>
        <w:rPr>
          <w:rFonts w:hint="default" w:ascii="Arial" w:hAnsi="Arial" w:eastAsia="SimSun" w:cs="Arial"/>
          <w:sz w:val="28"/>
          <w:szCs w:val="28"/>
        </w:rPr>
      </w:pPr>
    </w:p>
    <w:p w14:paraId="20235755">
      <w:pPr>
        <w:rPr>
          <w:rFonts w:hint="default" w:ascii="Arial" w:hAnsi="Arial" w:eastAsia="SimSun" w:cs="Arial"/>
          <w:sz w:val="28"/>
          <w:szCs w:val="28"/>
        </w:rPr>
      </w:pPr>
    </w:p>
    <w:p w14:paraId="571E49BB">
      <w:pPr>
        <w:rPr>
          <w:rFonts w:hint="default" w:ascii="Arial" w:hAnsi="Arial" w:eastAsia="SimSun" w:cs="Arial"/>
          <w:sz w:val="28"/>
          <w:szCs w:val="28"/>
        </w:rPr>
      </w:pPr>
    </w:p>
    <w:p w14:paraId="4FF68B51">
      <w:pPr>
        <w:rPr>
          <w:rFonts w:hint="default" w:ascii="Arial" w:hAnsi="Arial" w:eastAsia="SimSun" w:cs="Arial"/>
          <w:sz w:val="28"/>
          <w:szCs w:val="28"/>
        </w:rPr>
      </w:pPr>
    </w:p>
    <w:p w14:paraId="33F388E6">
      <w:pPr>
        <w:rPr>
          <w:rFonts w:hint="default" w:ascii="Arial" w:hAnsi="Arial" w:eastAsia="SimSun" w:cs="Arial"/>
          <w:sz w:val="28"/>
          <w:szCs w:val="28"/>
        </w:rPr>
      </w:pPr>
    </w:p>
    <w:p w14:paraId="44825D21">
      <w:pPr>
        <w:rPr>
          <w:rFonts w:hint="default" w:ascii="Arial" w:hAnsi="Arial" w:eastAsia="SimSun" w:cs="Arial"/>
          <w:sz w:val="28"/>
          <w:szCs w:val="28"/>
        </w:rPr>
      </w:pPr>
    </w:p>
    <w:p w14:paraId="1BC284BF">
      <w:pPr>
        <w:rPr>
          <w:rFonts w:hint="default" w:ascii="Arial" w:hAnsi="Arial" w:eastAsia="SimSun" w:cs="Arial"/>
          <w:sz w:val="28"/>
          <w:szCs w:val="28"/>
        </w:rPr>
      </w:pPr>
    </w:p>
    <w:p w14:paraId="6309DB7D">
      <w:pPr>
        <w:pStyle w:val="2"/>
        <w:keepNext w:val="0"/>
        <w:keepLines w:val="0"/>
        <w:widowControl/>
        <w:suppressLineNumbers w:val="0"/>
        <w:rPr>
          <w:rFonts w:hint="default" w:ascii="Arial" w:hAnsi="Arial" w:eastAsia="SimSun" w:cs="Arial"/>
          <w:sz w:val="28"/>
          <w:szCs w:val="28"/>
        </w:rPr>
      </w:pPr>
    </w:p>
    <w:p w14:paraId="52198CBE">
      <w:pPr>
        <w:rPr>
          <w:rFonts w:hint="default" w:ascii="Arial" w:hAnsi="Arial" w:eastAsia="SimSun" w:cs="Arial"/>
          <w:sz w:val="28"/>
          <w:szCs w:val="28"/>
        </w:rPr>
      </w:pPr>
    </w:p>
    <w:p w14:paraId="7DC4D88A">
      <w:pPr>
        <w:rPr>
          <w:rFonts w:hint="default" w:ascii="Arial" w:hAnsi="Arial" w:eastAsia="SimSun" w:cs="Arial"/>
          <w:sz w:val="28"/>
          <w:szCs w:val="28"/>
        </w:rPr>
      </w:pPr>
    </w:p>
    <w:p w14:paraId="2110AC80">
      <w:pPr>
        <w:pStyle w:val="2"/>
        <w:keepNext w:val="0"/>
        <w:keepLines w:val="0"/>
        <w:widowControl/>
        <w:suppressLineNumbers w:val="0"/>
        <w:rPr>
          <w:rFonts w:hint="default" w:ascii="Arial" w:hAnsi="Arial" w:cs="Arial"/>
          <w:b/>
          <w:bCs/>
          <w:sz w:val="28"/>
          <w:szCs w:val="28"/>
          <w:lang w:val="en-GB"/>
        </w:rPr>
      </w:pPr>
      <w:r>
        <w:rPr>
          <w:rFonts w:hint="default" w:ascii="Arial" w:hAnsi="Arial" w:eastAsia="SimSun" w:cs="Arial"/>
          <w:sz w:val="28"/>
          <w:szCs w:val="28"/>
        </w:rPr>
        <w:t>Table of Contents</w:t>
      </w:r>
    </w:p>
    <w:tbl>
      <w:tblPr>
        <w:tblW w:w="0" w:type="auto"/>
        <w:tblCellSpacing w:w="15" w:type="dxa"/>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Layout w:type="autofit"/>
        <w:tblCellMar>
          <w:top w:w="15" w:type="dxa"/>
          <w:left w:w="15" w:type="dxa"/>
          <w:bottom w:w="15" w:type="dxa"/>
          <w:right w:w="15" w:type="dxa"/>
        </w:tblCellMar>
      </w:tblPr>
      <w:tblGrid>
        <w:gridCol w:w="962"/>
        <w:gridCol w:w="6785"/>
        <w:gridCol w:w="669"/>
      </w:tblGrid>
      <w:tr w14:paraId="5D49EE64">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Header/>
          <w:tblCellSpacing w:w="15" w:type="dxa"/>
        </w:trPr>
        <w:tc>
          <w:tcPr>
            <w:tcW w:w="0" w:type="auto"/>
            <w:tcBorders>
              <w:tl2br w:val="nil"/>
              <w:tr2bl w:val="nil"/>
            </w:tcBorders>
            <w:shd w:val="clear"/>
            <w:vAlign w:val="center"/>
          </w:tcPr>
          <w:p w14:paraId="0153D01A">
            <w:pPr>
              <w:keepNext w:val="0"/>
              <w:keepLines w:val="0"/>
              <w:widowControl/>
              <w:suppressLineNumbers w:val="0"/>
              <w:jc w:val="center"/>
              <w:rPr>
                <w:rFonts w:hint="default" w:ascii="Arial" w:hAnsi="Arial" w:cs="Arial"/>
                <w:b/>
                <w:bCs/>
              </w:rPr>
            </w:pPr>
            <w:r>
              <w:rPr>
                <w:rStyle w:val="12"/>
                <w:rFonts w:hint="default" w:ascii="Arial" w:hAnsi="Arial" w:eastAsia="SimSun" w:cs="Arial"/>
                <w:kern w:val="0"/>
                <w:sz w:val="24"/>
                <w:szCs w:val="24"/>
                <w:lang w:val="en-US" w:eastAsia="zh-CN" w:bidi="ar"/>
              </w:rPr>
              <w:t>Section</w:t>
            </w:r>
          </w:p>
        </w:tc>
        <w:tc>
          <w:tcPr>
            <w:tcW w:w="0" w:type="auto"/>
            <w:tcBorders>
              <w:tl2br w:val="nil"/>
              <w:tr2bl w:val="nil"/>
            </w:tcBorders>
            <w:shd w:val="clear"/>
            <w:vAlign w:val="center"/>
          </w:tcPr>
          <w:p w14:paraId="60FD81CE">
            <w:pPr>
              <w:keepNext w:val="0"/>
              <w:keepLines w:val="0"/>
              <w:widowControl/>
              <w:suppressLineNumbers w:val="0"/>
              <w:jc w:val="center"/>
              <w:rPr>
                <w:rFonts w:hint="default" w:ascii="Arial" w:hAnsi="Arial" w:cs="Arial"/>
                <w:b/>
                <w:bCs/>
              </w:rPr>
            </w:pPr>
            <w:r>
              <w:rPr>
                <w:rStyle w:val="12"/>
                <w:rFonts w:hint="default" w:ascii="Arial" w:hAnsi="Arial" w:eastAsia="SimSun" w:cs="Arial"/>
                <w:kern w:val="0"/>
                <w:sz w:val="24"/>
                <w:szCs w:val="24"/>
                <w:lang w:val="en-US" w:eastAsia="zh-CN" w:bidi="ar"/>
              </w:rPr>
              <w:t>Title</w:t>
            </w:r>
          </w:p>
        </w:tc>
        <w:tc>
          <w:tcPr>
            <w:tcW w:w="0" w:type="auto"/>
            <w:tcBorders>
              <w:tl2br w:val="nil"/>
              <w:tr2bl w:val="nil"/>
            </w:tcBorders>
            <w:shd w:val="clear"/>
            <w:vAlign w:val="center"/>
          </w:tcPr>
          <w:p w14:paraId="50BF6D88">
            <w:pPr>
              <w:keepNext w:val="0"/>
              <w:keepLines w:val="0"/>
              <w:widowControl/>
              <w:suppressLineNumbers w:val="0"/>
              <w:jc w:val="center"/>
              <w:rPr>
                <w:rFonts w:hint="default" w:ascii="Arial" w:hAnsi="Arial" w:cs="Arial"/>
                <w:b/>
                <w:bCs/>
              </w:rPr>
            </w:pPr>
            <w:r>
              <w:rPr>
                <w:rStyle w:val="12"/>
                <w:rFonts w:hint="default" w:ascii="Arial" w:hAnsi="Arial" w:eastAsia="SimSun" w:cs="Arial"/>
                <w:kern w:val="0"/>
                <w:sz w:val="24"/>
                <w:szCs w:val="24"/>
                <w:lang w:val="en-US" w:eastAsia="zh-CN" w:bidi="ar"/>
              </w:rPr>
              <w:t>Page</w:t>
            </w:r>
          </w:p>
        </w:tc>
      </w:tr>
      <w:tr w14:paraId="2B54D1CD">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6E03F6C8">
            <w:pPr>
              <w:rPr>
                <w:rFonts w:hint="default" w:ascii="Arial" w:hAnsi="Arial" w:cs="Arial"/>
                <w:sz w:val="24"/>
                <w:szCs w:val="24"/>
                <w:lang w:val="en-GB"/>
              </w:rPr>
            </w:pPr>
            <w:r>
              <w:rPr>
                <w:rFonts w:hint="default" w:ascii="Arial" w:hAnsi="Arial" w:cs="Arial"/>
                <w:sz w:val="22"/>
                <w:szCs w:val="22"/>
                <w:lang w:val="en-GB"/>
              </w:rPr>
              <w:t>1.0</w:t>
            </w:r>
          </w:p>
        </w:tc>
        <w:tc>
          <w:tcPr>
            <w:tcW w:w="0" w:type="auto"/>
            <w:tcBorders>
              <w:tl2br w:val="nil"/>
              <w:tr2bl w:val="nil"/>
            </w:tcBorders>
            <w:shd w:val="clear"/>
            <w:vAlign w:val="center"/>
          </w:tcPr>
          <w:p w14:paraId="28D7826F">
            <w:pPr>
              <w:keepNext w:val="0"/>
              <w:keepLines w:val="0"/>
              <w:widowControl/>
              <w:suppressLineNumbers w:val="0"/>
              <w:jc w:val="left"/>
              <w:rPr>
                <w:rFonts w:hint="default" w:ascii="Arial" w:hAnsi="Arial" w:cs="Arial"/>
                <w:b w:val="0"/>
                <w:bCs w:val="0"/>
                <w:sz w:val="22"/>
                <w:szCs w:val="22"/>
              </w:rPr>
            </w:pPr>
            <w:r>
              <w:rPr>
                <w:rFonts w:hint="default" w:ascii="Arial" w:hAnsi="Arial" w:cs="Arial"/>
                <w:b w:val="0"/>
                <w:bCs w:val="0"/>
                <w:sz w:val="22"/>
                <w:szCs w:val="22"/>
              </w:rPr>
              <w:t>Organizational Context and Overview</w:t>
            </w:r>
          </w:p>
        </w:tc>
        <w:tc>
          <w:tcPr>
            <w:tcW w:w="0" w:type="auto"/>
            <w:tcBorders>
              <w:tl2br w:val="nil"/>
              <w:tr2bl w:val="nil"/>
            </w:tcBorders>
            <w:shd w:val="clear"/>
            <w:vAlign w:val="center"/>
          </w:tcPr>
          <w:p w14:paraId="2E3F8E03">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4</w:t>
            </w:r>
          </w:p>
        </w:tc>
      </w:tr>
      <w:tr w14:paraId="307A59F9">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68FACA9">
            <w:pPr>
              <w:keepNext w:val="0"/>
              <w:keepLines w:val="0"/>
              <w:widowControl/>
              <w:suppressLineNumbers w:val="0"/>
              <w:jc w:val="left"/>
              <w:rPr>
                <w:rFonts w:hint="default" w:ascii="Arial" w:hAnsi="Arial" w:cs="Arial"/>
                <w:lang w:val="en-GB"/>
              </w:rPr>
            </w:pPr>
            <w:r>
              <w:rPr>
                <w:rFonts w:hint="default" w:ascii="Arial" w:hAnsi="Arial" w:cs="Arial"/>
                <w:lang w:val="en-GB"/>
              </w:rPr>
              <w:t>1.1</w:t>
            </w:r>
          </w:p>
        </w:tc>
        <w:tc>
          <w:tcPr>
            <w:tcW w:w="0" w:type="auto"/>
            <w:tcBorders>
              <w:tl2br w:val="nil"/>
              <w:tr2bl w:val="nil"/>
            </w:tcBorders>
            <w:shd w:val="clear"/>
            <w:vAlign w:val="center"/>
          </w:tcPr>
          <w:p w14:paraId="3C90B4E8">
            <w:pPr>
              <w:keepNext w:val="0"/>
              <w:keepLines w:val="0"/>
              <w:widowControl/>
              <w:suppressLineNumbers w:val="0"/>
              <w:jc w:val="left"/>
              <w:rPr>
                <w:rFonts w:hint="default" w:ascii="Arial" w:hAnsi="Arial" w:cs="Arial"/>
                <w:b w:val="0"/>
                <w:bCs w:val="0"/>
                <w:sz w:val="22"/>
                <w:szCs w:val="22"/>
                <w:lang w:val="en-GB"/>
              </w:rPr>
            </w:pPr>
            <w:r>
              <w:rPr>
                <w:rFonts w:hint="default" w:ascii="Arial" w:hAnsi="Arial" w:cs="Arial"/>
                <w:b w:val="0"/>
                <w:bCs w:val="0"/>
                <w:sz w:val="22"/>
                <w:szCs w:val="22"/>
              </w:rPr>
              <w:t>Company Overview: Dior Beauty</w:t>
            </w:r>
            <w:r>
              <w:rPr>
                <w:rFonts w:hint="default" w:ascii="Arial" w:hAnsi="Arial" w:cs="Arial"/>
                <w:b w:val="0"/>
                <w:bCs w:val="0"/>
                <w:sz w:val="22"/>
                <w:szCs w:val="22"/>
                <w:lang w:val="en-GB"/>
              </w:rPr>
              <w:t xml:space="preserve"> (Mission, Vision and Business Model)</w:t>
            </w:r>
          </w:p>
        </w:tc>
        <w:tc>
          <w:tcPr>
            <w:tcW w:w="0" w:type="auto"/>
            <w:tcBorders>
              <w:tl2br w:val="nil"/>
              <w:tr2bl w:val="nil"/>
            </w:tcBorders>
            <w:shd w:val="clear"/>
            <w:vAlign w:val="center"/>
          </w:tcPr>
          <w:p w14:paraId="4F8D5B27">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4</w:t>
            </w:r>
          </w:p>
        </w:tc>
      </w:tr>
      <w:tr w14:paraId="45770246">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rHeight w:val="90" w:hRule="atLeast"/>
          <w:tblCellSpacing w:w="15" w:type="dxa"/>
        </w:trPr>
        <w:tc>
          <w:tcPr>
            <w:tcW w:w="0" w:type="auto"/>
            <w:tcBorders>
              <w:tl2br w:val="nil"/>
              <w:tr2bl w:val="nil"/>
            </w:tcBorders>
            <w:shd w:val="clear"/>
            <w:vAlign w:val="center"/>
          </w:tcPr>
          <w:p w14:paraId="1EB1C05D">
            <w:pPr>
              <w:keepNext w:val="0"/>
              <w:keepLines w:val="0"/>
              <w:widowControl/>
              <w:suppressLineNumbers w:val="0"/>
              <w:jc w:val="left"/>
              <w:rPr>
                <w:rFonts w:hint="default" w:ascii="Arial" w:hAnsi="Arial" w:cs="Arial"/>
                <w:lang w:val="en-GB"/>
              </w:rPr>
            </w:pPr>
            <w:r>
              <w:rPr>
                <w:rFonts w:hint="default" w:ascii="Arial" w:hAnsi="Arial" w:cs="Arial"/>
                <w:lang w:val="en-GB"/>
              </w:rPr>
              <w:t>1.2</w:t>
            </w:r>
          </w:p>
        </w:tc>
        <w:tc>
          <w:tcPr>
            <w:tcW w:w="0" w:type="auto"/>
            <w:tcBorders>
              <w:tl2br w:val="nil"/>
              <w:tr2bl w:val="nil"/>
            </w:tcBorders>
            <w:shd w:val="clear"/>
            <w:vAlign w:val="center"/>
          </w:tcPr>
          <w:p w14:paraId="73D023ED">
            <w:pPr>
              <w:keepNext w:val="0"/>
              <w:keepLines w:val="0"/>
              <w:widowControl/>
              <w:suppressLineNumbers w:val="0"/>
              <w:jc w:val="left"/>
              <w:rPr>
                <w:rFonts w:hint="default" w:ascii="Arial" w:hAnsi="Arial" w:cs="Arial"/>
                <w:b w:val="0"/>
                <w:bCs w:val="0"/>
                <w:sz w:val="22"/>
                <w:szCs w:val="22"/>
                <w:lang w:val="en-GB"/>
              </w:rPr>
            </w:pPr>
            <w:r>
              <w:rPr>
                <w:rFonts w:hint="default" w:ascii="Arial" w:hAnsi="Arial" w:cs="Arial"/>
                <w:b w:val="0"/>
                <w:bCs w:val="0"/>
                <w:sz w:val="22"/>
                <w:szCs w:val="22"/>
              </w:rPr>
              <w:t>Industry Overview</w:t>
            </w:r>
            <w:r>
              <w:rPr>
                <w:rFonts w:hint="default" w:ascii="Arial" w:hAnsi="Arial" w:cs="Arial"/>
                <w:b w:val="0"/>
                <w:bCs w:val="0"/>
                <w:sz w:val="22"/>
                <w:szCs w:val="22"/>
                <w:lang w:val="en-GB"/>
              </w:rPr>
              <w:t xml:space="preserve"> ( UK Market Position )</w:t>
            </w:r>
          </w:p>
        </w:tc>
        <w:tc>
          <w:tcPr>
            <w:tcW w:w="0" w:type="auto"/>
            <w:tcBorders>
              <w:tl2br w:val="nil"/>
              <w:tr2bl w:val="nil"/>
            </w:tcBorders>
            <w:shd w:val="clear"/>
            <w:vAlign w:val="center"/>
          </w:tcPr>
          <w:p w14:paraId="7919A8C6">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4</w:t>
            </w:r>
          </w:p>
        </w:tc>
      </w:tr>
      <w:tr w14:paraId="745BFA37">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233F28AF">
            <w:pPr>
              <w:keepNext w:val="0"/>
              <w:keepLines w:val="0"/>
              <w:widowControl/>
              <w:suppressLineNumbers w:val="0"/>
              <w:jc w:val="left"/>
              <w:rPr>
                <w:rFonts w:hint="default" w:ascii="Arial" w:hAnsi="Arial" w:cs="Arial"/>
                <w:lang w:val="en-GB"/>
              </w:rPr>
            </w:pPr>
            <w:r>
              <w:rPr>
                <w:rFonts w:hint="default" w:ascii="Arial" w:hAnsi="Arial" w:cs="Arial"/>
                <w:lang w:val="en-GB"/>
              </w:rPr>
              <w:t>2.0</w:t>
            </w:r>
          </w:p>
        </w:tc>
        <w:tc>
          <w:tcPr>
            <w:tcW w:w="0" w:type="auto"/>
            <w:tcBorders>
              <w:tl2br w:val="nil"/>
              <w:tr2bl w:val="nil"/>
            </w:tcBorders>
            <w:shd w:val="clear"/>
            <w:vAlign w:val="center"/>
          </w:tcPr>
          <w:p w14:paraId="57A24B35">
            <w:pPr>
              <w:keepNext w:val="0"/>
              <w:keepLines w:val="0"/>
              <w:widowControl/>
              <w:suppressLineNumbers w:val="0"/>
              <w:jc w:val="left"/>
              <w:rPr>
                <w:rFonts w:hint="default" w:ascii="Arial" w:hAnsi="Arial" w:cs="Arial"/>
                <w:b w:val="0"/>
                <w:bCs w:val="0"/>
                <w:sz w:val="22"/>
                <w:szCs w:val="22"/>
              </w:rPr>
            </w:pPr>
            <w:r>
              <w:rPr>
                <w:rStyle w:val="12"/>
                <w:rFonts w:hint="default" w:ascii="Arial" w:hAnsi="Arial" w:eastAsia="SimSun" w:cs="Arial"/>
                <w:b w:val="0"/>
                <w:bCs w:val="0"/>
                <w:kern w:val="0"/>
                <w:sz w:val="22"/>
                <w:szCs w:val="22"/>
                <w:lang w:val="en-US" w:eastAsia="zh-CN" w:bidi="ar"/>
              </w:rPr>
              <w:t>External and Internal Strategic Analysis</w:t>
            </w:r>
          </w:p>
        </w:tc>
        <w:tc>
          <w:tcPr>
            <w:tcW w:w="0" w:type="auto"/>
            <w:tcBorders>
              <w:tl2br w:val="nil"/>
              <w:tr2bl w:val="nil"/>
            </w:tcBorders>
            <w:shd w:val="clear"/>
            <w:vAlign w:val="center"/>
          </w:tcPr>
          <w:p w14:paraId="649C0F0E">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5</w:t>
            </w:r>
          </w:p>
        </w:tc>
      </w:tr>
      <w:tr w14:paraId="025F3E68">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5C398201">
            <w:pPr>
              <w:keepNext w:val="0"/>
              <w:keepLines w:val="0"/>
              <w:widowControl/>
              <w:suppressLineNumbers w:val="0"/>
              <w:jc w:val="left"/>
              <w:rPr>
                <w:rFonts w:hint="default" w:ascii="Arial" w:hAnsi="Arial" w:cs="Arial"/>
                <w:lang w:val="en-GB"/>
              </w:rPr>
            </w:pPr>
            <w:r>
              <w:rPr>
                <w:rFonts w:hint="default" w:ascii="Arial" w:hAnsi="Arial" w:cs="Arial"/>
                <w:lang w:val="en-GB"/>
              </w:rPr>
              <w:t>2.1</w:t>
            </w:r>
          </w:p>
        </w:tc>
        <w:tc>
          <w:tcPr>
            <w:tcW w:w="0" w:type="auto"/>
            <w:tcBorders>
              <w:tl2br w:val="nil"/>
              <w:tr2bl w:val="nil"/>
            </w:tcBorders>
            <w:shd w:val="clear"/>
            <w:vAlign w:val="center"/>
          </w:tcPr>
          <w:p w14:paraId="12B0902F">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PESTEL Analysis</w:t>
            </w:r>
            <w:r>
              <w:rPr>
                <w:rFonts w:hint="default" w:ascii="Arial" w:hAnsi="Arial" w:eastAsia="SimSun" w:cs="Arial"/>
                <w:b w:val="0"/>
                <w:bCs w:val="0"/>
                <w:kern w:val="0"/>
                <w:sz w:val="22"/>
                <w:szCs w:val="22"/>
                <w:lang w:val="en-GB" w:eastAsia="zh-CN" w:bidi="ar"/>
              </w:rPr>
              <w:t xml:space="preserve"> Framework (</w:t>
            </w:r>
            <w:r>
              <w:rPr>
                <w:rFonts w:hint="default" w:ascii="Arial" w:hAnsi="Arial" w:eastAsia="SimSun" w:cs="Arial"/>
                <w:b w:val="0"/>
                <w:bCs w:val="0"/>
                <w:kern w:val="0"/>
                <w:sz w:val="22"/>
                <w:szCs w:val="22"/>
                <w:lang w:val="en-US" w:eastAsia="zh-CN" w:bidi="ar"/>
              </w:rPr>
              <w:t>Opportunities and Threats from PESTEL</w:t>
            </w:r>
            <w:r>
              <w:rPr>
                <w:rFonts w:hint="default" w:ascii="Arial" w:hAnsi="Arial" w:eastAsia="SimSun" w:cs="Arial"/>
                <w:b w:val="0"/>
                <w:bCs w:val="0"/>
                <w:kern w:val="0"/>
                <w:sz w:val="22"/>
                <w:szCs w:val="22"/>
                <w:lang w:val="en-GB" w:eastAsia="zh-CN" w:bidi="ar"/>
              </w:rPr>
              <w:t>)</w:t>
            </w:r>
          </w:p>
        </w:tc>
        <w:tc>
          <w:tcPr>
            <w:tcW w:w="0" w:type="auto"/>
            <w:tcBorders>
              <w:tl2br w:val="nil"/>
              <w:tr2bl w:val="nil"/>
            </w:tcBorders>
            <w:shd w:val="clear"/>
            <w:vAlign w:val="center"/>
          </w:tcPr>
          <w:p w14:paraId="21F41A55">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5-7</w:t>
            </w:r>
          </w:p>
        </w:tc>
      </w:tr>
      <w:tr w14:paraId="364BD918">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18155F31">
            <w:pPr>
              <w:keepNext w:val="0"/>
              <w:keepLines w:val="0"/>
              <w:widowControl/>
              <w:suppressLineNumbers w:val="0"/>
              <w:jc w:val="left"/>
              <w:rPr>
                <w:rFonts w:hint="default" w:ascii="Arial" w:hAnsi="Arial" w:cs="Arial"/>
                <w:lang w:val="en-GB"/>
              </w:rPr>
            </w:pPr>
            <w:r>
              <w:rPr>
                <w:rFonts w:hint="default" w:ascii="Arial" w:hAnsi="Arial" w:cs="Arial"/>
                <w:lang w:val="en-GB"/>
              </w:rPr>
              <w:t>2.2</w:t>
            </w:r>
          </w:p>
        </w:tc>
        <w:tc>
          <w:tcPr>
            <w:tcW w:w="0" w:type="auto"/>
            <w:tcBorders>
              <w:tl2br w:val="nil"/>
              <w:tr2bl w:val="nil"/>
            </w:tcBorders>
            <w:shd w:val="clear"/>
            <w:vAlign w:val="center"/>
          </w:tcPr>
          <w:p w14:paraId="297AE3AD">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VRIO Analysis</w:t>
            </w:r>
            <w:r>
              <w:rPr>
                <w:rFonts w:hint="default" w:ascii="Arial" w:hAnsi="Arial" w:eastAsia="SimSun" w:cs="Arial"/>
                <w:b w:val="0"/>
                <w:bCs w:val="0"/>
                <w:kern w:val="0"/>
                <w:sz w:val="22"/>
                <w:szCs w:val="22"/>
                <w:lang w:val="en-GB" w:eastAsia="zh-CN" w:bidi="ar"/>
              </w:rPr>
              <w:t xml:space="preserve"> Framework ( Strength &amp; Threat )</w:t>
            </w:r>
          </w:p>
        </w:tc>
        <w:tc>
          <w:tcPr>
            <w:tcW w:w="0" w:type="auto"/>
            <w:tcBorders>
              <w:tl2br w:val="nil"/>
              <w:tr2bl w:val="nil"/>
            </w:tcBorders>
            <w:shd w:val="clear"/>
            <w:vAlign w:val="center"/>
          </w:tcPr>
          <w:p w14:paraId="6162E6AF">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7-8</w:t>
            </w:r>
          </w:p>
        </w:tc>
      </w:tr>
      <w:tr w14:paraId="1EE3B5A0">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4622DB9A">
            <w:pPr>
              <w:keepNext w:val="0"/>
              <w:keepLines w:val="0"/>
              <w:widowControl/>
              <w:suppressLineNumbers w:val="0"/>
              <w:jc w:val="left"/>
              <w:rPr>
                <w:rFonts w:hint="default" w:ascii="Arial" w:hAnsi="Arial" w:cs="Arial"/>
                <w:lang w:val="en-GB"/>
              </w:rPr>
            </w:pPr>
            <w:r>
              <w:rPr>
                <w:rFonts w:hint="default" w:ascii="Arial" w:hAnsi="Arial" w:cs="Arial"/>
                <w:lang w:val="en-GB"/>
              </w:rPr>
              <w:t>2.3</w:t>
            </w:r>
          </w:p>
        </w:tc>
        <w:tc>
          <w:tcPr>
            <w:tcW w:w="0" w:type="auto"/>
            <w:tcBorders>
              <w:tl2br w:val="nil"/>
              <w:tr2bl w:val="nil"/>
            </w:tcBorders>
            <w:shd w:val="clear"/>
            <w:vAlign w:val="center"/>
          </w:tcPr>
          <w:p w14:paraId="1AFE6EFC">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SWOT Analysis</w:t>
            </w:r>
            <w:r>
              <w:rPr>
                <w:rFonts w:hint="default" w:ascii="Arial" w:hAnsi="Arial" w:eastAsia="SimSun" w:cs="Arial"/>
                <w:b w:val="0"/>
                <w:bCs w:val="0"/>
                <w:kern w:val="0"/>
                <w:sz w:val="22"/>
                <w:szCs w:val="22"/>
                <w:lang w:val="en-GB" w:eastAsia="zh-CN" w:bidi="ar"/>
              </w:rPr>
              <w:t xml:space="preserve"> ( Action Plan)</w:t>
            </w:r>
          </w:p>
        </w:tc>
        <w:tc>
          <w:tcPr>
            <w:tcW w:w="0" w:type="auto"/>
            <w:tcBorders>
              <w:tl2br w:val="nil"/>
              <w:tr2bl w:val="nil"/>
            </w:tcBorders>
            <w:shd w:val="clear"/>
            <w:vAlign w:val="center"/>
          </w:tcPr>
          <w:p w14:paraId="445A785B">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9-11</w:t>
            </w:r>
          </w:p>
        </w:tc>
      </w:tr>
      <w:tr w14:paraId="161FEBA5">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F1197FD">
            <w:pPr>
              <w:keepNext w:val="0"/>
              <w:keepLines w:val="0"/>
              <w:widowControl/>
              <w:suppressLineNumbers w:val="0"/>
              <w:jc w:val="left"/>
              <w:rPr>
                <w:rFonts w:hint="default" w:ascii="Arial" w:hAnsi="Arial" w:cs="Arial"/>
                <w:lang w:val="en-GB"/>
              </w:rPr>
            </w:pPr>
            <w:r>
              <w:rPr>
                <w:rFonts w:hint="default" w:ascii="Arial" w:hAnsi="Arial" w:cs="Arial"/>
                <w:lang w:val="en-GB"/>
              </w:rPr>
              <w:t>3.0</w:t>
            </w:r>
          </w:p>
        </w:tc>
        <w:tc>
          <w:tcPr>
            <w:tcW w:w="0" w:type="auto"/>
            <w:tcBorders>
              <w:tl2br w:val="nil"/>
              <w:tr2bl w:val="nil"/>
            </w:tcBorders>
            <w:shd w:val="clear"/>
            <w:vAlign w:val="center"/>
          </w:tcPr>
          <w:p w14:paraId="7203B6B6">
            <w:pPr>
              <w:keepNext w:val="0"/>
              <w:keepLines w:val="0"/>
              <w:widowControl/>
              <w:suppressLineNumbers w:val="0"/>
              <w:jc w:val="left"/>
              <w:rPr>
                <w:rFonts w:hint="default" w:ascii="Arial" w:hAnsi="Arial" w:cs="Arial"/>
                <w:b w:val="0"/>
                <w:bCs w:val="0"/>
                <w:sz w:val="22"/>
                <w:szCs w:val="22"/>
              </w:rPr>
            </w:pPr>
            <w:r>
              <w:rPr>
                <w:rStyle w:val="12"/>
                <w:rFonts w:hint="default" w:ascii="Arial" w:hAnsi="Arial" w:eastAsia="SimSun" w:cs="Arial"/>
                <w:b w:val="0"/>
                <w:bCs w:val="0"/>
                <w:kern w:val="0"/>
                <w:sz w:val="22"/>
                <w:szCs w:val="22"/>
                <w:lang w:val="en-US" w:eastAsia="zh-CN" w:bidi="ar"/>
              </w:rPr>
              <w:t>Corporate Social Responsibility and Performance Management</w:t>
            </w:r>
          </w:p>
        </w:tc>
        <w:tc>
          <w:tcPr>
            <w:tcW w:w="0" w:type="auto"/>
            <w:tcBorders>
              <w:tl2br w:val="nil"/>
              <w:tr2bl w:val="nil"/>
            </w:tcBorders>
            <w:shd w:val="clear"/>
            <w:vAlign w:val="center"/>
          </w:tcPr>
          <w:p w14:paraId="70446C6C">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11</w:t>
            </w:r>
          </w:p>
        </w:tc>
      </w:tr>
      <w:tr w14:paraId="7B6BA9A0">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3E06324D">
            <w:pPr>
              <w:keepNext w:val="0"/>
              <w:keepLines w:val="0"/>
              <w:widowControl/>
              <w:suppressLineNumbers w:val="0"/>
              <w:jc w:val="left"/>
              <w:rPr>
                <w:rFonts w:hint="default" w:ascii="Arial" w:hAnsi="Arial" w:cs="Arial"/>
                <w:lang w:val="en-GB"/>
              </w:rPr>
            </w:pPr>
            <w:r>
              <w:rPr>
                <w:rFonts w:hint="default" w:ascii="Arial" w:hAnsi="Arial" w:cs="Arial"/>
                <w:lang w:val="en-GB"/>
              </w:rPr>
              <w:t>3.1</w:t>
            </w:r>
          </w:p>
        </w:tc>
        <w:tc>
          <w:tcPr>
            <w:tcW w:w="0" w:type="auto"/>
            <w:tcBorders>
              <w:tl2br w:val="nil"/>
              <w:tr2bl w:val="nil"/>
            </w:tcBorders>
            <w:shd w:val="clear"/>
            <w:vAlign w:val="center"/>
          </w:tcPr>
          <w:p w14:paraId="23FA7921">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Corporate Social Responsibility (CSR) Strategy</w:t>
            </w:r>
            <w:r>
              <w:rPr>
                <w:rFonts w:hint="default" w:ascii="Arial" w:hAnsi="Arial" w:eastAsia="SimSun" w:cs="Arial"/>
                <w:b w:val="0"/>
                <w:bCs w:val="0"/>
                <w:kern w:val="0"/>
                <w:sz w:val="22"/>
                <w:szCs w:val="22"/>
                <w:lang w:val="en-GB" w:eastAsia="zh-CN" w:bidi="ar"/>
              </w:rPr>
              <w:t xml:space="preserve"> (</w:t>
            </w:r>
            <w:r>
              <w:rPr>
                <w:rFonts w:hint="default" w:ascii="Arial" w:hAnsi="Arial" w:eastAsia="SimSun" w:cs="Arial"/>
                <w:b w:val="0"/>
                <w:bCs w:val="0"/>
                <w:kern w:val="0"/>
                <w:sz w:val="22"/>
                <w:szCs w:val="22"/>
                <w:lang w:val="en-US" w:eastAsia="zh-CN" w:bidi="ar"/>
              </w:rPr>
              <w:t>Alignment with Dior's Mission</w:t>
            </w:r>
            <w:r>
              <w:rPr>
                <w:rFonts w:hint="default" w:ascii="Arial" w:hAnsi="Arial" w:eastAsia="SimSun" w:cs="Arial"/>
                <w:b w:val="0"/>
                <w:bCs w:val="0"/>
                <w:kern w:val="0"/>
                <w:sz w:val="22"/>
                <w:szCs w:val="22"/>
                <w:lang w:val="en-GB" w:eastAsia="zh-CN" w:bidi="ar"/>
              </w:rPr>
              <w:t>)</w:t>
            </w:r>
          </w:p>
        </w:tc>
        <w:tc>
          <w:tcPr>
            <w:tcW w:w="0" w:type="auto"/>
            <w:tcBorders>
              <w:tl2br w:val="nil"/>
              <w:tr2bl w:val="nil"/>
            </w:tcBorders>
            <w:shd w:val="clear"/>
            <w:vAlign w:val="center"/>
          </w:tcPr>
          <w:p w14:paraId="1E7A568B">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11-13</w:t>
            </w:r>
          </w:p>
        </w:tc>
      </w:tr>
      <w:tr w14:paraId="20B6B087">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5C5D3525">
            <w:pPr>
              <w:keepNext w:val="0"/>
              <w:keepLines w:val="0"/>
              <w:widowControl/>
              <w:suppressLineNumbers w:val="0"/>
              <w:jc w:val="left"/>
              <w:rPr>
                <w:rFonts w:hint="default" w:ascii="Arial" w:hAnsi="Arial" w:cs="Arial"/>
                <w:lang w:val="en-GB"/>
              </w:rPr>
            </w:pPr>
            <w:r>
              <w:rPr>
                <w:rFonts w:hint="default" w:ascii="Arial" w:hAnsi="Arial" w:cs="Arial"/>
                <w:lang w:val="en-GB"/>
              </w:rPr>
              <w:t>3.2</w:t>
            </w:r>
          </w:p>
        </w:tc>
        <w:tc>
          <w:tcPr>
            <w:tcW w:w="0" w:type="auto"/>
            <w:tcBorders>
              <w:tl2br w:val="nil"/>
              <w:tr2bl w:val="nil"/>
            </w:tcBorders>
            <w:shd w:val="clear"/>
            <w:vAlign w:val="center"/>
          </w:tcPr>
          <w:p w14:paraId="4F3DD4C3">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Balanced Scorecard</w:t>
            </w:r>
            <w:r>
              <w:rPr>
                <w:rFonts w:hint="default" w:ascii="Arial" w:hAnsi="Arial" w:eastAsia="SimSun" w:cs="Arial"/>
                <w:b w:val="0"/>
                <w:bCs w:val="0"/>
                <w:kern w:val="0"/>
                <w:sz w:val="22"/>
                <w:szCs w:val="22"/>
                <w:lang w:val="en-GB" w:eastAsia="zh-CN" w:bidi="ar"/>
              </w:rPr>
              <w:t xml:space="preserve"> ( </w:t>
            </w:r>
            <w:r>
              <w:rPr>
                <w:rFonts w:hint="default" w:ascii="Arial" w:hAnsi="Arial" w:eastAsia="SimSun" w:cs="Arial"/>
                <w:b w:val="0"/>
                <w:bCs w:val="0"/>
                <w:kern w:val="0"/>
                <w:sz w:val="22"/>
                <w:szCs w:val="22"/>
                <w:lang w:val="en-US" w:eastAsia="zh-CN" w:bidi="ar"/>
              </w:rPr>
              <w:t>Alignment with Dior's Mission</w:t>
            </w:r>
            <w:r>
              <w:rPr>
                <w:rFonts w:hint="default" w:ascii="Arial" w:hAnsi="Arial" w:eastAsia="SimSun" w:cs="Arial"/>
                <w:b w:val="0"/>
                <w:bCs w:val="0"/>
                <w:kern w:val="0"/>
                <w:sz w:val="22"/>
                <w:szCs w:val="22"/>
                <w:lang w:val="en-GB" w:eastAsia="zh-CN" w:bidi="ar"/>
              </w:rPr>
              <w:t xml:space="preserve"> )</w:t>
            </w:r>
          </w:p>
        </w:tc>
        <w:tc>
          <w:tcPr>
            <w:tcW w:w="0" w:type="auto"/>
            <w:tcBorders>
              <w:tl2br w:val="nil"/>
              <w:tr2bl w:val="nil"/>
            </w:tcBorders>
            <w:shd w:val="clear"/>
            <w:vAlign w:val="center"/>
          </w:tcPr>
          <w:p w14:paraId="4B592F61">
            <w:pPr>
              <w:keepNext w:val="0"/>
              <w:keepLines w:val="0"/>
              <w:widowControl/>
              <w:suppressLineNumbers w:val="0"/>
              <w:jc w:val="right"/>
              <w:rPr>
                <w:rFonts w:hint="default" w:ascii="Arial" w:hAnsi="Arial" w:cs="Arial"/>
                <w:lang w:val="en-GB"/>
              </w:rPr>
            </w:pPr>
            <w:r>
              <w:rPr>
                <w:rFonts w:hint="default" w:ascii="Arial" w:hAnsi="Arial" w:cs="Arial"/>
                <w:lang w:val="en-GB"/>
              </w:rPr>
              <w:t>13-14</w:t>
            </w:r>
          </w:p>
        </w:tc>
      </w:tr>
      <w:tr w14:paraId="3201685E">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5319E0A3">
            <w:pPr>
              <w:keepNext w:val="0"/>
              <w:keepLines w:val="0"/>
              <w:widowControl/>
              <w:suppressLineNumbers w:val="0"/>
              <w:jc w:val="left"/>
              <w:rPr>
                <w:rFonts w:hint="default" w:ascii="Arial" w:hAnsi="Arial" w:cs="Arial"/>
                <w:lang w:val="en-GB"/>
              </w:rPr>
            </w:pPr>
            <w:r>
              <w:rPr>
                <w:rFonts w:hint="default" w:ascii="Arial" w:hAnsi="Arial" w:cs="Arial"/>
                <w:lang w:val="en-GB"/>
              </w:rPr>
              <w:t>4.0</w:t>
            </w:r>
          </w:p>
        </w:tc>
        <w:tc>
          <w:tcPr>
            <w:tcW w:w="0" w:type="auto"/>
            <w:tcBorders>
              <w:tl2br w:val="nil"/>
              <w:tr2bl w:val="nil"/>
            </w:tcBorders>
            <w:shd w:val="clear"/>
            <w:vAlign w:val="center"/>
          </w:tcPr>
          <w:p w14:paraId="7F1E214A">
            <w:pPr>
              <w:keepNext w:val="0"/>
              <w:keepLines w:val="0"/>
              <w:widowControl/>
              <w:suppressLineNumbers w:val="0"/>
              <w:jc w:val="left"/>
              <w:rPr>
                <w:rFonts w:hint="default" w:ascii="Arial" w:hAnsi="Arial" w:cs="Arial"/>
                <w:b w:val="0"/>
                <w:bCs w:val="0"/>
                <w:sz w:val="22"/>
                <w:szCs w:val="22"/>
                <w:lang w:val="en-GB"/>
              </w:rPr>
            </w:pPr>
            <w:r>
              <w:rPr>
                <w:rStyle w:val="12"/>
                <w:rFonts w:hint="default" w:ascii="Arial" w:hAnsi="Arial" w:eastAsia="SimSun" w:cs="Arial"/>
                <w:b w:val="0"/>
                <w:bCs w:val="0"/>
                <w:kern w:val="0"/>
                <w:sz w:val="22"/>
                <w:szCs w:val="22"/>
                <w:lang w:val="en-US" w:eastAsia="zh-CN" w:bidi="ar"/>
              </w:rPr>
              <w:t xml:space="preserve">Strategic Choices and </w:t>
            </w:r>
            <w:r>
              <w:rPr>
                <w:rStyle w:val="12"/>
                <w:rFonts w:hint="default" w:ascii="Arial" w:hAnsi="Arial" w:eastAsia="SimSun" w:cs="Arial"/>
                <w:b w:val="0"/>
                <w:bCs w:val="0"/>
                <w:kern w:val="0"/>
                <w:sz w:val="22"/>
                <w:szCs w:val="22"/>
                <w:lang w:val="en-GB" w:eastAsia="zh-CN" w:bidi="ar"/>
              </w:rPr>
              <w:t>Implementation</w:t>
            </w:r>
          </w:p>
        </w:tc>
        <w:tc>
          <w:tcPr>
            <w:tcW w:w="0" w:type="auto"/>
            <w:tcBorders>
              <w:tl2br w:val="nil"/>
              <w:tr2bl w:val="nil"/>
            </w:tcBorders>
            <w:shd w:val="clear"/>
            <w:vAlign w:val="center"/>
          </w:tcPr>
          <w:p w14:paraId="5A3AACC3">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14</w:t>
            </w:r>
          </w:p>
        </w:tc>
      </w:tr>
      <w:tr w14:paraId="2BC888F0">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16E6EA7">
            <w:pPr>
              <w:keepNext w:val="0"/>
              <w:keepLines w:val="0"/>
              <w:widowControl/>
              <w:suppressLineNumbers w:val="0"/>
              <w:jc w:val="left"/>
              <w:rPr>
                <w:rFonts w:hint="default" w:ascii="Arial" w:hAnsi="Arial" w:cs="Arial"/>
                <w:lang w:val="en-GB"/>
              </w:rPr>
            </w:pPr>
            <w:r>
              <w:rPr>
                <w:rFonts w:hint="default" w:ascii="Arial" w:hAnsi="Arial" w:cs="Arial"/>
                <w:lang w:val="en-GB"/>
              </w:rPr>
              <w:t>4.1</w:t>
            </w:r>
          </w:p>
        </w:tc>
        <w:tc>
          <w:tcPr>
            <w:tcW w:w="0" w:type="auto"/>
            <w:tcBorders>
              <w:tl2br w:val="nil"/>
              <w:tr2bl w:val="nil"/>
            </w:tcBorders>
            <w:shd w:val="clear"/>
            <w:vAlign w:val="center"/>
          </w:tcPr>
          <w:p w14:paraId="75C14144">
            <w:pPr>
              <w:keepNext w:val="0"/>
              <w:keepLines w:val="0"/>
              <w:widowControl/>
              <w:suppressLineNumbers w:val="0"/>
              <w:jc w:val="left"/>
              <w:rPr>
                <w:rFonts w:hint="default" w:ascii="Arial" w:hAnsi="Arial" w:cs="Arial"/>
                <w:b w:val="0"/>
                <w:bCs w:val="0"/>
                <w:sz w:val="22"/>
                <w:szCs w:val="22"/>
                <w:lang w:val="en-GB"/>
              </w:rPr>
            </w:pPr>
            <w:r>
              <w:rPr>
                <w:rFonts w:hint="default" w:ascii="Arial" w:hAnsi="Arial" w:eastAsia="SimSun" w:cs="Arial"/>
                <w:b w:val="0"/>
                <w:bCs w:val="0"/>
                <w:kern w:val="0"/>
                <w:sz w:val="22"/>
                <w:szCs w:val="22"/>
                <w:lang w:val="en-US" w:eastAsia="zh-CN" w:bidi="ar"/>
              </w:rPr>
              <w:t>Strategic Choices Available to Dior Beauty</w:t>
            </w:r>
            <w:r>
              <w:rPr>
                <w:rFonts w:hint="default" w:ascii="Arial" w:hAnsi="Arial" w:eastAsia="SimSun" w:cs="Arial"/>
                <w:b w:val="0"/>
                <w:bCs w:val="0"/>
                <w:kern w:val="0"/>
                <w:sz w:val="22"/>
                <w:szCs w:val="22"/>
                <w:lang w:val="en-GB" w:eastAsia="zh-CN" w:bidi="ar"/>
              </w:rPr>
              <w:t xml:space="preserve"> is </w:t>
            </w:r>
            <w:r>
              <w:rPr>
                <w:rFonts w:hint="default" w:ascii="Arial" w:hAnsi="Arial" w:eastAsia="SimSun" w:cs="Arial"/>
                <w:b w:val="0"/>
                <w:bCs w:val="0"/>
                <w:kern w:val="0"/>
                <w:sz w:val="22"/>
                <w:szCs w:val="22"/>
                <w:lang w:val="en-US" w:eastAsia="zh-CN" w:bidi="ar"/>
              </w:rPr>
              <w:t>Porter’s Generic Strategy – Differentiation</w:t>
            </w:r>
          </w:p>
        </w:tc>
        <w:tc>
          <w:tcPr>
            <w:tcW w:w="0" w:type="auto"/>
            <w:tcBorders>
              <w:tl2br w:val="nil"/>
              <w:tr2bl w:val="nil"/>
            </w:tcBorders>
            <w:shd w:val="clear"/>
            <w:vAlign w:val="center"/>
          </w:tcPr>
          <w:p w14:paraId="54049A06">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14</w:t>
            </w:r>
          </w:p>
        </w:tc>
      </w:tr>
      <w:tr w14:paraId="74B04EB2">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rHeight w:val="90" w:hRule="atLeast"/>
          <w:tblCellSpacing w:w="15" w:type="dxa"/>
        </w:trPr>
        <w:tc>
          <w:tcPr>
            <w:tcW w:w="0" w:type="auto"/>
            <w:tcBorders>
              <w:tl2br w:val="nil"/>
              <w:tr2bl w:val="nil"/>
            </w:tcBorders>
            <w:shd w:val="clear"/>
            <w:vAlign w:val="center"/>
          </w:tcPr>
          <w:p w14:paraId="4A4932D3">
            <w:pPr>
              <w:keepNext w:val="0"/>
              <w:keepLines w:val="0"/>
              <w:widowControl/>
              <w:suppressLineNumbers w:val="0"/>
              <w:jc w:val="left"/>
              <w:rPr>
                <w:rFonts w:hint="default" w:ascii="Arial" w:hAnsi="Arial" w:cs="Arial"/>
                <w:lang w:val="en-GB"/>
              </w:rPr>
            </w:pPr>
            <w:r>
              <w:rPr>
                <w:rFonts w:hint="default" w:ascii="Arial" w:hAnsi="Arial" w:cs="Arial"/>
                <w:lang w:val="en-GB"/>
              </w:rPr>
              <w:t>4.2</w:t>
            </w:r>
          </w:p>
        </w:tc>
        <w:tc>
          <w:tcPr>
            <w:tcW w:w="0" w:type="auto"/>
            <w:tcBorders>
              <w:tl2br w:val="nil"/>
              <w:tr2bl w:val="nil"/>
            </w:tcBorders>
            <w:shd w:val="clear"/>
            <w:vAlign w:val="center"/>
          </w:tcPr>
          <w:p w14:paraId="072823AA">
            <w:pPr>
              <w:keepNext w:val="0"/>
              <w:keepLines w:val="0"/>
              <w:widowControl/>
              <w:suppressLineNumbers w:val="0"/>
              <w:jc w:val="left"/>
              <w:rPr>
                <w:rFonts w:hint="default" w:ascii="Arial" w:hAnsi="Arial" w:cs="Arial"/>
                <w:b w:val="0"/>
                <w:bCs w:val="0"/>
                <w:sz w:val="22"/>
                <w:szCs w:val="22"/>
              </w:rPr>
            </w:pPr>
            <w:r>
              <w:rPr>
                <w:rFonts w:hint="default" w:ascii="Arial" w:hAnsi="Arial" w:eastAsia="SimSun" w:cs="Arial"/>
                <w:b w:val="0"/>
                <w:bCs w:val="0"/>
                <w:kern w:val="0"/>
                <w:sz w:val="22"/>
                <w:szCs w:val="22"/>
                <w:lang w:val="en-US" w:eastAsia="zh-CN" w:bidi="ar"/>
              </w:rPr>
              <w:t>Ansoff Matrix</w:t>
            </w:r>
            <w:r>
              <w:rPr>
                <w:rFonts w:hint="default" w:ascii="Arial" w:hAnsi="Arial" w:eastAsia="SimSun" w:cs="Arial"/>
                <w:b w:val="0"/>
                <w:bCs w:val="0"/>
                <w:kern w:val="0"/>
                <w:sz w:val="22"/>
                <w:szCs w:val="22"/>
                <w:lang w:val="en-GB" w:eastAsia="zh-CN" w:bidi="ar"/>
              </w:rPr>
              <w:t xml:space="preserve"> ( </w:t>
            </w:r>
            <w:r>
              <w:rPr>
                <w:rFonts w:hint="default" w:ascii="Arial" w:hAnsi="Arial" w:eastAsia="SimSun" w:cs="Arial"/>
                <w:b w:val="0"/>
                <w:bCs w:val="0"/>
                <w:kern w:val="0"/>
                <w:sz w:val="22"/>
                <w:szCs w:val="22"/>
                <w:lang w:val="en-US" w:eastAsia="zh-CN" w:bidi="ar"/>
              </w:rPr>
              <w:t>Alignment with Dior's Vision</w:t>
            </w:r>
            <w:r>
              <w:rPr>
                <w:rFonts w:hint="default" w:ascii="Arial" w:hAnsi="Arial" w:eastAsia="SimSun" w:cs="Arial"/>
                <w:b w:val="0"/>
                <w:bCs w:val="0"/>
                <w:kern w:val="0"/>
                <w:sz w:val="22"/>
                <w:szCs w:val="22"/>
                <w:lang w:val="en-GB" w:eastAsia="zh-CN" w:bidi="ar"/>
              </w:rPr>
              <w:t>)</w:t>
            </w:r>
            <w:r>
              <w:rPr>
                <w:rFonts w:hint="default" w:ascii="Arial" w:hAnsi="Arial" w:cs="Arial"/>
                <w:b/>
                <w:bCs/>
                <w:sz w:val="24"/>
                <w:szCs w:val="24"/>
                <w:lang w:val="en-GB"/>
              </w:rPr>
              <w:t xml:space="preserve"> </w:t>
            </w:r>
          </w:p>
        </w:tc>
        <w:tc>
          <w:tcPr>
            <w:tcW w:w="0" w:type="auto"/>
            <w:tcBorders>
              <w:tl2br w:val="nil"/>
              <w:tr2bl w:val="nil"/>
            </w:tcBorders>
            <w:shd w:val="clear"/>
            <w:vAlign w:val="center"/>
          </w:tcPr>
          <w:p w14:paraId="7B55B10A">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15</w:t>
            </w:r>
          </w:p>
        </w:tc>
      </w:tr>
      <w:tr w14:paraId="5B62DC5F">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2CCB8C64">
            <w:pPr>
              <w:keepNext w:val="0"/>
              <w:keepLines w:val="0"/>
              <w:widowControl/>
              <w:suppressLineNumbers w:val="0"/>
              <w:jc w:val="left"/>
              <w:rPr>
                <w:rFonts w:hint="default" w:ascii="Arial" w:hAnsi="Arial" w:cs="Arial"/>
                <w:lang w:val="en-GB"/>
              </w:rPr>
            </w:pPr>
            <w:r>
              <w:rPr>
                <w:rFonts w:hint="default" w:ascii="Arial" w:hAnsi="Arial" w:cs="Arial"/>
                <w:lang w:val="en-GB"/>
              </w:rPr>
              <w:t>4.3</w:t>
            </w:r>
          </w:p>
        </w:tc>
        <w:tc>
          <w:tcPr>
            <w:tcW w:w="0" w:type="auto"/>
            <w:tcBorders>
              <w:tl2br w:val="nil"/>
              <w:tr2bl w:val="nil"/>
            </w:tcBorders>
            <w:shd w:val="clear"/>
            <w:vAlign w:val="center"/>
          </w:tcPr>
          <w:p w14:paraId="21C2C3CE">
            <w:pPr>
              <w:pStyle w:val="11"/>
              <w:keepNext w:val="0"/>
              <w:keepLines w:val="0"/>
              <w:widowControl/>
              <w:suppressLineNumbers w:val="0"/>
              <w:rPr>
                <w:rFonts w:hint="default" w:ascii="Arial" w:hAnsi="Arial" w:cs="Arial"/>
                <w:b w:val="0"/>
                <w:bCs w:val="0"/>
                <w:sz w:val="22"/>
                <w:szCs w:val="22"/>
                <w:lang w:val="en-GB"/>
              </w:rPr>
            </w:pPr>
            <w:r>
              <w:rPr>
                <w:rFonts w:hint="default" w:ascii="Arial" w:hAnsi="Arial" w:cs="Arial"/>
                <w:b w:val="0"/>
                <w:bCs w:val="0"/>
                <w:sz w:val="22"/>
                <w:szCs w:val="22"/>
                <w:lang w:val="en-GB"/>
              </w:rPr>
              <w:t>Optimum Performance and Enhance Competitive Advantage</w:t>
            </w:r>
          </w:p>
        </w:tc>
        <w:tc>
          <w:tcPr>
            <w:tcW w:w="0" w:type="auto"/>
            <w:tcBorders>
              <w:tl2br w:val="nil"/>
              <w:tr2bl w:val="nil"/>
            </w:tcBorders>
            <w:shd w:val="clear"/>
            <w:vAlign w:val="center"/>
          </w:tcPr>
          <w:p w14:paraId="2C8A2563">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16</w:t>
            </w:r>
          </w:p>
        </w:tc>
      </w:tr>
      <w:tr w14:paraId="59E8D4C2">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5296C2D5">
            <w:pPr>
              <w:keepNext w:val="0"/>
              <w:keepLines w:val="0"/>
              <w:widowControl/>
              <w:suppressLineNumbers w:val="0"/>
              <w:jc w:val="left"/>
              <w:rPr>
                <w:rFonts w:hint="default" w:ascii="Arial" w:hAnsi="Arial" w:cs="Arial"/>
                <w:lang w:val="en-GB"/>
              </w:rPr>
            </w:pPr>
            <w:r>
              <w:rPr>
                <w:rFonts w:hint="default" w:ascii="Arial" w:hAnsi="Arial" w:cs="Arial"/>
                <w:lang w:val="en-GB"/>
              </w:rPr>
              <w:t>4.4</w:t>
            </w:r>
          </w:p>
        </w:tc>
        <w:tc>
          <w:tcPr>
            <w:tcW w:w="0" w:type="auto"/>
            <w:tcBorders>
              <w:tl2br w:val="nil"/>
              <w:tr2bl w:val="nil"/>
            </w:tcBorders>
            <w:shd w:val="clear"/>
            <w:vAlign w:val="center"/>
          </w:tcPr>
          <w:p w14:paraId="1F4A75AA">
            <w:pPr>
              <w:keepNext w:val="0"/>
              <w:keepLines w:val="0"/>
              <w:widowControl/>
              <w:suppressLineNumbers w:val="0"/>
              <w:rPr>
                <w:rFonts w:hint="default" w:ascii="Arial" w:hAnsi="Arial" w:cs="Arial"/>
                <w:b w:val="0"/>
                <w:bCs w:val="0"/>
                <w:sz w:val="22"/>
                <w:szCs w:val="22"/>
              </w:rPr>
            </w:pPr>
            <w:r>
              <w:rPr>
                <w:rFonts w:hint="default" w:ascii="Arial" w:hAnsi="Arial" w:cs="Arial"/>
                <w:b w:val="0"/>
                <w:bCs w:val="0"/>
                <w:sz w:val="22"/>
                <w:szCs w:val="22"/>
                <w:lang w:val="en-GB"/>
              </w:rPr>
              <w:t>Potential Challenges while implementing and Solutions</w:t>
            </w:r>
          </w:p>
        </w:tc>
        <w:tc>
          <w:tcPr>
            <w:tcW w:w="0" w:type="auto"/>
            <w:tcBorders>
              <w:tl2br w:val="nil"/>
              <w:tr2bl w:val="nil"/>
            </w:tcBorders>
            <w:shd w:val="clear"/>
            <w:vAlign w:val="center"/>
          </w:tcPr>
          <w:p w14:paraId="660A8292">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16-17</w:t>
            </w:r>
          </w:p>
        </w:tc>
      </w:tr>
      <w:tr w14:paraId="12E908FC">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25EC04C8">
            <w:pPr>
              <w:keepNext w:val="0"/>
              <w:keepLines w:val="0"/>
              <w:widowControl/>
              <w:suppressLineNumbers w:val="0"/>
              <w:jc w:val="left"/>
              <w:rPr>
                <w:rFonts w:hint="default" w:ascii="Arial" w:hAnsi="Arial" w:cs="Arial"/>
                <w:lang w:val="en-GB"/>
              </w:rPr>
            </w:pPr>
            <w:r>
              <w:rPr>
                <w:rFonts w:hint="default" w:ascii="Arial" w:hAnsi="Arial" w:cs="Arial"/>
                <w:lang w:val="en-GB"/>
              </w:rPr>
              <w:t>5.0</w:t>
            </w:r>
          </w:p>
        </w:tc>
        <w:tc>
          <w:tcPr>
            <w:tcW w:w="0" w:type="auto"/>
            <w:tcBorders>
              <w:tl2br w:val="nil"/>
              <w:tr2bl w:val="nil"/>
            </w:tcBorders>
            <w:shd w:val="clear"/>
            <w:vAlign w:val="center"/>
          </w:tcPr>
          <w:p w14:paraId="41BE92AB">
            <w:pPr>
              <w:pStyle w:val="11"/>
              <w:keepNext w:val="0"/>
              <w:keepLines w:val="0"/>
              <w:widowControl/>
              <w:suppressLineNumbers w:val="0"/>
              <w:rPr>
                <w:rFonts w:hint="default" w:ascii="Arial" w:hAnsi="Arial" w:cs="Arial"/>
                <w:b w:val="0"/>
                <w:bCs w:val="0"/>
                <w:sz w:val="22"/>
                <w:szCs w:val="22"/>
                <w:lang w:val="en-GB"/>
              </w:rPr>
            </w:pPr>
            <w:r>
              <w:rPr>
                <w:rFonts w:hint="default" w:ascii="Arial" w:hAnsi="Arial" w:cs="Arial"/>
                <w:b w:val="0"/>
                <w:bCs w:val="0"/>
                <w:sz w:val="22"/>
                <w:szCs w:val="22"/>
              </w:rPr>
              <w:t>Reflective Account of the Research and Strategic Analysis Process</w:t>
            </w:r>
            <w:r>
              <w:rPr>
                <w:rFonts w:hint="default" w:ascii="Arial" w:hAnsi="Arial" w:cs="Arial"/>
                <w:b w:val="0"/>
                <w:bCs w:val="0"/>
                <w:sz w:val="22"/>
                <w:szCs w:val="22"/>
                <w:lang w:val="en-GB"/>
              </w:rPr>
              <w:t xml:space="preserve"> (</w:t>
            </w:r>
            <w:r>
              <w:rPr>
                <w:rFonts w:hint="default" w:ascii="Arial" w:hAnsi="Arial" w:eastAsia="SimSun" w:cs="Arial"/>
                <w:kern w:val="0"/>
                <w:sz w:val="24"/>
                <w:szCs w:val="24"/>
                <w:lang w:val="en-US" w:eastAsia="zh-CN" w:bidi="ar"/>
              </w:rPr>
              <w:t>Gibbs’ Reflective Cycle</w:t>
            </w:r>
            <w:r>
              <w:rPr>
                <w:rFonts w:hint="default" w:ascii="Arial" w:hAnsi="Arial" w:cs="Arial"/>
                <w:kern w:val="0"/>
                <w:sz w:val="24"/>
                <w:szCs w:val="24"/>
                <w:lang w:val="en-GB" w:eastAsia="zh-CN" w:bidi="ar"/>
              </w:rPr>
              <w:t>)</w:t>
            </w:r>
          </w:p>
        </w:tc>
        <w:tc>
          <w:tcPr>
            <w:tcW w:w="0" w:type="auto"/>
            <w:tcBorders>
              <w:tl2br w:val="nil"/>
              <w:tr2bl w:val="nil"/>
            </w:tcBorders>
            <w:shd w:val="clear"/>
            <w:vAlign w:val="center"/>
          </w:tcPr>
          <w:p w14:paraId="7988F261">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17-18</w:t>
            </w:r>
          </w:p>
        </w:tc>
      </w:tr>
      <w:tr w14:paraId="08D053C9">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2BDB379C">
            <w:pPr>
              <w:keepNext w:val="0"/>
              <w:keepLines w:val="0"/>
              <w:widowControl/>
              <w:suppressLineNumbers w:val="0"/>
              <w:jc w:val="left"/>
              <w:rPr>
                <w:rFonts w:hint="default" w:ascii="Arial" w:hAnsi="Arial" w:cs="Arial"/>
                <w:lang w:val="en-GB"/>
              </w:rPr>
            </w:pPr>
          </w:p>
        </w:tc>
        <w:tc>
          <w:tcPr>
            <w:tcW w:w="0" w:type="auto"/>
            <w:tcBorders>
              <w:tl2br w:val="nil"/>
              <w:tr2bl w:val="nil"/>
            </w:tcBorders>
            <w:shd w:val="clear"/>
            <w:vAlign w:val="center"/>
          </w:tcPr>
          <w:p w14:paraId="0857F3D8">
            <w:pPr>
              <w:keepNext w:val="0"/>
              <w:keepLines w:val="0"/>
              <w:widowControl/>
              <w:suppressLineNumbers w:val="0"/>
              <w:jc w:val="left"/>
              <w:rPr>
                <w:rFonts w:hint="default" w:ascii="Arial" w:hAnsi="Arial" w:cs="Arial"/>
                <w:b w:val="0"/>
                <w:bCs w:val="0"/>
                <w:sz w:val="22"/>
                <w:szCs w:val="22"/>
              </w:rPr>
            </w:pPr>
            <w:r>
              <w:rPr>
                <w:rStyle w:val="12"/>
                <w:rFonts w:hint="default" w:ascii="Arial" w:hAnsi="Arial" w:eastAsia="SimSun" w:cs="Arial"/>
                <w:b w:val="0"/>
                <w:bCs w:val="0"/>
                <w:kern w:val="0"/>
                <w:sz w:val="22"/>
                <w:szCs w:val="22"/>
                <w:lang w:val="en-US" w:eastAsia="zh-CN" w:bidi="ar"/>
              </w:rPr>
              <w:t>Conclusion</w:t>
            </w:r>
          </w:p>
        </w:tc>
        <w:tc>
          <w:tcPr>
            <w:tcW w:w="0" w:type="auto"/>
            <w:tcBorders>
              <w:tl2br w:val="nil"/>
              <w:tr2bl w:val="nil"/>
            </w:tcBorders>
            <w:shd w:val="clear"/>
            <w:vAlign w:val="center"/>
          </w:tcPr>
          <w:p w14:paraId="036B574D">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19</w:t>
            </w:r>
          </w:p>
        </w:tc>
      </w:tr>
      <w:tr w14:paraId="7EFB4DB2">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2B9E9E96">
            <w:pPr>
              <w:keepNext w:val="0"/>
              <w:keepLines w:val="0"/>
              <w:widowControl/>
              <w:suppressLineNumbers w:val="0"/>
              <w:jc w:val="left"/>
              <w:rPr>
                <w:rFonts w:hint="default" w:ascii="Arial" w:hAnsi="Arial" w:cs="Arial"/>
              </w:rPr>
            </w:pPr>
          </w:p>
        </w:tc>
        <w:tc>
          <w:tcPr>
            <w:tcW w:w="0" w:type="auto"/>
            <w:tcBorders>
              <w:tl2br w:val="nil"/>
              <w:tr2bl w:val="nil"/>
            </w:tcBorders>
            <w:shd w:val="clear"/>
            <w:vAlign w:val="center"/>
          </w:tcPr>
          <w:p w14:paraId="601EF60B">
            <w:pPr>
              <w:keepNext w:val="0"/>
              <w:keepLines w:val="0"/>
              <w:widowControl/>
              <w:suppressLineNumbers w:val="0"/>
              <w:jc w:val="left"/>
              <w:rPr>
                <w:rFonts w:hint="default" w:ascii="Arial" w:hAnsi="Arial" w:cs="Arial"/>
                <w:b w:val="0"/>
                <w:bCs w:val="0"/>
                <w:sz w:val="22"/>
                <w:szCs w:val="22"/>
              </w:rPr>
            </w:pPr>
            <w:r>
              <w:rPr>
                <w:rStyle w:val="12"/>
                <w:rFonts w:hint="default" w:ascii="Arial" w:hAnsi="Arial" w:eastAsia="SimSun" w:cs="Arial"/>
                <w:b w:val="0"/>
                <w:bCs w:val="0"/>
                <w:kern w:val="0"/>
                <w:sz w:val="22"/>
                <w:szCs w:val="22"/>
                <w:lang w:val="en-US" w:eastAsia="zh-CN" w:bidi="ar"/>
              </w:rPr>
              <w:t>References</w:t>
            </w:r>
          </w:p>
        </w:tc>
        <w:tc>
          <w:tcPr>
            <w:tcW w:w="0" w:type="auto"/>
            <w:tcBorders>
              <w:tl2br w:val="nil"/>
              <w:tr2bl w:val="nil"/>
            </w:tcBorders>
            <w:shd w:val="clear"/>
            <w:vAlign w:val="center"/>
          </w:tcPr>
          <w:p w14:paraId="47642AA7">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20-23</w:t>
            </w:r>
          </w:p>
        </w:tc>
      </w:tr>
      <w:tr w14:paraId="7206DC8B">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46DEBE47">
            <w:pPr>
              <w:keepNext w:val="0"/>
              <w:keepLines w:val="0"/>
              <w:widowControl/>
              <w:suppressLineNumbers w:val="0"/>
              <w:jc w:val="left"/>
              <w:rPr>
                <w:rFonts w:hint="default" w:ascii="Arial" w:hAnsi="Arial" w:cs="Arial"/>
              </w:rPr>
            </w:pPr>
          </w:p>
        </w:tc>
        <w:tc>
          <w:tcPr>
            <w:tcW w:w="0" w:type="auto"/>
            <w:tcBorders>
              <w:tl2br w:val="nil"/>
              <w:tr2bl w:val="nil"/>
            </w:tcBorders>
            <w:shd w:val="clear"/>
            <w:vAlign w:val="center"/>
          </w:tcPr>
          <w:p w14:paraId="05234061">
            <w:pPr>
              <w:keepNext w:val="0"/>
              <w:keepLines w:val="0"/>
              <w:widowControl/>
              <w:suppressLineNumbers w:val="0"/>
              <w:jc w:val="left"/>
              <w:rPr>
                <w:rFonts w:hint="default" w:ascii="Arial" w:hAnsi="Arial" w:cs="Arial"/>
                <w:b w:val="0"/>
                <w:bCs w:val="0"/>
                <w:sz w:val="22"/>
                <w:szCs w:val="22"/>
              </w:rPr>
            </w:pPr>
            <w:r>
              <w:rPr>
                <w:rStyle w:val="12"/>
                <w:rFonts w:hint="default" w:ascii="Arial" w:hAnsi="Arial" w:eastAsia="SimSun" w:cs="Arial"/>
                <w:b w:val="0"/>
                <w:bCs w:val="0"/>
                <w:kern w:val="0"/>
                <w:sz w:val="22"/>
                <w:szCs w:val="22"/>
                <w:lang w:val="en-US" w:eastAsia="zh-CN" w:bidi="ar"/>
              </w:rPr>
              <w:t>Appendices</w:t>
            </w:r>
          </w:p>
        </w:tc>
        <w:tc>
          <w:tcPr>
            <w:tcW w:w="0" w:type="auto"/>
            <w:tcBorders>
              <w:tl2br w:val="nil"/>
              <w:tr2bl w:val="nil"/>
            </w:tcBorders>
            <w:shd w:val="clear"/>
            <w:vAlign w:val="center"/>
          </w:tcPr>
          <w:p w14:paraId="7765B54C">
            <w:pPr>
              <w:keepNext w:val="0"/>
              <w:keepLines w:val="0"/>
              <w:widowControl/>
              <w:suppressLineNumbers w:val="0"/>
              <w:jc w:val="right"/>
              <w:rPr>
                <w:rFonts w:hint="default" w:ascii="Arial" w:hAnsi="Arial" w:cs="Arial"/>
                <w:b w:val="0"/>
                <w:bCs w:val="0"/>
                <w:sz w:val="22"/>
                <w:szCs w:val="22"/>
                <w:lang w:val="en-GB"/>
              </w:rPr>
            </w:pPr>
            <w:r>
              <w:rPr>
                <w:rFonts w:hint="default" w:ascii="Arial" w:hAnsi="Arial" w:cs="Arial"/>
                <w:b w:val="0"/>
                <w:bCs w:val="0"/>
                <w:sz w:val="22"/>
                <w:szCs w:val="22"/>
                <w:lang w:val="en-GB"/>
              </w:rPr>
              <w:t>24</w:t>
            </w:r>
          </w:p>
        </w:tc>
      </w:tr>
    </w:tbl>
    <w:p w14:paraId="27278E9E">
      <w:pPr>
        <w:pStyle w:val="2"/>
        <w:keepNext w:val="0"/>
        <w:keepLines w:val="0"/>
        <w:widowControl/>
        <w:suppressLineNumbers w:val="0"/>
        <w:rPr>
          <w:rFonts w:hint="default" w:ascii="Arial" w:hAnsi="Arial" w:cs="Arial"/>
          <w:b/>
          <w:bCs/>
          <w:sz w:val="28"/>
          <w:szCs w:val="28"/>
          <w:lang w:val="en-GB"/>
        </w:rPr>
      </w:pPr>
    </w:p>
    <w:p w14:paraId="764FD266">
      <w:pPr>
        <w:pStyle w:val="2"/>
        <w:keepNext w:val="0"/>
        <w:keepLines w:val="0"/>
        <w:widowControl/>
        <w:suppressLineNumbers w:val="0"/>
        <w:rPr>
          <w:rFonts w:hint="default" w:ascii="Arial" w:hAnsi="Arial" w:cs="Arial"/>
          <w:b/>
          <w:bCs/>
          <w:sz w:val="28"/>
          <w:szCs w:val="28"/>
          <w:lang w:val="en-GB"/>
        </w:rPr>
      </w:pPr>
    </w:p>
    <w:p w14:paraId="2FB8CFB9">
      <w:pPr>
        <w:pStyle w:val="2"/>
        <w:keepNext w:val="0"/>
        <w:keepLines w:val="0"/>
        <w:widowControl/>
        <w:suppressLineNumbers w:val="0"/>
        <w:rPr>
          <w:rFonts w:hint="default" w:ascii="Arial" w:hAnsi="Arial" w:cs="Arial"/>
          <w:b/>
          <w:bCs/>
          <w:sz w:val="28"/>
          <w:szCs w:val="28"/>
          <w:lang w:val="en-GB"/>
        </w:rPr>
      </w:pPr>
    </w:p>
    <w:p w14:paraId="471AED16">
      <w:pPr>
        <w:rPr>
          <w:rFonts w:hint="default" w:ascii="Arial" w:hAnsi="Arial" w:cs="Arial"/>
          <w:b/>
          <w:bCs/>
          <w:sz w:val="28"/>
          <w:szCs w:val="28"/>
          <w:lang w:val="en-GB"/>
        </w:rPr>
      </w:pPr>
    </w:p>
    <w:p w14:paraId="4B7C1A7B">
      <w:pPr>
        <w:rPr>
          <w:rFonts w:hint="default" w:ascii="Arial" w:hAnsi="Arial" w:cs="Arial"/>
          <w:b/>
          <w:bCs/>
          <w:sz w:val="28"/>
          <w:szCs w:val="28"/>
          <w:lang w:val="en-GB"/>
        </w:rPr>
      </w:pPr>
    </w:p>
    <w:p w14:paraId="401F2EAA">
      <w:pPr>
        <w:rPr>
          <w:rFonts w:hint="default" w:ascii="Arial" w:hAnsi="Arial" w:cs="Arial"/>
          <w:b/>
          <w:bCs/>
          <w:sz w:val="28"/>
          <w:szCs w:val="28"/>
          <w:lang w:val="en-GB"/>
        </w:rPr>
      </w:pPr>
    </w:p>
    <w:p w14:paraId="35BB11EC">
      <w:pPr>
        <w:rPr>
          <w:rFonts w:hint="default" w:ascii="Arial" w:hAnsi="Arial" w:cs="Arial"/>
          <w:b/>
          <w:bCs/>
          <w:sz w:val="28"/>
          <w:szCs w:val="28"/>
          <w:lang w:val="en-GB"/>
        </w:rPr>
      </w:pPr>
    </w:p>
    <w:p w14:paraId="6A3500F0">
      <w:pPr>
        <w:rPr>
          <w:rFonts w:hint="default" w:ascii="Arial" w:hAnsi="Arial" w:cs="Arial"/>
          <w:b/>
          <w:bCs/>
          <w:sz w:val="28"/>
          <w:szCs w:val="28"/>
          <w:lang w:val="en-GB"/>
        </w:rPr>
      </w:pPr>
    </w:p>
    <w:p w14:paraId="52AEF0A7">
      <w:pPr>
        <w:rPr>
          <w:rFonts w:hint="default" w:ascii="Arial" w:hAnsi="Arial" w:cs="Arial"/>
          <w:b/>
          <w:bCs/>
          <w:sz w:val="28"/>
          <w:szCs w:val="28"/>
          <w:lang w:val="en-GB"/>
        </w:rPr>
      </w:pPr>
    </w:p>
    <w:p w14:paraId="7314E087">
      <w:pPr>
        <w:rPr>
          <w:rFonts w:hint="default" w:ascii="Arial" w:hAnsi="Arial" w:cs="Arial"/>
          <w:b/>
          <w:bCs/>
          <w:sz w:val="28"/>
          <w:szCs w:val="28"/>
          <w:lang w:val="en-GB"/>
        </w:rPr>
      </w:pPr>
    </w:p>
    <w:p w14:paraId="7AA67C51">
      <w:pPr>
        <w:pStyle w:val="2"/>
        <w:keepNext w:val="0"/>
        <w:keepLines w:val="0"/>
        <w:widowControl/>
        <w:suppressLineNumbers w:val="0"/>
        <w:rPr>
          <w:rFonts w:hint="default" w:ascii="Arial" w:hAnsi="Arial" w:cs="Arial"/>
          <w:b/>
          <w:bCs/>
          <w:sz w:val="28"/>
          <w:szCs w:val="28"/>
        </w:rPr>
      </w:pPr>
      <w:r>
        <w:rPr>
          <w:rFonts w:hint="default" w:ascii="Arial" w:hAnsi="Arial" w:cs="Arial"/>
          <w:b/>
          <w:bCs/>
          <w:sz w:val="28"/>
          <w:szCs w:val="28"/>
          <w:lang w:val="en-GB"/>
        </w:rPr>
        <w:t>P</w:t>
      </w:r>
      <w:r>
        <w:rPr>
          <w:rFonts w:hint="default" w:ascii="Arial" w:hAnsi="Arial" w:cs="Arial" w:eastAsiaTheme="majorEastAsia"/>
          <w:b/>
          <w:bCs/>
          <w:sz w:val="28"/>
          <w:szCs w:val="28"/>
          <w:lang w:val="en-GB"/>
        </w:rPr>
        <w:t>art 1: Organizational</w:t>
      </w:r>
      <w:r>
        <w:rPr>
          <w:rFonts w:hint="default" w:ascii="Arial" w:hAnsi="Arial" w:cs="Arial"/>
          <w:b/>
          <w:bCs/>
          <w:sz w:val="28"/>
          <w:szCs w:val="28"/>
          <w:lang w:val="en-GB"/>
        </w:rPr>
        <w:t xml:space="preserve"> Context and Overview</w:t>
      </w:r>
    </w:p>
    <w:p w14:paraId="406F15E5">
      <w:pPr>
        <w:pStyle w:val="3"/>
        <w:keepNext w:val="0"/>
        <w:keepLines w:val="0"/>
        <w:widowControl/>
        <w:numPr>
          <w:ilvl w:val="1"/>
          <w:numId w:val="1"/>
        </w:numPr>
        <w:suppressLineNumbers w:val="0"/>
        <w:rPr>
          <w:rFonts w:hint="default" w:ascii="Arial" w:hAnsi="Arial" w:cs="Arial"/>
        </w:rPr>
      </w:pPr>
      <w:r>
        <w:rPr>
          <w:rFonts w:hint="default" w:ascii="Arial" w:hAnsi="Arial" w:cs="Arial"/>
          <w:sz w:val="24"/>
          <w:szCs w:val="24"/>
        </w:rPr>
        <w:t>Company Overview</w:t>
      </w:r>
      <w:r>
        <w:rPr>
          <w:rFonts w:hint="default" w:ascii="Arial" w:hAnsi="Arial" w:cs="Arial"/>
          <w:sz w:val="24"/>
          <w:szCs w:val="24"/>
          <w:lang w:val="en-GB"/>
        </w:rPr>
        <w:t xml:space="preserve"> - </w:t>
      </w:r>
      <w:r>
        <w:rPr>
          <w:rFonts w:hint="default" w:ascii="Arial" w:hAnsi="Arial" w:cs="Arial"/>
          <w:sz w:val="24"/>
          <w:szCs w:val="24"/>
        </w:rPr>
        <w:t>Dior Beauty</w:t>
      </w:r>
      <w:r>
        <w:rPr>
          <w:rFonts w:hint="default" w:ascii="Arial" w:hAnsi="Arial" w:cs="Arial"/>
          <w:lang w:val="en-GB"/>
        </w:rPr>
        <w:t xml:space="preserve"> </w:t>
      </w:r>
    </w:p>
    <w:p w14:paraId="0F68795D">
      <w:pPr>
        <w:rPr>
          <w:rFonts w:hint="default" w:ascii="Arial" w:hAnsi="Arial" w:cs="Arial"/>
          <w:sz w:val="22"/>
          <w:szCs w:val="22"/>
          <w:lang w:val="en-GB"/>
        </w:rPr>
      </w:pPr>
      <w:r>
        <w:rPr>
          <w:rFonts w:hint="default" w:ascii="Arial" w:hAnsi="Arial" w:cs="Arial"/>
          <w:sz w:val="22"/>
          <w:szCs w:val="22"/>
          <w:lang w:val="en-GB"/>
        </w:rPr>
        <w:t>One of the top luxury beauty houses in LVMH Moët Hennessy Louis Vuitton's Perfumes and Cosmetics division is Dior Beauty, officially represented by Parfums Christian Dior. Christian Dior established the House in 1946, and its first fragrance, Miss Dior, was introduced in 1947. These events laid the groundwork for Dior's long-lasting association with French luxury craftsmanship, haute couture, and fragrance (LVMH, 2026a). With a portfolio that includes well-known scents like Sauvage, J'adore, Miss Dior, Dior Homme, and Fahrenheit, Parfums Christian Dior now operates internationally in the fragrance, makeup, and skincare sectors (LVMH, 2024).</w:t>
      </w:r>
    </w:p>
    <w:p w14:paraId="7C2CCB22">
      <w:pPr>
        <w:rPr>
          <w:rFonts w:hint="default" w:ascii="Arial" w:hAnsi="Arial" w:cs="Arial"/>
          <w:sz w:val="22"/>
          <w:szCs w:val="22"/>
          <w:lang w:val="en-GB"/>
        </w:rPr>
      </w:pPr>
    </w:p>
    <w:p w14:paraId="34E74C8D">
      <w:pPr>
        <w:rPr>
          <w:rFonts w:hint="default" w:ascii="Arial" w:hAnsi="Arial" w:cs="Arial"/>
          <w:sz w:val="22"/>
          <w:szCs w:val="22"/>
          <w:lang w:val="en-GB"/>
        </w:rPr>
      </w:pPr>
      <w:r>
        <w:rPr>
          <w:rFonts w:hint="default" w:ascii="Arial" w:hAnsi="Arial" w:cs="Arial"/>
          <w:sz w:val="22"/>
          <w:szCs w:val="22"/>
          <w:lang w:val="en-GB"/>
        </w:rPr>
        <w:t xml:space="preserve">Christian Dior's desire to make the world more lovely and joyful is the foundation of Dior's mission. Their </w:t>
      </w:r>
      <w:r>
        <w:rPr>
          <w:rFonts w:hint="default" w:ascii="Arial" w:hAnsi="Arial" w:cs="Arial"/>
          <w:b/>
          <w:bCs/>
          <w:sz w:val="22"/>
          <w:szCs w:val="22"/>
          <w:lang w:val="en-GB"/>
        </w:rPr>
        <w:t>mission statement</w:t>
      </w:r>
      <w:r>
        <w:rPr>
          <w:rFonts w:hint="default" w:ascii="Arial" w:hAnsi="Arial" w:cs="Arial"/>
          <w:sz w:val="22"/>
          <w:szCs w:val="22"/>
          <w:lang w:val="en-GB"/>
        </w:rPr>
        <w:t xml:space="preserve"> is- “</w:t>
      </w:r>
      <w:r>
        <w:rPr>
          <w:rFonts w:hint="default" w:ascii="Arial" w:hAnsi="Arial" w:cs="Arial"/>
          <w:b/>
          <w:bCs/>
          <w:sz w:val="22"/>
          <w:szCs w:val="22"/>
          <w:lang w:val="en-GB"/>
        </w:rPr>
        <w:t xml:space="preserve"> to leave a legacy of beauty and be fully committed”(Dior, 2026).</w:t>
      </w:r>
      <w:r>
        <w:rPr>
          <w:rFonts w:hint="default" w:ascii="Arial" w:hAnsi="Arial" w:cs="Arial"/>
          <w:sz w:val="22"/>
          <w:szCs w:val="22"/>
          <w:lang w:val="en-GB"/>
        </w:rPr>
        <w:t xml:space="preserve"> </w:t>
      </w:r>
    </w:p>
    <w:p w14:paraId="6A60A5F7">
      <w:pPr>
        <w:rPr>
          <w:rFonts w:hint="default" w:ascii="Arial" w:hAnsi="Arial" w:cs="Arial"/>
          <w:sz w:val="22"/>
          <w:szCs w:val="22"/>
          <w:lang w:val="en-GB"/>
        </w:rPr>
      </w:pPr>
    </w:p>
    <w:p w14:paraId="5979CAC2">
      <w:pPr>
        <w:rPr>
          <w:rFonts w:hint="default" w:ascii="Arial" w:hAnsi="Arial" w:cs="Arial"/>
          <w:sz w:val="22"/>
          <w:szCs w:val="22"/>
          <w:lang w:val="en-GB"/>
        </w:rPr>
      </w:pPr>
      <w:r>
        <w:rPr>
          <w:rFonts w:hint="default" w:ascii="Arial" w:hAnsi="Arial" w:cs="Arial"/>
          <w:sz w:val="22"/>
          <w:szCs w:val="22"/>
          <w:lang w:val="en-GB"/>
        </w:rPr>
        <w:t xml:space="preserve">While the Maison's current </w:t>
      </w:r>
      <w:r>
        <w:rPr>
          <w:rFonts w:hint="default" w:ascii="Arial" w:hAnsi="Arial" w:cs="Arial"/>
          <w:b/>
          <w:bCs/>
          <w:sz w:val="22"/>
          <w:szCs w:val="22"/>
          <w:lang w:val="en-GB"/>
        </w:rPr>
        <w:t>vision</w:t>
      </w:r>
      <w:r>
        <w:rPr>
          <w:rFonts w:hint="default" w:ascii="Arial" w:hAnsi="Arial" w:cs="Arial"/>
          <w:sz w:val="22"/>
          <w:szCs w:val="22"/>
          <w:lang w:val="en-GB"/>
        </w:rPr>
        <w:t xml:space="preserve"> is </w:t>
      </w:r>
      <w:r>
        <w:rPr>
          <w:rFonts w:hint="default" w:ascii="Arial" w:hAnsi="Arial" w:cs="Arial"/>
          <w:b/>
          <w:bCs/>
          <w:sz w:val="22"/>
          <w:szCs w:val="22"/>
          <w:lang w:val="en-GB"/>
        </w:rPr>
        <w:t>"to become the most desirable House in the world of beauty, an absolute reference of French luxury, a symbol of joy and hope," (LVMH, 2026b).</w:t>
      </w:r>
      <w:r>
        <w:rPr>
          <w:rFonts w:hint="default" w:ascii="Arial" w:hAnsi="Arial" w:cs="Arial"/>
          <w:sz w:val="22"/>
          <w:szCs w:val="22"/>
          <w:lang w:val="en-GB"/>
        </w:rPr>
        <w:t xml:space="preserve"> This vision shows how Dior's strategic positioning goes beyond practical beauty products to include exclusivity, emotional value, desirability, and the symbolic aspects of French luxury. Six organizational values—Create Passionately, Craft Together with Joy, Excel for Ultimate Luxury, Lead with Audacity, Cultivate Triumphant Inclusivity, and Commit and Act to Re-enchant the World—support the vision (LVMH, 2026b).</w:t>
      </w:r>
    </w:p>
    <w:p w14:paraId="65412772">
      <w:pPr>
        <w:rPr>
          <w:rFonts w:hint="default" w:ascii="Arial" w:hAnsi="Arial" w:cs="Arial"/>
          <w:sz w:val="22"/>
          <w:szCs w:val="22"/>
          <w:lang w:val="en-GB"/>
        </w:rPr>
      </w:pPr>
    </w:p>
    <w:p w14:paraId="3DC85060">
      <w:pPr>
        <w:rPr>
          <w:rFonts w:hint="default" w:ascii="Arial" w:hAnsi="Arial" w:cs="Arial"/>
          <w:sz w:val="22"/>
          <w:szCs w:val="22"/>
          <w:lang w:val="en-GB"/>
        </w:rPr>
      </w:pPr>
      <w:r>
        <w:rPr>
          <w:rFonts w:hint="default" w:ascii="Arial" w:hAnsi="Arial" w:cs="Arial"/>
          <w:b/>
          <w:bCs/>
          <w:sz w:val="22"/>
          <w:szCs w:val="22"/>
          <w:lang w:val="en-GB"/>
        </w:rPr>
        <w:t xml:space="preserve">Dior Beauty follows a premium, selective-distribution and omnichannel business model in the UK, </w:t>
      </w:r>
      <w:r>
        <w:rPr>
          <w:rFonts w:hint="default" w:ascii="Arial" w:hAnsi="Arial" w:cs="Arial"/>
          <w:sz w:val="22"/>
          <w:szCs w:val="22"/>
          <w:lang w:val="en-GB"/>
        </w:rPr>
        <w:t xml:space="preserve">combining Dior.com, boutiques, department stores and authorised resellers while maintaining control over the luxury customer experience (Parfums Christian Dior UK, 2026). </w:t>
      </w:r>
    </w:p>
    <w:p w14:paraId="7FAEC9F7">
      <w:pPr>
        <w:rPr>
          <w:rFonts w:hint="default" w:ascii="Arial" w:hAnsi="Arial" w:cs="Arial"/>
          <w:lang w:val="en-GB"/>
        </w:rPr>
      </w:pPr>
    </w:p>
    <w:p w14:paraId="2AE6CBF9">
      <w:pPr>
        <w:keepNext w:val="0"/>
        <w:keepLines w:val="0"/>
        <w:widowControl/>
        <w:suppressLineNumbers w:val="0"/>
        <w:rPr>
          <w:rFonts w:hint="default" w:ascii="Arial" w:hAnsi="Arial" w:cs="Arial"/>
        </w:rPr>
      </w:pPr>
    </w:p>
    <w:p w14:paraId="4E7B72C5">
      <w:pPr>
        <w:pStyle w:val="3"/>
        <w:keepNext w:val="0"/>
        <w:keepLines w:val="0"/>
        <w:widowControl/>
        <w:numPr>
          <w:ilvl w:val="1"/>
          <w:numId w:val="1"/>
        </w:numPr>
        <w:suppressLineNumbers w:val="0"/>
        <w:ind w:left="0" w:leftChars="0" w:firstLine="0" w:firstLineChars="0"/>
        <w:rPr>
          <w:rFonts w:hint="default" w:ascii="Arial" w:hAnsi="Arial" w:cs="Arial"/>
          <w:sz w:val="24"/>
          <w:szCs w:val="24"/>
        </w:rPr>
      </w:pPr>
      <w:r>
        <w:rPr>
          <w:rFonts w:hint="default" w:ascii="Arial" w:hAnsi="Arial" w:cs="Arial"/>
          <w:sz w:val="24"/>
          <w:szCs w:val="24"/>
        </w:rPr>
        <w:t>Industry Overview</w:t>
      </w:r>
    </w:p>
    <w:p w14:paraId="3F2D65C6">
      <w:pPr>
        <w:numPr>
          <w:numId w:val="0"/>
        </w:numPr>
        <w:rPr>
          <w:rFonts w:hint="default" w:ascii="Arial" w:hAnsi="Arial" w:cs="Arial"/>
          <w:sz w:val="22"/>
          <w:szCs w:val="22"/>
        </w:rPr>
      </w:pPr>
      <w:r>
        <w:rPr>
          <w:rFonts w:hint="default" w:ascii="Arial" w:hAnsi="Arial" w:cs="Arial"/>
          <w:sz w:val="22"/>
          <w:szCs w:val="22"/>
        </w:rPr>
        <w:t>The luxury fragrance industry has experienced sustained growth, driven by premiumisation, consumers’ increasing interest in prestige products and the growing use of fragrance as a form of personal identity and self-expression (McKinsey &amp; Company, 2023; Euromonitor International, 2025). Digital transformation has also reshaped consumer behaviour, with social media, influencers and e-commerce increasingly influencing product discovery and purchasing, particularly among younger consumers (McKinsey &amp; Company, 2023).</w:t>
      </w:r>
    </w:p>
    <w:p w14:paraId="5A8D5C87">
      <w:pPr>
        <w:numPr>
          <w:numId w:val="0"/>
        </w:numPr>
        <w:rPr>
          <w:rFonts w:hint="default" w:ascii="Arial" w:hAnsi="Arial" w:cs="Arial"/>
          <w:sz w:val="22"/>
          <w:szCs w:val="22"/>
        </w:rPr>
      </w:pPr>
    </w:p>
    <w:p w14:paraId="3729230F">
      <w:pPr>
        <w:numPr>
          <w:numId w:val="0"/>
        </w:numPr>
        <w:rPr>
          <w:rFonts w:hint="default" w:ascii="Arial" w:hAnsi="Arial" w:cs="Arial"/>
          <w:sz w:val="22"/>
          <w:szCs w:val="22"/>
        </w:rPr>
      </w:pPr>
      <w:r>
        <w:rPr>
          <w:rFonts w:hint="default" w:ascii="Arial" w:hAnsi="Arial" w:cs="Arial"/>
          <w:sz w:val="22"/>
          <w:szCs w:val="22"/>
        </w:rPr>
        <w:t>Competition is intense, with Dior Beauty competing against established luxury brands including Chanel, Tom Ford Beauty, Yves Saint Laurent Beauty, Gucci Beauty and Jo Malone London. Competitive advantage increasingly depends on product innovation, brand heritage, celebrity marketing, digital engagement and sustainability rather than fragrance quality alone (Bain &amp; Company, 2025). Dior benefits from its globally recognised brand, iconic fragrance portfolio and the financial and international resources of LVMH (LVMH, 2025).</w:t>
      </w:r>
    </w:p>
    <w:p w14:paraId="7AFC0AA2">
      <w:pPr>
        <w:numPr>
          <w:numId w:val="0"/>
        </w:numPr>
        <w:rPr>
          <w:rFonts w:hint="default" w:ascii="Arial" w:hAnsi="Arial" w:cs="Arial"/>
          <w:sz w:val="22"/>
          <w:szCs w:val="22"/>
        </w:rPr>
      </w:pPr>
    </w:p>
    <w:p w14:paraId="2A5027D0">
      <w:pPr>
        <w:numPr>
          <w:numId w:val="0"/>
        </w:numPr>
        <w:rPr>
          <w:rFonts w:hint="default" w:ascii="Arial" w:hAnsi="Arial" w:cs="Arial"/>
          <w:sz w:val="22"/>
          <w:szCs w:val="22"/>
        </w:rPr>
      </w:pPr>
      <w:r>
        <w:rPr>
          <w:rFonts w:hint="default" w:ascii="Arial" w:hAnsi="Arial" w:cs="Arial"/>
          <w:sz w:val="22"/>
          <w:szCs w:val="22"/>
        </w:rPr>
        <w:t>Dior Beauty is positioned as a global market leader in the luxury fragrance and prestige beauty segment, supported by iconic fragrances such as Sauvage and J'adore and LVMH's strong global distribution network (LVMH, 2025; Brand Finance, 2025).</w:t>
      </w:r>
    </w:p>
    <w:p w14:paraId="21B32C10">
      <w:pPr>
        <w:keepNext w:val="0"/>
        <w:keepLines w:val="0"/>
        <w:widowControl/>
        <w:suppressLineNumbers w:val="0"/>
        <w:rPr>
          <w:rFonts w:hint="default" w:ascii="Arial" w:hAnsi="Arial" w:cs="Arial"/>
        </w:rPr>
      </w:pPr>
    </w:p>
    <w:p w14:paraId="7AC2D3F4">
      <w:pPr>
        <w:keepNext w:val="0"/>
        <w:keepLines w:val="0"/>
        <w:widowControl/>
        <w:suppressLineNumbers w:val="0"/>
        <w:rPr>
          <w:rFonts w:hint="default" w:ascii="Arial" w:hAnsi="Arial" w:cs="Arial"/>
        </w:rPr>
      </w:pPr>
      <w:r>
        <w:drawing>
          <wp:inline distT="0" distB="0" distL="114300" distR="114300">
            <wp:extent cx="5303520" cy="346456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303520" cy="3464560"/>
                    </a:xfrm>
                    <a:prstGeom prst="rect">
                      <a:avLst/>
                    </a:prstGeom>
                  </pic:spPr>
                </pic:pic>
              </a:graphicData>
            </a:graphic>
          </wp:inline>
        </w:drawing>
      </w:r>
    </w:p>
    <w:p w14:paraId="17A16CA7">
      <w:pPr>
        <w:keepNext w:val="0"/>
        <w:keepLines w:val="0"/>
        <w:widowControl/>
        <w:suppressLineNumbers w:val="0"/>
        <w:rPr>
          <w:rFonts w:hint="default" w:ascii="Arial" w:hAnsi="Arial" w:cs="Arial"/>
        </w:rPr>
      </w:pPr>
    </w:p>
    <w:p w14:paraId="408D1E24">
      <w:pPr>
        <w:pStyle w:val="2"/>
        <w:keepNext w:val="0"/>
        <w:keepLines w:val="0"/>
        <w:widowControl/>
        <w:suppressLineNumbers w:val="0"/>
        <w:rPr>
          <w:rFonts w:hint="default" w:ascii="Arial" w:hAnsi="Arial" w:cs="Arial"/>
          <w:sz w:val="28"/>
          <w:szCs w:val="28"/>
        </w:rPr>
      </w:pPr>
    </w:p>
    <w:p w14:paraId="5EB6FC62">
      <w:pPr>
        <w:pStyle w:val="2"/>
        <w:keepNext w:val="0"/>
        <w:keepLines w:val="0"/>
        <w:widowControl/>
        <w:suppressLineNumbers w:val="0"/>
        <w:rPr>
          <w:rFonts w:hint="default" w:ascii="Arial" w:hAnsi="Arial" w:cs="Arial"/>
          <w:sz w:val="28"/>
          <w:szCs w:val="28"/>
        </w:rPr>
      </w:pPr>
      <w:r>
        <w:rPr>
          <w:rFonts w:hint="default" w:ascii="Arial" w:hAnsi="Arial" w:cs="Arial"/>
          <w:sz w:val="28"/>
          <w:szCs w:val="28"/>
        </w:rPr>
        <w:t>Part 2: External and Internal Analysis</w:t>
      </w:r>
    </w:p>
    <w:p w14:paraId="58B35CB3">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rPr>
        <w:t>2.1</w:t>
      </w:r>
      <w:r>
        <w:rPr>
          <w:rFonts w:hint="default" w:ascii="Arial" w:hAnsi="Arial" w:cs="Arial"/>
          <w:b/>
          <w:bCs/>
          <w:sz w:val="24"/>
          <w:szCs w:val="24"/>
          <w:lang w:val="en-GB"/>
        </w:rPr>
        <w:t xml:space="preserve"> External Analysis – PESTEL Framework</w:t>
      </w:r>
    </w:p>
    <w:p w14:paraId="0BC96F93">
      <w:pPr>
        <w:pStyle w:val="11"/>
        <w:keepNext w:val="0"/>
        <w:keepLines w:val="0"/>
        <w:widowControl/>
        <w:suppressLineNumbers w:val="0"/>
        <w:rPr>
          <w:rFonts w:hint="default" w:ascii="Arial" w:hAnsi="Arial" w:cs="Arial"/>
          <w:sz w:val="24"/>
          <w:szCs w:val="24"/>
          <w:lang w:val="en-GB"/>
        </w:rPr>
      </w:pPr>
      <w:r>
        <w:rPr>
          <w:rFonts w:hint="default" w:ascii="Arial" w:hAnsi="Arial" w:cs="Arial"/>
          <w:b/>
          <w:bCs/>
          <w:sz w:val="24"/>
          <w:szCs w:val="24"/>
          <w:lang w:val="en-GB"/>
        </w:rPr>
        <w:t>Political Factors</w:t>
      </w:r>
    </w:p>
    <w:p w14:paraId="75A9748A">
      <w:pPr>
        <w:pStyle w:val="11"/>
        <w:keepNext w:val="0"/>
        <w:keepLines w:val="0"/>
        <w:widowControl/>
        <w:suppressLineNumbers w:val="0"/>
        <w:rPr>
          <w:rFonts w:hint="default" w:ascii="Arial" w:hAnsi="Arial" w:cs="Arial"/>
          <w:sz w:val="24"/>
          <w:szCs w:val="24"/>
          <w:lang w:val="en-GB"/>
        </w:rPr>
      </w:pPr>
      <w:r>
        <w:rPr>
          <w:rFonts w:hint="default" w:ascii="Arial" w:hAnsi="Arial" w:cs="Arial"/>
          <w:sz w:val="24"/>
          <w:szCs w:val="24"/>
          <w:lang w:val="en-GB"/>
        </w:rPr>
        <w:t>Political Aspects The UK's political and regulatory landscape presents Dior Beauty with both opportunities and challenges. Changes to UK-EU trade agreements following Brexit have raised customs, documentation, and regulatory requirements for companies conducting cross-border business, which may increase supply-chain complexity and costs (UK Government, 2024). Dior's European sourcing and distribution networks may be further impacted by geopolitical tensions and shifts in international trade regulations.</w:t>
      </w:r>
    </w:p>
    <w:p w14:paraId="517E92F8">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Economic Factors</w:t>
      </w:r>
    </w:p>
    <w:p w14:paraId="683E05E2">
      <w:pPr>
        <w:pStyle w:val="11"/>
        <w:keepNext w:val="0"/>
        <w:keepLines w:val="0"/>
        <w:widowControl/>
        <w:suppressLineNumbers w:val="0"/>
        <w:rPr>
          <w:rFonts w:hint="default" w:ascii="Arial" w:hAnsi="Arial" w:cs="Arial"/>
          <w:b/>
          <w:bCs/>
          <w:sz w:val="24"/>
          <w:szCs w:val="24"/>
          <w:lang w:val="en-GB"/>
        </w:rPr>
      </w:pPr>
      <w:r>
        <w:rPr>
          <w:rFonts w:hint="default" w:ascii="Arial" w:hAnsi="Arial" w:cs="Arial"/>
          <w:b w:val="0"/>
          <w:bCs w:val="0"/>
          <w:sz w:val="24"/>
          <w:szCs w:val="24"/>
          <w:lang w:val="en-GB"/>
        </w:rPr>
        <w:t>The demand for luxury fragrances is still impacted by consumer confidence, inflation, and changes in exchange rates. The luxury market has proven to be relatively resilient, especially among wealthy consumers, while premiumization continues to support demand for high-value products, even tho rising living expenses can reduce discretionary spending (Bain and Company, 2025). Although long-term economic uncertainty is still a risk, Dior's premium pricing and strong brand equity can help protect margins.</w:t>
      </w:r>
    </w:p>
    <w:p w14:paraId="3A154AFF">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Social Factors</w:t>
      </w:r>
    </w:p>
    <w:p w14:paraId="18CEA93C">
      <w:pPr>
        <w:pStyle w:val="11"/>
        <w:keepNext w:val="0"/>
        <w:keepLines w:val="0"/>
        <w:widowControl/>
        <w:suppressLineNumbers w:val="0"/>
        <w:rPr>
          <w:rFonts w:hint="default" w:ascii="Arial" w:hAnsi="Arial" w:cs="Arial"/>
          <w:b w:val="0"/>
          <w:bCs w:val="0"/>
          <w:sz w:val="24"/>
          <w:szCs w:val="24"/>
          <w:lang w:val="en-GB"/>
        </w:rPr>
      </w:pPr>
      <w:r>
        <w:rPr>
          <w:rFonts w:hint="default" w:ascii="Arial" w:hAnsi="Arial" w:cs="Arial"/>
          <w:b w:val="0"/>
          <w:bCs w:val="0"/>
          <w:sz w:val="24"/>
          <w:szCs w:val="24"/>
          <w:lang w:val="en-GB"/>
        </w:rPr>
        <w:t>Personalization, authenticity, sustainability, and high-end experiences are becoming more and more popular among consumers. Younger consumers, especially Millennials and Generation Z, are using social media and online communities more frequently to find products and discover beauty (McKinsey and Company, 2023). Therefore, in order to stay culturally relevant, Dior must integrate its traditional luxury heritage with influencer engagement, social commerce, and customized customer experiences.</w:t>
      </w:r>
    </w:p>
    <w:p w14:paraId="6451EF9E">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Technological Factors</w:t>
      </w:r>
    </w:p>
    <w:p w14:paraId="43F29EFE">
      <w:pPr>
        <w:pStyle w:val="11"/>
        <w:keepNext w:val="0"/>
        <w:keepLines w:val="0"/>
        <w:widowControl/>
        <w:suppressLineNumbers w:val="0"/>
        <w:rPr>
          <w:rFonts w:hint="default" w:ascii="Arial" w:hAnsi="Arial" w:cs="Arial"/>
          <w:b/>
          <w:bCs/>
          <w:sz w:val="24"/>
          <w:szCs w:val="24"/>
          <w:lang w:val="en-GB"/>
        </w:rPr>
      </w:pPr>
      <w:r>
        <w:rPr>
          <w:rFonts w:hint="default" w:ascii="Arial" w:hAnsi="Arial" w:cs="Arial"/>
          <w:b w:val="0"/>
          <w:bCs w:val="0"/>
          <w:sz w:val="24"/>
          <w:szCs w:val="24"/>
          <w:lang w:val="en-GB"/>
        </w:rPr>
        <w:t>Artificial intelligence, data analytics, e-commerce, and virtual experiences are all ways that technology is revolutionizing luxury beauty. While customer data can support more focused marketing and relationship management, AI-enabled recommendations and digital personalization can enhance product discovery (McKinsey and Company, 2023). Effective use of these technologies offers Dior chances to boost consumer interaction and conversion while preserving a distinctive digital luxury experience.</w:t>
      </w:r>
    </w:p>
    <w:p w14:paraId="25CEAC4B">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Environmental Factors</w:t>
      </w:r>
    </w:p>
    <w:p w14:paraId="780CD985">
      <w:pPr>
        <w:pStyle w:val="11"/>
        <w:keepNext w:val="0"/>
        <w:keepLines w:val="0"/>
        <w:widowControl/>
        <w:suppressLineNumbers w:val="0"/>
        <w:rPr>
          <w:rFonts w:hint="default" w:ascii="Arial" w:hAnsi="Arial" w:cs="Arial"/>
          <w:b/>
          <w:bCs/>
          <w:sz w:val="24"/>
          <w:szCs w:val="24"/>
          <w:lang w:val="en-GB"/>
        </w:rPr>
      </w:pPr>
      <w:r>
        <w:rPr>
          <w:rFonts w:hint="default" w:ascii="Arial" w:hAnsi="Arial" w:cs="Arial"/>
          <w:b w:val="0"/>
          <w:bCs w:val="0"/>
          <w:sz w:val="24"/>
          <w:szCs w:val="24"/>
          <w:lang w:val="en-GB"/>
        </w:rPr>
        <w:t>For luxury beauty companies, environmental sustainability has emerged as a key strategic concern. Regulators and consumers are calling for more sustainable packaging, lower carbon emissions, ethical sourcing, and circular solutions like refillable goods (European Commission, 2024). In response, Dior has launched programs centered on biodiversity, regenerative agriculture, and lessening environmental effects in addition to its sustainability mission, "to only leave beauty as a legacy" (Dior, 2026a). Dior's reputation and long-term competitive advantage could be harmed if these expectations are not met.</w:t>
      </w:r>
    </w:p>
    <w:p w14:paraId="637022FE">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Legal Factors</w:t>
      </w:r>
    </w:p>
    <w:p w14:paraId="1C136781">
      <w:pPr>
        <w:pStyle w:val="11"/>
        <w:keepNext w:val="0"/>
        <w:keepLines w:val="0"/>
        <w:widowControl/>
        <w:suppressLineNumbers w:val="0"/>
        <w:rPr>
          <w:rFonts w:hint="default" w:ascii="Arial" w:hAnsi="Arial" w:cs="Arial"/>
          <w:sz w:val="24"/>
          <w:szCs w:val="24"/>
          <w:lang w:val="en-GB"/>
        </w:rPr>
      </w:pPr>
      <w:r>
        <w:rPr>
          <w:rFonts w:hint="default" w:ascii="Arial" w:hAnsi="Arial" w:cs="Arial"/>
          <w:sz w:val="24"/>
          <w:szCs w:val="24"/>
          <w:lang w:val="en-GB"/>
        </w:rPr>
        <w:t>Dior Beauty must abide by UK laws pertaining to product information, labeling, responsible-person requirements, cosmetic safety, and product notification. The UK Cosmetics Regulation and related safety regulations must be followed by cosmetics sold in the country (Office for Product Safety and Standards, 2025). Along with adhering to consumer protection and environmental laws, Dior must safeguard its intellectual property and brand identity against counterfeiting. Therefore, maintaining both consumer safety and Dior's high-end brand equity requires strict adherence to the law.</w:t>
      </w:r>
    </w:p>
    <w:p w14:paraId="61659188">
      <w:pPr>
        <w:pStyle w:val="11"/>
        <w:keepNext w:val="0"/>
        <w:keepLines w:val="0"/>
        <w:widowControl/>
        <w:suppressLineNumbers w:val="0"/>
        <w:rPr>
          <w:rFonts w:hint="default" w:ascii="Arial" w:hAnsi="Arial" w:cs="Arial"/>
          <w:sz w:val="24"/>
          <w:szCs w:val="24"/>
          <w:lang w:val="en-GB"/>
        </w:rPr>
      </w:pPr>
      <w:r>
        <w:rPr>
          <w:rFonts w:hint="default" w:ascii="Arial" w:hAnsi="Arial" w:cs="Arial"/>
          <w:sz w:val="24"/>
          <w:szCs w:val="24"/>
          <w:lang w:val="en-GB"/>
        </w:rPr>
        <w:t>PESTEL Opportunities and Threats Framework – Dior Beauty UK</w:t>
      </w:r>
    </w:p>
    <w:tbl>
      <w:tblPr>
        <w:tblStyle w:val="13"/>
        <w:tblW w:w="0" w:type="auto"/>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Layout w:type="autofit"/>
        <w:tblCellMar>
          <w:left w:w="108" w:type="dxa"/>
          <w:right w:w="108" w:type="dxa"/>
        </w:tblCellMar>
      </w:tblPr>
      <w:tblGrid>
        <w:gridCol w:w="2089"/>
        <w:gridCol w:w="3592"/>
        <w:gridCol w:w="2841"/>
      </w:tblGrid>
      <w:tr w14:paraId="18C10CDB">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426F16DD">
            <w:pPr>
              <w:pStyle w:val="11"/>
              <w:keepNext w:val="0"/>
              <w:keepLines w:val="0"/>
              <w:widowControl/>
              <w:suppressLineNumbers w:val="0"/>
              <w:rPr>
                <w:rFonts w:hint="default" w:ascii="Arial" w:hAnsi="Arial" w:cs="Arial"/>
                <w:sz w:val="24"/>
                <w:szCs w:val="24"/>
                <w:vertAlign w:val="baseline"/>
                <w:lang w:val="en-GB"/>
              </w:rPr>
            </w:pPr>
            <w:r>
              <w:rPr>
                <w:rFonts w:hint="default" w:ascii="Arial" w:hAnsi="Arial" w:cs="Arial"/>
                <w:sz w:val="24"/>
                <w:szCs w:val="24"/>
                <w:vertAlign w:val="baseline"/>
                <w:lang w:val="en-GB"/>
              </w:rPr>
              <w:t>PESTEL Factor</w:t>
            </w:r>
          </w:p>
        </w:tc>
        <w:tc>
          <w:tcPr>
            <w:tcW w:w="3592" w:type="dxa"/>
            <w:tcBorders>
              <w:tl2br w:val="nil"/>
              <w:tr2bl w:val="nil"/>
            </w:tcBorders>
          </w:tcPr>
          <w:p w14:paraId="250E3E9E">
            <w:pPr>
              <w:pStyle w:val="11"/>
              <w:keepNext w:val="0"/>
              <w:keepLines w:val="0"/>
              <w:widowControl/>
              <w:suppressLineNumbers w:val="0"/>
              <w:rPr>
                <w:rFonts w:hint="default" w:ascii="Arial" w:hAnsi="Arial" w:cs="Arial"/>
                <w:sz w:val="24"/>
                <w:szCs w:val="24"/>
                <w:vertAlign w:val="baseline"/>
                <w:lang w:val="en-GB"/>
              </w:rPr>
            </w:pPr>
            <w:r>
              <w:rPr>
                <w:rFonts w:hint="default" w:ascii="Arial" w:hAnsi="Arial" w:cs="Arial"/>
                <w:sz w:val="24"/>
                <w:szCs w:val="24"/>
                <w:vertAlign w:val="baseline"/>
                <w:lang w:val="en-GB"/>
              </w:rPr>
              <w:t>Opportunities</w:t>
            </w:r>
          </w:p>
        </w:tc>
        <w:tc>
          <w:tcPr>
            <w:tcW w:w="2841" w:type="dxa"/>
            <w:tcBorders>
              <w:tl2br w:val="nil"/>
              <w:tr2bl w:val="nil"/>
            </w:tcBorders>
          </w:tcPr>
          <w:p w14:paraId="2AEA35FA">
            <w:pPr>
              <w:pStyle w:val="11"/>
              <w:keepNext w:val="0"/>
              <w:keepLines w:val="0"/>
              <w:widowControl/>
              <w:suppressLineNumbers w:val="0"/>
              <w:rPr>
                <w:rFonts w:hint="default" w:ascii="Arial" w:hAnsi="Arial" w:cs="Arial"/>
                <w:sz w:val="24"/>
                <w:szCs w:val="24"/>
                <w:vertAlign w:val="baseline"/>
                <w:lang w:val="en-GB"/>
              </w:rPr>
            </w:pPr>
            <w:r>
              <w:rPr>
                <w:rFonts w:hint="default" w:ascii="Arial" w:hAnsi="Arial" w:cs="Arial"/>
                <w:sz w:val="24"/>
                <w:szCs w:val="24"/>
                <w:vertAlign w:val="baseline"/>
                <w:lang w:val="en-GB"/>
              </w:rPr>
              <w:t>Threats</w:t>
            </w:r>
          </w:p>
        </w:tc>
      </w:tr>
      <w:tr w14:paraId="1B8F9F44">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0A84EFCA">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P – Political</w:t>
            </w:r>
          </w:p>
        </w:tc>
        <w:tc>
          <w:tcPr>
            <w:tcW w:w="3592" w:type="dxa"/>
            <w:tcBorders>
              <w:tl2br w:val="nil"/>
              <w:tr2bl w:val="nil"/>
            </w:tcBorders>
          </w:tcPr>
          <w:p w14:paraId="43B1240D">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The political and retail climate in the UK is stable, which encourages ongoing operations and investment in the luxury market.</w:t>
            </w:r>
          </w:p>
        </w:tc>
        <w:tc>
          <w:tcPr>
            <w:tcW w:w="2841" w:type="dxa"/>
            <w:tcBorders>
              <w:tl2br w:val="nil"/>
              <w:tr2bl w:val="nil"/>
            </w:tcBorders>
          </w:tcPr>
          <w:p w14:paraId="620693A1">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Supply-chain complexity and administrative costs may rise as a result of post-Brexit customs and trading requirements (UK Government, 2024).</w:t>
            </w:r>
          </w:p>
        </w:tc>
      </w:tr>
      <w:tr w14:paraId="3BA7A040">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3812E83C">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E – Economic</w:t>
            </w:r>
          </w:p>
        </w:tc>
        <w:tc>
          <w:tcPr>
            <w:tcW w:w="3592" w:type="dxa"/>
            <w:tcBorders>
              <w:tl2br w:val="nil"/>
              <w:tr2bl w:val="nil"/>
            </w:tcBorders>
          </w:tcPr>
          <w:p w14:paraId="3A834411">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Dior's premium pricing strategy is supported by premiumization and comparatively resilient affluent consumers (Bain and Company, 2025).</w:t>
            </w:r>
          </w:p>
        </w:tc>
        <w:tc>
          <w:tcPr>
            <w:tcW w:w="2841" w:type="dxa"/>
            <w:tcBorders>
              <w:tl2br w:val="nil"/>
              <w:tr2bl w:val="nil"/>
            </w:tcBorders>
          </w:tcPr>
          <w:p w14:paraId="10087A50">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Discretionary luxury spending may decline due to inflation, exchange rate swings, and a decline in consumer confidence.</w:t>
            </w:r>
          </w:p>
        </w:tc>
      </w:tr>
      <w:tr w14:paraId="36A1A8A3">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43B0B8E7">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S – Social</w:t>
            </w:r>
          </w:p>
        </w:tc>
        <w:tc>
          <w:tcPr>
            <w:tcW w:w="3592" w:type="dxa"/>
            <w:tcBorders>
              <w:tl2br w:val="nil"/>
              <w:tr2bl w:val="nil"/>
            </w:tcBorders>
          </w:tcPr>
          <w:p w14:paraId="2D53A2D8">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Opportunities to draw in Gen Z and Millennials thru social media arise from the growing demand for customized, sustainable, and high-end beauty experiences (McKinsey and Company, 2023).</w:t>
            </w:r>
          </w:p>
        </w:tc>
        <w:tc>
          <w:tcPr>
            <w:tcW w:w="2841" w:type="dxa"/>
            <w:tcBorders>
              <w:tl2br w:val="nil"/>
              <w:tr2bl w:val="nil"/>
            </w:tcBorders>
          </w:tcPr>
          <w:p w14:paraId="72B532D9">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Traditional luxury positioning may be challenged by shifting consumer values and preferences for niche or purpose-driven brands.</w:t>
            </w:r>
          </w:p>
        </w:tc>
      </w:tr>
      <w:tr w14:paraId="665E2F23">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797DD97F">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T – Technological</w:t>
            </w:r>
          </w:p>
        </w:tc>
        <w:tc>
          <w:tcPr>
            <w:tcW w:w="3592" w:type="dxa"/>
            <w:tcBorders>
              <w:tl2br w:val="nil"/>
              <w:tr2bl w:val="nil"/>
            </w:tcBorders>
          </w:tcPr>
          <w:p w14:paraId="1E188105">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Digital personalization, e-commerce, AI, and data analytics can enhance consumer interaction and produce unique online experiences (McKinsey and Company, 2023).</w:t>
            </w:r>
          </w:p>
        </w:tc>
        <w:tc>
          <w:tcPr>
            <w:tcW w:w="2841" w:type="dxa"/>
            <w:tcBorders>
              <w:tl2br w:val="nil"/>
              <w:tr2bl w:val="nil"/>
            </w:tcBorders>
          </w:tcPr>
          <w:p w14:paraId="5C7DF82B">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Rapid technological advancement reduces differentiation by allowing rivals to adopt comparable digital capabilities.</w:t>
            </w:r>
          </w:p>
        </w:tc>
      </w:tr>
      <w:tr w14:paraId="5CB2DE6D">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2265FFC3">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E – Environmental</w:t>
            </w:r>
          </w:p>
        </w:tc>
        <w:tc>
          <w:tcPr>
            <w:tcW w:w="3592" w:type="dxa"/>
            <w:tcBorders>
              <w:tl2br w:val="nil"/>
              <w:tr2bl w:val="nil"/>
            </w:tcBorders>
          </w:tcPr>
          <w:p w14:paraId="3F17A1F5">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Dior can improve its positioning thru refillable products, biodiversity, and ethical sourcing in response to the growing demand for sustainable luxury (Dior, 2026a).</w:t>
            </w:r>
          </w:p>
        </w:tc>
        <w:tc>
          <w:tcPr>
            <w:tcW w:w="2841" w:type="dxa"/>
            <w:tcBorders>
              <w:tl2br w:val="nil"/>
              <w:tr2bl w:val="nil"/>
            </w:tcBorders>
          </w:tcPr>
          <w:p w14:paraId="0195F3CF">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Dior's reputation and brand equity could be harmed if environmental regulations or sustainability standards are not met (European Commission, 2024).</w:t>
            </w:r>
          </w:p>
        </w:tc>
      </w:tr>
      <w:tr w14:paraId="410CC8AA">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089" w:type="dxa"/>
            <w:tcBorders>
              <w:tl2br w:val="nil"/>
              <w:tr2bl w:val="nil"/>
            </w:tcBorders>
          </w:tcPr>
          <w:p w14:paraId="559D0836">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L – Legal</w:t>
            </w:r>
          </w:p>
        </w:tc>
        <w:tc>
          <w:tcPr>
            <w:tcW w:w="3592" w:type="dxa"/>
            <w:tcBorders>
              <w:tl2br w:val="nil"/>
              <w:tr2bl w:val="nil"/>
            </w:tcBorders>
          </w:tcPr>
          <w:p w14:paraId="41DC68A8">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Product safety and consumer confidence can be strengthened by strict adherence to regulations.</w:t>
            </w:r>
          </w:p>
        </w:tc>
        <w:tc>
          <w:tcPr>
            <w:tcW w:w="2841" w:type="dxa"/>
            <w:tcBorders>
              <w:tl2br w:val="nil"/>
              <w:tr2bl w:val="nil"/>
            </w:tcBorders>
          </w:tcPr>
          <w:p w14:paraId="1AB39485">
            <w:pPr>
              <w:pStyle w:val="11"/>
              <w:keepNext w:val="0"/>
              <w:keepLines w:val="0"/>
              <w:widowControl/>
              <w:suppressLineNumbers w:val="0"/>
              <w:rPr>
                <w:rFonts w:hint="default" w:ascii="Arial" w:hAnsi="Arial" w:cs="Arial"/>
                <w:sz w:val="22"/>
                <w:szCs w:val="22"/>
                <w:vertAlign w:val="baseline"/>
                <w:lang w:val="en-GB"/>
              </w:rPr>
            </w:pPr>
            <w:r>
              <w:rPr>
                <w:rFonts w:hint="default" w:ascii="Arial" w:hAnsi="Arial" w:cs="Arial"/>
                <w:sz w:val="22"/>
                <w:szCs w:val="22"/>
                <w:vertAlign w:val="baseline"/>
                <w:lang w:val="en-GB"/>
              </w:rPr>
              <w:t>Additional operational responsibilities are created by post-Brexit compliance, UK cosmetics regulations, and product safety requirements (Office for Product Safety and Standards, 2025).</w:t>
            </w:r>
          </w:p>
        </w:tc>
      </w:tr>
    </w:tbl>
    <w:p w14:paraId="021CEBEE">
      <w:pPr>
        <w:pStyle w:val="11"/>
        <w:keepNext w:val="0"/>
        <w:keepLines w:val="0"/>
        <w:widowControl/>
        <w:suppressLineNumbers w:val="0"/>
        <w:rPr>
          <w:rFonts w:hint="default" w:ascii="Arial" w:hAnsi="Arial" w:cs="Arial"/>
        </w:rPr>
      </w:pPr>
    </w:p>
    <w:p w14:paraId="1D8E09CB">
      <w:pPr>
        <w:pStyle w:val="11"/>
        <w:keepNext w:val="0"/>
        <w:keepLines w:val="0"/>
        <w:widowControl/>
        <w:suppressLineNumbers w:val="0"/>
        <w:rPr>
          <w:rFonts w:hint="default" w:ascii="Arial" w:hAnsi="Arial" w:cs="Arial"/>
        </w:rPr>
      </w:pPr>
    </w:p>
    <w:p w14:paraId="6B1788C6">
      <w:pPr>
        <w:pStyle w:val="3"/>
        <w:keepNext w:val="0"/>
        <w:keepLines w:val="0"/>
        <w:widowControl/>
        <w:suppressLineNumbers w:val="0"/>
        <w:rPr>
          <w:rFonts w:hint="default" w:ascii="Arial" w:hAnsi="Arial" w:cs="Arial"/>
          <w:sz w:val="24"/>
          <w:szCs w:val="24"/>
        </w:rPr>
      </w:pPr>
      <w:r>
        <w:rPr>
          <w:rFonts w:hint="default" w:ascii="Arial" w:hAnsi="Arial" w:cs="Arial"/>
          <w:sz w:val="24"/>
          <w:szCs w:val="24"/>
        </w:rPr>
        <w:t>2.2 Internal Analysis – VRIO Framework</w:t>
      </w:r>
    </w:p>
    <w:p w14:paraId="3D05EAAF">
      <w:pPr>
        <w:pStyle w:val="11"/>
        <w:keepNext w:val="0"/>
        <w:keepLines w:val="0"/>
        <w:widowControl/>
        <w:suppressLineNumbers w:val="0"/>
        <w:rPr>
          <w:rFonts w:hint="default" w:ascii="Arial" w:hAnsi="Arial" w:cs="Arial"/>
          <w:sz w:val="24"/>
          <w:szCs w:val="24"/>
        </w:rPr>
      </w:pPr>
      <w:r>
        <w:rPr>
          <w:rFonts w:hint="default" w:ascii="Arial" w:hAnsi="Arial" w:cs="Arial"/>
          <w:sz w:val="24"/>
          <w:szCs w:val="24"/>
        </w:rPr>
        <w:t>The VRIO framework evaluates whether Dior Beauty's internal resources provide sustainable competitive advantage.</w:t>
      </w:r>
    </w:p>
    <w:p w14:paraId="3F919526">
      <w:pPr>
        <w:pStyle w:val="11"/>
        <w:keepNext w:val="0"/>
        <w:keepLines w:val="0"/>
        <w:widowControl/>
        <w:suppressLineNumbers w:val="0"/>
        <w:rPr>
          <w:rFonts w:hint="default" w:ascii="Arial" w:hAnsi="Arial" w:cs="Arial"/>
        </w:rPr>
      </w:pPr>
    </w:p>
    <w:tbl>
      <w:tblPr>
        <w:tblStyle w:val="13"/>
        <w:tblW w:w="0" w:type="auto"/>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Layout w:type="fixed"/>
        <w:tblCellMar>
          <w:left w:w="108" w:type="dxa"/>
          <w:right w:w="108" w:type="dxa"/>
        </w:tblCellMar>
      </w:tblPr>
      <w:tblGrid>
        <w:gridCol w:w="1897"/>
        <w:gridCol w:w="1140"/>
        <w:gridCol w:w="1152"/>
        <w:gridCol w:w="1332"/>
        <w:gridCol w:w="1296"/>
        <w:gridCol w:w="1705"/>
      </w:tblGrid>
      <w:tr w14:paraId="29F00F93">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0AD97F26">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Resource</w:t>
            </w:r>
          </w:p>
        </w:tc>
        <w:tc>
          <w:tcPr>
            <w:tcW w:w="1140" w:type="dxa"/>
            <w:tcBorders>
              <w:tl2br w:val="nil"/>
              <w:tr2bl w:val="nil"/>
            </w:tcBorders>
          </w:tcPr>
          <w:p w14:paraId="58BD99C3">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Valuable</w:t>
            </w:r>
          </w:p>
        </w:tc>
        <w:tc>
          <w:tcPr>
            <w:tcW w:w="1152" w:type="dxa"/>
            <w:tcBorders>
              <w:tl2br w:val="nil"/>
              <w:tr2bl w:val="nil"/>
            </w:tcBorders>
          </w:tcPr>
          <w:p w14:paraId="478B27F2">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Rare</w:t>
            </w:r>
          </w:p>
        </w:tc>
        <w:tc>
          <w:tcPr>
            <w:tcW w:w="1332" w:type="dxa"/>
            <w:tcBorders>
              <w:tl2br w:val="nil"/>
              <w:tr2bl w:val="nil"/>
            </w:tcBorders>
          </w:tcPr>
          <w:p w14:paraId="33432E59">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Inimitable</w:t>
            </w:r>
          </w:p>
        </w:tc>
        <w:tc>
          <w:tcPr>
            <w:tcW w:w="1296" w:type="dxa"/>
            <w:tcBorders>
              <w:tl2br w:val="nil"/>
              <w:tr2bl w:val="nil"/>
            </w:tcBorders>
          </w:tcPr>
          <w:p w14:paraId="2B2B54CD">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Organized</w:t>
            </w:r>
          </w:p>
        </w:tc>
        <w:tc>
          <w:tcPr>
            <w:tcW w:w="1705" w:type="dxa"/>
            <w:tcBorders>
              <w:tl2br w:val="nil"/>
              <w:tr2bl w:val="nil"/>
            </w:tcBorders>
          </w:tcPr>
          <w:p w14:paraId="5C22D6B6">
            <w:pPr>
              <w:pStyle w:val="11"/>
              <w:keepNext w:val="0"/>
              <w:keepLines w:val="0"/>
              <w:widowControl/>
              <w:suppressLineNumbers w:val="0"/>
              <w:rPr>
                <w:rFonts w:hint="default" w:ascii="Arial" w:hAnsi="Arial" w:cs="Arial"/>
                <w:vertAlign w:val="baseline"/>
                <w:lang w:val="en-GB"/>
              </w:rPr>
            </w:pPr>
            <w:r>
              <w:rPr>
                <w:rFonts w:hint="default" w:ascii="Arial" w:hAnsi="Arial" w:cs="Arial"/>
                <w:b/>
                <w:bCs/>
                <w:vertAlign w:val="baseline"/>
                <w:lang w:val="en-GB"/>
              </w:rPr>
              <w:t>Competitive Implocation</w:t>
            </w:r>
          </w:p>
        </w:tc>
      </w:tr>
      <w:tr w14:paraId="13BD2150">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4AC930E0">
            <w:pPr>
              <w:pStyle w:val="11"/>
              <w:keepNext w:val="0"/>
              <w:keepLines w:val="0"/>
              <w:widowControl/>
              <w:suppressLineNumbers w:val="0"/>
              <w:rPr>
                <w:rFonts w:hint="default" w:ascii="Arial" w:hAnsi="Arial" w:cs="Arial"/>
                <w:vertAlign w:val="baseline"/>
                <w:lang w:val="en-GB"/>
              </w:rPr>
            </w:pPr>
            <w:r>
              <w:rPr>
                <w:rFonts w:hint="default" w:ascii="Arial" w:hAnsi="Arial" w:cs="Arial"/>
                <w:sz w:val="22"/>
                <w:szCs w:val="22"/>
                <w:vertAlign w:val="baseline"/>
                <w:lang w:val="en-GB"/>
              </w:rPr>
              <w:t>Dior Brand Reputation</w:t>
            </w:r>
          </w:p>
        </w:tc>
        <w:tc>
          <w:tcPr>
            <w:tcW w:w="1140" w:type="dxa"/>
            <w:tcBorders>
              <w:tl2br w:val="nil"/>
              <w:tr2bl w:val="nil"/>
            </w:tcBorders>
          </w:tcPr>
          <w:p w14:paraId="59F603A9">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152" w:type="dxa"/>
            <w:tcBorders>
              <w:tl2br w:val="nil"/>
              <w:tr2bl w:val="nil"/>
            </w:tcBorders>
          </w:tcPr>
          <w:p w14:paraId="26402FCD">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332" w:type="dxa"/>
            <w:tcBorders>
              <w:tl2br w:val="nil"/>
              <w:tr2bl w:val="nil"/>
            </w:tcBorders>
          </w:tcPr>
          <w:p w14:paraId="5FEC904F">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296" w:type="dxa"/>
            <w:tcBorders>
              <w:tl2br w:val="nil"/>
              <w:tr2bl w:val="nil"/>
            </w:tcBorders>
          </w:tcPr>
          <w:p w14:paraId="0259BB38">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705" w:type="dxa"/>
            <w:tcBorders>
              <w:tl2br w:val="nil"/>
              <w:tr2bl w:val="nil"/>
            </w:tcBorders>
          </w:tcPr>
          <w:p w14:paraId="08E612EF">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Sustainable Competitive advantage</w:t>
            </w:r>
          </w:p>
        </w:tc>
      </w:tr>
      <w:tr w14:paraId="380DA39C">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7026C4FD">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LVMH Financial Resources</w:t>
            </w:r>
          </w:p>
        </w:tc>
        <w:tc>
          <w:tcPr>
            <w:tcW w:w="1140" w:type="dxa"/>
            <w:tcBorders>
              <w:tl2br w:val="nil"/>
              <w:tr2bl w:val="nil"/>
            </w:tcBorders>
          </w:tcPr>
          <w:p w14:paraId="6EED2C4E">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152" w:type="dxa"/>
            <w:tcBorders>
              <w:tl2br w:val="nil"/>
              <w:tr2bl w:val="nil"/>
            </w:tcBorders>
          </w:tcPr>
          <w:p w14:paraId="62D3CDCD">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332" w:type="dxa"/>
            <w:tcBorders>
              <w:tl2br w:val="nil"/>
              <w:tr2bl w:val="nil"/>
            </w:tcBorders>
          </w:tcPr>
          <w:p w14:paraId="1B01E2D3">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296" w:type="dxa"/>
            <w:tcBorders>
              <w:tl2br w:val="nil"/>
              <w:tr2bl w:val="nil"/>
            </w:tcBorders>
          </w:tcPr>
          <w:p w14:paraId="7A9FD309">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705" w:type="dxa"/>
            <w:tcBorders>
              <w:tl2br w:val="nil"/>
              <w:tr2bl w:val="nil"/>
            </w:tcBorders>
          </w:tcPr>
          <w:p w14:paraId="4F3D8E25">
            <w:pPr>
              <w:pStyle w:val="11"/>
              <w:keepNext w:val="0"/>
              <w:keepLines w:val="0"/>
              <w:widowControl/>
              <w:suppressLineNumbers w:val="0"/>
              <w:rPr>
                <w:rFonts w:hint="default" w:ascii="Arial" w:hAnsi="Arial" w:cs="Arial"/>
                <w:vertAlign w:val="baseline"/>
              </w:rPr>
            </w:pPr>
            <w:r>
              <w:rPr>
                <w:rFonts w:hint="default" w:ascii="Arial" w:hAnsi="Arial" w:cs="Arial"/>
                <w:vertAlign w:val="baseline"/>
                <w:lang w:val="en-GB"/>
              </w:rPr>
              <w:t>Sustainable Competitive advantage</w:t>
            </w:r>
          </w:p>
        </w:tc>
      </w:tr>
      <w:tr w14:paraId="6C340298">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3BA1C94F">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Global Distribution Network</w:t>
            </w:r>
          </w:p>
        </w:tc>
        <w:tc>
          <w:tcPr>
            <w:tcW w:w="1140" w:type="dxa"/>
            <w:tcBorders>
              <w:tl2br w:val="nil"/>
              <w:tr2bl w:val="nil"/>
            </w:tcBorders>
          </w:tcPr>
          <w:p w14:paraId="70EC7E91">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152" w:type="dxa"/>
            <w:tcBorders>
              <w:tl2br w:val="nil"/>
              <w:tr2bl w:val="nil"/>
            </w:tcBorders>
          </w:tcPr>
          <w:p w14:paraId="73A32CC9">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Moderate</w:t>
            </w:r>
          </w:p>
        </w:tc>
        <w:tc>
          <w:tcPr>
            <w:tcW w:w="1332" w:type="dxa"/>
            <w:tcBorders>
              <w:tl2br w:val="nil"/>
              <w:tr2bl w:val="nil"/>
            </w:tcBorders>
          </w:tcPr>
          <w:p w14:paraId="04C8749F">
            <w:pPr>
              <w:pStyle w:val="11"/>
              <w:keepNext w:val="0"/>
              <w:keepLines w:val="0"/>
              <w:widowControl/>
              <w:suppressLineNumbers w:val="0"/>
              <w:rPr>
                <w:rFonts w:hint="default" w:ascii="Arial" w:hAnsi="Arial" w:cs="Arial"/>
                <w:vertAlign w:val="baseline"/>
              </w:rPr>
            </w:pPr>
            <w:r>
              <w:rPr>
                <w:rFonts w:hint="default" w:ascii="Arial" w:hAnsi="Arial" w:cs="Arial"/>
                <w:vertAlign w:val="baseline"/>
                <w:lang w:val="en-GB"/>
              </w:rPr>
              <w:t>Moderate</w:t>
            </w:r>
          </w:p>
        </w:tc>
        <w:tc>
          <w:tcPr>
            <w:tcW w:w="1296" w:type="dxa"/>
            <w:tcBorders>
              <w:tl2br w:val="nil"/>
              <w:tr2bl w:val="nil"/>
            </w:tcBorders>
          </w:tcPr>
          <w:p w14:paraId="1E27E6AE">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705" w:type="dxa"/>
            <w:tcBorders>
              <w:tl2br w:val="nil"/>
              <w:tr2bl w:val="nil"/>
            </w:tcBorders>
          </w:tcPr>
          <w:p w14:paraId="5BDF3F83">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Temporary Advantage</w:t>
            </w:r>
          </w:p>
        </w:tc>
      </w:tr>
      <w:tr w14:paraId="23E8FE28">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2026C649">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Product Innovation Capability</w:t>
            </w:r>
          </w:p>
        </w:tc>
        <w:tc>
          <w:tcPr>
            <w:tcW w:w="1140" w:type="dxa"/>
            <w:tcBorders>
              <w:tl2br w:val="nil"/>
              <w:tr2bl w:val="nil"/>
            </w:tcBorders>
          </w:tcPr>
          <w:p w14:paraId="36C402AA">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152" w:type="dxa"/>
            <w:tcBorders>
              <w:tl2br w:val="nil"/>
              <w:tr2bl w:val="nil"/>
            </w:tcBorders>
          </w:tcPr>
          <w:p w14:paraId="0C5A09F9">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332" w:type="dxa"/>
            <w:tcBorders>
              <w:tl2br w:val="nil"/>
              <w:tr2bl w:val="nil"/>
            </w:tcBorders>
          </w:tcPr>
          <w:p w14:paraId="57F3235C">
            <w:pPr>
              <w:pStyle w:val="11"/>
              <w:keepNext w:val="0"/>
              <w:keepLines w:val="0"/>
              <w:widowControl/>
              <w:suppressLineNumbers w:val="0"/>
              <w:rPr>
                <w:rFonts w:hint="default" w:ascii="Arial" w:hAnsi="Arial" w:cs="Arial"/>
                <w:vertAlign w:val="baseline"/>
              </w:rPr>
            </w:pPr>
            <w:r>
              <w:rPr>
                <w:rFonts w:hint="default" w:ascii="Arial" w:hAnsi="Arial" w:cs="Arial"/>
                <w:vertAlign w:val="baseline"/>
                <w:lang w:val="en-GB"/>
              </w:rPr>
              <w:t>Moderate</w:t>
            </w:r>
          </w:p>
        </w:tc>
        <w:tc>
          <w:tcPr>
            <w:tcW w:w="1296" w:type="dxa"/>
            <w:tcBorders>
              <w:tl2br w:val="nil"/>
              <w:tr2bl w:val="nil"/>
            </w:tcBorders>
          </w:tcPr>
          <w:p w14:paraId="7421B118">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705" w:type="dxa"/>
            <w:tcBorders>
              <w:tl2br w:val="nil"/>
              <w:tr2bl w:val="nil"/>
            </w:tcBorders>
          </w:tcPr>
          <w:p w14:paraId="796C4F6F">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Competitive Advantage</w:t>
            </w:r>
          </w:p>
        </w:tc>
      </w:tr>
      <w:tr w14:paraId="7C2CFBD9">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1897" w:type="dxa"/>
            <w:tcBorders>
              <w:tl2br w:val="nil"/>
              <w:tr2bl w:val="nil"/>
            </w:tcBorders>
          </w:tcPr>
          <w:p w14:paraId="7C16F768">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Celebrity Marketing Partnerships</w:t>
            </w:r>
          </w:p>
        </w:tc>
        <w:tc>
          <w:tcPr>
            <w:tcW w:w="1140" w:type="dxa"/>
            <w:tcBorders>
              <w:tl2br w:val="nil"/>
              <w:tr2bl w:val="nil"/>
            </w:tcBorders>
          </w:tcPr>
          <w:p w14:paraId="26DF9DDD">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152" w:type="dxa"/>
            <w:tcBorders>
              <w:tl2br w:val="nil"/>
              <w:tr2bl w:val="nil"/>
            </w:tcBorders>
          </w:tcPr>
          <w:p w14:paraId="7A5C4AFA">
            <w:pPr>
              <w:pStyle w:val="11"/>
              <w:keepNext w:val="0"/>
              <w:keepLines w:val="0"/>
              <w:widowControl/>
              <w:suppressLineNumbers w:val="0"/>
              <w:rPr>
                <w:rFonts w:hint="default" w:ascii="Arial" w:hAnsi="Arial" w:cs="Arial"/>
                <w:vertAlign w:val="baseline"/>
              </w:rPr>
            </w:pPr>
            <w:r>
              <w:rPr>
                <w:rFonts w:hint="default" w:ascii="Arial" w:hAnsi="Arial" w:cs="Arial"/>
                <w:vertAlign w:val="baseline"/>
                <w:lang w:val="en-GB"/>
              </w:rPr>
              <w:t>Moderate</w:t>
            </w:r>
          </w:p>
        </w:tc>
        <w:tc>
          <w:tcPr>
            <w:tcW w:w="1332" w:type="dxa"/>
            <w:tcBorders>
              <w:tl2br w:val="nil"/>
              <w:tr2bl w:val="nil"/>
            </w:tcBorders>
          </w:tcPr>
          <w:p w14:paraId="5E02DD35">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No</w:t>
            </w:r>
          </w:p>
        </w:tc>
        <w:tc>
          <w:tcPr>
            <w:tcW w:w="1296" w:type="dxa"/>
            <w:tcBorders>
              <w:tl2br w:val="nil"/>
              <w:tr2bl w:val="nil"/>
            </w:tcBorders>
          </w:tcPr>
          <w:p w14:paraId="27BB7375">
            <w:pPr>
              <w:pStyle w:val="11"/>
              <w:keepNext w:val="0"/>
              <w:keepLines w:val="0"/>
              <w:widowControl/>
              <w:suppressLineNumbers w:val="0"/>
              <w:rPr>
                <w:rFonts w:hint="default" w:ascii="Arial" w:hAnsi="Arial" w:cs="Arial"/>
                <w:vertAlign w:val="baseline"/>
              </w:rPr>
            </w:pPr>
            <w:r>
              <w:rPr>
                <w:rFonts w:hint="default" w:ascii="Arial" w:hAnsi="Arial" w:cs="Arial"/>
                <w:vertAlign w:val="baseline"/>
              </w:rPr>
              <w:t>✔</w:t>
            </w:r>
          </w:p>
        </w:tc>
        <w:tc>
          <w:tcPr>
            <w:tcW w:w="1705" w:type="dxa"/>
            <w:tcBorders>
              <w:tl2br w:val="nil"/>
              <w:tr2bl w:val="nil"/>
            </w:tcBorders>
          </w:tcPr>
          <w:p w14:paraId="331AA91A">
            <w:pPr>
              <w:pStyle w:val="11"/>
              <w:keepNext w:val="0"/>
              <w:keepLines w:val="0"/>
              <w:widowControl/>
              <w:suppressLineNumbers w:val="0"/>
              <w:rPr>
                <w:rFonts w:hint="default" w:ascii="Arial" w:hAnsi="Arial" w:cs="Arial"/>
                <w:vertAlign w:val="baseline"/>
                <w:lang w:val="en-GB"/>
              </w:rPr>
            </w:pPr>
            <w:r>
              <w:rPr>
                <w:rFonts w:hint="default" w:ascii="Arial" w:hAnsi="Arial" w:cs="Arial"/>
                <w:vertAlign w:val="baseline"/>
                <w:lang w:val="en-GB"/>
              </w:rPr>
              <w:t>Temporary Advantage</w:t>
            </w:r>
          </w:p>
        </w:tc>
      </w:tr>
    </w:tbl>
    <w:p w14:paraId="4818045A">
      <w:pPr>
        <w:pStyle w:val="11"/>
        <w:keepNext w:val="0"/>
        <w:keepLines w:val="0"/>
        <w:widowControl/>
        <w:suppressLineNumbers w:val="0"/>
        <w:rPr>
          <w:rFonts w:hint="default" w:ascii="Arial" w:hAnsi="Arial" w:cs="Arial"/>
        </w:rPr>
      </w:pPr>
    </w:p>
    <w:p w14:paraId="7DD3535B">
      <w:pPr>
        <w:rPr>
          <w:rFonts w:hint="default" w:ascii="Arial" w:hAnsi="Arial" w:cs="Arial"/>
          <w:sz w:val="22"/>
          <w:szCs w:val="22"/>
        </w:rPr>
      </w:pPr>
      <w:r>
        <w:rPr>
          <w:rFonts w:hint="default" w:ascii="Arial" w:hAnsi="Arial" w:cs="Arial"/>
          <w:sz w:val="22"/>
          <w:szCs w:val="22"/>
        </w:rPr>
        <w:t>The worldwide recognition of Dior's luxury brand, heritage, and premium positioning, which have produced significant brand equity and consumer desirability over decades, are its greatest competitive advantages (LVMH, 2025; Brand Finance, 2025). Additionally, being a part of LVMH gives Dior access to innovation and research expertise, as well as substantial financial resources and international distribution capabilities that support ongoing product development and global expansion (LVMH, 2025).</w:t>
      </w:r>
    </w:p>
    <w:p w14:paraId="4A231ECF">
      <w:pPr>
        <w:rPr>
          <w:rFonts w:hint="default" w:ascii="Arial" w:hAnsi="Arial" w:cs="Arial"/>
          <w:sz w:val="22"/>
          <w:szCs w:val="22"/>
        </w:rPr>
      </w:pPr>
    </w:p>
    <w:p w14:paraId="4F7B596C">
      <w:pPr>
        <w:rPr>
          <w:rFonts w:hint="default" w:ascii="Arial" w:hAnsi="Arial" w:cs="Arial"/>
          <w:sz w:val="22"/>
          <w:szCs w:val="22"/>
          <w:lang w:val="en-GB"/>
        </w:rPr>
      </w:pPr>
      <w:r>
        <w:rPr>
          <w:rFonts w:hint="default" w:ascii="Arial" w:hAnsi="Arial" w:cs="Arial"/>
          <w:sz w:val="22"/>
          <w:szCs w:val="22"/>
        </w:rPr>
        <w:t>However, rival luxury brands can imitate competitive elements like product innovation, digital campaigns, and celebrity endorsements. Therefore, in order to maintain its long-term competitive advantage and strengthen differentiation, Dior must consistently invest in innovation, digital capabilities, and personalized customer experiences (McKinsey and Company, 2023).</w:t>
      </w:r>
      <w:r>
        <w:rPr>
          <w:rFonts w:hint="default" w:ascii="Arial" w:hAnsi="Arial" w:cs="Arial"/>
          <w:sz w:val="22"/>
          <w:szCs w:val="22"/>
          <w:lang w:val="en-GB"/>
        </w:rPr>
        <w:t xml:space="preserve"> Dior Beauty can achieve sustained competitive advantage when valuable and difficult-to-imitate resources, such as its brand reputation, heritage and LVMH resources, are effectively organized and exploited (Barney and Hesterly, 2018).</w:t>
      </w:r>
    </w:p>
    <w:p w14:paraId="46BD91BC">
      <w:pPr>
        <w:rPr>
          <w:rFonts w:hint="default" w:ascii="Arial" w:hAnsi="Arial" w:cs="Arial"/>
          <w:sz w:val="22"/>
          <w:szCs w:val="22"/>
          <w:lang w:val="en-GB"/>
        </w:rPr>
      </w:pPr>
    </w:p>
    <w:p w14:paraId="79709F58">
      <w:pPr>
        <w:rPr>
          <w:rFonts w:hint="default" w:ascii="Arial" w:hAnsi="Arial" w:cs="Arial"/>
          <w:sz w:val="22"/>
          <w:szCs w:val="22"/>
          <w:lang w:val="en-GB"/>
        </w:rPr>
      </w:pPr>
    </w:p>
    <w:p w14:paraId="67BC6976">
      <w:pPr>
        <w:rPr>
          <w:rFonts w:hint="default" w:ascii="Arial" w:hAnsi="Arial" w:cs="Arial"/>
          <w:sz w:val="22"/>
          <w:szCs w:val="22"/>
          <w:lang w:val="en-GB"/>
        </w:rPr>
      </w:pPr>
    </w:p>
    <w:p w14:paraId="668CB0EA">
      <w:pPr>
        <w:rPr>
          <w:rFonts w:hint="default" w:ascii="Arial" w:hAnsi="Arial" w:cs="Arial"/>
          <w:b/>
          <w:bCs/>
          <w:sz w:val="22"/>
          <w:szCs w:val="22"/>
          <w:lang w:val="en-GB"/>
        </w:rPr>
      </w:pPr>
      <w:r>
        <w:rPr>
          <w:rFonts w:hint="default" w:ascii="Arial" w:hAnsi="Arial" w:cs="Arial"/>
          <w:b/>
          <w:bCs/>
          <w:sz w:val="22"/>
          <w:szCs w:val="22"/>
          <w:lang w:val="en-GB"/>
        </w:rPr>
        <w:t>Most Important Strength</w:t>
      </w:r>
    </w:p>
    <w:p w14:paraId="67B673A7">
      <w:pPr>
        <w:rPr>
          <w:rFonts w:hint="default" w:ascii="Arial" w:hAnsi="Arial" w:cs="Arial"/>
          <w:sz w:val="22"/>
          <w:szCs w:val="22"/>
          <w:lang w:val="en-GB"/>
        </w:rPr>
      </w:pPr>
    </w:p>
    <w:p w14:paraId="25B46E82">
      <w:pPr>
        <w:rPr>
          <w:rFonts w:hint="default" w:ascii="Arial" w:hAnsi="Arial" w:cs="Arial"/>
          <w:sz w:val="22"/>
          <w:szCs w:val="22"/>
          <w:lang w:val="en-GB"/>
        </w:rPr>
      </w:pPr>
      <w:r>
        <w:rPr>
          <w:rFonts w:hint="default" w:ascii="Arial" w:hAnsi="Arial" w:cs="Arial"/>
          <w:sz w:val="22"/>
          <w:szCs w:val="22"/>
          <w:lang w:val="en-GB"/>
        </w:rPr>
        <w:t>The greatest competitive advantage is Dior's well-known brand. Its iconic fragrance portfolio, luxury positioning, and heritage make it an asset that rivals find difficult to match. According to LVMH, Sauvage is still the most popular fragrance in the world, indicating how strong Dior's brand equity is commercially (LVMH, 2025).</w:t>
      </w:r>
    </w:p>
    <w:p w14:paraId="4BC61A89">
      <w:pPr>
        <w:rPr>
          <w:rFonts w:hint="default" w:ascii="Arial" w:hAnsi="Arial" w:cs="Arial"/>
          <w:sz w:val="22"/>
          <w:szCs w:val="22"/>
          <w:lang w:val="en-GB"/>
        </w:rPr>
      </w:pPr>
    </w:p>
    <w:p w14:paraId="289F3604">
      <w:pPr>
        <w:rPr>
          <w:rFonts w:hint="default" w:ascii="Arial" w:hAnsi="Arial" w:cs="Arial"/>
          <w:sz w:val="22"/>
          <w:szCs w:val="22"/>
          <w:lang w:val="en-GB"/>
        </w:rPr>
      </w:pPr>
      <w:r>
        <w:rPr>
          <w:rFonts w:hint="default" w:ascii="Arial" w:hAnsi="Arial" w:cs="Arial"/>
          <w:sz w:val="22"/>
          <w:szCs w:val="22"/>
          <w:lang w:val="en-GB"/>
        </w:rPr>
        <w:t>The second main asset of LVMH is its organizational and financial resources. They support Dior's ability to sustain its competitive position over time by giving the brand significant capacity for innovation, international distribution, and marketing investment (LVMH, 2025).</w:t>
      </w:r>
    </w:p>
    <w:p w14:paraId="3564D8CF">
      <w:pPr>
        <w:rPr>
          <w:rFonts w:hint="default" w:ascii="Arial" w:hAnsi="Arial" w:cs="Arial"/>
          <w:sz w:val="22"/>
          <w:szCs w:val="22"/>
          <w:lang w:val="en-GB"/>
        </w:rPr>
      </w:pPr>
    </w:p>
    <w:p w14:paraId="14E29793">
      <w:pPr>
        <w:rPr>
          <w:rFonts w:hint="default" w:ascii="Arial" w:hAnsi="Arial" w:cs="Arial"/>
          <w:sz w:val="22"/>
          <w:szCs w:val="22"/>
          <w:lang w:val="en-GB"/>
        </w:rPr>
      </w:pPr>
    </w:p>
    <w:p w14:paraId="5E403ED9">
      <w:pPr>
        <w:rPr>
          <w:rFonts w:hint="default" w:ascii="Arial" w:hAnsi="Arial" w:cs="Arial"/>
          <w:b/>
          <w:bCs/>
          <w:sz w:val="22"/>
          <w:szCs w:val="22"/>
          <w:lang w:val="en-GB"/>
        </w:rPr>
      </w:pPr>
      <w:r>
        <w:rPr>
          <w:rFonts w:hint="default" w:ascii="Arial" w:hAnsi="Arial" w:cs="Arial"/>
          <w:b/>
          <w:bCs/>
          <w:sz w:val="22"/>
          <w:szCs w:val="22"/>
          <w:lang w:val="en-GB"/>
        </w:rPr>
        <w:t>Most Relevant Threats</w:t>
      </w:r>
    </w:p>
    <w:p w14:paraId="7F39E2C3">
      <w:pPr>
        <w:rPr>
          <w:rFonts w:hint="default" w:ascii="Arial" w:hAnsi="Arial" w:cs="Arial"/>
          <w:sz w:val="22"/>
          <w:szCs w:val="22"/>
          <w:lang w:val="en-GB"/>
        </w:rPr>
      </w:pPr>
    </w:p>
    <w:p w14:paraId="53EC8088">
      <w:pPr>
        <w:rPr>
          <w:rFonts w:hint="default" w:ascii="Arial" w:hAnsi="Arial" w:cs="Arial"/>
          <w:sz w:val="22"/>
          <w:szCs w:val="22"/>
        </w:rPr>
      </w:pPr>
      <w:r>
        <w:rPr>
          <w:rFonts w:hint="default" w:ascii="Arial" w:hAnsi="Arial" w:cs="Arial"/>
          <w:sz w:val="22"/>
          <w:szCs w:val="22"/>
        </w:rPr>
        <w:t>According to the VRIO analysis, imitation poses the biggest risk. Celebrity marketing collaborations and product innovation, in particular, are replicable by rivals, so they only offer a short-term or restricted competitive advantage. Similar ambassadors, digital campaigns, and the introduction of new fragrances can all be heavily funded by rival luxury brands.</w:t>
      </w:r>
    </w:p>
    <w:p w14:paraId="38D7B815">
      <w:pPr>
        <w:rPr>
          <w:rFonts w:hint="default" w:ascii="Arial" w:hAnsi="Arial" w:cs="Arial"/>
        </w:rPr>
      </w:pPr>
    </w:p>
    <w:p w14:paraId="6571E28C">
      <w:pPr>
        <w:rPr>
          <w:rFonts w:hint="default" w:ascii="Arial" w:hAnsi="Arial" w:cs="Arial"/>
        </w:rPr>
      </w:pPr>
    </w:p>
    <w:p w14:paraId="726C5832">
      <w:pPr>
        <w:rPr>
          <w:rFonts w:hint="default" w:ascii="Arial" w:hAnsi="Arial" w:cs="Arial"/>
          <w:b/>
          <w:bCs/>
          <w:sz w:val="24"/>
          <w:szCs w:val="24"/>
        </w:rPr>
      </w:pPr>
      <w:r>
        <w:rPr>
          <w:rFonts w:hint="default" w:ascii="Arial" w:hAnsi="Arial" w:cs="Arial"/>
          <w:b/>
          <w:bCs/>
          <w:sz w:val="24"/>
          <w:szCs w:val="24"/>
        </w:rPr>
        <w:t>2.3 SWOT Analysis</w:t>
      </w:r>
    </w:p>
    <w:p w14:paraId="137B0579">
      <w:pPr>
        <w:rPr>
          <w:rFonts w:hint="default" w:ascii="Arial" w:hAnsi="Arial" w:cs="Arial"/>
        </w:rPr>
      </w:pPr>
    </w:p>
    <w:p w14:paraId="11F102D5">
      <w:pPr>
        <w:rPr>
          <w:rFonts w:hint="default" w:ascii="Arial" w:hAnsi="Arial" w:cs="Arial"/>
        </w:rPr>
      </w:pPr>
    </w:p>
    <w:p w14:paraId="5100A0D1">
      <w:pPr>
        <w:rPr>
          <w:rFonts w:hint="default" w:ascii="Arial" w:hAnsi="Arial" w:cs="Arial"/>
          <w:b/>
          <w:bCs/>
          <w:sz w:val="22"/>
          <w:szCs w:val="22"/>
          <w:lang w:val="en-GB"/>
        </w:rPr>
      </w:pPr>
      <w:r>
        <w:rPr>
          <w:rFonts w:hint="default" w:ascii="Arial" w:hAnsi="Arial" w:cs="Arial"/>
          <w:b/>
          <w:bCs/>
          <w:sz w:val="24"/>
          <w:szCs w:val="24"/>
        </w:rPr>
        <w:t>Strengths</w:t>
      </w:r>
      <w:r>
        <w:rPr>
          <w:rFonts w:hint="default" w:ascii="Arial" w:hAnsi="Arial" w:cs="Arial"/>
          <w:b/>
          <w:bCs/>
          <w:sz w:val="24"/>
          <w:szCs w:val="24"/>
          <w:lang w:val="en-GB"/>
        </w:rPr>
        <w:t>:</w:t>
      </w:r>
      <w:r>
        <w:rPr>
          <w:rFonts w:hint="default" w:ascii="Arial" w:hAnsi="Arial" w:cs="Arial"/>
          <w:b/>
          <w:bCs/>
          <w:sz w:val="22"/>
          <w:szCs w:val="22"/>
          <w:lang w:val="en-GB"/>
        </w:rPr>
        <w:t xml:space="preserve"> </w:t>
      </w:r>
    </w:p>
    <w:p w14:paraId="7B798142">
      <w:pPr>
        <w:rPr>
          <w:rFonts w:hint="default" w:ascii="Arial" w:hAnsi="Arial" w:cs="Arial"/>
          <w:b/>
          <w:bCs/>
          <w:sz w:val="22"/>
          <w:szCs w:val="22"/>
          <w:lang w:val="en-GB"/>
        </w:rPr>
      </w:pPr>
    </w:p>
    <w:p w14:paraId="22C4D088">
      <w:pPr>
        <w:rPr>
          <w:rFonts w:hint="default" w:ascii="Arial" w:hAnsi="Arial" w:cs="Arial"/>
          <w:b w:val="0"/>
          <w:bCs w:val="0"/>
          <w:sz w:val="22"/>
          <w:szCs w:val="22"/>
          <w:lang w:val="en-GB"/>
        </w:rPr>
      </w:pPr>
      <w:r>
        <w:rPr>
          <w:rFonts w:hint="default" w:ascii="Arial" w:hAnsi="Arial" w:cs="Arial"/>
          <w:b w:val="0"/>
          <w:bCs w:val="0"/>
          <w:sz w:val="22"/>
          <w:szCs w:val="22"/>
          <w:lang w:val="en-GB"/>
        </w:rPr>
        <w:t>The most valuable asset of Dior Beauty is its worldwide luxury brand equity, which is bolstered by decades of French ancestry, premium positioning, and recognizable scents like Sauvage, J'adore, and Miss Dior. Strong consumer recognition and differentiation are produced by these assets, making it challenging for rivals to match (LVMH, 2025). Furthermore, Dior's ownership of LVMH gives it access to significant financial resources, global distribution capabilities, and innovation expertise, enhancing its capacity to compete on a global scale (LVMH, 2025). Dior's reputation for responsible luxury is further reinforced by its dedication to sustainability, which is embodied in its mission "to only leave beauty as a legacy" (Dior, 2026).</w:t>
      </w:r>
    </w:p>
    <w:p w14:paraId="0014EB78">
      <w:pPr>
        <w:rPr>
          <w:rFonts w:hint="default" w:ascii="Arial" w:hAnsi="Arial" w:cs="Arial"/>
          <w:b w:val="0"/>
          <w:bCs w:val="0"/>
          <w:sz w:val="22"/>
          <w:szCs w:val="22"/>
        </w:rPr>
      </w:pPr>
    </w:p>
    <w:p w14:paraId="3D813A97">
      <w:pPr>
        <w:rPr>
          <w:rFonts w:hint="default" w:ascii="Arial" w:hAnsi="Arial" w:cs="Arial"/>
          <w:b/>
          <w:bCs/>
          <w:sz w:val="24"/>
          <w:szCs w:val="24"/>
          <w:lang w:val="en-GB"/>
        </w:rPr>
      </w:pPr>
      <w:r>
        <w:rPr>
          <w:rFonts w:hint="default" w:ascii="Arial" w:hAnsi="Arial" w:cs="Arial"/>
          <w:b/>
          <w:bCs/>
          <w:sz w:val="24"/>
          <w:szCs w:val="24"/>
        </w:rPr>
        <w:t>Weaknesses</w:t>
      </w:r>
      <w:r>
        <w:rPr>
          <w:rFonts w:hint="default" w:ascii="Arial" w:hAnsi="Arial" w:cs="Arial"/>
          <w:b/>
          <w:bCs/>
          <w:sz w:val="24"/>
          <w:szCs w:val="24"/>
          <w:lang w:val="en-GB"/>
        </w:rPr>
        <w:t xml:space="preserve">: </w:t>
      </w:r>
    </w:p>
    <w:p w14:paraId="711ACDFB">
      <w:pPr>
        <w:rPr>
          <w:rFonts w:hint="default" w:ascii="Arial" w:hAnsi="Arial" w:cs="Arial"/>
          <w:b/>
          <w:bCs/>
          <w:sz w:val="24"/>
          <w:szCs w:val="24"/>
          <w:lang w:val="en-GB"/>
        </w:rPr>
      </w:pPr>
    </w:p>
    <w:p w14:paraId="0021BF60">
      <w:pPr>
        <w:rPr>
          <w:rFonts w:hint="default" w:ascii="Arial" w:hAnsi="Arial" w:cs="Arial"/>
          <w:sz w:val="22"/>
          <w:szCs w:val="22"/>
        </w:rPr>
      </w:pPr>
      <w:r>
        <w:rPr>
          <w:rFonts w:hint="default" w:ascii="Arial" w:hAnsi="Arial" w:cs="Arial"/>
          <w:sz w:val="22"/>
          <w:szCs w:val="22"/>
        </w:rPr>
        <w:t>Dior's premium pricing approach may limit accessibility and make the brand more vulnerable to economic downturns, especially when consumers cut back on discretionary spending (Bain and Company, 2025). Furthermore, given Dior's heavy reliance on exclusivity and brand image, harm to the company's reputation could have a big effect on customer confidence. Additionally, compared to mass-market or digitally native beauty competitors, its selective distribution strategy offers less accessibility.</w:t>
      </w:r>
    </w:p>
    <w:p w14:paraId="223A2BD4">
      <w:pPr>
        <w:rPr>
          <w:rFonts w:hint="default" w:ascii="Arial" w:hAnsi="Arial" w:cs="Arial"/>
          <w:sz w:val="22"/>
          <w:szCs w:val="22"/>
        </w:rPr>
      </w:pPr>
    </w:p>
    <w:p w14:paraId="548AB9D7">
      <w:pPr>
        <w:rPr>
          <w:rFonts w:hint="default" w:ascii="Arial" w:hAnsi="Arial" w:cs="Arial"/>
          <w:b/>
          <w:bCs/>
          <w:sz w:val="24"/>
          <w:szCs w:val="24"/>
          <w:lang w:val="en-GB"/>
        </w:rPr>
      </w:pPr>
      <w:r>
        <w:rPr>
          <w:rFonts w:hint="default" w:ascii="Arial" w:hAnsi="Arial" w:cs="Arial"/>
          <w:b/>
          <w:bCs/>
          <w:sz w:val="24"/>
          <w:szCs w:val="24"/>
        </w:rPr>
        <w:t>Opportunities</w:t>
      </w:r>
      <w:r>
        <w:rPr>
          <w:rFonts w:hint="default" w:ascii="Arial" w:hAnsi="Arial" w:cs="Arial"/>
          <w:b/>
          <w:bCs/>
          <w:sz w:val="24"/>
          <w:szCs w:val="24"/>
          <w:lang w:val="en-GB"/>
        </w:rPr>
        <w:t xml:space="preserve">: </w:t>
      </w:r>
    </w:p>
    <w:p w14:paraId="3FF013BE">
      <w:pPr>
        <w:rPr>
          <w:rFonts w:hint="default" w:ascii="Arial" w:hAnsi="Arial" w:cs="Arial"/>
          <w:b/>
          <w:bCs/>
          <w:sz w:val="22"/>
          <w:szCs w:val="22"/>
          <w:lang w:val="en-GB"/>
        </w:rPr>
      </w:pPr>
    </w:p>
    <w:p w14:paraId="6C989185">
      <w:pPr>
        <w:rPr>
          <w:rFonts w:hint="default" w:ascii="Arial" w:hAnsi="Arial" w:cs="Arial"/>
          <w:b w:val="0"/>
          <w:bCs w:val="0"/>
          <w:sz w:val="22"/>
          <w:szCs w:val="22"/>
          <w:lang w:val="en-GB"/>
        </w:rPr>
      </w:pPr>
      <w:r>
        <w:rPr>
          <w:rFonts w:hint="default" w:ascii="Arial" w:hAnsi="Arial" w:cs="Arial"/>
          <w:b w:val="0"/>
          <w:bCs w:val="0"/>
          <w:sz w:val="22"/>
          <w:szCs w:val="22"/>
          <w:lang w:val="en-GB"/>
        </w:rPr>
        <w:t>Dior Beauty has a lot of opportunities thanks to digital transformation. E-commerce, social media, data analytics, and AI-powered personalization can increase customer engagement and draw in younger customers, especially Millennials and Generation Z (McKinsey and Company, 2023). Dior has the chance to increase refillable fragrances, ethical sourcing, and sustainable packaging while enhancing its uniqueness due to the growing consumer demand for sustainable luxury (Dior, 2026; European Commission, 2024).</w:t>
      </w:r>
    </w:p>
    <w:p w14:paraId="6644DAF6">
      <w:pPr>
        <w:rPr>
          <w:rFonts w:hint="default" w:ascii="Arial" w:hAnsi="Arial" w:cs="Arial"/>
          <w:b/>
          <w:bCs/>
          <w:sz w:val="22"/>
          <w:szCs w:val="22"/>
          <w:lang w:val="en-GB"/>
        </w:rPr>
      </w:pPr>
    </w:p>
    <w:p w14:paraId="45C5BCB6">
      <w:pPr>
        <w:rPr>
          <w:rFonts w:hint="default" w:ascii="Arial" w:hAnsi="Arial" w:cs="Arial"/>
          <w:b/>
          <w:bCs/>
          <w:sz w:val="22"/>
          <w:szCs w:val="22"/>
          <w:lang w:val="en-GB"/>
        </w:rPr>
      </w:pPr>
    </w:p>
    <w:p w14:paraId="0351450D">
      <w:pPr>
        <w:rPr>
          <w:rFonts w:hint="default" w:ascii="Arial" w:hAnsi="Arial" w:cs="Arial"/>
          <w:b/>
          <w:bCs/>
          <w:sz w:val="22"/>
          <w:szCs w:val="22"/>
          <w:lang w:val="en-GB"/>
        </w:rPr>
      </w:pPr>
      <w:r>
        <w:rPr>
          <w:rFonts w:hint="default" w:ascii="Arial" w:hAnsi="Arial" w:cs="Arial"/>
          <w:b/>
          <w:bCs/>
          <w:sz w:val="22"/>
          <w:szCs w:val="22"/>
        </w:rPr>
        <w:t>Threats</w:t>
      </w:r>
      <w:r>
        <w:rPr>
          <w:rFonts w:hint="default" w:ascii="Arial" w:hAnsi="Arial" w:cs="Arial"/>
          <w:b/>
          <w:bCs/>
          <w:sz w:val="22"/>
          <w:szCs w:val="22"/>
          <w:lang w:val="en-GB"/>
        </w:rPr>
        <w:t xml:space="preserve">: </w:t>
      </w:r>
    </w:p>
    <w:p w14:paraId="001F95AD">
      <w:pPr>
        <w:rPr>
          <w:rFonts w:hint="default" w:ascii="Arial" w:hAnsi="Arial" w:cs="Arial"/>
          <w:b/>
          <w:bCs/>
          <w:sz w:val="22"/>
          <w:szCs w:val="22"/>
          <w:lang w:val="en-GB"/>
        </w:rPr>
      </w:pPr>
    </w:p>
    <w:p w14:paraId="372E4B4D">
      <w:pPr>
        <w:rPr>
          <w:rFonts w:hint="default" w:ascii="Arial" w:hAnsi="Arial" w:cs="Arial"/>
          <w:sz w:val="22"/>
          <w:szCs w:val="22"/>
          <w:lang w:val="en-GB"/>
        </w:rPr>
      </w:pPr>
      <w:r>
        <w:rPr>
          <w:rFonts w:hint="default" w:ascii="Arial" w:hAnsi="Arial" w:cs="Arial"/>
          <w:sz w:val="22"/>
          <w:szCs w:val="22"/>
        </w:rPr>
        <w:t>Luxury companies like Chanel, YSL, Gucci, and Tom Ford, which consistently invest in product innovation, celebrity marketing, and digital engagement, compete fiercely with Dior. Luxury spending may also decline due to inflation, shifting consumer confidence, and economic uncertainty (Bain and Company, 2025). Additionally, there are risks to compliance, reputation, and brand protection due to stricter UK cosmetic regulations, sustainability requirements, and counterfeit goods (Office for Product Safety and Standards, 2025).</w:t>
      </w:r>
      <w:r>
        <w:rPr>
          <w:rFonts w:hint="default" w:ascii="Arial" w:hAnsi="Arial" w:cs="Arial"/>
          <w:sz w:val="22"/>
          <w:szCs w:val="22"/>
          <w:lang w:val="en-GB"/>
        </w:rPr>
        <w:t xml:space="preserve"> </w:t>
      </w:r>
    </w:p>
    <w:p w14:paraId="03C2FA01">
      <w:pPr>
        <w:rPr>
          <w:rFonts w:hint="default" w:ascii="Arial" w:hAnsi="Arial" w:cs="Arial"/>
          <w:sz w:val="22"/>
          <w:szCs w:val="22"/>
          <w:lang w:val="en-GB"/>
        </w:rPr>
      </w:pPr>
    </w:p>
    <w:p w14:paraId="7CC8FD4A">
      <w:pPr>
        <w:rPr>
          <w:rFonts w:hint="default" w:ascii="Arial" w:hAnsi="Arial" w:cs="Arial"/>
          <w:sz w:val="22"/>
          <w:szCs w:val="22"/>
          <w:lang w:val="en-GB"/>
        </w:rPr>
      </w:pPr>
    </w:p>
    <w:p w14:paraId="622FBD30">
      <w:pPr>
        <w:rPr>
          <w:rFonts w:hint="default" w:ascii="Arial" w:hAnsi="Arial" w:cs="Arial"/>
          <w:sz w:val="22"/>
          <w:szCs w:val="22"/>
          <w:lang w:val="en-GB"/>
        </w:rPr>
      </w:pPr>
      <w:r>
        <w:rPr>
          <w:rFonts w:hint="default" w:ascii="Arial" w:hAnsi="Arial" w:cs="Arial"/>
          <w:sz w:val="22"/>
          <w:szCs w:val="22"/>
          <w:lang w:val="en-GB"/>
        </w:rPr>
        <w:t xml:space="preserve">As extra comparison on the basis of last financial year performance if we want to find the best opportunity and threats than it would look like this - </w:t>
      </w:r>
    </w:p>
    <w:p w14:paraId="2CB6B218">
      <w:pPr>
        <w:rPr>
          <w:rFonts w:hint="default" w:ascii="Arial" w:hAnsi="Arial" w:cs="Arial"/>
          <w:sz w:val="22"/>
          <w:szCs w:val="22"/>
          <w:lang w:val="en-GB"/>
        </w:rPr>
      </w:pPr>
    </w:p>
    <w:p w14:paraId="7CCCB85F">
      <w:pPr>
        <w:rPr>
          <w:rFonts w:hint="default" w:ascii="Arial" w:hAnsi="Arial" w:cs="Arial"/>
          <w:sz w:val="22"/>
          <w:szCs w:val="22"/>
          <w:lang w:val="en-GB"/>
        </w:rPr>
      </w:pPr>
    </w:p>
    <w:p w14:paraId="3CDE4BDB">
      <w:pPr>
        <w:rPr>
          <w:rFonts w:hint="default" w:ascii="Arial" w:hAnsi="Arial" w:cs="Arial"/>
          <w:sz w:val="22"/>
          <w:szCs w:val="22"/>
          <w:lang w:val="en-GB"/>
        </w:rPr>
      </w:pPr>
    </w:p>
    <w:p w14:paraId="60BC51E7">
      <w:pPr>
        <w:rPr>
          <w:rFonts w:hint="default" w:ascii="Arial" w:hAnsi="Arial" w:cs="Arial"/>
          <w:sz w:val="22"/>
          <w:szCs w:val="22"/>
        </w:rPr>
      </w:pPr>
    </w:p>
    <w:tbl>
      <w:tblPr>
        <w:tblStyle w:val="13"/>
        <w:tblW w:w="0" w:type="auto"/>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Layout w:type="autofit"/>
        <w:tblCellMar>
          <w:left w:w="108" w:type="dxa"/>
          <w:right w:w="108" w:type="dxa"/>
        </w:tblCellMar>
      </w:tblPr>
      <w:tblGrid>
        <w:gridCol w:w="2840"/>
        <w:gridCol w:w="2841"/>
        <w:gridCol w:w="2841"/>
      </w:tblGrid>
      <w:tr w14:paraId="7392E834">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840" w:type="dxa"/>
            <w:tcBorders>
              <w:tl2br w:val="nil"/>
              <w:tr2bl w:val="nil"/>
            </w:tcBorders>
          </w:tcPr>
          <w:p w14:paraId="68F42B1A">
            <w:pPr>
              <w:rPr>
                <w:rFonts w:hint="default" w:ascii="Arial" w:hAnsi="Arial" w:cs="Arial"/>
                <w:b/>
                <w:bCs/>
                <w:sz w:val="24"/>
                <w:szCs w:val="24"/>
                <w:vertAlign w:val="baseline"/>
              </w:rPr>
            </w:pPr>
            <w:r>
              <w:rPr>
                <w:rFonts w:hint="default" w:ascii="Arial" w:hAnsi="Arial" w:cs="Arial"/>
                <w:b/>
                <w:bCs/>
                <w:sz w:val="24"/>
                <w:szCs w:val="24"/>
                <w:vertAlign w:val="baseline"/>
              </w:rPr>
              <w:t>Company / Brand</w:t>
            </w:r>
          </w:p>
        </w:tc>
        <w:tc>
          <w:tcPr>
            <w:tcW w:w="2841" w:type="dxa"/>
            <w:tcBorders>
              <w:tl2br w:val="nil"/>
              <w:tr2bl w:val="nil"/>
            </w:tcBorders>
          </w:tcPr>
          <w:p w14:paraId="2A203527">
            <w:pPr>
              <w:rPr>
                <w:rFonts w:hint="default" w:ascii="Arial" w:hAnsi="Arial" w:cs="Arial"/>
                <w:b/>
                <w:bCs/>
                <w:sz w:val="24"/>
                <w:szCs w:val="24"/>
                <w:vertAlign w:val="baseline"/>
              </w:rPr>
            </w:pPr>
            <w:r>
              <w:rPr>
                <w:rFonts w:hint="default" w:ascii="Arial" w:hAnsi="Arial" w:cs="Arial"/>
                <w:b/>
                <w:bCs/>
                <w:sz w:val="24"/>
                <w:szCs w:val="24"/>
                <w:vertAlign w:val="baseline"/>
              </w:rPr>
              <w:t>Latest financial information</w:t>
            </w:r>
          </w:p>
        </w:tc>
        <w:tc>
          <w:tcPr>
            <w:tcW w:w="2841" w:type="dxa"/>
            <w:tcBorders>
              <w:tl2br w:val="nil"/>
              <w:tr2bl w:val="nil"/>
            </w:tcBorders>
          </w:tcPr>
          <w:p w14:paraId="6E6A2805">
            <w:pPr>
              <w:rPr>
                <w:rFonts w:hint="default" w:ascii="Arial" w:hAnsi="Arial" w:cs="Arial"/>
                <w:b/>
                <w:bCs/>
                <w:sz w:val="24"/>
                <w:szCs w:val="24"/>
                <w:vertAlign w:val="baseline"/>
              </w:rPr>
            </w:pPr>
            <w:r>
              <w:rPr>
                <w:rFonts w:hint="default" w:ascii="Arial" w:hAnsi="Arial" w:cs="Arial"/>
                <w:b/>
                <w:bCs/>
                <w:sz w:val="24"/>
                <w:szCs w:val="24"/>
                <w:vertAlign w:val="baseline"/>
              </w:rPr>
              <w:t>Profitability indicator</w:t>
            </w:r>
          </w:p>
        </w:tc>
      </w:tr>
      <w:tr w14:paraId="517F8F5C">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840" w:type="dxa"/>
            <w:tcBorders>
              <w:tl2br w:val="nil"/>
              <w:tr2bl w:val="nil"/>
            </w:tcBorders>
          </w:tcPr>
          <w:p w14:paraId="4611A6D2">
            <w:pPr>
              <w:rPr>
                <w:rFonts w:hint="default" w:ascii="Arial" w:hAnsi="Arial" w:cs="Arial"/>
                <w:sz w:val="22"/>
                <w:szCs w:val="22"/>
                <w:vertAlign w:val="baseline"/>
              </w:rPr>
            </w:pPr>
            <w:r>
              <w:rPr>
                <w:rFonts w:hint="default" w:ascii="Arial" w:hAnsi="Arial" w:cs="Arial"/>
                <w:sz w:val="22"/>
                <w:szCs w:val="22"/>
                <w:vertAlign w:val="baseline"/>
              </w:rPr>
              <w:t>Dior Beauty</w:t>
            </w:r>
          </w:p>
        </w:tc>
        <w:tc>
          <w:tcPr>
            <w:tcW w:w="2841" w:type="dxa"/>
            <w:tcBorders>
              <w:tl2br w:val="nil"/>
              <w:tr2bl w:val="nil"/>
            </w:tcBorders>
          </w:tcPr>
          <w:p w14:paraId="7CBDF023">
            <w:pPr>
              <w:rPr>
                <w:rFonts w:hint="default" w:ascii="Arial" w:hAnsi="Arial" w:cs="Arial"/>
                <w:sz w:val="22"/>
                <w:szCs w:val="22"/>
                <w:vertAlign w:val="baseline"/>
              </w:rPr>
            </w:pPr>
            <w:r>
              <w:rPr>
                <w:rFonts w:hint="default" w:ascii="Arial" w:hAnsi="Arial" w:cs="Arial"/>
                <w:sz w:val="22"/>
                <w:szCs w:val="22"/>
                <w:vertAlign w:val="baseline"/>
              </w:rPr>
              <w:t>LVMH Perfumes &amp; Cosmetics: £6.99bn revenue (2025)</w:t>
            </w:r>
          </w:p>
        </w:tc>
        <w:tc>
          <w:tcPr>
            <w:tcW w:w="2841" w:type="dxa"/>
            <w:tcBorders>
              <w:tl2br w:val="nil"/>
              <w:tr2bl w:val="nil"/>
            </w:tcBorders>
          </w:tcPr>
          <w:p w14:paraId="0E50E697">
            <w:pPr>
              <w:rPr>
                <w:rFonts w:hint="default" w:ascii="Arial" w:hAnsi="Arial" w:cs="Arial"/>
                <w:sz w:val="22"/>
                <w:szCs w:val="22"/>
                <w:vertAlign w:val="baseline"/>
              </w:rPr>
            </w:pPr>
            <w:r>
              <w:rPr>
                <w:rFonts w:hint="default" w:ascii="Arial" w:hAnsi="Arial" w:cs="Arial"/>
                <w:sz w:val="22"/>
                <w:szCs w:val="22"/>
                <w:vertAlign w:val="baseline"/>
              </w:rPr>
              <w:t>£621m recurring operating profit; 8.9% margin</w:t>
            </w:r>
          </w:p>
        </w:tc>
      </w:tr>
      <w:tr w14:paraId="0A4599EA">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840" w:type="dxa"/>
            <w:tcBorders>
              <w:tl2br w:val="nil"/>
              <w:tr2bl w:val="nil"/>
            </w:tcBorders>
          </w:tcPr>
          <w:p w14:paraId="64DE4E55">
            <w:pPr>
              <w:rPr>
                <w:rFonts w:hint="default" w:ascii="Arial" w:hAnsi="Arial" w:cs="Arial"/>
                <w:sz w:val="22"/>
                <w:szCs w:val="22"/>
                <w:vertAlign w:val="baseline"/>
              </w:rPr>
            </w:pPr>
            <w:r>
              <w:rPr>
                <w:rFonts w:hint="default" w:ascii="Arial" w:hAnsi="Arial" w:cs="Arial"/>
                <w:sz w:val="22"/>
                <w:szCs w:val="22"/>
                <w:vertAlign w:val="baseline"/>
              </w:rPr>
              <w:t>Chanel</w:t>
            </w:r>
          </w:p>
        </w:tc>
        <w:tc>
          <w:tcPr>
            <w:tcW w:w="2841" w:type="dxa"/>
            <w:tcBorders>
              <w:tl2br w:val="nil"/>
              <w:tr2bl w:val="nil"/>
            </w:tcBorders>
          </w:tcPr>
          <w:p w14:paraId="1DE2F2B7">
            <w:pPr>
              <w:rPr>
                <w:rFonts w:hint="default" w:ascii="Arial" w:hAnsi="Arial" w:cs="Arial"/>
                <w:sz w:val="22"/>
                <w:szCs w:val="22"/>
                <w:vertAlign w:val="baseline"/>
              </w:rPr>
            </w:pPr>
            <w:r>
              <w:rPr>
                <w:rFonts w:hint="default" w:ascii="Arial" w:hAnsi="Arial" w:cs="Arial"/>
                <w:sz w:val="22"/>
                <w:szCs w:val="22"/>
                <w:vertAlign w:val="baseline"/>
              </w:rPr>
              <w:t>£14.29bn revenue (2025)</w:t>
            </w:r>
          </w:p>
        </w:tc>
        <w:tc>
          <w:tcPr>
            <w:tcW w:w="2841" w:type="dxa"/>
            <w:tcBorders>
              <w:tl2br w:val="nil"/>
              <w:tr2bl w:val="nil"/>
            </w:tcBorders>
          </w:tcPr>
          <w:p w14:paraId="7AD1CF8C">
            <w:pPr>
              <w:rPr>
                <w:rFonts w:hint="default" w:ascii="Arial" w:hAnsi="Arial" w:cs="Arial"/>
                <w:sz w:val="22"/>
                <w:szCs w:val="22"/>
                <w:vertAlign w:val="baseline"/>
              </w:rPr>
            </w:pPr>
            <w:r>
              <w:rPr>
                <w:rFonts w:hint="default" w:ascii="Arial" w:hAnsi="Arial" w:cs="Arial"/>
                <w:sz w:val="22"/>
                <w:szCs w:val="22"/>
                <w:vertAlign w:val="baseline"/>
              </w:rPr>
              <w:t>£3.49bn operating profit; ~24.4% margin</w:t>
            </w:r>
          </w:p>
        </w:tc>
      </w:tr>
      <w:tr w14:paraId="54BBC7C5">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left w:w="108" w:type="dxa"/>
            <w:right w:w="108" w:type="dxa"/>
          </w:tblCellMar>
        </w:tblPrEx>
        <w:tc>
          <w:tcPr>
            <w:tcW w:w="2840" w:type="dxa"/>
            <w:tcBorders>
              <w:tl2br w:val="nil"/>
              <w:tr2bl w:val="nil"/>
            </w:tcBorders>
          </w:tcPr>
          <w:p w14:paraId="426643F6">
            <w:pPr>
              <w:rPr>
                <w:rFonts w:hint="default" w:ascii="Arial" w:hAnsi="Arial" w:cs="Arial"/>
                <w:sz w:val="22"/>
                <w:szCs w:val="22"/>
                <w:vertAlign w:val="baseline"/>
              </w:rPr>
            </w:pPr>
            <w:r>
              <w:rPr>
                <w:rFonts w:hint="default" w:ascii="Arial" w:hAnsi="Arial" w:cs="Arial"/>
                <w:sz w:val="22"/>
                <w:szCs w:val="22"/>
                <w:vertAlign w:val="baseline"/>
              </w:rPr>
              <w:t>Gucci Beauty</w:t>
            </w:r>
          </w:p>
        </w:tc>
        <w:tc>
          <w:tcPr>
            <w:tcW w:w="2841" w:type="dxa"/>
            <w:tcBorders>
              <w:tl2br w:val="nil"/>
              <w:tr2bl w:val="nil"/>
            </w:tcBorders>
          </w:tcPr>
          <w:p w14:paraId="67FB4A21">
            <w:pPr>
              <w:rPr>
                <w:rFonts w:hint="default" w:ascii="Arial" w:hAnsi="Arial" w:cs="Arial"/>
                <w:sz w:val="22"/>
                <w:szCs w:val="22"/>
                <w:vertAlign w:val="baseline"/>
              </w:rPr>
            </w:pPr>
            <w:r>
              <w:rPr>
                <w:rFonts w:hint="default" w:ascii="Arial" w:hAnsi="Arial" w:cs="Arial"/>
                <w:sz w:val="22"/>
                <w:szCs w:val="22"/>
                <w:vertAlign w:val="baseline"/>
              </w:rPr>
              <w:t>Gucci: £6.04bn revenue (2025)</w:t>
            </w:r>
          </w:p>
        </w:tc>
        <w:tc>
          <w:tcPr>
            <w:tcW w:w="2841" w:type="dxa"/>
            <w:tcBorders>
              <w:tl2br w:val="nil"/>
              <w:tr2bl w:val="nil"/>
            </w:tcBorders>
          </w:tcPr>
          <w:p w14:paraId="72A08113">
            <w:pPr>
              <w:rPr>
                <w:rFonts w:hint="default" w:ascii="Arial" w:hAnsi="Arial" w:cs="Arial"/>
                <w:sz w:val="22"/>
                <w:szCs w:val="22"/>
                <w:vertAlign w:val="baseline"/>
              </w:rPr>
            </w:pPr>
            <w:r>
              <w:rPr>
                <w:rFonts w:hint="default" w:ascii="Arial" w:hAnsi="Arial" w:cs="Arial"/>
                <w:sz w:val="22"/>
                <w:szCs w:val="22"/>
                <w:vertAlign w:val="baseline"/>
              </w:rPr>
              <w:t>Gucci Beauty profit not separately disclosed</w:t>
            </w:r>
          </w:p>
        </w:tc>
      </w:tr>
    </w:tbl>
    <w:p w14:paraId="6CE622F0">
      <w:pPr>
        <w:rPr>
          <w:rFonts w:hint="default" w:ascii="Arial" w:hAnsi="Arial" w:cs="Arial"/>
          <w:sz w:val="22"/>
          <w:szCs w:val="22"/>
        </w:rPr>
      </w:pPr>
    </w:p>
    <w:p w14:paraId="210A87CD">
      <w:pPr>
        <w:rPr>
          <w:rFonts w:hint="default" w:ascii="Arial" w:hAnsi="Arial" w:cs="Arial"/>
          <w:b/>
          <w:bCs/>
          <w:sz w:val="22"/>
          <w:szCs w:val="22"/>
          <w:lang w:val="en-GB"/>
        </w:rPr>
      </w:pPr>
    </w:p>
    <w:p w14:paraId="0AA2D106">
      <w:pPr>
        <w:rPr>
          <w:rFonts w:hint="default" w:ascii="Arial" w:hAnsi="Arial" w:cs="Arial"/>
          <w:b w:val="0"/>
          <w:bCs w:val="0"/>
          <w:sz w:val="22"/>
          <w:szCs w:val="22"/>
          <w:lang w:val="en-GB"/>
        </w:rPr>
      </w:pPr>
      <w:r>
        <w:rPr>
          <w:rFonts w:hint="default" w:ascii="Arial" w:hAnsi="Arial" w:cs="Arial"/>
          <w:b w:val="0"/>
          <w:bCs w:val="0"/>
          <w:sz w:val="22"/>
          <w:szCs w:val="22"/>
          <w:lang w:val="en-GB"/>
        </w:rPr>
        <w:t>The performance of its renowned scent collection and the financial stability of its parent business, LVMH, underpin Dior Beauty's strong competitive position in the luxury fragrance industry. The Perfumes &amp; Cosmetics division of LVMH made about £6.99 billion in revenue and £621 million in recurring operating profit in 2025; this amounts to an operating margin of about 8.9% (LVMH, 2026). The division's profitability is a crucial indication of the financial stability underpinning Dior Beauty, even if LVMH does not reveal Dior fragrance-only profit. Particularly in terms of fragrances, Sauvage continued to be the best-selling scent globally, and Miss Dior and J'adore also maintained their outstanding performance (LVMH, 2026). This shows that Dior has effectively translated its history and brand value into long-term financial success.</w:t>
      </w:r>
    </w:p>
    <w:p w14:paraId="59BE5613">
      <w:pPr>
        <w:rPr>
          <w:rFonts w:hint="default" w:ascii="Arial" w:hAnsi="Arial" w:cs="Arial"/>
          <w:b w:val="0"/>
          <w:bCs w:val="0"/>
          <w:sz w:val="22"/>
          <w:szCs w:val="22"/>
          <w:lang w:val="en-GB"/>
        </w:rPr>
      </w:pPr>
    </w:p>
    <w:p w14:paraId="1A800EEA">
      <w:pPr>
        <w:rPr>
          <w:rFonts w:hint="default" w:ascii="Arial" w:hAnsi="Arial" w:cs="Arial"/>
          <w:b/>
          <w:bCs/>
          <w:sz w:val="22"/>
          <w:szCs w:val="22"/>
          <w:lang w:val="en-GB"/>
        </w:rPr>
      </w:pPr>
      <w:r>
        <w:rPr>
          <w:rFonts w:hint="default" w:ascii="Arial" w:hAnsi="Arial" w:cs="Arial"/>
          <w:b w:val="0"/>
          <w:bCs w:val="0"/>
          <w:sz w:val="22"/>
          <w:szCs w:val="22"/>
          <w:lang w:val="en-GB"/>
        </w:rPr>
        <w:t>Chanel, on the other hand, showed significantly higher total profitability in 2025, reporting about £14.29 billion in revenue and £3.49 billion in operating profit (Chanel, 2026). Dior's well-known brands face fierce competition from Chanel's renowned fragrance line, especially Chanel No. 5 and Bleu de Chanel. Chanel's financial strength poses a serious challenge to the competition since higher profitability can fund large investments in customer relationship management, marketing, innovation, and retail experiences. Nonetheless, Dior's ongoing success with Sauvage shows that it has equally potent individual scent assets that can create demand from customers all over the world.</w:t>
      </w:r>
    </w:p>
    <w:p w14:paraId="667878B9">
      <w:pPr>
        <w:rPr>
          <w:rFonts w:hint="default" w:ascii="Arial" w:hAnsi="Arial" w:cs="Arial"/>
          <w:b/>
          <w:bCs/>
          <w:sz w:val="22"/>
          <w:szCs w:val="22"/>
          <w:lang w:val="en-GB"/>
        </w:rPr>
      </w:pPr>
    </w:p>
    <w:p w14:paraId="0D6B81D0">
      <w:pPr>
        <w:rPr>
          <w:rFonts w:hint="default" w:ascii="Arial" w:hAnsi="Arial" w:cs="Arial"/>
          <w:b w:val="0"/>
          <w:bCs w:val="0"/>
          <w:sz w:val="22"/>
          <w:szCs w:val="22"/>
          <w:lang w:val="en-GB"/>
        </w:rPr>
      </w:pPr>
      <w:r>
        <w:rPr>
          <w:rFonts w:hint="default" w:ascii="Arial" w:hAnsi="Arial" w:cs="Arial"/>
          <w:b w:val="0"/>
          <w:bCs w:val="0"/>
          <w:sz w:val="22"/>
          <w:szCs w:val="22"/>
          <w:lang w:val="en-GB"/>
        </w:rPr>
        <w:t xml:space="preserve">A distinct competitive scenario is presented by Gucci Beauty. Gucci made about £6.04 billion in revenue in 2025; however, the earnings for Gucci Beauty and fragrances is not reported separately (Kering, 2026). </w:t>
      </w:r>
    </w:p>
    <w:p w14:paraId="460598E6">
      <w:pPr>
        <w:rPr>
          <w:rFonts w:hint="default" w:ascii="Arial" w:hAnsi="Arial" w:cs="Arial"/>
          <w:b w:val="0"/>
          <w:bCs w:val="0"/>
          <w:sz w:val="22"/>
          <w:szCs w:val="22"/>
          <w:lang w:val="en-GB"/>
        </w:rPr>
      </w:pPr>
    </w:p>
    <w:p w14:paraId="205AE814">
      <w:pPr>
        <w:rPr>
          <w:rFonts w:hint="default" w:ascii="Arial" w:hAnsi="Arial" w:cs="Arial"/>
          <w:b/>
          <w:bCs/>
          <w:sz w:val="22"/>
          <w:szCs w:val="22"/>
          <w:lang w:val="en-GB"/>
        </w:rPr>
      </w:pPr>
      <w:r>
        <w:rPr>
          <w:rFonts w:hint="default" w:ascii="Arial" w:hAnsi="Arial" w:cs="Arial"/>
          <w:b w:val="0"/>
          <w:bCs w:val="0"/>
          <w:sz w:val="22"/>
          <w:szCs w:val="22"/>
          <w:lang w:val="en-GB"/>
        </w:rPr>
        <w:t>From a potential standpoint, Dior can create premium extensions, limited editions, customized scent experiences, and digital interaction by utilizing Sauvage's market leadership along with J'adore and Miss Dior's widespread awareness. Dior is able to engage in innovation and uphold its luxury positioning thanks to LVMH's financial resources and global infrastructure (LVMH, 2026). From a threat standpoint, Gucci's upcoming collaboration with L'Oréal and Chanel's higher overall profitability show that Dior faces formidable, well-funded rivals. To maintain its competitive edge, Dior must thus consistently invest in product innovation, digitalization, sustainability, and experiential client interaction.</w:t>
      </w:r>
    </w:p>
    <w:p w14:paraId="59DED403">
      <w:pPr>
        <w:rPr>
          <w:rFonts w:hint="default" w:ascii="Arial" w:hAnsi="Arial" w:cs="Arial"/>
          <w:b/>
          <w:bCs/>
          <w:sz w:val="22"/>
          <w:szCs w:val="22"/>
          <w:lang w:val="en-GB"/>
        </w:rPr>
      </w:pPr>
    </w:p>
    <w:p w14:paraId="7291E8B3">
      <w:pPr>
        <w:rPr>
          <w:rFonts w:hint="default" w:ascii="Arial" w:hAnsi="Arial" w:cs="Arial"/>
          <w:b/>
          <w:bCs/>
          <w:sz w:val="22"/>
          <w:szCs w:val="22"/>
        </w:rPr>
      </w:pPr>
      <w:r>
        <w:rPr>
          <w:rFonts w:hint="default" w:ascii="Arial" w:hAnsi="Arial" w:cs="Arial"/>
          <w:b/>
          <w:bCs/>
          <w:sz w:val="22"/>
          <w:szCs w:val="22"/>
          <w:lang w:val="en-GB"/>
        </w:rPr>
        <w:t xml:space="preserve">On performance basis most relevant </w:t>
      </w:r>
      <w:r>
        <w:rPr>
          <w:rFonts w:hint="default" w:ascii="Arial" w:hAnsi="Arial" w:cs="Arial"/>
          <w:b/>
          <w:bCs/>
          <w:sz w:val="22"/>
          <w:szCs w:val="22"/>
        </w:rPr>
        <w:t>Opportunity</w:t>
      </w:r>
    </w:p>
    <w:p w14:paraId="2D56B734">
      <w:pPr>
        <w:rPr>
          <w:rFonts w:hint="default" w:ascii="Arial" w:hAnsi="Arial" w:cs="Arial"/>
          <w:sz w:val="22"/>
          <w:szCs w:val="22"/>
        </w:rPr>
      </w:pPr>
    </w:p>
    <w:p w14:paraId="1A6CED02">
      <w:pPr>
        <w:rPr>
          <w:rFonts w:hint="default" w:ascii="Arial" w:hAnsi="Arial" w:cs="Arial"/>
          <w:sz w:val="22"/>
          <w:szCs w:val="22"/>
        </w:rPr>
      </w:pPr>
      <w:r>
        <w:rPr>
          <w:rFonts w:hint="default" w:ascii="Arial" w:hAnsi="Arial" w:cs="Arial"/>
          <w:sz w:val="22"/>
          <w:szCs w:val="22"/>
        </w:rPr>
        <w:t>Dior's outstanding fragrance performance is its biggest advantage. Dior has a strong platform for high-end extensions, limited editions, and customized digital experiences because Sauvage continues to be the best-selling fragrance in the world. Dior can continue to invest in innovation, sustainability, and digital engagement with the help of LVMH's resources (LVMH, 2026).</w:t>
      </w:r>
    </w:p>
    <w:p w14:paraId="333ABBB6">
      <w:pPr>
        <w:rPr>
          <w:rFonts w:hint="default" w:ascii="Arial" w:hAnsi="Arial" w:cs="Arial"/>
          <w:sz w:val="22"/>
          <w:szCs w:val="22"/>
        </w:rPr>
      </w:pPr>
    </w:p>
    <w:p w14:paraId="195227A0">
      <w:pPr>
        <w:rPr>
          <w:rFonts w:hint="default" w:ascii="Arial" w:hAnsi="Arial" w:cs="Arial"/>
          <w:b/>
          <w:bCs/>
          <w:sz w:val="22"/>
          <w:szCs w:val="22"/>
        </w:rPr>
      </w:pPr>
      <w:r>
        <w:rPr>
          <w:rFonts w:hint="default" w:ascii="Arial" w:hAnsi="Arial" w:cs="Arial"/>
          <w:b/>
          <w:bCs/>
          <w:sz w:val="22"/>
          <w:szCs w:val="22"/>
          <w:lang w:val="en-GB"/>
        </w:rPr>
        <w:t xml:space="preserve">On perfomance basis most relevant </w:t>
      </w:r>
      <w:r>
        <w:rPr>
          <w:rFonts w:hint="default" w:ascii="Arial" w:hAnsi="Arial" w:cs="Arial"/>
          <w:b/>
          <w:bCs/>
          <w:sz w:val="22"/>
          <w:szCs w:val="22"/>
        </w:rPr>
        <w:t>Threat</w:t>
      </w:r>
    </w:p>
    <w:p w14:paraId="341A3795">
      <w:pPr>
        <w:rPr>
          <w:rFonts w:hint="default" w:ascii="Arial" w:hAnsi="Arial" w:cs="Arial"/>
          <w:sz w:val="22"/>
          <w:szCs w:val="22"/>
        </w:rPr>
      </w:pPr>
    </w:p>
    <w:p w14:paraId="60F3A9C0">
      <w:pPr>
        <w:rPr>
          <w:rFonts w:hint="default" w:ascii="Arial" w:hAnsi="Arial" w:cs="Arial"/>
          <w:sz w:val="22"/>
          <w:szCs w:val="22"/>
          <w:lang w:val="en-GB"/>
        </w:rPr>
      </w:pPr>
      <w:r>
        <w:rPr>
          <w:rFonts w:hint="default" w:ascii="Arial" w:hAnsi="Arial" w:cs="Arial"/>
          <w:sz w:val="22"/>
          <w:szCs w:val="22"/>
        </w:rPr>
        <w:t>Growing financial and competitive pressure from Chanel and Gucci is the main danger. Chanel's ability to make significant investments in marketing, innovation, and customer experience is demonstrated by its significantly higher operating profit. In the meantime, Gucci's 2027 switch to L'Oréal Beauty may improve its scent skills thanks to L'Oréal's R&amp;D and global beauty knowledge (Chanel, 2026; L'Oréal, 2026).</w:t>
      </w:r>
      <w:r>
        <w:rPr>
          <w:rFonts w:hint="default" w:ascii="Arial" w:hAnsi="Arial" w:cs="Arial"/>
          <w:sz w:val="22"/>
          <w:szCs w:val="22"/>
          <w:lang w:val="en-GB"/>
        </w:rPr>
        <w:t xml:space="preserve"> </w:t>
      </w:r>
    </w:p>
    <w:p w14:paraId="6F484558">
      <w:pPr>
        <w:rPr>
          <w:rFonts w:hint="default" w:ascii="Arial" w:hAnsi="Arial" w:cs="Arial"/>
          <w:sz w:val="22"/>
          <w:szCs w:val="22"/>
          <w:lang w:val="en-GB"/>
        </w:rPr>
      </w:pPr>
    </w:p>
    <w:p w14:paraId="7BCC358A">
      <w:pPr>
        <w:rPr>
          <w:rFonts w:hint="default" w:ascii="Arial" w:hAnsi="Arial" w:cs="Arial"/>
          <w:sz w:val="22"/>
          <w:szCs w:val="22"/>
          <w:lang w:val="en-GB"/>
        </w:rPr>
      </w:pPr>
    </w:p>
    <w:p w14:paraId="4F89C90F">
      <w:pPr>
        <w:rPr>
          <w:rFonts w:hint="default" w:ascii="Arial" w:hAnsi="Arial" w:cs="Arial"/>
          <w:b/>
          <w:bCs/>
          <w:sz w:val="28"/>
          <w:szCs w:val="28"/>
          <w:lang w:val="en-GB"/>
        </w:rPr>
      </w:pPr>
      <w:r>
        <w:rPr>
          <w:rFonts w:hint="default" w:ascii="Arial" w:hAnsi="Arial" w:cs="Arial"/>
          <w:b/>
          <w:bCs/>
          <w:sz w:val="28"/>
          <w:szCs w:val="28"/>
          <w:lang w:val="en-GB"/>
        </w:rPr>
        <w:t xml:space="preserve">Action Plan </w:t>
      </w:r>
    </w:p>
    <w:p w14:paraId="4CA5D2B7">
      <w:pPr>
        <w:rPr>
          <w:rFonts w:hint="default" w:ascii="Arial" w:hAnsi="Arial" w:cs="Arial"/>
          <w:sz w:val="22"/>
          <w:szCs w:val="22"/>
        </w:rPr>
      </w:pPr>
    </w:p>
    <w:tbl>
      <w:tblPr>
        <w:tblW w:w="0" w:type="auto"/>
        <w:tblCellSpacing w:w="15" w:type="dxa"/>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Layout w:type="autofit"/>
        <w:tblCellMar>
          <w:top w:w="15" w:type="dxa"/>
          <w:left w:w="15" w:type="dxa"/>
          <w:bottom w:w="15" w:type="dxa"/>
          <w:right w:w="15" w:type="dxa"/>
        </w:tblCellMar>
      </w:tblPr>
      <w:tblGrid>
        <w:gridCol w:w="1568"/>
        <w:gridCol w:w="4194"/>
        <w:gridCol w:w="1417"/>
        <w:gridCol w:w="1237"/>
      </w:tblGrid>
      <w:tr w14:paraId="5BCBEC69">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Header/>
          <w:tblCellSpacing w:w="15" w:type="dxa"/>
        </w:trPr>
        <w:tc>
          <w:tcPr>
            <w:tcW w:w="0" w:type="auto"/>
            <w:tcBorders>
              <w:tl2br w:val="nil"/>
              <w:tr2bl w:val="nil"/>
            </w:tcBorders>
            <w:shd w:val="clear"/>
            <w:vAlign w:val="center"/>
          </w:tcPr>
          <w:p w14:paraId="5039CAC1">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Priority</w:t>
            </w:r>
          </w:p>
        </w:tc>
        <w:tc>
          <w:tcPr>
            <w:tcW w:w="0" w:type="auto"/>
            <w:tcBorders>
              <w:tl2br w:val="nil"/>
              <w:tr2bl w:val="nil"/>
            </w:tcBorders>
            <w:shd w:val="clear"/>
            <w:vAlign w:val="center"/>
          </w:tcPr>
          <w:p w14:paraId="2DDC9546">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Action</w:t>
            </w:r>
          </w:p>
        </w:tc>
        <w:tc>
          <w:tcPr>
            <w:tcW w:w="0" w:type="auto"/>
            <w:tcBorders>
              <w:tl2br w:val="nil"/>
              <w:tr2bl w:val="nil"/>
            </w:tcBorders>
            <w:shd w:val="clear"/>
            <w:vAlign w:val="center"/>
          </w:tcPr>
          <w:p w14:paraId="481566CE">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SWOT Link</w:t>
            </w:r>
          </w:p>
        </w:tc>
        <w:tc>
          <w:tcPr>
            <w:tcW w:w="0" w:type="auto"/>
            <w:tcBorders>
              <w:tl2br w:val="nil"/>
              <w:tr2bl w:val="nil"/>
            </w:tcBorders>
            <w:shd w:val="clear"/>
            <w:vAlign w:val="center"/>
          </w:tcPr>
          <w:p w14:paraId="7760BB3A">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Timeframe</w:t>
            </w:r>
          </w:p>
        </w:tc>
      </w:tr>
      <w:tr w14:paraId="0CA22CDD">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00484B80">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Digital Innovation</w:t>
            </w:r>
          </w:p>
        </w:tc>
        <w:tc>
          <w:tcPr>
            <w:tcW w:w="0" w:type="auto"/>
            <w:tcBorders>
              <w:tl2br w:val="nil"/>
              <w:tr2bl w:val="nil"/>
            </w:tcBorders>
            <w:shd w:val="clear"/>
            <w:vAlign w:val="center"/>
          </w:tcPr>
          <w:p w14:paraId="60E01E6A">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Introduce AI-powered fragrance recommendations and personalised consultations to strengthen customer engagement (McKinsey &amp; Company, 2023).</w:t>
            </w:r>
          </w:p>
        </w:tc>
        <w:tc>
          <w:tcPr>
            <w:tcW w:w="0" w:type="auto"/>
            <w:tcBorders>
              <w:tl2br w:val="nil"/>
              <w:tr2bl w:val="nil"/>
            </w:tcBorders>
            <w:shd w:val="clear"/>
            <w:vAlign w:val="center"/>
          </w:tcPr>
          <w:p w14:paraId="559E4BCF">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Strength + Opportunity</w:t>
            </w:r>
          </w:p>
        </w:tc>
        <w:tc>
          <w:tcPr>
            <w:tcW w:w="0" w:type="auto"/>
            <w:tcBorders>
              <w:tl2br w:val="nil"/>
              <w:tr2bl w:val="nil"/>
            </w:tcBorders>
            <w:shd w:val="clear"/>
            <w:vAlign w:val="center"/>
          </w:tcPr>
          <w:p w14:paraId="51A7E105">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0–12 months</w:t>
            </w:r>
          </w:p>
        </w:tc>
      </w:tr>
      <w:tr w14:paraId="32644262">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0297B8A0">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Sustainable Luxury</w:t>
            </w:r>
          </w:p>
        </w:tc>
        <w:tc>
          <w:tcPr>
            <w:tcW w:w="0" w:type="auto"/>
            <w:tcBorders>
              <w:tl2br w:val="nil"/>
              <w:tr2bl w:val="nil"/>
            </w:tcBorders>
            <w:shd w:val="clear"/>
            <w:vAlign w:val="center"/>
          </w:tcPr>
          <w:p w14:paraId="69AF3CA6">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Expand refillable fragrances and sustainable packaging to meet environmental expectations and strengthen differentiation (Dior, 2026).</w:t>
            </w:r>
          </w:p>
        </w:tc>
        <w:tc>
          <w:tcPr>
            <w:tcW w:w="0" w:type="auto"/>
            <w:tcBorders>
              <w:tl2br w:val="nil"/>
              <w:tr2bl w:val="nil"/>
            </w:tcBorders>
            <w:shd w:val="clear"/>
            <w:vAlign w:val="center"/>
          </w:tcPr>
          <w:p w14:paraId="008B69EE">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Strength + Opportunity</w:t>
            </w:r>
          </w:p>
        </w:tc>
        <w:tc>
          <w:tcPr>
            <w:tcW w:w="0" w:type="auto"/>
            <w:tcBorders>
              <w:tl2br w:val="nil"/>
              <w:tr2bl w:val="nil"/>
            </w:tcBorders>
            <w:shd w:val="clear"/>
            <w:vAlign w:val="center"/>
          </w:tcPr>
          <w:p w14:paraId="6158E908">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1–2 years</w:t>
            </w:r>
          </w:p>
        </w:tc>
      </w:tr>
      <w:tr w14:paraId="51E997E5">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4436405B">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Product Innovation</w:t>
            </w:r>
          </w:p>
        </w:tc>
        <w:tc>
          <w:tcPr>
            <w:tcW w:w="0" w:type="auto"/>
            <w:tcBorders>
              <w:tl2br w:val="nil"/>
              <w:tr2bl w:val="nil"/>
            </w:tcBorders>
            <w:shd w:val="clear"/>
            <w:vAlign w:val="center"/>
          </w:tcPr>
          <w:p w14:paraId="06756D0B">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Develop exclusive limited-edition and personalised fragrances to reduce imitation risk and reinforce premium positioning (LVMH, 2026).</w:t>
            </w:r>
          </w:p>
        </w:tc>
        <w:tc>
          <w:tcPr>
            <w:tcW w:w="0" w:type="auto"/>
            <w:tcBorders>
              <w:tl2br w:val="nil"/>
              <w:tr2bl w:val="nil"/>
            </w:tcBorders>
            <w:shd w:val="clear"/>
            <w:vAlign w:val="center"/>
          </w:tcPr>
          <w:p w14:paraId="7089D6D5">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Strength + Threat</w:t>
            </w:r>
          </w:p>
        </w:tc>
        <w:tc>
          <w:tcPr>
            <w:tcW w:w="0" w:type="auto"/>
            <w:tcBorders>
              <w:tl2br w:val="nil"/>
              <w:tr2bl w:val="nil"/>
            </w:tcBorders>
            <w:shd w:val="clear"/>
            <w:vAlign w:val="center"/>
          </w:tcPr>
          <w:p w14:paraId="3E0DFE36">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1–3 years</w:t>
            </w:r>
          </w:p>
        </w:tc>
      </w:tr>
      <w:tr w14:paraId="7A7E4CCE">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E86D7C4">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International Growth</w:t>
            </w:r>
          </w:p>
        </w:tc>
        <w:tc>
          <w:tcPr>
            <w:tcW w:w="0" w:type="auto"/>
            <w:tcBorders>
              <w:tl2br w:val="nil"/>
              <w:tr2bl w:val="nil"/>
            </w:tcBorders>
            <w:shd w:val="clear"/>
            <w:vAlign w:val="center"/>
          </w:tcPr>
          <w:p w14:paraId="603D7D4B">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Selectively expand into high-growth luxury markets using Dior's global distribution capabilities (LVMH, 2026).</w:t>
            </w:r>
          </w:p>
        </w:tc>
        <w:tc>
          <w:tcPr>
            <w:tcW w:w="0" w:type="auto"/>
            <w:tcBorders>
              <w:tl2br w:val="nil"/>
              <w:tr2bl w:val="nil"/>
            </w:tcBorders>
            <w:shd w:val="clear"/>
            <w:vAlign w:val="center"/>
          </w:tcPr>
          <w:p w14:paraId="278F9EB8">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Opportunity</w:t>
            </w:r>
          </w:p>
        </w:tc>
        <w:tc>
          <w:tcPr>
            <w:tcW w:w="0" w:type="auto"/>
            <w:tcBorders>
              <w:tl2br w:val="nil"/>
              <w:tr2bl w:val="nil"/>
            </w:tcBorders>
            <w:shd w:val="clear"/>
            <w:vAlign w:val="center"/>
          </w:tcPr>
          <w:p w14:paraId="42A57BB3">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2–3 years</w:t>
            </w:r>
          </w:p>
        </w:tc>
      </w:tr>
      <w:tr w14:paraId="7B803049">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6444A5E7">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Brand Protection</w:t>
            </w:r>
          </w:p>
        </w:tc>
        <w:tc>
          <w:tcPr>
            <w:tcW w:w="0" w:type="auto"/>
            <w:tcBorders>
              <w:tl2br w:val="nil"/>
              <w:tr2bl w:val="nil"/>
            </w:tcBorders>
            <w:shd w:val="clear"/>
            <w:vAlign w:val="center"/>
          </w:tcPr>
          <w:p w14:paraId="37191350">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Strengthen authenticity, quality control and anti-counterfeit measures to protect Dior's brand equity.</w:t>
            </w:r>
          </w:p>
        </w:tc>
        <w:tc>
          <w:tcPr>
            <w:tcW w:w="0" w:type="auto"/>
            <w:tcBorders>
              <w:tl2br w:val="nil"/>
              <w:tr2bl w:val="nil"/>
            </w:tcBorders>
            <w:shd w:val="clear"/>
            <w:vAlign w:val="center"/>
          </w:tcPr>
          <w:p w14:paraId="1F5AAB1F">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Threat</w:t>
            </w:r>
          </w:p>
        </w:tc>
        <w:tc>
          <w:tcPr>
            <w:tcW w:w="0" w:type="auto"/>
            <w:tcBorders>
              <w:tl2br w:val="nil"/>
              <w:tr2bl w:val="nil"/>
            </w:tcBorders>
            <w:shd w:val="clear"/>
            <w:vAlign w:val="center"/>
          </w:tcPr>
          <w:p w14:paraId="7D58C977">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Ongoing</w:t>
            </w:r>
          </w:p>
        </w:tc>
      </w:tr>
    </w:tbl>
    <w:p w14:paraId="0510F7D5">
      <w:pPr>
        <w:rPr>
          <w:rFonts w:hint="default" w:ascii="Arial" w:hAnsi="Arial" w:cs="Arial"/>
          <w:sz w:val="22"/>
          <w:szCs w:val="22"/>
        </w:rPr>
      </w:pPr>
    </w:p>
    <w:p w14:paraId="4DD0409F">
      <w:pPr>
        <w:rPr>
          <w:rFonts w:hint="default" w:ascii="Arial" w:hAnsi="Arial" w:cs="Arial"/>
        </w:rPr>
      </w:pPr>
      <w:r>
        <w:rPr>
          <w:rFonts w:hint="default" w:ascii="Arial" w:hAnsi="Arial" w:cs="Arial"/>
        </w:rPr>
        <w:t>In order to take advantage of market opportunities and safeguard its most valuable competitive asset—luxury brand equity—Dior should prioritize digital innovation, sustainable product development, and brand protection (Porter, 1985).</w:t>
      </w:r>
    </w:p>
    <w:p w14:paraId="7B59C798">
      <w:pPr>
        <w:rPr>
          <w:rFonts w:hint="default" w:ascii="Arial" w:hAnsi="Arial" w:cs="Arial"/>
        </w:rPr>
      </w:pPr>
    </w:p>
    <w:p w14:paraId="46F98735">
      <w:pPr>
        <w:rPr>
          <w:rFonts w:hint="default" w:ascii="Arial" w:hAnsi="Arial" w:cs="Arial"/>
        </w:rPr>
      </w:pPr>
    </w:p>
    <w:p w14:paraId="3C0CF0CE">
      <w:pPr>
        <w:rPr>
          <w:rFonts w:hint="default" w:ascii="Arial" w:hAnsi="Arial" w:cs="Arial"/>
        </w:rPr>
      </w:pPr>
    </w:p>
    <w:p w14:paraId="5EB48BF5">
      <w:pPr>
        <w:rPr>
          <w:rFonts w:hint="default" w:ascii="Arial" w:hAnsi="Arial" w:cs="Arial"/>
          <w:b/>
          <w:bCs/>
          <w:sz w:val="28"/>
          <w:szCs w:val="28"/>
          <w:lang w:val="en-GB"/>
        </w:rPr>
      </w:pPr>
      <w:r>
        <w:rPr>
          <w:rFonts w:hint="default" w:ascii="Arial" w:hAnsi="Arial" w:cs="Arial"/>
          <w:b/>
          <w:bCs/>
          <w:sz w:val="28"/>
          <w:szCs w:val="28"/>
        </w:rPr>
        <w:t xml:space="preserve">Part 3: Comprehensive and Holistic View of the </w:t>
      </w:r>
      <w:r>
        <w:rPr>
          <w:rFonts w:hint="default" w:ascii="Arial" w:hAnsi="Arial" w:cs="Arial"/>
          <w:b/>
          <w:bCs/>
          <w:sz w:val="28"/>
          <w:szCs w:val="28"/>
          <w:lang w:val="en-GB"/>
        </w:rPr>
        <w:t xml:space="preserve">Organization </w:t>
      </w:r>
    </w:p>
    <w:p w14:paraId="43F7BA4E">
      <w:pPr>
        <w:rPr>
          <w:rFonts w:hint="default" w:ascii="Arial" w:hAnsi="Arial" w:cs="Arial"/>
          <w:b/>
          <w:bCs/>
          <w:sz w:val="28"/>
          <w:szCs w:val="28"/>
        </w:rPr>
      </w:pPr>
    </w:p>
    <w:p w14:paraId="59DA3815">
      <w:pPr>
        <w:rPr>
          <w:rFonts w:hint="default" w:ascii="Arial" w:hAnsi="Arial" w:cs="Arial"/>
          <w:b/>
          <w:bCs/>
          <w:sz w:val="24"/>
          <w:szCs w:val="24"/>
        </w:rPr>
      </w:pPr>
      <w:r>
        <w:rPr>
          <w:rFonts w:hint="default" w:ascii="Arial" w:hAnsi="Arial" w:cs="Arial"/>
          <w:b/>
          <w:bCs/>
          <w:sz w:val="24"/>
          <w:szCs w:val="24"/>
        </w:rPr>
        <w:t>3.1 Corporate Social Responsibility (CSR)</w:t>
      </w:r>
    </w:p>
    <w:p w14:paraId="5EF8E838">
      <w:pPr>
        <w:rPr>
          <w:rFonts w:hint="default" w:ascii="Arial" w:hAnsi="Arial" w:cs="Arial"/>
        </w:rPr>
      </w:pPr>
    </w:p>
    <w:p w14:paraId="7E9ADCB0">
      <w:pPr>
        <w:rPr>
          <w:rFonts w:hint="default" w:ascii="Arial" w:hAnsi="Arial" w:cs="Arial"/>
          <w:sz w:val="22"/>
          <w:szCs w:val="22"/>
        </w:rPr>
      </w:pPr>
    </w:p>
    <w:p w14:paraId="0489E117">
      <w:pPr>
        <w:rPr>
          <w:rFonts w:hint="default" w:ascii="Arial" w:hAnsi="Arial" w:cs="Arial"/>
          <w:sz w:val="22"/>
          <w:szCs w:val="22"/>
        </w:rPr>
      </w:pPr>
      <w:r>
        <w:rPr>
          <w:rFonts w:hint="default" w:ascii="Arial" w:hAnsi="Arial" w:cs="Arial"/>
          <w:sz w:val="22"/>
          <w:szCs w:val="22"/>
        </w:rPr>
        <w:t>A key component of Dior Beauty's long-term strategy, corporate social responsibility (CSR) is closely linked to the company's stated goal of "leaving beauty as a legacy" (Dior, 2026a). Dior incorporates environmental preservation into their approach to skincare, scent, and beauty rather than considering sustainability as a distinct corporate responsibility effort. The Maison's mission shows its dedication to protecting the natural resources that support its goods for future generations, especially thru eco-design, regenerative agriculture, biodiversity preservation, and climate action (Dior, 2026a).</w:t>
      </w:r>
    </w:p>
    <w:p w14:paraId="4A7850B2">
      <w:pPr>
        <w:rPr>
          <w:rFonts w:hint="default" w:ascii="Arial" w:hAnsi="Arial" w:cs="Arial"/>
          <w:sz w:val="22"/>
          <w:szCs w:val="22"/>
        </w:rPr>
      </w:pPr>
    </w:p>
    <w:p w14:paraId="2F37B798">
      <w:pPr>
        <w:rPr>
          <w:rFonts w:hint="default" w:ascii="Arial" w:hAnsi="Arial" w:cs="Arial"/>
          <w:sz w:val="22"/>
          <w:szCs w:val="22"/>
        </w:rPr>
      </w:pPr>
      <w:r>
        <w:rPr>
          <w:rFonts w:hint="default" w:ascii="Arial" w:hAnsi="Arial" w:cs="Arial"/>
          <w:sz w:val="22"/>
          <w:szCs w:val="22"/>
        </w:rPr>
        <w:t>Regenerative flower culture and biodiversity are important components of this approach. Since flowers are essential to Dior's scents and other cosmetics, safeguarding the ecosystems where these organic components are grown has a direct bearing on the company's primary operations. Dior collaborates with flower-growing partners to promote farming methods that conserve soil quality, safeguard biodiversity, and keep unique botanical resources accessible. This shows how Dior's environmental initiatives and its goal of leaving beauty as a lasting legacy are directly related (Dior, 2026a).</w:t>
      </w:r>
    </w:p>
    <w:p w14:paraId="2A249C5C">
      <w:pPr>
        <w:rPr>
          <w:rFonts w:hint="default" w:ascii="Arial" w:hAnsi="Arial" w:cs="Arial"/>
          <w:sz w:val="22"/>
          <w:szCs w:val="22"/>
        </w:rPr>
      </w:pPr>
    </w:p>
    <w:p w14:paraId="6D568C86">
      <w:pPr>
        <w:rPr>
          <w:rFonts w:hint="default" w:ascii="Arial" w:hAnsi="Arial" w:cs="Arial"/>
          <w:sz w:val="22"/>
          <w:szCs w:val="22"/>
        </w:rPr>
      </w:pPr>
      <w:r>
        <w:rPr>
          <w:rFonts w:hint="default" w:ascii="Arial" w:hAnsi="Arial" w:cs="Arial"/>
          <w:sz w:val="22"/>
          <w:szCs w:val="22"/>
        </w:rPr>
        <w:t>Dior also prioritizes carbon reduction and climate action. In order to match its trajectory with the 1.5°C route, The Maison has pledged to decreasing its carbon emissions by 46% over its entire scope by 2030 (Dior, 2026a). LVMH's more comprehensive LIFE 360 environmental policy, which emphasizes climate, biodiversity, creative circularity, traceability, and openness, supports this commitment (LVMH, 2026). As a result, rather than just being a brand statement, Dior's vision is converted into quantifiable environmental goals.</w:t>
      </w:r>
    </w:p>
    <w:p w14:paraId="51DD8587">
      <w:pPr>
        <w:rPr>
          <w:rFonts w:hint="default" w:ascii="Arial" w:hAnsi="Arial" w:cs="Arial"/>
          <w:sz w:val="22"/>
          <w:szCs w:val="22"/>
        </w:rPr>
      </w:pPr>
    </w:p>
    <w:p w14:paraId="36D4D534">
      <w:pPr>
        <w:rPr>
          <w:rFonts w:hint="default" w:ascii="Arial" w:hAnsi="Arial" w:cs="Arial"/>
          <w:sz w:val="22"/>
          <w:szCs w:val="22"/>
        </w:rPr>
      </w:pPr>
      <w:r>
        <w:rPr>
          <w:rFonts w:hint="default" w:ascii="Arial" w:hAnsi="Arial" w:cs="Arial"/>
          <w:sz w:val="22"/>
          <w:szCs w:val="22"/>
        </w:rPr>
        <w:t>Another key element of Dior's CSR approach is circularity and eco-design. While LVMH seeks to remove virgin fossil-based plastic from consumer packaging and make ensuring that new goods increasingly adhere to sustainable design principles, The Maison is creating more sustainable packaging and refillable solutions (LVMH, 2026). These efforts assist Dior in lessening its impact on the environment while preserving the superior quality and esthetic experience that one would anticipate from a luxury brand.</w:t>
      </w:r>
    </w:p>
    <w:p w14:paraId="16C3D523">
      <w:pPr>
        <w:rPr>
          <w:rFonts w:hint="default" w:ascii="Arial" w:hAnsi="Arial" w:cs="Arial"/>
        </w:rPr>
      </w:pPr>
    </w:p>
    <w:p w14:paraId="696B8ACA">
      <w:pPr>
        <w:rPr>
          <w:rFonts w:hint="default" w:ascii="Arial" w:hAnsi="Arial" w:cs="Arial"/>
          <w:sz w:val="22"/>
          <w:szCs w:val="22"/>
          <w:lang w:val="en-GB"/>
        </w:rPr>
      </w:pPr>
      <w:r>
        <w:rPr>
          <w:rFonts w:hint="default" w:ascii="Arial" w:hAnsi="Arial" w:cs="Arial"/>
          <w:sz w:val="22"/>
          <w:szCs w:val="22"/>
        </w:rPr>
        <w:t>By linking environmental responsibility with brand differentiation and long-term commercial resilience, Dior's CSR strategy strategically generates value. Credible sustainability pledges can increase consumer confidence and brand loyalty, while responsible sourcing safeguards vital raw materials. To maintain the credibility of its environmental positioning, Dior must continue to show quantifiable improvement. Overall, the company's CSR strategy firmly supports the goal of "to only leave beauty as a legacy," since creating circular products, lowering emissions, and safeguarding biodiversity all directly help to keeping Dior Beauty's natural foundations intact for future generations.</w:t>
      </w:r>
      <w:r>
        <w:rPr>
          <w:rFonts w:hint="default" w:ascii="Arial" w:hAnsi="Arial" w:cs="Arial"/>
          <w:sz w:val="22"/>
          <w:szCs w:val="22"/>
          <w:lang w:val="en-GB"/>
        </w:rPr>
        <w:t xml:space="preserve"> </w:t>
      </w:r>
    </w:p>
    <w:p w14:paraId="6777C1B2">
      <w:pPr>
        <w:rPr>
          <w:rFonts w:hint="default" w:ascii="Arial" w:hAnsi="Arial" w:cs="Arial"/>
          <w:sz w:val="22"/>
          <w:szCs w:val="22"/>
          <w:lang w:val="en-GB"/>
        </w:rPr>
      </w:pPr>
    </w:p>
    <w:p w14:paraId="21117049">
      <w:pPr>
        <w:rPr>
          <w:rFonts w:hint="default" w:ascii="Arial" w:hAnsi="Arial" w:cs="Arial"/>
          <w:sz w:val="22"/>
          <w:szCs w:val="22"/>
          <w:lang w:val="en-GB"/>
        </w:rPr>
      </w:pPr>
      <w:r>
        <w:rPr>
          <w:rFonts w:hint="default" w:ascii="Arial" w:hAnsi="Arial" w:cs="Arial"/>
          <w:sz w:val="22"/>
          <w:szCs w:val="22"/>
          <w:lang w:val="en-GB"/>
        </w:rPr>
        <w:drawing>
          <wp:inline distT="0" distB="0" distL="114300" distR="114300">
            <wp:extent cx="5295265" cy="3371215"/>
            <wp:effectExtent l="0" t="0" r="8255" b="12065"/>
            <wp:docPr id="6" name="Picture 6" descr="d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or"/>
                    <pic:cNvPicPr>
                      <a:picLocks noChangeAspect="1"/>
                    </pic:cNvPicPr>
                  </pic:nvPicPr>
                  <pic:blipFill>
                    <a:blip r:embed="rId7"/>
                    <a:stretch>
                      <a:fillRect/>
                    </a:stretch>
                  </pic:blipFill>
                  <pic:spPr>
                    <a:xfrm>
                      <a:off x="0" y="0"/>
                      <a:ext cx="5295265" cy="3371215"/>
                    </a:xfrm>
                    <a:prstGeom prst="rect">
                      <a:avLst/>
                    </a:prstGeom>
                  </pic:spPr>
                </pic:pic>
              </a:graphicData>
            </a:graphic>
          </wp:inline>
        </w:drawing>
      </w:r>
    </w:p>
    <w:p w14:paraId="66CC883D">
      <w:pPr>
        <w:rPr>
          <w:rFonts w:hint="default" w:ascii="Arial" w:hAnsi="Arial" w:cs="Arial"/>
          <w:sz w:val="22"/>
          <w:szCs w:val="22"/>
          <w:lang w:val="en-GB"/>
        </w:rPr>
      </w:pPr>
    </w:p>
    <w:p w14:paraId="5D7AF6B0">
      <w:pPr>
        <w:rPr>
          <w:rFonts w:hint="default" w:ascii="Arial" w:hAnsi="Arial" w:cs="Arial"/>
          <w:sz w:val="22"/>
          <w:szCs w:val="22"/>
          <w:lang w:val="en-GB"/>
        </w:rPr>
      </w:pPr>
      <w:r>
        <w:rPr>
          <w:rFonts w:hint="default" w:ascii="Arial" w:hAnsi="Arial" w:cs="Arial"/>
          <w:sz w:val="22"/>
          <w:szCs w:val="22"/>
          <w:lang w:val="en-GB"/>
        </w:rPr>
        <w:t>(Voir Editorial Team, 2022)</w:t>
      </w:r>
    </w:p>
    <w:p w14:paraId="5D611928">
      <w:pPr>
        <w:rPr>
          <w:rFonts w:hint="default" w:ascii="Arial" w:hAnsi="Arial" w:cs="Arial"/>
          <w:sz w:val="22"/>
          <w:szCs w:val="22"/>
          <w:lang w:val="en-GB"/>
        </w:rPr>
      </w:pPr>
    </w:p>
    <w:p w14:paraId="60F1C818">
      <w:pPr>
        <w:pStyle w:val="3"/>
        <w:keepNext w:val="0"/>
        <w:keepLines w:val="0"/>
        <w:widowControl/>
        <w:suppressLineNumbers w:val="0"/>
        <w:rPr>
          <w:rFonts w:hint="default" w:ascii="Arial" w:hAnsi="Arial" w:cs="Arial"/>
          <w:sz w:val="24"/>
          <w:szCs w:val="24"/>
        </w:rPr>
      </w:pPr>
    </w:p>
    <w:p w14:paraId="64AB0DE0">
      <w:pPr>
        <w:pStyle w:val="3"/>
        <w:keepNext w:val="0"/>
        <w:keepLines w:val="0"/>
        <w:widowControl/>
        <w:suppressLineNumbers w:val="0"/>
        <w:rPr>
          <w:rFonts w:hint="default" w:ascii="Arial" w:hAnsi="Arial" w:cs="Arial"/>
          <w:sz w:val="24"/>
          <w:szCs w:val="24"/>
        </w:rPr>
      </w:pPr>
      <w:r>
        <w:rPr>
          <w:rFonts w:hint="default" w:ascii="Arial" w:hAnsi="Arial" w:cs="Arial"/>
          <w:sz w:val="24"/>
          <w:szCs w:val="24"/>
        </w:rPr>
        <w:t>3.2 Balanced Scorecard</w:t>
      </w:r>
    </w:p>
    <w:p w14:paraId="43979408">
      <w:pPr>
        <w:pStyle w:val="11"/>
        <w:keepNext w:val="0"/>
        <w:keepLines w:val="0"/>
        <w:widowControl/>
        <w:suppressLineNumbers w:val="0"/>
        <w:rPr>
          <w:rFonts w:hint="default" w:ascii="Arial" w:hAnsi="Arial" w:cs="Arial"/>
          <w:sz w:val="22"/>
          <w:szCs w:val="22"/>
        </w:rPr>
      </w:pPr>
      <w:r>
        <w:rPr>
          <w:rFonts w:hint="default" w:ascii="Arial" w:hAnsi="Arial" w:cs="Arial"/>
          <w:sz w:val="22"/>
          <w:szCs w:val="22"/>
        </w:rPr>
        <w:t>The Balanced Scorecard provides a holistic framework for evaluating Dior Beauty's strategic performance beyond traditional financial measures.</w:t>
      </w:r>
    </w:p>
    <w:tbl>
      <w:tblPr>
        <w:tblStyle w:val="6"/>
        <w:tblW w:w="0" w:type="auto"/>
        <w:tblCellSpacing w:w="15" w:type="dxa"/>
        <w:tblInd w:w="-8"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Layout w:type="autofit"/>
        <w:tblCellMar>
          <w:top w:w="15" w:type="dxa"/>
          <w:left w:w="15" w:type="dxa"/>
          <w:bottom w:w="15" w:type="dxa"/>
          <w:right w:w="15" w:type="dxa"/>
        </w:tblCellMar>
      </w:tblPr>
      <w:tblGrid>
        <w:gridCol w:w="1581"/>
        <w:gridCol w:w="1498"/>
        <w:gridCol w:w="1721"/>
        <w:gridCol w:w="1466"/>
        <w:gridCol w:w="2158"/>
      </w:tblGrid>
      <w:tr w14:paraId="008B05E3">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CellMar>
            <w:top w:w="15" w:type="dxa"/>
            <w:left w:w="15" w:type="dxa"/>
            <w:bottom w:w="15" w:type="dxa"/>
            <w:right w:w="15" w:type="dxa"/>
          </w:tblCellMar>
        </w:tblPrEx>
        <w:trPr>
          <w:tblHeader/>
          <w:tblCellSpacing w:w="15" w:type="dxa"/>
        </w:trPr>
        <w:tc>
          <w:tcPr>
            <w:tcW w:w="0" w:type="auto"/>
            <w:tcBorders>
              <w:tl2br w:val="nil"/>
              <w:tr2bl w:val="nil"/>
            </w:tcBorders>
            <w:shd w:val="clear" w:color="auto" w:fill="auto"/>
            <w:vAlign w:val="center"/>
          </w:tcPr>
          <w:p w14:paraId="03D63F02">
            <w:pPr>
              <w:keepNext w:val="0"/>
              <w:keepLines w:val="0"/>
              <w:widowControl/>
              <w:suppressLineNumbers w:val="0"/>
              <w:jc w:val="center"/>
              <w:rPr>
                <w:rFonts w:hint="default" w:ascii="Arial" w:hAnsi="Arial" w:cs="Arial"/>
                <w:b/>
                <w:bCs/>
                <w:sz w:val="22"/>
                <w:szCs w:val="22"/>
              </w:rPr>
            </w:pPr>
            <w:r>
              <w:rPr>
                <w:rFonts w:hint="default" w:ascii="Arial" w:hAnsi="Arial" w:eastAsia="SimSun" w:cs="Arial"/>
                <w:b/>
                <w:bCs/>
                <w:kern w:val="0"/>
                <w:sz w:val="22"/>
                <w:szCs w:val="22"/>
                <w:lang w:val="en-US" w:eastAsia="zh-CN" w:bidi="ar"/>
              </w:rPr>
              <w:t>Perspective</w:t>
            </w:r>
          </w:p>
        </w:tc>
        <w:tc>
          <w:tcPr>
            <w:tcW w:w="0" w:type="auto"/>
            <w:tcBorders>
              <w:tl2br w:val="nil"/>
              <w:tr2bl w:val="nil"/>
            </w:tcBorders>
            <w:shd w:val="clear" w:color="auto" w:fill="auto"/>
            <w:vAlign w:val="center"/>
          </w:tcPr>
          <w:p w14:paraId="04560D3F">
            <w:pPr>
              <w:keepNext w:val="0"/>
              <w:keepLines w:val="0"/>
              <w:widowControl/>
              <w:suppressLineNumbers w:val="0"/>
              <w:jc w:val="center"/>
              <w:rPr>
                <w:rFonts w:hint="default" w:ascii="Arial" w:hAnsi="Arial" w:cs="Arial"/>
                <w:b/>
                <w:bCs/>
                <w:sz w:val="22"/>
                <w:szCs w:val="22"/>
              </w:rPr>
            </w:pPr>
            <w:r>
              <w:rPr>
                <w:rFonts w:hint="default" w:ascii="Arial" w:hAnsi="Arial" w:eastAsia="SimSun" w:cs="Arial"/>
                <w:b/>
                <w:bCs/>
                <w:kern w:val="0"/>
                <w:sz w:val="22"/>
                <w:szCs w:val="22"/>
                <w:lang w:val="en-US" w:eastAsia="zh-CN" w:bidi="ar"/>
              </w:rPr>
              <w:t>Strategic Objective</w:t>
            </w:r>
          </w:p>
        </w:tc>
        <w:tc>
          <w:tcPr>
            <w:tcW w:w="0" w:type="auto"/>
            <w:tcBorders>
              <w:tl2br w:val="nil"/>
              <w:tr2bl w:val="nil"/>
            </w:tcBorders>
            <w:shd w:val="clear" w:color="auto" w:fill="auto"/>
            <w:vAlign w:val="center"/>
          </w:tcPr>
          <w:p w14:paraId="7A747E91">
            <w:pPr>
              <w:keepNext w:val="0"/>
              <w:keepLines w:val="0"/>
              <w:widowControl/>
              <w:suppressLineNumbers w:val="0"/>
              <w:jc w:val="center"/>
              <w:rPr>
                <w:rFonts w:hint="default" w:ascii="Arial" w:hAnsi="Arial" w:cs="Arial"/>
                <w:b/>
                <w:bCs/>
                <w:sz w:val="22"/>
                <w:szCs w:val="22"/>
              </w:rPr>
            </w:pPr>
            <w:r>
              <w:rPr>
                <w:rFonts w:hint="default" w:ascii="Arial" w:hAnsi="Arial" w:eastAsia="SimSun" w:cs="Arial"/>
                <w:b/>
                <w:bCs/>
                <w:kern w:val="0"/>
                <w:sz w:val="22"/>
                <w:szCs w:val="22"/>
                <w:lang w:val="en-US" w:eastAsia="zh-CN" w:bidi="ar"/>
              </w:rPr>
              <w:t>KPI</w:t>
            </w:r>
          </w:p>
        </w:tc>
        <w:tc>
          <w:tcPr>
            <w:tcW w:w="0" w:type="auto"/>
            <w:tcBorders>
              <w:tl2br w:val="nil"/>
              <w:tr2bl w:val="nil"/>
            </w:tcBorders>
            <w:shd w:val="clear" w:color="auto" w:fill="auto"/>
            <w:vAlign w:val="center"/>
          </w:tcPr>
          <w:p w14:paraId="51F322D6">
            <w:pPr>
              <w:keepNext w:val="0"/>
              <w:keepLines w:val="0"/>
              <w:widowControl/>
              <w:suppressLineNumbers w:val="0"/>
              <w:jc w:val="center"/>
              <w:rPr>
                <w:rFonts w:hint="default" w:ascii="Arial" w:hAnsi="Arial" w:cs="Arial"/>
                <w:b/>
                <w:bCs/>
                <w:sz w:val="22"/>
                <w:szCs w:val="22"/>
              </w:rPr>
            </w:pPr>
            <w:r>
              <w:rPr>
                <w:rFonts w:hint="default" w:ascii="Arial" w:hAnsi="Arial" w:eastAsia="SimSun" w:cs="Arial"/>
                <w:b/>
                <w:bCs/>
                <w:kern w:val="0"/>
                <w:sz w:val="22"/>
                <w:szCs w:val="22"/>
                <w:lang w:val="en-US" w:eastAsia="zh-CN" w:bidi="ar"/>
              </w:rPr>
              <w:t>Target</w:t>
            </w:r>
          </w:p>
        </w:tc>
        <w:tc>
          <w:tcPr>
            <w:tcW w:w="0" w:type="auto"/>
            <w:tcBorders>
              <w:tl2br w:val="nil"/>
              <w:tr2bl w:val="nil"/>
            </w:tcBorders>
            <w:shd w:val="clear" w:color="auto" w:fill="auto"/>
            <w:vAlign w:val="center"/>
          </w:tcPr>
          <w:p w14:paraId="4D0BDF60">
            <w:pPr>
              <w:keepNext w:val="0"/>
              <w:keepLines w:val="0"/>
              <w:widowControl/>
              <w:suppressLineNumbers w:val="0"/>
              <w:jc w:val="center"/>
              <w:rPr>
                <w:rFonts w:hint="default" w:ascii="Arial" w:hAnsi="Arial" w:cs="Arial"/>
                <w:b/>
                <w:bCs/>
                <w:sz w:val="22"/>
                <w:szCs w:val="22"/>
              </w:rPr>
            </w:pPr>
            <w:r>
              <w:rPr>
                <w:rFonts w:hint="default" w:ascii="Arial" w:hAnsi="Arial" w:eastAsia="SimSun" w:cs="Arial"/>
                <w:b/>
                <w:bCs/>
                <w:kern w:val="0"/>
                <w:sz w:val="22"/>
                <w:szCs w:val="22"/>
                <w:lang w:val="en-US" w:eastAsia="zh-CN" w:bidi="ar"/>
              </w:rPr>
              <w:t>Strategic Initiative</w:t>
            </w:r>
          </w:p>
        </w:tc>
      </w:tr>
      <w:tr w14:paraId="2C0C2B8B">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CellMar>
            <w:top w:w="15" w:type="dxa"/>
            <w:left w:w="15" w:type="dxa"/>
            <w:bottom w:w="15" w:type="dxa"/>
            <w:right w:w="15" w:type="dxa"/>
          </w:tblCellMar>
        </w:tblPrEx>
        <w:trPr>
          <w:tblCellSpacing w:w="15" w:type="dxa"/>
        </w:trPr>
        <w:tc>
          <w:tcPr>
            <w:tcW w:w="0" w:type="auto"/>
            <w:tcBorders>
              <w:tl2br w:val="nil"/>
              <w:tr2bl w:val="nil"/>
            </w:tcBorders>
            <w:shd w:val="clear" w:color="auto" w:fill="auto"/>
            <w:vAlign w:val="center"/>
          </w:tcPr>
          <w:p w14:paraId="539AA730">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Financial</w:t>
            </w:r>
          </w:p>
        </w:tc>
        <w:tc>
          <w:tcPr>
            <w:tcW w:w="0" w:type="auto"/>
            <w:tcBorders>
              <w:tl2br w:val="nil"/>
              <w:tr2bl w:val="nil"/>
            </w:tcBorders>
            <w:shd w:val="clear" w:color="auto" w:fill="auto"/>
            <w:vAlign w:val="center"/>
          </w:tcPr>
          <w:p w14:paraId="730962C1">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Increase profitability</w:t>
            </w:r>
          </w:p>
        </w:tc>
        <w:tc>
          <w:tcPr>
            <w:tcW w:w="0" w:type="auto"/>
            <w:tcBorders>
              <w:tl2br w:val="nil"/>
              <w:tr2bl w:val="nil"/>
            </w:tcBorders>
            <w:shd w:val="clear" w:color="auto" w:fill="auto"/>
            <w:vAlign w:val="center"/>
          </w:tcPr>
          <w:p w14:paraId="12F1601F">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Operating Margin</w:t>
            </w:r>
          </w:p>
        </w:tc>
        <w:tc>
          <w:tcPr>
            <w:tcW w:w="0" w:type="auto"/>
            <w:tcBorders>
              <w:tl2br w:val="nil"/>
              <w:tr2bl w:val="nil"/>
            </w:tcBorders>
            <w:shd w:val="clear" w:color="auto" w:fill="auto"/>
            <w:vAlign w:val="center"/>
          </w:tcPr>
          <w:p w14:paraId="61848749">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10.5% by 2030</w:t>
            </w:r>
          </w:p>
        </w:tc>
        <w:tc>
          <w:tcPr>
            <w:tcW w:w="0" w:type="auto"/>
            <w:tcBorders>
              <w:tl2br w:val="nil"/>
              <w:tr2bl w:val="nil"/>
            </w:tcBorders>
            <w:shd w:val="clear" w:color="auto" w:fill="auto"/>
            <w:vAlign w:val="center"/>
          </w:tcPr>
          <w:p w14:paraId="7FCEA203">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Premium fragrance innovation</w:t>
            </w:r>
          </w:p>
        </w:tc>
      </w:tr>
      <w:tr w14:paraId="061DDAED">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CellMar>
            <w:top w:w="15" w:type="dxa"/>
            <w:left w:w="15" w:type="dxa"/>
            <w:bottom w:w="15" w:type="dxa"/>
            <w:right w:w="15" w:type="dxa"/>
          </w:tblCellMar>
        </w:tblPrEx>
        <w:trPr>
          <w:tblCellSpacing w:w="15" w:type="dxa"/>
        </w:trPr>
        <w:tc>
          <w:tcPr>
            <w:tcW w:w="0" w:type="auto"/>
            <w:tcBorders>
              <w:tl2br w:val="nil"/>
              <w:tr2bl w:val="nil"/>
            </w:tcBorders>
            <w:shd w:val="clear" w:color="auto" w:fill="auto"/>
            <w:vAlign w:val="center"/>
          </w:tcPr>
          <w:p w14:paraId="7D49B14D">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Customer</w:t>
            </w:r>
          </w:p>
        </w:tc>
        <w:tc>
          <w:tcPr>
            <w:tcW w:w="0" w:type="auto"/>
            <w:tcBorders>
              <w:tl2br w:val="nil"/>
              <w:tr2bl w:val="nil"/>
            </w:tcBorders>
            <w:shd w:val="clear" w:color="auto" w:fill="auto"/>
            <w:vAlign w:val="center"/>
          </w:tcPr>
          <w:p w14:paraId="3DC68483">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Improve customer loyalty</w:t>
            </w:r>
          </w:p>
        </w:tc>
        <w:tc>
          <w:tcPr>
            <w:tcW w:w="0" w:type="auto"/>
            <w:tcBorders>
              <w:tl2br w:val="nil"/>
              <w:tr2bl w:val="nil"/>
            </w:tcBorders>
            <w:shd w:val="clear" w:color="auto" w:fill="auto"/>
            <w:vAlign w:val="center"/>
          </w:tcPr>
          <w:p w14:paraId="4DEC137F">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Repeat Purchase Rate</w:t>
            </w:r>
          </w:p>
        </w:tc>
        <w:tc>
          <w:tcPr>
            <w:tcW w:w="0" w:type="auto"/>
            <w:tcBorders>
              <w:tl2br w:val="nil"/>
              <w:tr2bl w:val="nil"/>
            </w:tcBorders>
            <w:shd w:val="clear" w:color="auto" w:fill="auto"/>
            <w:vAlign w:val="center"/>
          </w:tcPr>
          <w:p w14:paraId="32566F06">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+15%</w:t>
            </w:r>
          </w:p>
        </w:tc>
        <w:tc>
          <w:tcPr>
            <w:tcW w:w="0" w:type="auto"/>
            <w:tcBorders>
              <w:tl2br w:val="nil"/>
              <w:tr2bl w:val="nil"/>
            </w:tcBorders>
            <w:shd w:val="clear" w:color="auto" w:fill="auto"/>
            <w:vAlign w:val="center"/>
          </w:tcPr>
          <w:p w14:paraId="48BA7942">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AI-powered personalisation and loyalty programmes</w:t>
            </w:r>
          </w:p>
        </w:tc>
      </w:tr>
      <w:tr w14:paraId="48A3AA47">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CellMar>
            <w:top w:w="15" w:type="dxa"/>
            <w:left w:w="15" w:type="dxa"/>
            <w:bottom w:w="15" w:type="dxa"/>
            <w:right w:w="15" w:type="dxa"/>
          </w:tblCellMar>
        </w:tblPrEx>
        <w:trPr>
          <w:tblCellSpacing w:w="15" w:type="dxa"/>
        </w:trPr>
        <w:tc>
          <w:tcPr>
            <w:tcW w:w="0" w:type="auto"/>
            <w:tcBorders>
              <w:tl2br w:val="nil"/>
              <w:tr2bl w:val="nil"/>
            </w:tcBorders>
            <w:shd w:val="clear" w:color="auto" w:fill="auto"/>
            <w:vAlign w:val="center"/>
          </w:tcPr>
          <w:p w14:paraId="59DF315D">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Internal Business Processes</w:t>
            </w:r>
          </w:p>
        </w:tc>
        <w:tc>
          <w:tcPr>
            <w:tcW w:w="0" w:type="auto"/>
            <w:tcBorders>
              <w:tl2br w:val="nil"/>
              <w:tr2bl w:val="nil"/>
            </w:tcBorders>
            <w:shd w:val="clear" w:color="auto" w:fill="auto"/>
            <w:vAlign w:val="center"/>
          </w:tcPr>
          <w:p w14:paraId="7B6E36D0">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Enhance operational efficiency</w:t>
            </w:r>
          </w:p>
        </w:tc>
        <w:tc>
          <w:tcPr>
            <w:tcW w:w="0" w:type="auto"/>
            <w:tcBorders>
              <w:tl2br w:val="nil"/>
              <w:tr2bl w:val="nil"/>
            </w:tcBorders>
            <w:shd w:val="clear" w:color="auto" w:fill="auto"/>
            <w:vAlign w:val="center"/>
          </w:tcPr>
          <w:p w14:paraId="21056C47">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Manufacturing Waste</w:t>
            </w:r>
          </w:p>
        </w:tc>
        <w:tc>
          <w:tcPr>
            <w:tcW w:w="0" w:type="auto"/>
            <w:tcBorders>
              <w:tl2br w:val="nil"/>
              <w:tr2bl w:val="nil"/>
            </w:tcBorders>
            <w:shd w:val="clear" w:color="auto" w:fill="auto"/>
            <w:vAlign w:val="center"/>
          </w:tcPr>
          <w:p w14:paraId="5B39807B">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Reduce by 20%</w:t>
            </w:r>
          </w:p>
        </w:tc>
        <w:tc>
          <w:tcPr>
            <w:tcW w:w="0" w:type="auto"/>
            <w:tcBorders>
              <w:tl2br w:val="nil"/>
              <w:tr2bl w:val="nil"/>
            </w:tcBorders>
            <w:shd w:val="clear" w:color="auto" w:fill="auto"/>
            <w:vAlign w:val="center"/>
          </w:tcPr>
          <w:p w14:paraId="0B26A8E5">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Sustainable production and digital supply chain</w:t>
            </w:r>
          </w:p>
        </w:tc>
      </w:tr>
      <w:tr w14:paraId="3BC9A65F">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color="auto" w:fill="auto"/>
          <w:tblCellMar>
            <w:top w:w="15" w:type="dxa"/>
            <w:left w:w="15" w:type="dxa"/>
            <w:bottom w:w="15" w:type="dxa"/>
            <w:right w:w="15" w:type="dxa"/>
          </w:tblCellMar>
        </w:tblPrEx>
        <w:trPr>
          <w:tblCellSpacing w:w="15" w:type="dxa"/>
        </w:trPr>
        <w:tc>
          <w:tcPr>
            <w:tcW w:w="0" w:type="auto"/>
            <w:tcBorders>
              <w:tl2br w:val="nil"/>
              <w:tr2bl w:val="nil"/>
            </w:tcBorders>
            <w:shd w:val="clear" w:color="auto" w:fill="auto"/>
            <w:vAlign w:val="center"/>
          </w:tcPr>
          <w:p w14:paraId="59A706BC">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Learning &amp; Growth</w:t>
            </w:r>
          </w:p>
        </w:tc>
        <w:tc>
          <w:tcPr>
            <w:tcW w:w="0" w:type="auto"/>
            <w:tcBorders>
              <w:tl2br w:val="nil"/>
              <w:tr2bl w:val="nil"/>
            </w:tcBorders>
            <w:shd w:val="clear" w:color="auto" w:fill="auto"/>
            <w:vAlign w:val="center"/>
          </w:tcPr>
          <w:p w14:paraId="13EEB064">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Strengthen innovation capability</w:t>
            </w:r>
          </w:p>
        </w:tc>
        <w:tc>
          <w:tcPr>
            <w:tcW w:w="0" w:type="auto"/>
            <w:tcBorders>
              <w:tl2br w:val="nil"/>
              <w:tr2bl w:val="nil"/>
            </w:tcBorders>
            <w:shd w:val="clear" w:color="auto" w:fill="auto"/>
            <w:vAlign w:val="center"/>
          </w:tcPr>
          <w:p w14:paraId="0410D34B">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Employee Innovation Training</w:t>
            </w:r>
          </w:p>
        </w:tc>
        <w:tc>
          <w:tcPr>
            <w:tcW w:w="0" w:type="auto"/>
            <w:tcBorders>
              <w:tl2br w:val="nil"/>
              <w:tr2bl w:val="nil"/>
            </w:tcBorders>
            <w:shd w:val="clear" w:color="auto" w:fill="auto"/>
            <w:vAlign w:val="center"/>
          </w:tcPr>
          <w:p w14:paraId="6211E999">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100% managerial staff trained</w:t>
            </w:r>
          </w:p>
        </w:tc>
        <w:tc>
          <w:tcPr>
            <w:tcW w:w="0" w:type="auto"/>
            <w:tcBorders>
              <w:tl2br w:val="nil"/>
              <w:tr2bl w:val="nil"/>
            </w:tcBorders>
            <w:shd w:val="clear" w:color="auto" w:fill="auto"/>
            <w:vAlign w:val="center"/>
          </w:tcPr>
          <w:p w14:paraId="327D58B5">
            <w:pPr>
              <w:keepNext w:val="0"/>
              <w:keepLines w:val="0"/>
              <w:widowControl/>
              <w:suppressLineNumbers w:val="0"/>
              <w:jc w:val="left"/>
              <w:rPr>
                <w:rFonts w:hint="default" w:ascii="Arial" w:hAnsi="Arial" w:cs="Arial"/>
                <w:sz w:val="22"/>
                <w:szCs w:val="22"/>
              </w:rPr>
            </w:pPr>
            <w:r>
              <w:rPr>
                <w:rFonts w:hint="default" w:ascii="Arial" w:hAnsi="Arial" w:eastAsia="SimSun" w:cs="Arial"/>
                <w:kern w:val="0"/>
                <w:sz w:val="22"/>
                <w:szCs w:val="22"/>
                <w:lang w:val="en-US" w:eastAsia="zh-CN" w:bidi="ar"/>
              </w:rPr>
              <w:t>AI, sustainability, and leadership development</w:t>
            </w:r>
          </w:p>
        </w:tc>
      </w:tr>
    </w:tbl>
    <w:p w14:paraId="7F90FDAF">
      <w:pPr>
        <w:pStyle w:val="11"/>
        <w:keepNext w:val="0"/>
        <w:keepLines w:val="0"/>
        <w:widowControl/>
        <w:suppressLineNumbers w:val="0"/>
        <w:rPr>
          <w:rFonts w:hint="default" w:ascii="Arial" w:hAnsi="Arial" w:cs="Arial"/>
          <w:lang w:val="en-GB"/>
        </w:rPr>
      </w:pPr>
    </w:p>
    <w:p w14:paraId="5EFF932B">
      <w:pPr>
        <w:pStyle w:val="11"/>
        <w:keepNext w:val="0"/>
        <w:keepLines w:val="0"/>
        <w:widowControl/>
        <w:suppressLineNumbers w:val="0"/>
        <w:rPr>
          <w:rFonts w:hint="default" w:ascii="Arial" w:hAnsi="Arial" w:cs="Arial"/>
          <w:lang w:val="en-GB"/>
        </w:rPr>
      </w:pPr>
      <w:r>
        <w:rPr>
          <w:rFonts w:hint="default" w:ascii="Arial" w:hAnsi="Arial" w:cs="Arial"/>
          <w:lang w:val="en-GB"/>
        </w:rPr>
        <w:t>Instead of depending only on financial development, Dior Beauty's long-term success depends on striking a balance between financial performance, customer satisfaction, internal processes, and organizational learning. This directly contributes to Dior's goal of "leaving beauty as a legacy," which calls for the company to generate revenue while safeguarding social and environmental resources for coming generations (Dior, 2026).</w:t>
      </w:r>
    </w:p>
    <w:p w14:paraId="5B32679D">
      <w:pPr>
        <w:pStyle w:val="11"/>
        <w:keepNext w:val="0"/>
        <w:keepLines w:val="0"/>
        <w:widowControl/>
        <w:suppressLineNumbers w:val="0"/>
        <w:rPr>
          <w:rFonts w:hint="default" w:ascii="Arial" w:hAnsi="Arial" w:cs="Arial"/>
          <w:lang w:val="en-GB"/>
        </w:rPr>
      </w:pPr>
      <w:r>
        <w:rPr>
          <w:rFonts w:hint="default" w:ascii="Arial" w:hAnsi="Arial" w:cs="Arial"/>
          <w:lang w:val="en-GB"/>
        </w:rPr>
        <w:t>Customer pleasure boosts loyalty and luxury brand equity, while financial performance permits ongoing investments in sustainability and innovation. Internal procedures facilitate ecological packaging, ethical sourcing, and refillable goods, while learning and development promote creativity and adjustment to shifting customer demands (Dior, 2026). Dior may thus achieve profitable growth while upholding its sustainability goals and long-term competitive advantage by including CSR into the Balanced Scorecard.</w:t>
      </w:r>
    </w:p>
    <w:p w14:paraId="378A1D07">
      <w:pPr>
        <w:pStyle w:val="11"/>
        <w:keepNext w:val="0"/>
        <w:keepLines w:val="0"/>
        <w:widowControl/>
        <w:suppressLineNumbers w:val="0"/>
        <w:rPr>
          <w:rFonts w:hint="default" w:ascii="Arial" w:hAnsi="Arial" w:cs="Arial"/>
          <w:lang w:val="en-GB"/>
        </w:rPr>
      </w:pPr>
    </w:p>
    <w:p w14:paraId="2AA9BEF7">
      <w:pPr>
        <w:pStyle w:val="2"/>
        <w:keepNext w:val="0"/>
        <w:keepLines w:val="0"/>
        <w:widowControl/>
        <w:suppressLineNumbers w:val="0"/>
        <w:rPr>
          <w:rFonts w:hint="default" w:ascii="Arial" w:hAnsi="Arial" w:cs="Arial"/>
          <w:sz w:val="22"/>
          <w:szCs w:val="22"/>
        </w:rPr>
      </w:pPr>
      <w:r>
        <w:rPr>
          <w:rFonts w:hint="default" w:ascii="Arial" w:hAnsi="Arial" w:cs="Arial"/>
          <w:sz w:val="22"/>
          <w:szCs w:val="22"/>
        </w:rPr>
        <w:t>Part 4: Strategic Choices and Implementation</w:t>
      </w:r>
    </w:p>
    <w:p w14:paraId="24F0AB1C">
      <w:pPr>
        <w:pStyle w:val="3"/>
        <w:keepNext w:val="0"/>
        <w:keepLines w:val="0"/>
        <w:widowControl/>
        <w:suppressLineNumbers w:val="0"/>
        <w:rPr>
          <w:rFonts w:hint="default" w:ascii="Arial" w:hAnsi="Arial" w:cs="Arial"/>
        </w:rPr>
      </w:pPr>
      <w:r>
        <w:rPr>
          <w:rFonts w:hint="default" w:ascii="Arial" w:hAnsi="Arial" w:cs="Arial"/>
          <w:sz w:val="22"/>
          <w:szCs w:val="22"/>
        </w:rPr>
        <w:t>4.1 Strategic Choices Available to Dior Beauty</w:t>
      </w:r>
    </w:p>
    <w:p w14:paraId="39F6C343">
      <w:pPr>
        <w:pStyle w:val="11"/>
        <w:keepNext w:val="0"/>
        <w:keepLines w:val="0"/>
        <w:widowControl/>
        <w:suppressLineNumbers w:val="0"/>
        <w:rPr>
          <w:rFonts w:hint="default" w:ascii="Arial" w:hAnsi="Arial" w:cs="Arial"/>
          <w:lang w:val="en-GB"/>
        </w:rPr>
      </w:pPr>
      <w:r>
        <w:rPr>
          <w:rFonts w:hint="default" w:ascii="Arial" w:hAnsi="Arial" w:cs="Arial"/>
        </w:rPr>
        <w:t xml:space="preserve">Dior Beauty must make a strategic decision that maintains its competitive edge while adapting to shifting consumer demands and escalating competition in the market for high-end fragrances. Three general techniques are identified by Porter (1985): focus, differentiation, and cost leadership. Cost leadership is inappropriate for Dior Beauty since it would be incompatible with its luxury positioning and could erode perceptions of exclusivity to compete solely on price. A globally recognized brand's potential for expansion would also be constrained by a narrow focus plan. </w:t>
      </w:r>
      <w:r>
        <w:rPr>
          <w:rFonts w:hint="default" w:ascii="Arial" w:hAnsi="Arial" w:cs="Arial"/>
          <w:b/>
          <w:bCs/>
        </w:rPr>
        <w:t>Differentiation</w:t>
      </w:r>
      <w:r>
        <w:rPr>
          <w:rFonts w:hint="default" w:ascii="Arial" w:hAnsi="Arial" w:cs="Arial"/>
        </w:rPr>
        <w:t xml:space="preserve"> is therefore the best course of action.</w:t>
      </w:r>
      <w:r>
        <w:rPr>
          <w:rFonts w:hint="default" w:ascii="Arial" w:hAnsi="Arial" w:cs="Arial"/>
          <w:lang w:val="en-GB"/>
        </w:rPr>
        <w:t xml:space="preserve"> “Strategic decisions throughout the process” should be supported by compelling logic and coherent arguments (Valentin, 2014).</w:t>
      </w:r>
    </w:p>
    <w:p w14:paraId="01659502">
      <w:pPr>
        <w:pStyle w:val="11"/>
        <w:keepNext w:val="0"/>
        <w:keepLines w:val="0"/>
        <w:widowControl/>
        <w:suppressLineNumbers w:val="0"/>
        <w:rPr>
          <w:rFonts w:hint="default" w:ascii="Arial" w:hAnsi="Arial" w:cs="Arial"/>
        </w:rPr>
      </w:pPr>
      <w:r>
        <w:rPr>
          <w:rFonts w:hint="default" w:ascii="Arial" w:hAnsi="Arial" w:cs="Arial"/>
        </w:rPr>
        <w:t>Dior already sets itself apart with its French roots, high-end merchandise, unique packaging, recognizable scents, and opulent consumer experiences. Beyond the practical advantages of scent, the company's strong brand equity enables it to charge premium prices and create emotional value (LVMH, 2026). However, as rivals can increasingly copy celebrity marketing and product launches, preserving differentiation necessitates constant innovation.</w:t>
      </w:r>
    </w:p>
    <w:p w14:paraId="03C0FE92">
      <w:pPr>
        <w:pStyle w:val="11"/>
        <w:keepNext w:val="0"/>
        <w:keepLines w:val="0"/>
        <w:widowControl/>
        <w:suppressLineNumbers w:val="0"/>
        <w:rPr>
          <w:rFonts w:hint="default" w:ascii="Arial" w:hAnsi="Arial" w:cs="Arial"/>
        </w:rPr>
      </w:pPr>
      <w:r>
        <w:rPr>
          <w:rFonts w:hint="default" w:ascii="Arial" w:hAnsi="Arial" w:cs="Arial"/>
        </w:rPr>
        <w:t>Therefore, AI-powered scent personalization, digital consultations, refillable packaging, exclusive limited-edition collections, and improved omnichannel experiences should be the main areas of future differentiation. While sustainable packaging addresses rising environmental requirements, digital personalization can enhance consumer interaction (McKinsey &amp; Company, 2023; Dior, 2026). By using cutting-edge ingredients and ethical sourcing, Dior can further differentiate itself and uphold its goal of "leaving beauty as a legacy" (Dior, 2026).</w:t>
      </w:r>
    </w:p>
    <w:p w14:paraId="70604ADE">
      <w:pPr>
        <w:pStyle w:val="11"/>
        <w:keepNext w:val="0"/>
        <w:keepLines w:val="0"/>
        <w:widowControl/>
        <w:suppressLineNumbers w:val="0"/>
        <w:rPr>
          <w:rFonts w:hint="default" w:ascii="Arial" w:hAnsi="Arial" w:cs="Arial"/>
        </w:rPr>
      </w:pPr>
      <w:r>
        <w:rPr>
          <w:rFonts w:hint="default" w:ascii="Arial" w:hAnsi="Arial" w:cs="Arial"/>
        </w:rPr>
        <w:t>All things considered, differentiation helps Dior maintain its premium stance while boosting long-term brand equity, consumer loyalty, and innovation. As a result, this approach offers the best foundation for maintaining a competitive edge in the market for high-end fragrances.</w:t>
      </w:r>
    </w:p>
    <w:p w14:paraId="7004CD24">
      <w:pPr>
        <w:keepNext w:val="0"/>
        <w:keepLines w:val="0"/>
        <w:widowControl/>
        <w:suppressLineNumbers w:val="0"/>
        <w:rPr>
          <w:rFonts w:hint="default" w:ascii="Arial" w:hAnsi="Arial" w:cs="Arial"/>
        </w:rPr>
      </w:pPr>
    </w:p>
    <w:p w14:paraId="3E12A372">
      <w:pPr>
        <w:pStyle w:val="2"/>
        <w:keepNext w:val="0"/>
        <w:keepLines w:val="0"/>
        <w:widowControl/>
        <w:suppressLineNumbers w:val="0"/>
        <w:rPr>
          <w:rFonts w:hint="default" w:ascii="Arial" w:hAnsi="Arial" w:cs="Arial"/>
          <w:sz w:val="24"/>
          <w:szCs w:val="24"/>
        </w:rPr>
      </w:pPr>
      <w:r>
        <w:rPr>
          <w:rFonts w:hint="default" w:ascii="Arial" w:hAnsi="Arial" w:cs="Arial"/>
          <w:sz w:val="24"/>
          <w:szCs w:val="24"/>
        </w:rPr>
        <w:t xml:space="preserve">4.2 </w:t>
      </w:r>
      <w:r>
        <w:rPr>
          <w:rFonts w:hint="default" w:ascii="Arial" w:hAnsi="Arial" w:cs="Arial"/>
          <w:sz w:val="24"/>
          <w:szCs w:val="24"/>
          <w:lang w:val="en-GB"/>
        </w:rPr>
        <w:t xml:space="preserve">The most appropriate strategy would be </w:t>
      </w:r>
      <w:r>
        <w:rPr>
          <w:rFonts w:hint="default" w:ascii="Arial" w:hAnsi="Arial" w:cs="Arial"/>
          <w:sz w:val="24"/>
          <w:szCs w:val="24"/>
        </w:rPr>
        <w:t>Ansoff Matrix</w:t>
      </w:r>
    </w:p>
    <w:p w14:paraId="0FABFA35">
      <w:pPr>
        <w:pStyle w:val="11"/>
        <w:keepNext w:val="0"/>
        <w:keepLines w:val="0"/>
        <w:widowControl/>
        <w:suppressLineNumbers w:val="0"/>
        <w:rPr>
          <w:rFonts w:hint="default" w:ascii="Arial" w:hAnsi="Arial" w:cs="Arial"/>
        </w:rPr>
      </w:pPr>
      <w:r>
        <w:rPr>
          <w:rFonts w:hint="default" w:ascii="Arial" w:hAnsi="Arial" w:cs="Arial"/>
        </w:rPr>
        <w:t>The Ansoff Matrix provides a useful framework for evaluating Dior Beauty's future growth opportunities.</w:t>
      </w:r>
      <w:r>
        <w:rPr>
          <w:rFonts w:hint="default" w:ascii="Arial" w:hAnsi="Arial" w:cs="Arial"/>
          <w:lang w:val="en-GB"/>
        </w:rPr>
        <w:t xml:space="preserve"> </w:t>
      </w:r>
    </w:p>
    <w:tbl>
      <w:tblPr>
        <w:tblW w:w="0" w:type="auto"/>
        <w:tblCellSpacing w:w="15" w:type="dxa"/>
        <w:tblInd w:w="0" w:type="dxa"/>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Layout w:type="autofit"/>
        <w:tblCellMar>
          <w:top w:w="15" w:type="dxa"/>
          <w:left w:w="15" w:type="dxa"/>
          <w:bottom w:w="15" w:type="dxa"/>
          <w:right w:w="15" w:type="dxa"/>
        </w:tblCellMar>
      </w:tblPr>
      <w:tblGrid>
        <w:gridCol w:w="1670"/>
        <w:gridCol w:w="2567"/>
        <w:gridCol w:w="3232"/>
        <w:gridCol w:w="947"/>
      </w:tblGrid>
      <w:tr w14:paraId="616E86C5">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Header/>
          <w:tblCellSpacing w:w="15" w:type="dxa"/>
        </w:trPr>
        <w:tc>
          <w:tcPr>
            <w:tcW w:w="0" w:type="auto"/>
            <w:tcBorders>
              <w:tl2br w:val="nil"/>
              <w:tr2bl w:val="nil"/>
            </w:tcBorders>
            <w:shd w:val="clear"/>
            <w:vAlign w:val="center"/>
          </w:tcPr>
          <w:p w14:paraId="3DFA0BBE">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Strategy</w:t>
            </w:r>
          </w:p>
        </w:tc>
        <w:tc>
          <w:tcPr>
            <w:tcW w:w="0" w:type="auto"/>
            <w:tcBorders>
              <w:tl2br w:val="nil"/>
              <w:tr2bl w:val="nil"/>
            </w:tcBorders>
            <w:shd w:val="clear"/>
            <w:vAlign w:val="center"/>
          </w:tcPr>
          <w:p w14:paraId="72DE4E7C">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Application to Dior Beauty</w:t>
            </w:r>
          </w:p>
        </w:tc>
        <w:tc>
          <w:tcPr>
            <w:tcW w:w="0" w:type="auto"/>
            <w:tcBorders>
              <w:tl2br w:val="nil"/>
              <w:tr2bl w:val="nil"/>
            </w:tcBorders>
            <w:shd w:val="clear"/>
            <w:vAlign w:val="center"/>
          </w:tcPr>
          <w:p w14:paraId="1AB8BF0A">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Strategic Rationale</w:t>
            </w:r>
          </w:p>
        </w:tc>
        <w:tc>
          <w:tcPr>
            <w:tcW w:w="0" w:type="auto"/>
            <w:tcBorders>
              <w:tl2br w:val="nil"/>
              <w:tr2bl w:val="nil"/>
            </w:tcBorders>
            <w:shd w:val="clear"/>
            <w:vAlign w:val="center"/>
          </w:tcPr>
          <w:p w14:paraId="797906CF">
            <w:pPr>
              <w:keepNext w:val="0"/>
              <w:keepLines w:val="0"/>
              <w:widowControl/>
              <w:suppressLineNumbers w:val="0"/>
              <w:jc w:val="center"/>
              <w:rPr>
                <w:rFonts w:hint="default" w:ascii="Arial" w:hAnsi="Arial" w:cs="Arial"/>
                <w:b/>
                <w:bCs/>
                <w:sz w:val="22"/>
                <w:szCs w:val="22"/>
              </w:rPr>
            </w:pPr>
            <w:r>
              <w:rPr>
                <w:rStyle w:val="12"/>
                <w:rFonts w:hint="default" w:ascii="Arial" w:hAnsi="Arial" w:eastAsia="SimSun" w:cs="Arial"/>
                <w:kern w:val="0"/>
                <w:sz w:val="22"/>
                <w:szCs w:val="22"/>
                <w:lang w:val="en-US" w:eastAsia="zh-CN" w:bidi="ar"/>
              </w:rPr>
              <w:t>Risk Level</w:t>
            </w:r>
          </w:p>
        </w:tc>
      </w:tr>
      <w:tr w14:paraId="36B1DA71">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682D357E">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Market Penetration</w:t>
            </w:r>
          </w:p>
        </w:tc>
        <w:tc>
          <w:tcPr>
            <w:tcW w:w="0" w:type="auto"/>
            <w:tcBorders>
              <w:tl2br w:val="nil"/>
              <w:tr2bl w:val="nil"/>
            </w:tcBorders>
            <w:shd w:val="clear"/>
            <w:vAlign w:val="center"/>
          </w:tcPr>
          <w:p w14:paraId="7094CCB3">
            <w:pPr>
              <w:keepNext w:val="0"/>
              <w:keepLines w:val="0"/>
              <w:widowControl/>
              <w:suppressLineNumbers w:val="0"/>
              <w:jc w:val="left"/>
              <w:rPr>
                <w:rFonts w:hint="default" w:ascii="Arial" w:hAnsi="Arial" w:cs="Arial"/>
                <w:sz w:val="22"/>
                <w:szCs w:val="22"/>
              </w:rPr>
            </w:pPr>
            <w:r>
              <w:rPr>
                <w:rFonts w:hint="default" w:ascii="Arial" w:hAnsi="Arial" w:cs="Arial"/>
                <w:sz w:val="22"/>
                <w:szCs w:val="22"/>
              </w:rPr>
              <w:t>Boost digital marketing, social commerce, customer loyalty programs, and repeat business in current UK marketplaces.</w:t>
            </w:r>
          </w:p>
        </w:tc>
        <w:tc>
          <w:tcPr>
            <w:tcW w:w="0" w:type="auto"/>
            <w:tcBorders>
              <w:tl2br w:val="nil"/>
              <w:tr2bl w:val="nil"/>
            </w:tcBorders>
            <w:shd w:val="clear"/>
            <w:vAlign w:val="center"/>
          </w:tcPr>
          <w:p w14:paraId="68CB8CD2">
            <w:pPr>
              <w:keepNext w:val="0"/>
              <w:keepLines w:val="0"/>
              <w:widowControl/>
              <w:suppressLineNumbers w:val="0"/>
              <w:jc w:val="left"/>
              <w:rPr>
                <w:rFonts w:hint="default" w:ascii="Arial" w:hAnsi="Arial" w:cs="Arial"/>
                <w:sz w:val="22"/>
                <w:szCs w:val="22"/>
              </w:rPr>
            </w:pPr>
            <w:r>
              <w:rPr>
                <w:rFonts w:hint="default" w:ascii="Arial" w:hAnsi="Arial" w:cs="Arial"/>
                <w:sz w:val="22"/>
                <w:szCs w:val="22"/>
              </w:rPr>
              <w:t>Without venturing into new markets, Dior can strengthen ties with current clients and boost frequency of purchases. Given that customers are increasingly finding beauty items online, digital engagement is especially crucial (McKinsey &amp; Company, 2023).</w:t>
            </w:r>
          </w:p>
        </w:tc>
        <w:tc>
          <w:tcPr>
            <w:tcW w:w="0" w:type="auto"/>
            <w:tcBorders>
              <w:tl2br w:val="nil"/>
              <w:tr2bl w:val="nil"/>
            </w:tcBorders>
            <w:shd w:val="clear"/>
            <w:vAlign w:val="center"/>
          </w:tcPr>
          <w:p w14:paraId="23717953">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Low</w:t>
            </w:r>
          </w:p>
        </w:tc>
      </w:tr>
      <w:tr w14:paraId="060BF43B">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42C4FE8">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Product Development</w:t>
            </w:r>
          </w:p>
        </w:tc>
        <w:tc>
          <w:tcPr>
            <w:tcW w:w="0" w:type="auto"/>
            <w:tcBorders>
              <w:tl2br w:val="nil"/>
              <w:tr2bl w:val="nil"/>
            </w:tcBorders>
            <w:shd w:val="clear"/>
            <w:vAlign w:val="center"/>
          </w:tcPr>
          <w:p w14:paraId="3D861B1E">
            <w:pPr>
              <w:keepNext w:val="0"/>
              <w:keepLines w:val="0"/>
              <w:widowControl/>
              <w:suppressLineNumbers w:val="0"/>
              <w:jc w:val="left"/>
              <w:rPr>
                <w:rFonts w:hint="default" w:ascii="Arial" w:hAnsi="Arial" w:cs="Arial"/>
                <w:sz w:val="22"/>
                <w:szCs w:val="22"/>
              </w:rPr>
            </w:pPr>
            <w:r>
              <w:rPr>
                <w:rFonts w:hint="default" w:ascii="Arial" w:hAnsi="Arial" w:cs="Arial"/>
                <w:sz w:val="22"/>
                <w:szCs w:val="22"/>
              </w:rPr>
              <w:t>Introduce limited editions, personalized scent collections, refillable perfumes, and AI-assisted fragrance choosing.</w:t>
            </w:r>
          </w:p>
        </w:tc>
        <w:tc>
          <w:tcPr>
            <w:tcW w:w="0" w:type="auto"/>
            <w:tcBorders>
              <w:tl2br w:val="nil"/>
              <w:tr2bl w:val="nil"/>
            </w:tcBorders>
            <w:shd w:val="clear"/>
            <w:vAlign w:val="center"/>
          </w:tcPr>
          <w:p w14:paraId="6C5292AA">
            <w:pPr>
              <w:keepNext w:val="0"/>
              <w:keepLines w:val="0"/>
              <w:widowControl/>
              <w:suppressLineNumbers w:val="0"/>
              <w:jc w:val="left"/>
              <w:rPr>
                <w:rFonts w:hint="default" w:ascii="Arial" w:hAnsi="Arial" w:cs="Arial"/>
                <w:sz w:val="22"/>
                <w:szCs w:val="22"/>
              </w:rPr>
            </w:pPr>
            <w:r>
              <w:rPr>
                <w:rFonts w:hint="default" w:ascii="Arial" w:hAnsi="Arial" w:cs="Arial"/>
                <w:sz w:val="22"/>
                <w:szCs w:val="22"/>
              </w:rPr>
              <w:t>In response to consumer desire for customization and sustainable luxury, Dior is able to capitalize on its established brand equity with new goods (Dior, 2026).</w:t>
            </w:r>
          </w:p>
        </w:tc>
        <w:tc>
          <w:tcPr>
            <w:tcW w:w="0" w:type="auto"/>
            <w:tcBorders>
              <w:tl2br w:val="nil"/>
              <w:tr2bl w:val="nil"/>
            </w:tcBorders>
            <w:shd w:val="clear"/>
            <w:vAlign w:val="center"/>
          </w:tcPr>
          <w:p w14:paraId="435DD101">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Medium</w:t>
            </w:r>
          </w:p>
        </w:tc>
      </w:tr>
      <w:tr w14:paraId="7E9DFE01">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5CC0C6AC">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Market Development</w:t>
            </w:r>
          </w:p>
        </w:tc>
        <w:tc>
          <w:tcPr>
            <w:tcW w:w="0" w:type="auto"/>
            <w:tcBorders>
              <w:tl2br w:val="nil"/>
              <w:tr2bl w:val="nil"/>
            </w:tcBorders>
            <w:shd w:val="clear"/>
            <w:vAlign w:val="center"/>
          </w:tcPr>
          <w:p w14:paraId="03FDBF7B">
            <w:pPr>
              <w:keepNext w:val="0"/>
              <w:keepLines w:val="0"/>
              <w:widowControl/>
              <w:suppressLineNumbers w:val="0"/>
              <w:jc w:val="left"/>
              <w:rPr>
                <w:rFonts w:hint="default" w:ascii="Arial" w:hAnsi="Arial" w:cs="Arial"/>
                <w:sz w:val="22"/>
                <w:szCs w:val="22"/>
              </w:rPr>
            </w:pPr>
            <w:r>
              <w:rPr>
                <w:rFonts w:hint="default" w:ascii="Arial" w:hAnsi="Arial" w:cs="Arial"/>
                <w:sz w:val="22"/>
                <w:szCs w:val="22"/>
              </w:rPr>
              <w:t>Use e-commerce, flagship stores, and selective retail to enter high-growth luxury markets including Latin America, Southeast Asia, India, and the Middle East.</w:t>
            </w:r>
          </w:p>
        </w:tc>
        <w:tc>
          <w:tcPr>
            <w:tcW w:w="0" w:type="auto"/>
            <w:tcBorders>
              <w:tl2br w:val="nil"/>
              <w:tr2bl w:val="nil"/>
            </w:tcBorders>
            <w:shd w:val="clear"/>
            <w:vAlign w:val="center"/>
          </w:tcPr>
          <w:p w14:paraId="1020616E">
            <w:pPr>
              <w:keepNext w:val="0"/>
              <w:keepLines w:val="0"/>
              <w:widowControl/>
              <w:suppressLineNumbers w:val="0"/>
              <w:jc w:val="left"/>
              <w:rPr>
                <w:rFonts w:hint="default" w:ascii="Arial" w:hAnsi="Arial" w:cs="Arial"/>
                <w:sz w:val="22"/>
                <w:szCs w:val="22"/>
              </w:rPr>
            </w:pPr>
            <w:r>
              <w:rPr>
                <w:rFonts w:hint="default" w:ascii="Arial" w:hAnsi="Arial" w:cs="Arial"/>
                <w:sz w:val="22"/>
                <w:szCs w:val="22"/>
              </w:rPr>
              <w:t>Dior can translate its established luxury positioning into new geographic markets where demand for high-end beauty is rising thanks to international expansion (Bain &amp; Company, 2025).</w:t>
            </w:r>
          </w:p>
        </w:tc>
        <w:tc>
          <w:tcPr>
            <w:tcW w:w="0" w:type="auto"/>
            <w:tcBorders>
              <w:tl2br w:val="nil"/>
              <w:tr2bl w:val="nil"/>
            </w:tcBorders>
            <w:shd w:val="clear"/>
            <w:vAlign w:val="center"/>
          </w:tcPr>
          <w:p w14:paraId="21FA6687">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Medium</w:t>
            </w:r>
          </w:p>
        </w:tc>
      </w:tr>
      <w:tr w14:paraId="1F4ECE91">
        <w:tblPrEx>
          <w:tblBorders>
            <w:top w:val="single" w:color="00B0F0" w:sz="4" w:space="0"/>
            <w:left w:val="single" w:color="00B0F0" w:sz="4" w:space="0"/>
            <w:bottom w:val="single" w:color="00B0F0" w:sz="4" w:space="0"/>
            <w:right w:val="single" w:color="00B0F0" w:sz="4" w:space="0"/>
            <w:insideH w:val="single" w:color="00B0F0" w:sz="4" w:space="0"/>
            <w:insideV w:val="single" w:color="00B0F0" w:sz="4" w:space="0"/>
          </w:tblBorders>
          <w:shd w:val="clear"/>
          <w:tblCellMar>
            <w:top w:w="15" w:type="dxa"/>
            <w:left w:w="15" w:type="dxa"/>
            <w:bottom w:w="15" w:type="dxa"/>
            <w:right w:w="15" w:type="dxa"/>
          </w:tblCellMar>
        </w:tblPrEx>
        <w:trPr>
          <w:tblCellSpacing w:w="15" w:type="dxa"/>
        </w:trPr>
        <w:tc>
          <w:tcPr>
            <w:tcW w:w="0" w:type="auto"/>
            <w:tcBorders>
              <w:tl2br w:val="nil"/>
              <w:tr2bl w:val="nil"/>
            </w:tcBorders>
            <w:shd w:val="clear"/>
            <w:vAlign w:val="center"/>
          </w:tcPr>
          <w:p w14:paraId="7A1F4DCA">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Diversification</w:t>
            </w:r>
          </w:p>
        </w:tc>
        <w:tc>
          <w:tcPr>
            <w:tcW w:w="0" w:type="auto"/>
            <w:tcBorders>
              <w:tl2br w:val="nil"/>
              <w:tr2bl w:val="nil"/>
            </w:tcBorders>
            <w:shd w:val="clear"/>
            <w:vAlign w:val="center"/>
          </w:tcPr>
          <w:p w14:paraId="29F873BE">
            <w:pPr>
              <w:keepNext w:val="0"/>
              <w:keepLines w:val="0"/>
              <w:widowControl/>
              <w:suppressLineNumbers w:val="0"/>
              <w:jc w:val="left"/>
              <w:rPr>
                <w:rFonts w:hint="default" w:ascii="Arial" w:hAnsi="Arial" w:cs="Arial"/>
                <w:sz w:val="22"/>
                <w:szCs w:val="22"/>
              </w:rPr>
            </w:pPr>
            <w:r>
              <w:rPr>
                <w:rFonts w:hint="default" w:ascii="Arial" w:hAnsi="Arial" w:cs="Arial"/>
                <w:sz w:val="22"/>
                <w:szCs w:val="22"/>
              </w:rPr>
              <w:t>Create luxurious home fragrances, accompanying sensory items, and fragrance-related wellness experiences.</w:t>
            </w:r>
          </w:p>
        </w:tc>
        <w:tc>
          <w:tcPr>
            <w:tcW w:w="0" w:type="auto"/>
            <w:tcBorders>
              <w:tl2br w:val="nil"/>
              <w:tr2bl w:val="nil"/>
            </w:tcBorders>
            <w:shd w:val="clear"/>
            <w:vAlign w:val="center"/>
          </w:tcPr>
          <w:p w14:paraId="64FEDC40">
            <w:pPr>
              <w:keepNext w:val="0"/>
              <w:keepLines w:val="0"/>
              <w:widowControl/>
              <w:suppressLineNumbers w:val="0"/>
              <w:jc w:val="left"/>
              <w:rPr>
                <w:rFonts w:hint="default" w:ascii="Arial" w:hAnsi="Arial" w:cs="Arial"/>
                <w:sz w:val="22"/>
                <w:szCs w:val="22"/>
              </w:rPr>
            </w:pPr>
            <w:r>
              <w:rPr>
                <w:rFonts w:hint="default" w:ascii="Arial" w:hAnsi="Arial" w:cs="Arial"/>
                <w:sz w:val="22"/>
                <w:szCs w:val="22"/>
              </w:rPr>
              <w:t>Diversification entails entering less well-known product categories, but it has the potential to generate new revenue streams and expand Dior's scent expertise beyond traditional personal fragrance.</w:t>
            </w:r>
          </w:p>
        </w:tc>
        <w:tc>
          <w:tcPr>
            <w:tcW w:w="0" w:type="auto"/>
            <w:tcBorders>
              <w:tl2br w:val="nil"/>
              <w:tr2bl w:val="nil"/>
            </w:tcBorders>
            <w:shd w:val="clear"/>
            <w:vAlign w:val="center"/>
          </w:tcPr>
          <w:p w14:paraId="6674BEDD">
            <w:pPr>
              <w:keepNext w:val="0"/>
              <w:keepLines w:val="0"/>
              <w:widowControl/>
              <w:suppressLineNumbers w:val="0"/>
              <w:jc w:val="left"/>
              <w:rPr>
                <w:rFonts w:hint="default" w:ascii="Arial" w:hAnsi="Arial" w:cs="Arial"/>
                <w:sz w:val="22"/>
                <w:szCs w:val="22"/>
              </w:rPr>
            </w:pPr>
            <w:r>
              <w:rPr>
                <w:rStyle w:val="12"/>
                <w:rFonts w:hint="default" w:ascii="Arial" w:hAnsi="Arial" w:eastAsia="SimSun" w:cs="Arial"/>
                <w:kern w:val="0"/>
                <w:sz w:val="22"/>
                <w:szCs w:val="22"/>
                <w:lang w:val="en-US" w:eastAsia="zh-CN" w:bidi="ar"/>
              </w:rPr>
              <w:t>High</w:t>
            </w:r>
          </w:p>
        </w:tc>
      </w:tr>
    </w:tbl>
    <w:p w14:paraId="786EEE0E">
      <w:pPr>
        <w:pStyle w:val="4"/>
        <w:keepNext w:val="0"/>
        <w:keepLines w:val="0"/>
        <w:widowControl/>
        <w:suppressLineNumbers w:val="0"/>
        <w:rPr>
          <w:rFonts w:hint="default" w:ascii="Arial" w:hAnsi="Arial" w:cs="Arial"/>
          <w:sz w:val="22"/>
          <w:szCs w:val="22"/>
        </w:rPr>
      </w:pPr>
    </w:p>
    <w:p w14:paraId="5904B644">
      <w:pPr>
        <w:pStyle w:val="4"/>
        <w:keepNext w:val="0"/>
        <w:keepLines w:val="0"/>
        <w:widowControl/>
        <w:suppressLineNumbers w:val="0"/>
        <w:rPr>
          <w:rFonts w:hint="default" w:ascii="Arial" w:hAnsi="Arial" w:cs="Arial"/>
          <w:sz w:val="22"/>
          <w:szCs w:val="22"/>
        </w:rPr>
      </w:pPr>
      <w:r>
        <w:rPr>
          <w:rFonts w:hint="default" w:ascii="Arial" w:hAnsi="Arial" w:cs="Arial"/>
          <w:sz w:val="22"/>
          <w:szCs w:val="22"/>
        </w:rPr>
        <w:t>Strategic interpretation</w:t>
      </w:r>
    </w:p>
    <w:p w14:paraId="00CC76C3">
      <w:pPr>
        <w:pStyle w:val="11"/>
        <w:keepNext w:val="0"/>
        <w:keepLines w:val="0"/>
        <w:widowControl/>
        <w:suppressLineNumbers w:val="0"/>
        <w:rPr>
          <w:rFonts w:hint="default" w:ascii="Arial" w:hAnsi="Arial" w:cs="Arial"/>
          <w:sz w:val="22"/>
          <w:szCs w:val="22"/>
        </w:rPr>
      </w:pPr>
      <w:r>
        <w:rPr>
          <w:rFonts w:hint="default" w:ascii="Arial" w:hAnsi="Arial" w:cs="Arial"/>
          <w:sz w:val="22"/>
          <w:szCs w:val="22"/>
        </w:rPr>
        <w:t>By offering four avenues for sustainable growth while preserving its luxury standing, the Ansoff Matrix firmly supports Dior Beauty's objective. While product development advances the vision thru innovation, customized perfumes, and sustainable refillable products, market penetration increases consumer loyalty and solidifies Dior's appeal in current markets (Dior, 2026). Dior can expand its luxury offering into new international markets thanks to market development, which promotes global expansion. Lastly, diversity opens doors for the creation of new high-end fragrances and wellness experiences. When combined, the four tactics enable Dior to seek expansion while upholding its dedication to exclusivity, creativity, and long-term sustainability (Dior, 2026).</w:t>
      </w:r>
    </w:p>
    <w:p w14:paraId="34B3A7EE">
      <w:pPr>
        <w:pStyle w:val="11"/>
        <w:keepNext w:val="0"/>
        <w:keepLines w:val="0"/>
        <w:widowControl/>
        <w:suppressLineNumbers w:val="0"/>
        <w:rPr>
          <w:rFonts w:hint="default" w:ascii="Arial" w:hAnsi="Arial" w:cs="Arial"/>
          <w:sz w:val="22"/>
          <w:szCs w:val="22"/>
        </w:rPr>
      </w:pPr>
    </w:p>
    <w:p w14:paraId="3D8AEEBB">
      <w:pPr>
        <w:pStyle w:val="11"/>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4.3 Ansoff Strategy Can Deliver Optimum Performance and Enhance Competitive Advantage</w:t>
      </w:r>
    </w:p>
    <w:p w14:paraId="36D211E8">
      <w:pPr>
        <w:pStyle w:val="11"/>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 xml:space="preserve">By weighing growth potential against strategic risk, Dior Beauty can use the Ansoff Matrix to attain optimal performance. Since increasing customer loyalty, digital engagement, and repeat business in current markets can boost revenue without necessitating significant market-entry investment, market penetration should serve as the cornerstone. With Sauvage continuing to be the best-selling fragrance in the world, Dior's well-known Sauvage, J'adore, and Miss Dior franchises offer a solid foundation for this strategy (LVMH, 2026). </w:t>
      </w:r>
    </w:p>
    <w:p w14:paraId="24DBC316">
      <w:pPr>
        <w:pStyle w:val="11"/>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By offering innovations that rivals find difficult to imitate, product development can provide a stronger competitive edge. For instance, Dior has increased the range of refillable fragrance options, enabling the company to blend sustainability and elegance (Dior, 2026). In addition to helping Dior achieve its goal of "only leaving beauty as a legacy," this can increase client retention.</w:t>
      </w:r>
    </w:p>
    <w:p w14:paraId="5C264216">
      <w:pPr>
        <w:pStyle w:val="11"/>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 xml:space="preserve">By bringing Dior's well-established brand equity into developing luxury markets, market development contributes to further growth. Dior has a basis for expanding into high-growth countries because it currently operates internationally thru boutiques and selective distribution. This increases the possibility for worldwide revenue while decreasing reliance on developed markets (LVMH, 2026). </w:t>
      </w:r>
    </w:p>
    <w:p w14:paraId="0239D001">
      <w:pPr>
        <w:pStyle w:val="11"/>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All things considered, the best strategy is to give market penetration and product development top priority, pursue market development carefully, and employ diversification sparingly. According to Ansoff (1957) and Porter (1985), this combination enables Dior to capitalize on its current brand assets while consistently innovating, boosting customer loyalty, and establishing distinctiveness that promotes lasting competitive advantage.</w:t>
      </w:r>
    </w:p>
    <w:p w14:paraId="033604B9">
      <w:pPr>
        <w:pStyle w:val="11"/>
        <w:keepNext w:val="0"/>
        <w:keepLines w:val="0"/>
        <w:widowControl/>
        <w:suppressLineNumbers w:val="0"/>
        <w:rPr>
          <w:rFonts w:hint="default" w:ascii="Arial" w:hAnsi="Arial" w:cs="Arial"/>
          <w:sz w:val="22"/>
          <w:szCs w:val="22"/>
          <w:lang w:val="en-GB"/>
        </w:rPr>
      </w:pPr>
      <w:r>
        <w:rPr>
          <w:rFonts w:hint="default" w:ascii="Arial" w:hAnsi="Arial" w:cs="Arial"/>
          <w:b/>
          <w:bCs/>
          <w:sz w:val="22"/>
          <w:szCs w:val="22"/>
          <w:lang w:val="en-GB"/>
        </w:rPr>
        <w:t>Real-world example</w:t>
      </w:r>
    </w:p>
    <w:p w14:paraId="3E47FE61">
      <w:pPr>
        <w:keepNext w:val="0"/>
        <w:keepLines w:val="0"/>
        <w:widowControl/>
        <w:suppressLineNumbers w:val="0"/>
        <w:rPr>
          <w:rFonts w:hint="default" w:ascii="Arial" w:hAnsi="Arial" w:cs="Arial"/>
          <w:sz w:val="22"/>
          <w:szCs w:val="22"/>
          <w:lang w:val="en-GB"/>
        </w:rPr>
      </w:pPr>
      <w:r>
        <w:rPr>
          <w:rFonts w:hint="default" w:ascii="Arial" w:hAnsi="Arial" w:cs="Arial"/>
          <w:sz w:val="22"/>
          <w:szCs w:val="22"/>
        </w:rPr>
        <w:t>Dior's Sauvage franchise is an excellent real-world example. Dior has expanded the brand thru a variety of forms and expansions, such as various concentrations and associated grooming products, rather than depending solely on one product. This illustrates how product development can strengthen a company's position in the market, provide consumers more options, and prolong the profitability of a profitable scent brand (LVMH, 2026).</w:t>
      </w:r>
      <w:r>
        <w:rPr>
          <w:rFonts w:hint="default" w:ascii="Arial" w:hAnsi="Arial" w:cs="Arial"/>
          <w:sz w:val="22"/>
          <w:szCs w:val="22"/>
          <w:lang w:val="en-GB"/>
        </w:rPr>
        <w:t xml:space="preserve">  </w:t>
      </w:r>
    </w:p>
    <w:p w14:paraId="7A4EA7C8">
      <w:pPr>
        <w:keepNext w:val="0"/>
        <w:keepLines w:val="0"/>
        <w:widowControl/>
        <w:suppressLineNumbers w:val="0"/>
        <w:rPr>
          <w:rFonts w:hint="default" w:ascii="Arial" w:hAnsi="Arial" w:cs="Arial"/>
          <w:sz w:val="22"/>
          <w:szCs w:val="22"/>
          <w:lang w:val="en-GB"/>
        </w:rPr>
      </w:pPr>
    </w:p>
    <w:p w14:paraId="6C6B4791">
      <w:pPr>
        <w:keepNext w:val="0"/>
        <w:keepLines w:val="0"/>
        <w:widowControl/>
        <w:suppressLineNumbers w:val="0"/>
        <w:rPr>
          <w:rFonts w:hint="default" w:ascii="Arial" w:hAnsi="Arial" w:cs="Arial"/>
          <w:sz w:val="22"/>
          <w:szCs w:val="22"/>
          <w:lang w:val="en-GB"/>
        </w:rPr>
      </w:pPr>
    </w:p>
    <w:p w14:paraId="44E4278F">
      <w:pPr>
        <w:keepNext w:val="0"/>
        <w:keepLines w:val="0"/>
        <w:widowControl/>
        <w:suppressLineNumbers w:val="0"/>
        <w:rPr>
          <w:rFonts w:hint="default" w:ascii="Arial" w:hAnsi="Arial" w:cs="Arial"/>
          <w:b/>
          <w:bCs/>
          <w:sz w:val="24"/>
          <w:szCs w:val="24"/>
          <w:lang w:val="en-GB"/>
        </w:rPr>
      </w:pPr>
      <w:r>
        <w:rPr>
          <w:rFonts w:hint="default" w:ascii="Arial" w:hAnsi="Arial" w:cs="Arial"/>
          <w:b/>
          <w:bCs/>
          <w:sz w:val="24"/>
          <w:szCs w:val="24"/>
          <w:lang w:val="en-GB"/>
        </w:rPr>
        <w:t>4.4 Potential Challenges while implementing and Solutions</w:t>
      </w:r>
    </w:p>
    <w:p w14:paraId="093E843C">
      <w:pPr>
        <w:keepNext w:val="0"/>
        <w:keepLines w:val="0"/>
        <w:widowControl/>
        <w:suppressLineNumbers w:val="0"/>
        <w:rPr>
          <w:rFonts w:hint="default" w:ascii="Arial" w:hAnsi="Arial" w:cs="Arial"/>
          <w:sz w:val="22"/>
          <w:szCs w:val="22"/>
          <w:lang w:val="en-GB"/>
        </w:rPr>
      </w:pPr>
    </w:p>
    <w:p w14:paraId="1A8C901B">
      <w:pPr>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Implementing the Ansoff strategy may create several challenges for Dior Beauty.Dior should continue to retain restricted distribution and premium price since over-expansion and excessive accessibility could undermine its luxury exclusivity (Kapferer and Bastien, 2012). Product development integrating innovative technology, reusable packaging, and artificial intelligence may be expensive and have unpredictable returns. Thru gradual investments and test releases, Dior can lower this risk (Ansoff, 1957).</w:t>
      </w:r>
    </w:p>
    <w:p w14:paraId="7923AE98">
      <w:pPr>
        <w:keepNext w:val="0"/>
        <w:keepLines w:val="0"/>
        <w:widowControl/>
        <w:suppressLineNumbers w:val="0"/>
        <w:rPr>
          <w:rFonts w:hint="default" w:ascii="Arial" w:hAnsi="Arial" w:cs="Arial"/>
          <w:sz w:val="22"/>
          <w:szCs w:val="22"/>
          <w:lang w:val="en-GB"/>
        </w:rPr>
      </w:pPr>
    </w:p>
    <w:p w14:paraId="68E19E10">
      <w:pPr>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The growth of international markets may also provide cultural and legal difficulties. Dior may respond to local preferences while preserving its global luxury identity by conducting local market research and making selective adjustments (LVMH, 2026). Finally, because diversification involves the highest level of risk, it should be addressed carefully thru restricted launches and partnerships. This well-rounded strategy can preserve Dior's competitive edge while fostering expansion.</w:t>
      </w:r>
    </w:p>
    <w:p w14:paraId="18C6276A">
      <w:pPr>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 xml:space="preserve"> </w:t>
      </w:r>
    </w:p>
    <w:p w14:paraId="507033AE">
      <w:pPr>
        <w:keepNext w:val="0"/>
        <w:keepLines w:val="0"/>
        <w:widowControl/>
        <w:suppressLineNumbers w:val="0"/>
        <w:rPr>
          <w:rFonts w:hint="default" w:ascii="Arial" w:hAnsi="Arial" w:cs="Arial"/>
          <w:sz w:val="22"/>
          <w:szCs w:val="22"/>
          <w:lang w:val="en-GB"/>
        </w:rPr>
      </w:pPr>
    </w:p>
    <w:p w14:paraId="119F970A">
      <w:pPr>
        <w:keepNext w:val="0"/>
        <w:keepLines w:val="0"/>
        <w:widowControl/>
        <w:suppressLineNumbers w:val="0"/>
        <w:rPr>
          <w:rFonts w:hint="default" w:ascii="Arial" w:hAnsi="Arial" w:cs="Arial"/>
          <w:sz w:val="22"/>
          <w:szCs w:val="22"/>
          <w:lang w:val="en-GB"/>
        </w:rPr>
      </w:pPr>
    </w:p>
    <w:p w14:paraId="0D8517D0">
      <w:pPr>
        <w:pStyle w:val="11"/>
        <w:keepNext w:val="0"/>
        <w:keepLines w:val="0"/>
        <w:widowControl/>
        <w:suppressLineNumbers w:val="0"/>
        <w:rPr>
          <w:rFonts w:hint="default" w:ascii="Arial" w:hAnsi="Arial" w:cs="Arial"/>
          <w:b/>
          <w:bCs/>
        </w:rPr>
      </w:pPr>
      <w:r>
        <w:rPr>
          <w:rFonts w:hint="default" w:ascii="Arial" w:hAnsi="Arial" w:cs="Arial"/>
          <w:b/>
          <w:bCs/>
        </w:rPr>
        <w:t>5. Reflective Account of the Research and Strategic Analysis Process</w:t>
      </w:r>
    </w:p>
    <w:p w14:paraId="1D986618">
      <w:pPr>
        <w:pStyle w:val="11"/>
        <w:keepNext w:val="0"/>
        <w:keepLines w:val="0"/>
        <w:widowControl/>
        <w:suppressLineNumbers w:val="0"/>
        <w:rPr>
          <w:rFonts w:hint="default" w:ascii="Arial" w:hAnsi="Arial" w:cs="Arial"/>
        </w:rPr>
      </w:pPr>
      <w:r>
        <w:rPr>
          <w:rFonts w:hint="default" w:ascii="Arial" w:hAnsi="Arial" w:cs="Arial"/>
        </w:rPr>
        <w:t xml:space="preserve">I </w:t>
      </w:r>
      <w:r>
        <w:rPr>
          <w:rFonts w:hint="default" w:ascii="Arial" w:hAnsi="Arial" w:cs="Arial"/>
          <w:lang w:val="en-GB"/>
        </w:rPr>
        <w:t>used Gibbs' Reflective Cycle (1988). i</w:t>
      </w:r>
      <w:r>
        <w:rPr>
          <w:rFonts w:hint="default" w:ascii="Arial" w:hAnsi="Arial" w:cs="Arial"/>
        </w:rPr>
        <w:t>n my investigation and analysis of Dior Beauty</w:t>
      </w:r>
      <w:r>
        <w:rPr>
          <w:rFonts w:hint="default" w:ascii="Arial" w:hAnsi="Arial" w:cs="Arial"/>
          <w:lang w:val="en-GB"/>
        </w:rPr>
        <w:t>.</w:t>
      </w:r>
      <w:r>
        <w:rPr>
          <w:rFonts w:hint="default" w:ascii="Arial" w:hAnsi="Arial" w:cs="Arial"/>
        </w:rPr>
        <w:t xml:space="preserve"> The cycle offers an organized method for reflective learning and consists of six stages: description, feelings, assessment, analysis, conclusion, and action plan.</w:t>
      </w:r>
    </w:p>
    <w:p w14:paraId="7A507118">
      <w:pPr>
        <w:pStyle w:val="11"/>
        <w:keepNext w:val="0"/>
        <w:keepLines w:val="0"/>
        <w:widowControl/>
        <w:suppressLineNumbers w:val="0"/>
        <w:rPr>
          <w:rFonts w:hint="default" w:ascii="Arial" w:hAnsi="Arial" w:cs="Arial"/>
        </w:rPr>
      </w:pPr>
      <w:r>
        <w:rPr>
          <w:rFonts w:hint="default" w:ascii="Arial" w:hAnsi="Arial" w:cs="Arial"/>
          <w:lang w:val="en-GB"/>
        </w:rPr>
        <w:t xml:space="preserve">Description: </w:t>
      </w:r>
      <w:r>
        <w:rPr>
          <w:rFonts w:hint="default" w:ascii="Arial" w:hAnsi="Arial" w:cs="Arial"/>
        </w:rPr>
        <w:t>Using company reports, Dior's official website, and reliable industry sources, I started by investigating Dior Beauty's business model, goal, vision, competitive position, and scent portfolio. PESTEL, SWAT, VRIO, Porter's Generic Strategies, the Ansoff Matrix, CSR, and the Balanced Scorecard were among the strategic frameworks I then used. I was able to analyze both the external environment and Dior's internal capabilities thanks to these frameworks.</w:t>
      </w:r>
    </w:p>
    <w:p w14:paraId="38A770CB">
      <w:pPr>
        <w:pStyle w:val="11"/>
        <w:keepNext w:val="0"/>
        <w:keepLines w:val="0"/>
        <w:widowControl/>
        <w:suppressLineNumbers w:val="0"/>
        <w:rPr>
          <w:rFonts w:hint="default" w:ascii="Arial" w:hAnsi="Arial" w:cs="Arial"/>
          <w:lang w:val="en-GB"/>
        </w:rPr>
      </w:pPr>
      <w:r>
        <w:rPr>
          <w:rFonts w:hint="default" w:ascii="Arial" w:hAnsi="Arial" w:cs="Arial"/>
        </w:rPr>
        <w:t xml:space="preserve">Feelings: </w:t>
      </w:r>
      <w:r>
        <w:rPr>
          <w:rFonts w:hint="default" w:ascii="Arial" w:hAnsi="Arial" w:cs="Arial"/>
          <w:lang w:val="en-GB"/>
        </w:rPr>
        <w:t>I initially found the research difficult because Dior does not make extensive financial information about its fragrances available to the public. As a result, I had to differentiate between information particular to Dior and more general LVMH Perfumes &amp; Cosmetics data. This made me more conscious of how crucial it is to assess secondary data's comparability and dependability.</w:t>
      </w:r>
    </w:p>
    <w:p w14:paraId="6838F904">
      <w:pPr>
        <w:pStyle w:val="11"/>
        <w:keepNext w:val="0"/>
        <w:keepLines w:val="0"/>
        <w:widowControl/>
        <w:suppressLineNumbers w:val="0"/>
        <w:rPr>
          <w:rFonts w:hint="default" w:ascii="Arial" w:hAnsi="Arial" w:cs="Arial"/>
        </w:rPr>
      </w:pPr>
      <w:r>
        <w:rPr>
          <w:rFonts w:hint="default" w:ascii="Arial" w:hAnsi="Arial" w:cs="Arial"/>
        </w:rPr>
        <w:t>Evaluation: Different viewpoints on Dior's competitive position were obtained by the usage of numerous frameworks, which made the procedure valuable. But I realized that merely outlining frameworks could turn them into descriptive rather than analytical. In order to determine the connections between opportunities, threats, resources, and strategic decisions, it became crucial to compare the results across frameworks.</w:t>
      </w:r>
    </w:p>
    <w:p w14:paraId="3DB1DD21">
      <w:pPr>
        <w:pStyle w:val="11"/>
        <w:keepNext w:val="0"/>
        <w:keepLines w:val="0"/>
        <w:widowControl/>
        <w:suppressLineNumbers w:val="0"/>
        <w:rPr>
          <w:rFonts w:hint="default" w:ascii="Arial" w:hAnsi="Arial" w:cs="Arial"/>
        </w:rPr>
      </w:pPr>
      <w:r>
        <w:rPr>
          <w:rFonts w:hint="default" w:ascii="Arial" w:hAnsi="Arial" w:cs="Arial"/>
        </w:rPr>
        <w:t>Analysis: The study showed that while digital transformation, sustainable luxury, and global development represent significant prospects, Dior's greatest advantages are its brand equity, legacy, and LVMH resources. These results were then translated into strategic recommendations with the use of the Ansoff Matrix. This illustrates the idea put forth by Gibbs (1988) that reflection should go beyond simply summarizing an experience to analyze its significance and ramifications.</w:t>
      </w:r>
    </w:p>
    <w:p w14:paraId="1EF5AC61">
      <w:pPr>
        <w:pStyle w:val="11"/>
        <w:keepNext w:val="0"/>
        <w:keepLines w:val="0"/>
        <w:widowControl/>
        <w:suppressLineNumbers w:val="0"/>
        <w:rPr>
          <w:rFonts w:hint="default" w:ascii="Arial" w:hAnsi="Arial" w:cs="Arial"/>
        </w:rPr>
      </w:pPr>
      <w:r>
        <w:rPr>
          <w:rFonts w:hint="default" w:ascii="Arial" w:hAnsi="Arial" w:cs="Arial"/>
        </w:rPr>
        <w:t>Conclusion:</w:t>
      </w:r>
      <w:r>
        <w:rPr>
          <w:rFonts w:hint="default" w:ascii="Arial" w:hAnsi="Arial" w:cs="Arial"/>
          <w:lang w:val="en-GB"/>
        </w:rPr>
        <w:t xml:space="preserve"> I discovered that critical assessment is more important for successful strategic analysis than merely gathering data. Additionally, I became more conscious of the significance of accessing reliable sources, identifying data constraints, and relating theoretical models to actual organizational decisions.</w:t>
      </w:r>
    </w:p>
    <w:p w14:paraId="057F4DF6">
      <w:pPr>
        <w:pStyle w:val="11"/>
        <w:keepNext w:val="0"/>
        <w:keepLines w:val="0"/>
        <w:widowControl/>
        <w:suppressLineNumbers w:val="0"/>
        <w:rPr>
          <w:rFonts w:hint="default" w:ascii="Arial" w:hAnsi="Arial" w:cs="Arial"/>
        </w:rPr>
      </w:pPr>
      <w:r>
        <w:rPr>
          <w:rFonts w:hint="default" w:ascii="Arial" w:hAnsi="Arial" w:cs="Arial"/>
        </w:rPr>
        <w:t>Action Plan: I would prioritize primary and authoritative sources, set more precise research criteria at the outset, and strengthen the connections between each analytical framework and the final recommendations in future strategic research. Future business analyzes would be more dependable, comprehensive, and strategically relevant as a result.</w:t>
      </w:r>
    </w:p>
    <w:p w14:paraId="78B9C9F0">
      <w:pPr>
        <w:pStyle w:val="11"/>
        <w:keepNext w:val="0"/>
        <w:keepLines w:val="0"/>
        <w:widowControl/>
        <w:suppressLineNumbers w:val="0"/>
        <w:rPr>
          <w:rFonts w:hint="default" w:ascii="Arial" w:hAnsi="Arial" w:cs="Arial"/>
        </w:rPr>
      </w:pPr>
    </w:p>
    <w:p w14:paraId="4D200DB4">
      <w:pPr>
        <w:pStyle w:val="11"/>
        <w:keepNext w:val="0"/>
        <w:keepLines w:val="0"/>
        <w:widowControl/>
        <w:suppressLineNumbers w:val="0"/>
        <w:rPr>
          <w:rFonts w:hint="default" w:ascii="Arial" w:hAnsi="Arial" w:cs="Arial"/>
        </w:rPr>
      </w:pPr>
    </w:p>
    <w:p w14:paraId="05102FFA">
      <w:pPr>
        <w:pStyle w:val="11"/>
        <w:keepNext w:val="0"/>
        <w:keepLines w:val="0"/>
        <w:widowControl/>
        <w:suppressLineNumbers w:val="0"/>
        <w:rPr>
          <w:rFonts w:hint="default" w:ascii="Arial" w:hAnsi="Arial" w:cs="Arial"/>
        </w:rPr>
      </w:pPr>
    </w:p>
    <w:p w14:paraId="54A28D29">
      <w:pPr>
        <w:pStyle w:val="11"/>
        <w:keepNext w:val="0"/>
        <w:keepLines w:val="0"/>
        <w:widowControl/>
        <w:suppressLineNumbers w:val="0"/>
        <w:rPr>
          <w:rFonts w:hint="default" w:ascii="Arial" w:hAnsi="Arial" w:cs="Arial"/>
        </w:rPr>
      </w:pPr>
    </w:p>
    <w:p w14:paraId="0BDB1E02">
      <w:pPr>
        <w:pStyle w:val="11"/>
        <w:keepNext w:val="0"/>
        <w:keepLines w:val="0"/>
        <w:widowControl/>
        <w:suppressLineNumbers w:val="0"/>
        <w:rPr>
          <w:rFonts w:hint="default" w:ascii="Arial" w:hAnsi="Arial" w:cs="Arial"/>
        </w:rPr>
      </w:pPr>
    </w:p>
    <w:p w14:paraId="7D1A9631">
      <w:pPr>
        <w:pStyle w:val="11"/>
        <w:keepNext w:val="0"/>
        <w:keepLines w:val="0"/>
        <w:widowControl/>
        <w:suppressLineNumbers w:val="0"/>
        <w:rPr>
          <w:rFonts w:hint="default" w:ascii="Arial" w:hAnsi="Arial" w:cs="Arial"/>
        </w:rPr>
      </w:pPr>
    </w:p>
    <w:p w14:paraId="739C97F5">
      <w:pPr>
        <w:pStyle w:val="11"/>
        <w:keepNext w:val="0"/>
        <w:keepLines w:val="0"/>
        <w:widowControl/>
        <w:suppressLineNumbers w:val="0"/>
        <w:rPr>
          <w:rFonts w:hint="default" w:ascii="Arial" w:hAnsi="Arial" w:cs="Arial"/>
        </w:rPr>
      </w:pPr>
    </w:p>
    <w:p w14:paraId="24D8A142">
      <w:pPr>
        <w:pStyle w:val="11"/>
        <w:keepNext w:val="0"/>
        <w:keepLines w:val="0"/>
        <w:widowControl/>
        <w:suppressLineNumbers w:val="0"/>
        <w:rPr>
          <w:rFonts w:hint="default" w:ascii="Arial" w:hAnsi="Arial" w:cs="Arial"/>
        </w:rPr>
      </w:pPr>
    </w:p>
    <w:p w14:paraId="4E8F86C4">
      <w:pPr>
        <w:pStyle w:val="11"/>
        <w:keepNext w:val="0"/>
        <w:keepLines w:val="0"/>
        <w:widowControl/>
        <w:suppressLineNumbers w:val="0"/>
        <w:rPr>
          <w:rFonts w:hint="default" w:ascii="Arial" w:hAnsi="Arial" w:cs="Arial"/>
        </w:rPr>
      </w:pPr>
    </w:p>
    <w:p w14:paraId="29F62460">
      <w:pPr>
        <w:pStyle w:val="11"/>
        <w:keepNext w:val="0"/>
        <w:keepLines w:val="0"/>
        <w:widowControl/>
        <w:suppressLineNumbers w:val="0"/>
        <w:rPr>
          <w:rFonts w:hint="default" w:ascii="Arial" w:hAnsi="Arial" w:cs="Arial"/>
        </w:rPr>
      </w:pPr>
    </w:p>
    <w:p w14:paraId="0717D31D">
      <w:pPr>
        <w:pStyle w:val="11"/>
        <w:keepNext w:val="0"/>
        <w:keepLines w:val="0"/>
        <w:widowControl/>
        <w:suppressLineNumbers w:val="0"/>
        <w:rPr>
          <w:rFonts w:hint="default" w:ascii="Arial" w:hAnsi="Arial" w:cs="Arial"/>
        </w:rPr>
      </w:pPr>
    </w:p>
    <w:p w14:paraId="74CE2B77">
      <w:pPr>
        <w:pStyle w:val="11"/>
        <w:keepNext w:val="0"/>
        <w:keepLines w:val="0"/>
        <w:widowControl/>
        <w:suppressLineNumbers w:val="0"/>
        <w:rPr>
          <w:rFonts w:hint="default" w:ascii="Arial" w:hAnsi="Arial" w:cs="Arial"/>
        </w:rPr>
      </w:pPr>
    </w:p>
    <w:p w14:paraId="22237B50">
      <w:pPr>
        <w:pStyle w:val="11"/>
        <w:keepNext w:val="0"/>
        <w:keepLines w:val="0"/>
        <w:widowControl/>
        <w:suppressLineNumbers w:val="0"/>
        <w:rPr>
          <w:rFonts w:hint="default" w:ascii="Arial" w:hAnsi="Arial" w:cs="Arial"/>
        </w:rPr>
      </w:pPr>
    </w:p>
    <w:p w14:paraId="71C23058">
      <w:pPr>
        <w:pStyle w:val="11"/>
        <w:keepNext w:val="0"/>
        <w:keepLines w:val="0"/>
        <w:widowControl/>
        <w:suppressLineNumbers w:val="0"/>
        <w:rPr>
          <w:rFonts w:hint="default" w:ascii="Arial" w:hAnsi="Arial" w:cs="Arial"/>
        </w:rPr>
      </w:pPr>
    </w:p>
    <w:p w14:paraId="647AF640">
      <w:pPr>
        <w:pStyle w:val="11"/>
        <w:keepNext w:val="0"/>
        <w:keepLines w:val="0"/>
        <w:widowControl/>
        <w:suppressLineNumbers w:val="0"/>
        <w:rPr>
          <w:rFonts w:hint="default" w:ascii="Arial" w:hAnsi="Arial" w:cs="Arial"/>
        </w:rPr>
      </w:pPr>
    </w:p>
    <w:p w14:paraId="207B3688">
      <w:pPr>
        <w:pStyle w:val="11"/>
        <w:keepNext w:val="0"/>
        <w:keepLines w:val="0"/>
        <w:widowControl/>
        <w:suppressLineNumbers w:val="0"/>
        <w:rPr>
          <w:rFonts w:hint="default" w:ascii="Arial" w:hAnsi="Arial" w:cs="Arial"/>
        </w:rPr>
      </w:pPr>
    </w:p>
    <w:p w14:paraId="03216C2C">
      <w:pPr>
        <w:pStyle w:val="11"/>
        <w:keepNext w:val="0"/>
        <w:keepLines w:val="0"/>
        <w:widowControl/>
        <w:suppressLineNumbers w:val="0"/>
        <w:rPr>
          <w:rFonts w:hint="default" w:ascii="Arial" w:hAnsi="Arial" w:cs="Arial"/>
        </w:rPr>
      </w:pPr>
    </w:p>
    <w:p w14:paraId="7AD64C2C">
      <w:pPr>
        <w:pStyle w:val="11"/>
        <w:keepNext w:val="0"/>
        <w:keepLines w:val="0"/>
        <w:widowControl/>
        <w:suppressLineNumbers w:val="0"/>
        <w:rPr>
          <w:rFonts w:hint="default" w:ascii="Arial" w:hAnsi="Arial" w:cs="Arial"/>
        </w:rPr>
      </w:pPr>
    </w:p>
    <w:p w14:paraId="7BAACA03">
      <w:pPr>
        <w:pStyle w:val="11"/>
        <w:keepNext w:val="0"/>
        <w:keepLines w:val="0"/>
        <w:widowControl/>
        <w:suppressLineNumbers w:val="0"/>
        <w:rPr>
          <w:rFonts w:hint="default" w:ascii="Arial" w:hAnsi="Arial" w:cs="Arial"/>
        </w:rPr>
      </w:pPr>
    </w:p>
    <w:p w14:paraId="76FD034F">
      <w:pPr>
        <w:pStyle w:val="11"/>
        <w:keepNext w:val="0"/>
        <w:keepLines w:val="0"/>
        <w:widowControl/>
        <w:suppressLineNumbers w:val="0"/>
        <w:rPr>
          <w:rFonts w:hint="default" w:ascii="Arial" w:hAnsi="Arial" w:cs="Arial"/>
        </w:rPr>
      </w:pPr>
    </w:p>
    <w:p w14:paraId="7773ADBE">
      <w:pPr>
        <w:rPr>
          <w:rFonts w:hint="default" w:ascii="Arial" w:hAnsi="Arial" w:cs="Arial"/>
          <w:sz w:val="28"/>
          <w:szCs w:val="28"/>
        </w:rPr>
      </w:pPr>
    </w:p>
    <w:p w14:paraId="4123A310">
      <w:pPr>
        <w:rPr>
          <w:rFonts w:hint="default" w:ascii="Arial" w:hAnsi="Arial" w:cs="Arial"/>
          <w:sz w:val="28"/>
          <w:szCs w:val="28"/>
        </w:rPr>
      </w:pPr>
    </w:p>
    <w:p w14:paraId="398948C6">
      <w:pPr>
        <w:pStyle w:val="2"/>
        <w:keepNext w:val="0"/>
        <w:keepLines w:val="0"/>
        <w:widowControl/>
        <w:suppressLineNumbers w:val="0"/>
        <w:rPr>
          <w:rFonts w:hint="default" w:ascii="Arial" w:hAnsi="Arial" w:cs="Arial"/>
          <w:sz w:val="28"/>
          <w:szCs w:val="28"/>
          <w:lang w:val="en-GB"/>
        </w:rPr>
      </w:pPr>
      <w:r>
        <w:rPr>
          <w:rFonts w:hint="default" w:ascii="Arial" w:hAnsi="Arial" w:cs="Arial"/>
          <w:sz w:val="28"/>
          <w:szCs w:val="28"/>
        </w:rPr>
        <w:t>Conclusion</w:t>
      </w:r>
      <w:r>
        <w:rPr>
          <w:rFonts w:hint="default" w:ascii="Arial" w:hAnsi="Arial" w:cs="Arial"/>
          <w:sz w:val="28"/>
          <w:szCs w:val="28"/>
          <w:lang w:val="en-GB"/>
        </w:rPr>
        <w:t xml:space="preserve"> </w:t>
      </w:r>
    </w:p>
    <w:p w14:paraId="0C6627A8">
      <w:pPr>
        <w:rPr>
          <w:rFonts w:hint="default" w:ascii="Arial" w:hAnsi="Arial" w:cs="Arial"/>
          <w:sz w:val="28"/>
          <w:szCs w:val="28"/>
          <w:lang w:val="en-GB"/>
        </w:rPr>
      </w:pPr>
    </w:p>
    <w:p w14:paraId="733AAD8B">
      <w:pPr>
        <w:rPr>
          <w:rFonts w:hint="default" w:ascii="Arial" w:hAnsi="Arial" w:cs="Arial"/>
          <w:sz w:val="22"/>
          <w:szCs w:val="22"/>
          <w:lang w:val="en-GB"/>
        </w:rPr>
      </w:pPr>
      <w:r>
        <w:rPr>
          <w:rFonts w:hint="default" w:ascii="Arial" w:hAnsi="Arial" w:cs="Arial"/>
          <w:sz w:val="22"/>
          <w:szCs w:val="22"/>
          <w:lang w:val="en-GB"/>
        </w:rPr>
        <w:t>According to the strategic analysis, Dior Beauty has a strong competitive position in the global luxury fragrance market thanks to its remarkable brand legacy, iconic scent range, premium positioning, and LVMH's organizational and financial resources. Brand reputation and LVMH resources were found to be Dior's strongest sources of sustainable competitive advantage when the company's internal capabilities were analyzed using the VRIO framework. But the competitive landscape is still difficult, especially as companies like Chanel and Gucci keep making significant investments in marketing, innovation, digitalization, and customer experience.</w:t>
      </w:r>
    </w:p>
    <w:p w14:paraId="15475862">
      <w:pPr>
        <w:rPr>
          <w:rFonts w:hint="default" w:ascii="Arial" w:hAnsi="Arial" w:cs="Arial"/>
          <w:sz w:val="22"/>
          <w:szCs w:val="22"/>
          <w:lang w:val="en-GB"/>
        </w:rPr>
      </w:pPr>
    </w:p>
    <w:p w14:paraId="3C35E47E">
      <w:pPr>
        <w:rPr>
          <w:rFonts w:hint="default" w:ascii="Arial" w:hAnsi="Arial" w:cs="Arial"/>
          <w:sz w:val="22"/>
          <w:szCs w:val="22"/>
          <w:lang w:val="en-GB"/>
        </w:rPr>
      </w:pPr>
      <w:r>
        <w:rPr>
          <w:rFonts w:hint="default" w:ascii="Arial" w:hAnsi="Arial" w:cs="Arial"/>
          <w:sz w:val="22"/>
          <w:szCs w:val="22"/>
          <w:lang w:val="en-GB"/>
        </w:rPr>
        <w:t>The PESTEL and SWAT analyzes revealed a number of prospects for Dior, such as expanding into emerging international markets, digital personalization, AI-enabled customer experiences, and rising demand for sustainable luxury. Significant risks include inflation, shifting customer expectations, fake goods, fierce competition, and environmental stresses. Therefore, Dior must constantly adjust to changes in the premium beauty market and make sure that its rich tradition does not result in complacency (LVMH, 2026).</w:t>
      </w:r>
    </w:p>
    <w:p w14:paraId="15B2DFB2">
      <w:pPr>
        <w:rPr>
          <w:rFonts w:hint="default" w:ascii="Arial" w:hAnsi="Arial" w:cs="Arial"/>
          <w:sz w:val="22"/>
          <w:szCs w:val="22"/>
          <w:lang w:val="en-GB"/>
        </w:rPr>
      </w:pPr>
    </w:p>
    <w:p w14:paraId="3A0613F4">
      <w:pPr>
        <w:rPr>
          <w:rFonts w:hint="default" w:ascii="Arial" w:hAnsi="Arial" w:cs="Arial"/>
          <w:sz w:val="22"/>
          <w:szCs w:val="22"/>
          <w:lang w:val="en-GB"/>
        </w:rPr>
      </w:pPr>
      <w:r>
        <w:rPr>
          <w:rFonts w:hint="default" w:ascii="Arial" w:hAnsi="Arial" w:cs="Arial"/>
          <w:sz w:val="22"/>
          <w:szCs w:val="22"/>
          <w:lang w:val="en-GB"/>
        </w:rPr>
        <w:t>Differentiation is the best competitive approach for Dior, according to the strategic study, since competing thru cost leadership would be at odds with its premium luxury positioning. According to the Ansoff Matrix, the most urgent focus should be on product creation and market penetration, especially with regard to customized scents, refillable goods, digital experiences, and unique collections. While diversification should be handled carefully due to its increased risk, market development can subsequently help global expansion (Ansoff, 1957; Porter, 1985).</w:t>
      </w:r>
    </w:p>
    <w:p w14:paraId="33ABCBAB">
      <w:pPr>
        <w:rPr>
          <w:rFonts w:hint="default" w:ascii="Arial" w:hAnsi="Arial" w:cs="Arial"/>
          <w:sz w:val="22"/>
          <w:szCs w:val="22"/>
          <w:lang w:val="en-GB"/>
        </w:rPr>
      </w:pPr>
    </w:p>
    <w:p w14:paraId="1D034F8B">
      <w:pPr>
        <w:rPr>
          <w:rFonts w:hint="default" w:ascii="Arial" w:hAnsi="Arial" w:cs="Arial"/>
          <w:sz w:val="22"/>
          <w:szCs w:val="22"/>
          <w:lang w:val="en-GB"/>
        </w:rPr>
      </w:pPr>
    </w:p>
    <w:p w14:paraId="31FECC88">
      <w:pPr>
        <w:rPr>
          <w:rFonts w:hint="default" w:ascii="Arial" w:hAnsi="Arial" w:cs="Arial"/>
          <w:sz w:val="22"/>
          <w:szCs w:val="22"/>
          <w:lang w:val="en-GB"/>
        </w:rPr>
      </w:pPr>
      <w:r>
        <w:rPr>
          <w:rFonts w:hint="default" w:ascii="Arial" w:hAnsi="Arial" w:cs="Arial"/>
          <w:sz w:val="22"/>
          <w:szCs w:val="22"/>
          <w:lang w:val="en-GB"/>
        </w:rPr>
        <w:t>Crucially, Dior's goal "to only leave beauty as a legacy" and its CSR approach are tightly related. Initiatives pertaining to carbon reduction, biodiversity, responsible sourcing, and circular packaging enable sustainability to be integrated into a brand's competitive strategy rather than just being a compliance measure (Dior, 2026). The Balanced Scorecard further indicates that long-term success requires Dior to balance financial performance, customer value, internal operational excellence and organisational learning.</w:t>
      </w:r>
    </w:p>
    <w:p w14:paraId="33C5EDAE">
      <w:pPr>
        <w:rPr>
          <w:rFonts w:hint="default" w:ascii="Arial" w:hAnsi="Arial" w:cs="Arial"/>
          <w:sz w:val="22"/>
          <w:szCs w:val="22"/>
          <w:lang w:val="en-GB"/>
        </w:rPr>
      </w:pPr>
    </w:p>
    <w:p w14:paraId="50957B3D">
      <w:pPr>
        <w:pStyle w:val="11"/>
        <w:keepNext w:val="0"/>
        <w:keepLines w:val="0"/>
        <w:widowControl/>
        <w:suppressLineNumbers w:val="0"/>
        <w:rPr>
          <w:rFonts w:hint="default" w:ascii="Arial" w:hAnsi="Arial" w:cs="Arial"/>
          <w:sz w:val="22"/>
          <w:szCs w:val="22"/>
        </w:rPr>
      </w:pPr>
      <w:r>
        <w:rPr>
          <w:rFonts w:hint="default" w:ascii="Arial" w:hAnsi="Arial" w:cs="Arial"/>
          <w:sz w:val="22"/>
          <w:szCs w:val="22"/>
        </w:rPr>
        <w:t>In general, Dior Beauty should retain its uniqueness and legacy while pursuing innovation-led, sustainable distinctiveness. Dior can maintain a lasting competitive edge in the changing global luxury fragrance industry, enhance customer loyalty, and respond to competition pressures by combining its brand strengths with digital innovation, ethical business practices, and carefully managed foreign growth.</w:t>
      </w:r>
    </w:p>
    <w:p w14:paraId="201B87CB">
      <w:pPr>
        <w:pStyle w:val="11"/>
        <w:keepNext w:val="0"/>
        <w:keepLines w:val="0"/>
        <w:widowControl/>
        <w:suppressLineNumbers w:val="0"/>
        <w:rPr>
          <w:rFonts w:hint="default" w:ascii="Arial" w:hAnsi="Arial" w:cs="Arial"/>
          <w:sz w:val="22"/>
          <w:szCs w:val="22"/>
        </w:rPr>
      </w:pPr>
    </w:p>
    <w:p w14:paraId="1F111E29">
      <w:pPr>
        <w:pStyle w:val="11"/>
        <w:keepNext w:val="0"/>
        <w:keepLines w:val="0"/>
        <w:widowControl/>
        <w:suppressLineNumbers w:val="0"/>
        <w:rPr>
          <w:rFonts w:hint="default" w:ascii="Arial" w:hAnsi="Arial" w:cs="Arial"/>
        </w:rPr>
      </w:pPr>
    </w:p>
    <w:p w14:paraId="4072AAB7">
      <w:pPr>
        <w:pStyle w:val="11"/>
        <w:keepNext w:val="0"/>
        <w:keepLines w:val="0"/>
        <w:widowControl/>
        <w:suppressLineNumbers w:val="0"/>
        <w:rPr>
          <w:rFonts w:hint="default" w:ascii="Arial" w:hAnsi="Arial" w:cs="Arial"/>
        </w:rPr>
      </w:pPr>
    </w:p>
    <w:p w14:paraId="080AE067">
      <w:pPr>
        <w:pStyle w:val="11"/>
        <w:keepNext w:val="0"/>
        <w:keepLines w:val="0"/>
        <w:widowControl/>
        <w:suppressLineNumbers w:val="0"/>
        <w:rPr>
          <w:rFonts w:hint="default" w:ascii="Arial" w:hAnsi="Arial" w:cs="Arial"/>
        </w:rPr>
      </w:pPr>
    </w:p>
    <w:p w14:paraId="39C7C665">
      <w:pPr>
        <w:rPr>
          <w:rFonts w:hint="default" w:ascii="Arial" w:hAnsi="Arial" w:cs="Arial"/>
          <w:b/>
          <w:bCs/>
          <w:sz w:val="28"/>
          <w:szCs w:val="28"/>
        </w:rPr>
      </w:pPr>
    </w:p>
    <w:p w14:paraId="36080722">
      <w:pPr>
        <w:rPr>
          <w:rFonts w:hint="default" w:ascii="Arial" w:hAnsi="Arial" w:cs="Arial"/>
          <w:b/>
          <w:bCs/>
          <w:sz w:val="28"/>
          <w:szCs w:val="28"/>
        </w:rPr>
      </w:pPr>
      <w:r>
        <w:rPr>
          <w:rFonts w:hint="default" w:ascii="Arial" w:hAnsi="Arial" w:cs="Arial"/>
          <w:b/>
          <w:bCs/>
          <w:sz w:val="28"/>
          <w:szCs w:val="28"/>
        </w:rPr>
        <w:t>References</w:t>
      </w:r>
    </w:p>
    <w:p w14:paraId="71DA1FC5">
      <w:pPr>
        <w:rPr>
          <w:rFonts w:hint="default" w:ascii="Arial" w:hAnsi="Arial" w:cs="Arial"/>
          <w:b/>
          <w:bCs/>
        </w:rPr>
      </w:pPr>
    </w:p>
    <w:p w14:paraId="7F1BF4F5">
      <w:pPr>
        <w:rPr>
          <w:rFonts w:hint="default" w:ascii="Arial" w:hAnsi="Arial" w:cs="Arial"/>
          <w:b/>
          <w:bCs/>
        </w:rPr>
      </w:pPr>
    </w:p>
    <w:p w14:paraId="6566CA35">
      <w:pPr>
        <w:rPr>
          <w:rFonts w:hint="default" w:ascii="Arial" w:hAnsi="Arial" w:cs="Arial"/>
          <w:b w:val="0"/>
          <w:bCs w:val="0"/>
          <w:lang w:val="en-GB"/>
        </w:rPr>
      </w:pPr>
    </w:p>
    <w:p w14:paraId="2CA288A6">
      <w:pPr>
        <w:rPr>
          <w:rFonts w:hint="default" w:ascii="Arial" w:hAnsi="Arial" w:cs="Arial"/>
          <w:b w:val="0"/>
          <w:bCs w:val="0"/>
        </w:rPr>
      </w:pPr>
      <w:r>
        <w:rPr>
          <w:rFonts w:hint="default" w:ascii="Arial" w:hAnsi="Arial" w:cs="Arial"/>
          <w:b w:val="0"/>
          <w:bCs w:val="0"/>
        </w:rPr>
        <w:t>LVMH (2024) Universal Registration Document 2023: Management Report. Available at: LVMH – Universal Registration Document (Accessed: 11 August 2026).</w:t>
      </w:r>
    </w:p>
    <w:p w14:paraId="6315D52E">
      <w:pPr>
        <w:rPr>
          <w:rFonts w:hint="default" w:ascii="Arial" w:hAnsi="Arial" w:cs="Arial"/>
          <w:b w:val="0"/>
          <w:bCs w:val="0"/>
        </w:rPr>
      </w:pPr>
    </w:p>
    <w:p w14:paraId="46A6FCEC">
      <w:pPr>
        <w:rPr>
          <w:rFonts w:hint="default" w:ascii="Arial" w:hAnsi="Arial" w:cs="Arial"/>
          <w:b w:val="0"/>
          <w:bCs w:val="0"/>
        </w:rPr>
      </w:pPr>
      <w:r>
        <w:rPr>
          <w:rFonts w:hint="default" w:ascii="Arial" w:hAnsi="Arial" w:cs="Arial"/>
          <w:b w:val="0"/>
          <w:bCs w:val="0"/>
        </w:rPr>
        <w:t>LVMH (2026a) Parfums Christian Dior. Available at: LVMH – Parfums Christian Dior (Accessed: 11 August 2026).</w:t>
      </w:r>
    </w:p>
    <w:p w14:paraId="3F59E175">
      <w:pPr>
        <w:rPr>
          <w:rFonts w:hint="default" w:ascii="Arial" w:hAnsi="Arial" w:cs="Arial"/>
          <w:b w:val="0"/>
          <w:bCs w:val="0"/>
        </w:rPr>
      </w:pPr>
    </w:p>
    <w:p w14:paraId="54CD5BE8">
      <w:pPr>
        <w:rPr>
          <w:rFonts w:hint="default" w:ascii="Arial" w:hAnsi="Arial" w:cs="Arial"/>
          <w:b w:val="0"/>
          <w:bCs w:val="0"/>
        </w:rPr>
      </w:pPr>
      <w:r>
        <w:rPr>
          <w:rFonts w:hint="default" w:ascii="Arial" w:hAnsi="Arial" w:cs="Arial"/>
          <w:b w:val="0"/>
          <w:bCs w:val="0"/>
        </w:rPr>
        <w:t>Dior (2026) Our Commitments: Our Mission – To Only Leave Beauty as a Legacy. Available at: Dior – Our Mission and Commitments (Accessed: 11 August 2026)</w:t>
      </w:r>
    </w:p>
    <w:p w14:paraId="5FD5D52C">
      <w:pPr>
        <w:rPr>
          <w:rFonts w:hint="default" w:ascii="Arial" w:hAnsi="Arial" w:cs="Arial"/>
          <w:b w:val="0"/>
          <w:bCs w:val="0"/>
        </w:rPr>
      </w:pPr>
    </w:p>
    <w:p w14:paraId="6165FB89">
      <w:pPr>
        <w:rPr>
          <w:rFonts w:hint="default" w:ascii="Arial" w:hAnsi="Arial" w:cs="Arial"/>
          <w:b w:val="0"/>
          <w:bCs w:val="0"/>
          <w:lang w:val="en-GB"/>
        </w:rPr>
      </w:pPr>
      <w:r>
        <w:rPr>
          <w:rFonts w:hint="default" w:ascii="Arial" w:hAnsi="Arial" w:cs="Arial"/>
          <w:b w:val="0"/>
          <w:bCs w:val="0"/>
        </w:rPr>
        <w:t>LVMH (2026b) Parfums Christian Dior – Vision and Values. Available at: LVMH – Parfums Christian Dior recruitment profile (Accessed: 11 August 2026).</w:t>
      </w:r>
      <w:r>
        <w:rPr>
          <w:rFonts w:hint="default" w:ascii="Arial" w:hAnsi="Arial" w:cs="Arial"/>
          <w:b w:val="0"/>
          <w:bCs w:val="0"/>
          <w:lang w:val="en-GB"/>
        </w:rPr>
        <w:t xml:space="preserve"> </w:t>
      </w:r>
    </w:p>
    <w:p w14:paraId="365E4E46">
      <w:pPr>
        <w:rPr>
          <w:rFonts w:hint="default" w:ascii="Arial" w:hAnsi="Arial" w:cs="Arial"/>
          <w:b w:val="0"/>
          <w:bCs w:val="0"/>
          <w:lang w:val="en-GB"/>
        </w:rPr>
      </w:pPr>
    </w:p>
    <w:p w14:paraId="61E0D916">
      <w:pPr>
        <w:rPr>
          <w:rFonts w:hint="default" w:ascii="Arial" w:hAnsi="Arial" w:cs="Arial"/>
          <w:b w:val="0"/>
          <w:bCs w:val="0"/>
          <w:lang w:val="en-GB"/>
        </w:rPr>
      </w:pPr>
      <w:r>
        <w:rPr>
          <w:rFonts w:hint="default" w:ascii="Arial" w:hAnsi="Arial" w:cs="Arial"/>
          <w:b w:val="0"/>
          <w:bCs w:val="0"/>
          <w:lang w:val="en-GB"/>
        </w:rPr>
        <w:t>Parfums Christian Dior UK (2026) Parfums Christian Dior legal terms. Available at: Dior UK – Legal Terms (Accessed: 11 August 2026).</w:t>
      </w:r>
    </w:p>
    <w:p w14:paraId="7A67CCEA">
      <w:pPr>
        <w:rPr>
          <w:rFonts w:hint="default" w:ascii="Arial" w:hAnsi="Arial" w:cs="Arial"/>
          <w:b w:val="0"/>
          <w:bCs w:val="0"/>
        </w:rPr>
      </w:pPr>
    </w:p>
    <w:p w14:paraId="7BB1AADF">
      <w:pPr>
        <w:rPr>
          <w:rFonts w:hint="default" w:ascii="Arial" w:hAnsi="Arial" w:cs="Arial"/>
          <w:b w:val="0"/>
          <w:bCs w:val="0"/>
        </w:rPr>
      </w:pPr>
      <w:r>
        <w:rPr>
          <w:rFonts w:hint="default" w:ascii="Arial" w:hAnsi="Arial" w:cs="Arial"/>
          <w:b w:val="0"/>
          <w:bCs w:val="0"/>
        </w:rPr>
        <w:t>Euromonitor International (2025) Beauty and Personal Care. Available at: Euromonitor International (Accessed: 11 August 2026).</w:t>
      </w:r>
    </w:p>
    <w:p w14:paraId="6572EB57">
      <w:pPr>
        <w:rPr>
          <w:rFonts w:hint="default" w:ascii="Arial" w:hAnsi="Arial" w:cs="Arial"/>
          <w:b w:val="0"/>
          <w:bCs w:val="0"/>
        </w:rPr>
      </w:pPr>
    </w:p>
    <w:p w14:paraId="1E8CA388">
      <w:pPr>
        <w:rPr>
          <w:rFonts w:hint="default" w:ascii="Arial" w:hAnsi="Arial" w:cs="Arial"/>
          <w:b w:val="0"/>
          <w:bCs w:val="0"/>
          <w:lang w:val="en-GB"/>
        </w:rPr>
      </w:pPr>
      <w:r>
        <w:rPr>
          <w:rFonts w:hint="default" w:ascii="Arial" w:hAnsi="Arial" w:cs="Arial"/>
          <w:b w:val="0"/>
          <w:bCs w:val="0"/>
        </w:rPr>
        <w:t>McKinsey &amp; Company (2023) The beauty market in 2023. Available at: McKinsey &amp; Company (Accessed: 11 August 2026).</w:t>
      </w:r>
      <w:r>
        <w:rPr>
          <w:rFonts w:hint="default" w:ascii="Arial" w:hAnsi="Arial" w:cs="Arial"/>
          <w:b w:val="0"/>
          <w:bCs w:val="0"/>
          <w:lang w:val="en-GB"/>
        </w:rPr>
        <w:t xml:space="preserve"> </w:t>
      </w:r>
    </w:p>
    <w:p w14:paraId="360E0887">
      <w:pPr>
        <w:rPr>
          <w:rFonts w:hint="default" w:ascii="Arial" w:hAnsi="Arial" w:cs="Arial"/>
          <w:b w:val="0"/>
          <w:bCs w:val="0"/>
          <w:lang w:val="en-GB"/>
        </w:rPr>
      </w:pPr>
    </w:p>
    <w:p w14:paraId="749F066F">
      <w:pPr>
        <w:rPr>
          <w:rFonts w:hint="default" w:ascii="Arial" w:hAnsi="Arial" w:cs="Arial"/>
          <w:b w:val="0"/>
          <w:bCs w:val="0"/>
          <w:lang w:val="en-GB"/>
        </w:rPr>
      </w:pPr>
      <w:r>
        <w:rPr>
          <w:rFonts w:hint="default" w:ascii="Arial" w:hAnsi="Arial" w:cs="Arial"/>
          <w:b w:val="0"/>
          <w:bCs w:val="0"/>
          <w:lang w:val="en-GB"/>
        </w:rPr>
        <w:t>Barney, J, &amp; Hesterly, W 2018, Strategic Management and Competitive Advantage: Concepts and Cases, Global Edition, Pearson Education, Limited, Harlow. Available from: ProQuest Ebook Central. [12 August 2026].</w:t>
      </w:r>
    </w:p>
    <w:p w14:paraId="4B64BA8E">
      <w:pPr>
        <w:rPr>
          <w:rFonts w:hint="default" w:ascii="Arial" w:hAnsi="Arial" w:cs="Arial"/>
          <w:b w:val="0"/>
          <w:bCs w:val="0"/>
          <w:lang w:val="en-GB"/>
        </w:rPr>
      </w:pPr>
    </w:p>
    <w:p w14:paraId="14FE4A6E">
      <w:pPr>
        <w:rPr>
          <w:rFonts w:hint="default" w:ascii="Arial" w:hAnsi="Arial" w:cs="Arial"/>
          <w:b w:val="0"/>
          <w:bCs w:val="0"/>
          <w:lang w:val="en-GB"/>
        </w:rPr>
      </w:pPr>
      <w:r>
        <w:rPr>
          <w:rFonts w:hint="default" w:ascii="Arial" w:hAnsi="Arial" w:cs="Arial"/>
          <w:b w:val="0"/>
          <w:bCs w:val="0"/>
          <w:lang w:val="en-GB"/>
        </w:rPr>
        <w:t xml:space="preserve">LVMH (2025) Universal Registration Document 2024. Available at: LVMH Financial Documents (Accessed: 11 August 2026). </w:t>
      </w:r>
    </w:p>
    <w:p w14:paraId="122EECF1">
      <w:pPr>
        <w:rPr>
          <w:rFonts w:hint="default" w:ascii="Arial" w:hAnsi="Arial" w:cs="Arial"/>
          <w:b w:val="0"/>
          <w:bCs w:val="0"/>
          <w:lang w:val="en-GB"/>
        </w:rPr>
      </w:pPr>
    </w:p>
    <w:p w14:paraId="0D5E8DB9">
      <w:pPr>
        <w:rPr>
          <w:rFonts w:hint="default" w:ascii="Arial" w:hAnsi="Arial" w:cs="Arial"/>
          <w:b w:val="0"/>
          <w:bCs w:val="0"/>
          <w:lang w:val="en-GB"/>
        </w:rPr>
      </w:pPr>
      <w:r>
        <w:rPr>
          <w:rFonts w:hint="default" w:ascii="Arial" w:hAnsi="Arial" w:cs="Arial"/>
          <w:b w:val="0"/>
          <w:bCs w:val="0"/>
          <w:lang w:val="en-GB"/>
        </w:rPr>
        <w:t>Bain &amp; Company (2025) Luxury Report 2025. Available at: Bain &amp; Company (Accessed: 11 August 2026).</w:t>
      </w:r>
    </w:p>
    <w:p w14:paraId="4C85E581">
      <w:pPr>
        <w:rPr>
          <w:rFonts w:hint="default" w:ascii="Arial" w:hAnsi="Arial" w:cs="Arial"/>
          <w:b w:val="0"/>
          <w:bCs w:val="0"/>
          <w:lang w:val="en-GB"/>
        </w:rPr>
      </w:pPr>
    </w:p>
    <w:p w14:paraId="6722B31D">
      <w:pPr>
        <w:rPr>
          <w:rFonts w:hint="default" w:ascii="Arial" w:hAnsi="Arial" w:cs="Arial"/>
          <w:b w:val="0"/>
          <w:bCs w:val="0"/>
          <w:lang w:val="en-GB"/>
        </w:rPr>
      </w:pPr>
      <w:r>
        <w:rPr>
          <w:rFonts w:hint="default" w:ascii="Arial" w:hAnsi="Arial" w:cs="Arial"/>
          <w:b w:val="0"/>
          <w:bCs w:val="0"/>
          <w:lang w:val="en-GB"/>
        </w:rPr>
        <w:t xml:space="preserve">Brand Finance (2025) Luxury &amp; Premium Report 2025. Available at:  </w:t>
      </w:r>
    </w:p>
    <w:p w14:paraId="07226B47">
      <w:pPr>
        <w:rPr>
          <w:rFonts w:hint="default" w:ascii="Arial" w:hAnsi="Arial" w:cs="Arial"/>
          <w:b w:val="0"/>
          <w:bCs w:val="0"/>
          <w:lang w:val="en-GB"/>
        </w:rPr>
      </w:pPr>
      <w:r>
        <w:rPr>
          <w:rFonts w:hint="default" w:ascii="Arial" w:hAnsi="Arial" w:cs="Arial"/>
          <w:b w:val="0"/>
          <w:bCs w:val="0"/>
          <w:lang w:val="en-GB"/>
        </w:rPr>
        <w:t>(Accessed: 11 August 2026).</w:t>
      </w:r>
    </w:p>
    <w:p w14:paraId="3E58E48B">
      <w:pPr>
        <w:rPr>
          <w:rFonts w:hint="default" w:ascii="Arial" w:hAnsi="Arial" w:cs="Arial"/>
          <w:b w:val="0"/>
          <w:bCs w:val="0"/>
          <w:lang w:val="en-GB"/>
        </w:rPr>
      </w:pPr>
    </w:p>
    <w:p w14:paraId="77B35396">
      <w:pPr>
        <w:rPr>
          <w:rFonts w:hint="default" w:ascii="Arial" w:hAnsi="Arial" w:cs="Arial"/>
          <w:b w:val="0"/>
          <w:bCs w:val="0"/>
          <w:lang w:val="en-GB"/>
        </w:rPr>
      </w:pPr>
      <w:r>
        <w:rPr>
          <w:rFonts w:hint="default" w:ascii="Arial" w:hAnsi="Arial" w:cs="Arial"/>
          <w:b w:val="0"/>
          <w:bCs w:val="0"/>
          <w:lang w:val="en-GB"/>
        </w:rPr>
        <w:t xml:space="preserve">LVMH (2025) Perfumes &amp; Cosmetics – Letter to Shareholders. Available at:  </w:t>
      </w:r>
    </w:p>
    <w:p w14:paraId="3A0CF65D">
      <w:pPr>
        <w:rPr>
          <w:rFonts w:hint="default" w:ascii="Arial" w:hAnsi="Arial" w:cs="Arial"/>
          <w:b w:val="0"/>
          <w:bCs w:val="0"/>
          <w:lang w:val="en-GB"/>
        </w:rPr>
      </w:pPr>
      <w:r>
        <w:rPr>
          <w:rFonts w:hint="default" w:ascii="Arial" w:hAnsi="Arial" w:cs="Arial"/>
          <w:b w:val="0"/>
          <w:bCs w:val="0"/>
          <w:lang w:val="en-GB"/>
        </w:rPr>
        <w:t xml:space="preserve">(Accessed: 11 August 2026). </w:t>
      </w:r>
    </w:p>
    <w:p w14:paraId="44209FFA">
      <w:pPr>
        <w:rPr>
          <w:rFonts w:hint="default" w:ascii="Arial" w:hAnsi="Arial" w:cs="Arial"/>
          <w:b w:val="0"/>
          <w:bCs w:val="0"/>
          <w:lang w:val="en-GB"/>
        </w:rPr>
      </w:pPr>
    </w:p>
    <w:p w14:paraId="4561BCAC">
      <w:pPr>
        <w:rPr>
          <w:rFonts w:hint="default" w:ascii="Arial" w:hAnsi="Arial" w:cs="Arial"/>
          <w:b w:val="0"/>
          <w:bCs w:val="0"/>
          <w:lang w:val="en-GB"/>
        </w:rPr>
      </w:pPr>
      <w:r>
        <w:rPr>
          <w:rFonts w:hint="default" w:ascii="Arial" w:hAnsi="Arial" w:cs="Arial"/>
          <w:b w:val="0"/>
          <w:bCs w:val="0"/>
          <w:lang w:val="en-GB"/>
        </w:rPr>
        <w:t xml:space="preserve">Bain &amp; Company (2025) Luxury Report 2025. Available at: Bain &amp; Company – Luxury Report (Accessed: 11 August 2026). </w:t>
      </w:r>
    </w:p>
    <w:p w14:paraId="672DEC1D">
      <w:pPr>
        <w:rPr>
          <w:rFonts w:hint="default" w:ascii="Arial" w:hAnsi="Arial" w:cs="Arial"/>
          <w:b w:val="0"/>
          <w:bCs w:val="0"/>
          <w:lang w:val="en-GB"/>
        </w:rPr>
      </w:pPr>
    </w:p>
    <w:p w14:paraId="3DD4D326">
      <w:pPr>
        <w:rPr>
          <w:rFonts w:hint="default" w:ascii="Arial" w:hAnsi="Arial" w:cs="Arial"/>
          <w:b w:val="0"/>
          <w:bCs w:val="0"/>
          <w:lang w:val="en-GB"/>
        </w:rPr>
      </w:pPr>
      <w:r>
        <w:rPr>
          <w:rFonts w:hint="default" w:ascii="Arial" w:hAnsi="Arial" w:cs="Arial"/>
          <w:b w:val="0"/>
          <w:bCs w:val="0"/>
          <w:lang w:val="en-GB"/>
        </w:rPr>
        <w:t>Voir Editorial Team (2022) ‘Everything You Need to Know About Parfum Christian Dior’s Sustainability Strategy’, Voir Fashion, [online]. Available at: Voir Fashion article (Accessed: 12 August 2026).</w:t>
      </w:r>
    </w:p>
    <w:p w14:paraId="7FB7F3E2">
      <w:pPr>
        <w:rPr>
          <w:rFonts w:hint="default" w:ascii="Arial" w:hAnsi="Arial" w:cs="Arial"/>
          <w:b w:val="0"/>
          <w:bCs w:val="0"/>
          <w:lang w:val="en-GB"/>
        </w:rPr>
      </w:pPr>
    </w:p>
    <w:p w14:paraId="77EC31A0">
      <w:pPr>
        <w:rPr>
          <w:rFonts w:hint="default" w:ascii="Arial" w:hAnsi="Arial" w:cs="Arial"/>
          <w:b w:val="0"/>
          <w:bCs w:val="0"/>
          <w:lang w:val="en-GB"/>
        </w:rPr>
      </w:pPr>
      <w:r>
        <w:rPr>
          <w:rFonts w:hint="default" w:ascii="Arial" w:hAnsi="Arial" w:cs="Arial"/>
          <w:b w:val="0"/>
          <w:bCs w:val="0"/>
          <w:lang w:val="en-GB"/>
        </w:rPr>
        <w:t>Dior (2026a) Our Commitments: To only leave beauty as a legacy. Available at: Dior – Our Commitments (Accessed: 11 August 2026).</w:t>
      </w:r>
    </w:p>
    <w:p w14:paraId="6C802EAB">
      <w:pPr>
        <w:rPr>
          <w:rFonts w:hint="default" w:ascii="Arial" w:hAnsi="Arial" w:cs="Arial"/>
          <w:b w:val="0"/>
          <w:bCs w:val="0"/>
          <w:lang w:val="en-GB"/>
        </w:rPr>
      </w:pPr>
    </w:p>
    <w:p w14:paraId="24EBB7B4">
      <w:pPr>
        <w:rPr>
          <w:rFonts w:hint="default" w:ascii="Arial" w:hAnsi="Arial" w:cs="Arial"/>
          <w:b w:val="0"/>
          <w:bCs w:val="0"/>
          <w:lang w:val="en-GB"/>
        </w:rPr>
      </w:pPr>
      <w:r>
        <w:rPr>
          <w:rFonts w:hint="default" w:ascii="Arial" w:hAnsi="Arial" w:cs="Arial"/>
          <w:b w:val="0"/>
          <w:bCs w:val="0"/>
          <w:lang w:val="en-GB"/>
        </w:rPr>
        <w:t>European Commission (2024) Ecodesign for Sustainable Products Regulation. Available at: European Commission – Sustainable Products (Accessed: 11 August 2026).</w:t>
      </w:r>
    </w:p>
    <w:p w14:paraId="4B01B896">
      <w:pPr>
        <w:rPr>
          <w:rFonts w:hint="default" w:ascii="Arial" w:hAnsi="Arial" w:cs="Arial"/>
          <w:b w:val="0"/>
          <w:bCs w:val="0"/>
          <w:lang w:val="en-GB"/>
        </w:rPr>
      </w:pPr>
    </w:p>
    <w:p w14:paraId="435DF560">
      <w:pPr>
        <w:rPr>
          <w:rFonts w:hint="default" w:ascii="Arial" w:hAnsi="Arial" w:cs="Arial"/>
          <w:b w:val="0"/>
          <w:bCs w:val="0"/>
          <w:lang w:val="en-GB"/>
        </w:rPr>
      </w:pPr>
      <w:r>
        <w:rPr>
          <w:rFonts w:hint="default" w:ascii="Arial" w:hAnsi="Arial" w:cs="Arial"/>
          <w:b w:val="0"/>
          <w:bCs w:val="0"/>
          <w:lang w:val="en-GB"/>
        </w:rPr>
        <w:t>McKinsey &amp; Company (2023) A close look at the global beauty industry in 2023. Available at: McKinsey &amp; Company – Global Beauty Industry (Accessed: 11 August 2026).</w:t>
      </w:r>
    </w:p>
    <w:p w14:paraId="426B5F74">
      <w:pPr>
        <w:rPr>
          <w:rFonts w:hint="default" w:ascii="Arial" w:hAnsi="Arial" w:cs="Arial"/>
          <w:b w:val="0"/>
          <w:bCs w:val="0"/>
          <w:lang w:val="en-GB"/>
        </w:rPr>
      </w:pPr>
    </w:p>
    <w:p w14:paraId="6145FDF8">
      <w:pPr>
        <w:rPr>
          <w:rFonts w:hint="default" w:ascii="Arial" w:hAnsi="Arial" w:cs="Arial"/>
          <w:b w:val="0"/>
          <w:bCs w:val="0"/>
          <w:lang w:val="en-GB"/>
        </w:rPr>
      </w:pPr>
      <w:r>
        <w:rPr>
          <w:rFonts w:hint="default" w:ascii="Arial" w:hAnsi="Arial" w:cs="Arial"/>
          <w:b w:val="0"/>
          <w:bCs w:val="0"/>
          <w:lang w:val="en-GB"/>
        </w:rPr>
        <w:t>Office for Product Safety and Standards (2025) Cosmetics: consumer products. GOV.UK. Available at: GOV.UK – Cosmetics regulation (Accessed: 11 August 2026).</w:t>
      </w:r>
    </w:p>
    <w:p w14:paraId="4025AB9E">
      <w:pPr>
        <w:rPr>
          <w:rFonts w:hint="default" w:ascii="Arial" w:hAnsi="Arial" w:cs="Arial"/>
          <w:b w:val="0"/>
          <w:bCs w:val="0"/>
          <w:lang w:val="en-GB"/>
        </w:rPr>
      </w:pPr>
    </w:p>
    <w:p w14:paraId="2EC3C786">
      <w:pPr>
        <w:rPr>
          <w:rFonts w:hint="default" w:ascii="Arial" w:hAnsi="Arial" w:cs="Arial"/>
          <w:b w:val="0"/>
          <w:bCs w:val="0"/>
          <w:lang w:val="en-GB"/>
        </w:rPr>
      </w:pPr>
      <w:r>
        <w:rPr>
          <w:rFonts w:hint="default" w:ascii="Arial" w:hAnsi="Arial" w:cs="Arial"/>
          <w:b w:val="0"/>
          <w:bCs w:val="0"/>
          <w:lang w:val="en-GB"/>
        </w:rPr>
        <w:t xml:space="preserve">UK Government (2024) Trading with the EU. GOV.UK. Available at: GOV.UK – Trading with the EU (Accessed: 11 August 2026). </w:t>
      </w:r>
    </w:p>
    <w:p w14:paraId="18320453">
      <w:pPr>
        <w:rPr>
          <w:rFonts w:hint="default" w:ascii="Arial" w:hAnsi="Arial" w:cs="Arial"/>
          <w:b w:val="0"/>
          <w:bCs w:val="0"/>
          <w:lang w:val="en-GB"/>
        </w:rPr>
      </w:pPr>
    </w:p>
    <w:p w14:paraId="5033CE7D">
      <w:pPr>
        <w:rPr>
          <w:rFonts w:hint="default" w:ascii="Arial" w:hAnsi="Arial" w:cs="Arial"/>
          <w:b w:val="0"/>
          <w:bCs w:val="0"/>
          <w:lang w:val="en-GB"/>
        </w:rPr>
      </w:pPr>
      <w:r>
        <w:rPr>
          <w:rFonts w:hint="default" w:ascii="Arial" w:hAnsi="Arial" w:cs="Arial"/>
          <w:b w:val="0"/>
          <w:bCs w:val="0"/>
          <w:lang w:val="en-GB"/>
        </w:rPr>
        <w:t>Brand Finance (2025) Luxury &amp; Premium 50 2025. Available at: Brand Finance – Luxury &amp; Premium 50 2025 (Accessed: 11 August 2026).</w:t>
      </w:r>
    </w:p>
    <w:p w14:paraId="4BC12032">
      <w:pPr>
        <w:rPr>
          <w:rFonts w:hint="default" w:ascii="Arial" w:hAnsi="Arial" w:cs="Arial"/>
          <w:b w:val="0"/>
          <w:bCs w:val="0"/>
          <w:lang w:val="en-GB"/>
        </w:rPr>
      </w:pPr>
    </w:p>
    <w:p w14:paraId="461A7262">
      <w:pPr>
        <w:rPr>
          <w:rFonts w:hint="default" w:ascii="Arial" w:hAnsi="Arial" w:cs="Arial"/>
          <w:b w:val="0"/>
          <w:bCs w:val="0"/>
          <w:lang w:val="en-GB"/>
        </w:rPr>
      </w:pPr>
      <w:r>
        <w:rPr>
          <w:rFonts w:hint="default" w:ascii="Arial" w:hAnsi="Arial" w:cs="Arial"/>
          <w:b w:val="0"/>
          <w:bCs w:val="0"/>
          <w:lang w:val="en-GB"/>
        </w:rPr>
        <w:t>LVMH (2025) Universal Registration Document 2024. Paris: LVMH Moët Hennessy Louis Vuitton. Available at: LVMH – Financial Information (Accessed: 11 August 2026).</w:t>
      </w:r>
    </w:p>
    <w:p w14:paraId="7C12B9A6">
      <w:pPr>
        <w:rPr>
          <w:rFonts w:hint="default" w:ascii="Arial" w:hAnsi="Arial" w:cs="Arial"/>
          <w:b w:val="0"/>
          <w:bCs w:val="0"/>
          <w:lang w:val="en-GB"/>
        </w:rPr>
      </w:pPr>
    </w:p>
    <w:p w14:paraId="4977515C">
      <w:pPr>
        <w:rPr>
          <w:rFonts w:hint="default" w:ascii="Arial" w:hAnsi="Arial" w:cs="Arial"/>
          <w:b w:val="0"/>
          <w:bCs w:val="0"/>
          <w:lang w:val="en-GB"/>
        </w:rPr>
      </w:pPr>
      <w:r>
        <w:rPr>
          <w:rFonts w:hint="default" w:ascii="Arial" w:hAnsi="Arial" w:cs="Arial"/>
          <w:b w:val="0"/>
          <w:bCs w:val="0"/>
          <w:lang w:val="en-GB"/>
        </w:rPr>
        <w:t xml:space="preserve">McKinsey &amp; Company (2023) A close look at the global beauty industry in 2023. Available at: McKinsey &amp; Company – Global Beauty Industry (Accessed: 11 August 2026).  </w:t>
      </w:r>
    </w:p>
    <w:p w14:paraId="5A0ADF08">
      <w:pPr>
        <w:rPr>
          <w:rFonts w:hint="default" w:ascii="Arial" w:hAnsi="Arial" w:cs="Arial"/>
          <w:b w:val="0"/>
          <w:bCs w:val="0"/>
          <w:lang w:val="en-GB"/>
        </w:rPr>
      </w:pPr>
    </w:p>
    <w:p w14:paraId="6C063610">
      <w:pPr>
        <w:rPr>
          <w:rFonts w:hint="default" w:ascii="Arial" w:hAnsi="Arial" w:cs="Arial"/>
          <w:b w:val="0"/>
          <w:bCs w:val="0"/>
          <w:lang w:val="en-GB"/>
        </w:rPr>
      </w:pPr>
      <w:r>
        <w:rPr>
          <w:rFonts w:hint="default" w:ascii="Arial" w:hAnsi="Arial" w:cs="Arial"/>
          <w:b w:val="0"/>
          <w:bCs w:val="0"/>
          <w:lang w:val="en-GB"/>
        </w:rPr>
        <w:t>LVMH (2025) Perfumes &amp; Cosmetics – Letter to Shareholders, January 2025. Available at: LVMH – Perfumes &amp; Cosmetics (Accessed: 11 August 2026).</w:t>
      </w:r>
    </w:p>
    <w:p w14:paraId="7A481750">
      <w:pPr>
        <w:rPr>
          <w:rFonts w:hint="default" w:ascii="Arial" w:hAnsi="Arial" w:cs="Arial"/>
          <w:b w:val="0"/>
          <w:bCs w:val="0"/>
          <w:lang w:val="en-GB"/>
        </w:rPr>
      </w:pPr>
    </w:p>
    <w:p w14:paraId="776D6F0B">
      <w:pPr>
        <w:rPr>
          <w:rFonts w:hint="default" w:ascii="Arial" w:hAnsi="Arial" w:cs="Arial"/>
          <w:b w:val="0"/>
          <w:bCs w:val="0"/>
          <w:lang w:val="en-GB"/>
        </w:rPr>
      </w:pPr>
      <w:r>
        <w:rPr>
          <w:rFonts w:hint="default" w:ascii="Arial" w:hAnsi="Arial" w:cs="Arial"/>
          <w:b w:val="0"/>
          <w:bCs w:val="0"/>
          <w:lang w:val="en-GB"/>
        </w:rPr>
        <w:t>Bain &amp; Company (2025) Luxury Report 2025. Available at: Bain &amp; Company – Luxury Report (Accessed: 11 August 2026).</w:t>
      </w:r>
    </w:p>
    <w:p w14:paraId="026D6D18">
      <w:pPr>
        <w:rPr>
          <w:rFonts w:hint="default" w:ascii="Arial" w:hAnsi="Arial" w:cs="Arial"/>
          <w:b w:val="0"/>
          <w:bCs w:val="0"/>
          <w:lang w:val="en-GB"/>
        </w:rPr>
      </w:pPr>
    </w:p>
    <w:p w14:paraId="492FF6B4">
      <w:pPr>
        <w:rPr>
          <w:rFonts w:hint="default" w:ascii="Arial" w:hAnsi="Arial" w:cs="Arial"/>
          <w:b w:val="0"/>
          <w:bCs w:val="0"/>
          <w:lang w:val="en-GB"/>
        </w:rPr>
      </w:pPr>
      <w:r>
        <w:rPr>
          <w:rFonts w:hint="default" w:ascii="Arial" w:hAnsi="Arial" w:cs="Arial"/>
          <w:b w:val="0"/>
          <w:bCs w:val="0"/>
          <w:lang w:val="en-GB"/>
        </w:rPr>
        <w:t>Dior (2026) Our Commitments: To only leave beauty as a legacy. Available at: Dior – Our Commitments (Accessed: 11 August 2026).</w:t>
      </w:r>
    </w:p>
    <w:p w14:paraId="7E0B21F5">
      <w:pPr>
        <w:rPr>
          <w:rFonts w:hint="default" w:ascii="Arial" w:hAnsi="Arial" w:cs="Arial"/>
          <w:b w:val="0"/>
          <w:bCs w:val="0"/>
          <w:lang w:val="en-GB"/>
        </w:rPr>
      </w:pPr>
    </w:p>
    <w:p w14:paraId="78C450F8">
      <w:pPr>
        <w:rPr>
          <w:rFonts w:hint="default" w:ascii="Arial" w:hAnsi="Arial" w:cs="Arial"/>
          <w:b w:val="0"/>
          <w:bCs w:val="0"/>
          <w:lang w:val="en-GB"/>
        </w:rPr>
      </w:pPr>
      <w:r>
        <w:rPr>
          <w:rFonts w:hint="default" w:ascii="Arial" w:hAnsi="Arial" w:cs="Arial"/>
          <w:b w:val="0"/>
          <w:bCs w:val="0"/>
          <w:lang w:val="en-GB"/>
        </w:rPr>
        <w:t>European Commission (2024) Ecodesign for Sustainable Products Regulation. Available at: European Commission – Sustainable Products (Accessed: 11 August 2026).</w:t>
      </w:r>
    </w:p>
    <w:p w14:paraId="57172E6E">
      <w:pPr>
        <w:rPr>
          <w:rFonts w:hint="default" w:ascii="Arial" w:hAnsi="Arial" w:cs="Arial"/>
          <w:b w:val="0"/>
          <w:bCs w:val="0"/>
          <w:lang w:val="en-GB"/>
        </w:rPr>
      </w:pPr>
    </w:p>
    <w:p w14:paraId="30DD991C">
      <w:pPr>
        <w:rPr>
          <w:rFonts w:hint="default" w:ascii="Arial" w:hAnsi="Arial" w:cs="Arial"/>
          <w:b w:val="0"/>
          <w:bCs w:val="0"/>
          <w:lang w:val="en-GB"/>
        </w:rPr>
      </w:pPr>
      <w:r>
        <w:rPr>
          <w:rFonts w:hint="default" w:ascii="Arial" w:hAnsi="Arial" w:cs="Arial"/>
          <w:b w:val="0"/>
          <w:bCs w:val="0"/>
          <w:lang w:val="en-GB"/>
        </w:rPr>
        <w:t>LVMH (2025) Universal Registration Document 2024. Paris: LVMH Moët Hennessy Louis Vuitton. Available at: LVMH – Financial Information (Accessed: 11 August 2026).</w:t>
      </w:r>
    </w:p>
    <w:p w14:paraId="2EA70F9B">
      <w:pPr>
        <w:rPr>
          <w:rFonts w:hint="default" w:ascii="Arial" w:hAnsi="Arial" w:cs="Arial"/>
          <w:b w:val="0"/>
          <w:bCs w:val="0"/>
          <w:lang w:val="en-GB"/>
        </w:rPr>
      </w:pPr>
    </w:p>
    <w:p w14:paraId="7871772D">
      <w:pPr>
        <w:rPr>
          <w:rFonts w:hint="default" w:ascii="Arial" w:hAnsi="Arial" w:cs="Arial"/>
          <w:b w:val="0"/>
          <w:bCs w:val="0"/>
          <w:lang w:val="en-GB"/>
        </w:rPr>
      </w:pPr>
      <w:r>
        <w:rPr>
          <w:rFonts w:hint="default" w:ascii="Arial" w:hAnsi="Arial" w:cs="Arial"/>
          <w:b w:val="0"/>
          <w:bCs w:val="0"/>
          <w:lang w:val="en-GB"/>
        </w:rPr>
        <w:t>McKinsey &amp; Company (2023) A close look at the global beauty industry in 2023. Available at: McKinsey &amp; Company – Global Beauty Industry (Accessed: 11 August 2026).</w:t>
      </w:r>
    </w:p>
    <w:p w14:paraId="180FBC6A">
      <w:pPr>
        <w:rPr>
          <w:rFonts w:hint="default" w:ascii="Arial" w:hAnsi="Arial" w:cs="Arial"/>
          <w:b w:val="0"/>
          <w:bCs w:val="0"/>
          <w:lang w:val="en-GB"/>
        </w:rPr>
      </w:pPr>
    </w:p>
    <w:p w14:paraId="3A654C33">
      <w:pPr>
        <w:rPr>
          <w:rFonts w:hint="default" w:ascii="Arial" w:hAnsi="Arial" w:cs="Arial"/>
          <w:b w:val="0"/>
          <w:bCs w:val="0"/>
          <w:lang w:val="en-GB"/>
        </w:rPr>
      </w:pPr>
      <w:r>
        <w:rPr>
          <w:rFonts w:hint="default" w:ascii="Arial" w:hAnsi="Arial" w:cs="Arial"/>
          <w:b w:val="0"/>
          <w:bCs w:val="0"/>
          <w:lang w:val="en-GB"/>
        </w:rPr>
        <w:t xml:space="preserve">Office for Product Safety and Standards (2025) Cosmetics: consumer products. GOV.UK. Available at: GOV.UK – Cosmetics regulation (Accessed: 11 August 2026).  </w:t>
      </w:r>
    </w:p>
    <w:p w14:paraId="04CAAB89">
      <w:pPr>
        <w:rPr>
          <w:rFonts w:hint="default" w:ascii="Arial" w:hAnsi="Arial" w:cs="Arial"/>
          <w:b w:val="0"/>
          <w:bCs w:val="0"/>
          <w:lang w:val="en-GB"/>
        </w:rPr>
      </w:pPr>
    </w:p>
    <w:p w14:paraId="145A0877">
      <w:pPr>
        <w:rPr>
          <w:rFonts w:hint="default" w:ascii="Arial" w:hAnsi="Arial" w:cs="Arial"/>
          <w:b w:val="0"/>
          <w:bCs w:val="0"/>
          <w:lang w:val="en-GB"/>
        </w:rPr>
      </w:pPr>
    </w:p>
    <w:p w14:paraId="1988CA9E">
      <w:pPr>
        <w:rPr>
          <w:rFonts w:hint="default" w:ascii="Arial" w:hAnsi="Arial" w:cs="Arial"/>
          <w:b w:val="0"/>
          <w:bCs w:val="0"/>
          <w:lang w:val="en-GB"/>
        </w:rPr>
      </w:pPr>
      <w:r>
        <w:rPr>
          <w:rFonts w:hint="default" w:ascii="Arial" w:hAnsi="Arial" w:cs="Arial"/>
          <w:b w:val="0"/>
          <w:bCs w:val="0"/>
          <w:lang w:val="en-GB"/>
        </w:rPr>
        <w:t>Chanel (2026) Chanel Limited Financial Results for the Year Ended 31 December 2025. Available at: Chanel – 2025 Financial Results (Accessed: 11 August 2026).</w:t>
      </w:r>
    </w:p>
    <w:p w14:paraId="1546685F">
      <w:pPr>
        <w:rPr>
          <w:rFonts w:hint="default" w:ascii="Arial" w:hAnsi="Arial" w:cs="Arial"/>
          <w:b w:val="0"/>
          <w:bCs w:val="0"/>
          <w:lang w:val="en-GB"/>
        </w:rPr>
      </w:pPr>
    </w:p>
    <w:p w14:paraId="066B340F">
      <w:pPr>
        <w:rPr>
          <w:rFonts w:hint="default" w:ascii="Arial" w:hAnsi="Arial" w:cs="Arial"/>
          <w:b w:val="0"/>
          <w:bCs w:val="0"/>
          <w:lang w:val="en-GB"/>
        </w:rPr>
      </w:pPr>
      <w:r>
        <w:rPr>
          <w:rFonts w:hint="default" w:ascii="Arial" w:hAnsi="Arial" w:cs="Arial"/>
          <w:b w:val="0"/>
          <w:bCs w:val="0"/>
          <w:lang w:val="en-GB"/>
        </w:rPr>
        <w:t>Kering (2026) Financial information and key figures. Available at: Kering – Financial Information (Accessed: 11 August 2026).</w:t>
      </w:r>
    </w:p>
    <w:p w14:paraId="31FC166D">
      <w:pPr>
        <w:rPr>
          <w:rFonts w:hint="default" w:ascii="Arial" w:hAnsi="Arial" w:cs="Arial"/>
          <w:b w:val="0"/>
          <w:bCs w:val="0"/>
          <w:lang w:val="en-GB"/>
        </w:rPr>
      </w:pPr>
    </w:p>
    <w:p w14:paraId="6EC02B72">
      <w:pPr>
        <w:rPr>
          <w:rFonts w:hint="default" w:ascii="Arial" w:hAnsi="Arial" w:cs="Arial"/>
          <w:b w:val="0"/>
          <w:bCs w:val="0"/>
          <w:lang w:val="en-GB"/>
        </w:rPr>
      </w:pPr>
      <w:r>
        <w:rPr>
          <w:rFonts w:hint="default" w:ascii="Arial" w:hAnsi="Arial" w:cs="Arial"/>
          <w:b w:val="0"/>
          <w:bCs w:val="0"/>
          <w:lang w:val="en-GB"/>
        </w:rPr>
        <w:t>L'Oréal (2026) L'Oréal completes the acquisition of Kering Beauté. Available at: L'Oréal – Kering Beauté (Accessed: 11 August 2026).</w:t>
      </w:r>
    </w:p>
    <w:p w14:paraId="4A831FDF">
      <w:pPr>
        <w:rPr>
          <w:rFonts w:hint="default" w:ascii="Arial" w:hAnsi="Arial" w:cs="Arial"/>
          <w:b w:val="0"/>
          <w:bCs w:val="0"/>
          <w:lang w:val="en-GB"/>
        </w:rPr>
      </w:pPr>
    </w:p>
    <w:p w14:paraId="31CA1DA8">
      <w:pPr>
        <w:rPr>
          <w:rFonts w:hint="default" w:ascii="Arial" w:hAnsi="Arial" w:cs="Arial"/>
          <w:b w:val="0"/>
          <w:bCs w:val="0"/>
          <w:lang w:val="en-GB"/>
        </w:rPr>
      </w:pPr>
      <w:r>
        <w:rPr>
          <w:rFonts w:hint="default" w:ascii="Arial" w:hAnsi="Arial" w:cs="Arial"/>
          <w:b w:val="0"/>
          <w:bCs w:val="0"/>
          <w:lang w:val="en-GB"/>
        </w:rPr>
        <w:t xml:space="preserve">LVMH (2026) Universal Registration Document 2025. Available at: LVMH – 2025 Universal Registration Document (Accessed: 11 August 2026). </w:t>
      </w:r>
    </w:p>
    <w:p w14:paraId="11AEF58A">
      <w:pPr>
        <w:rPr>
          <w:rFonts w:hint="default" w:ascii="Arial" w:hAnsi="Arial" w:cs="Arial"/>
          <w:b w:val="0"/>
          <w:bCs w:val="0"/>
          <w:lang w:val="en-GB"/>
        </w:rPr>
      </w:pPr>
    </w:p>
    <w:p w14:paraId="5B069129">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12 August 2026).</w:t>
      </w:r>
    </w:p>
    <w:p w14:paraId="3BF61C2C">
      <w:pPr>
        <w:rPr>
          <w:rFonts w:hint="default" w:ascii="Arial" w:hAnsi="Arial" w:cs="Arial"/>
          <w:b w:val="0"/>
          <w:bCs w:val="0"/>
          <w:lang w:val="en-GB"/>
        </w:rPr>
      </w:pPr>
    </w:p>
    <w:p w14:paraId="23E6BCDE">
      <w:pPr>
        <w:rPr>
          <w:rFonts w:hint="default" w:ascii="Arial" w:hAnsi="Arial" w:cs="Arial"/>
          <w:b w:val="0"/>
          <w:bCs w:val="0"/>
          <w:lang w:val="en-GB"/>
        </w:rPr>
      </w:pPr>
      <w:r>
        <w:rPr>
          <w:rFonts w:hint="default" w:ascii="Arial" w:hAnsi="Arial" w:cs="Arial"/>
          <w:b w:val="0"/>
          <w:bCs w:val="0"/>
          <w:lang w:val="en-GB"/>
        </w:rPr>
        <w:t>LVMH (2026) Universal Registration Document 2025. Available at: LVMH – 2025 Universal Registration Document (Accessed: 12 August 2026).</w:t>
      </w:r>
    </w:p>
    <w:p w14:paraId="06EBB0C9">
      <w:pPr>
        <w:rPr>
          <w:rFonts w:hint="default" w:ascii="Arial" w:hAnsi="Arial" w:cs="Arial"/>
          <w:b w:val="0"/>
          <w:bCs w:val="0"/>
          <w:lang w:val="en-GB"/>
        </w:rPr>
      </w:pPr>
    </w:p>
    <w:p w14:paraId="5285171C">
      <w:pPr>
        <w:rPr>
          <w:rFonts w:hint="default" w:ascii="Arial" w:hAnsi="Arial" w:cs="Arial"/>
          <w:b w:val="0"/>
          <w:bCs w:val="0"/>
          <w:lang w:val="en-GB"/>
        </w:rPr>
      </w:pPr>
      <w:r>
        <w:rPr>
          <w:rFonts w:hint="default" w:ascii="Arial" w:hAnsi="Arial" w:cs="Arial"/>
          <w:b w:val="0"/>
          <w:bCs w:val="0"/>
          <w:lang w:val="en-GB"/>
        </w:rPr>
        <w:t>McKinsey &amp; Company (2023) A close look at the global beauty industry in 2023. Available at: McKinsey &amp; Company – Global Beauty Industry (Accessed: 12 August 2026).</w:t>
      </w:r>
    </w:p>
    <w:p w14:paraId="54A4103B">
      <w:pPr>
        <w:rPr>
          <w:rFonts w:hint="default" w:ascii="Arial" w:hAnsi="Arial" w:cs="Arial"/>
          <w:b w:val="0"/>
          <w:bCs w:val="0"/>
          <w:lang w:val="en-GB"/>
        </w:rPr>
      </w:pPr>
    </w:p>
    <w:p w14:paraId="793271A7">
      <w:pPr>
        <w:rPr>
          <w:rFonts w:hint="default" w:ascii="Arial" w:hAnsi="Arial" w:cs="Arial"/>
          <w:b w:val="0"/>
          <w:bCs w:val="0"/>
          <w:lang w:val="en-GB"/>
        </w:rPr>
      </w:pPr>
      <w:r>
        <w:rPr>
          <w:rFonts w:hint="default" w:ascii="Arial" w:hAnsi="Arial" w:cs="Arial"/>
          <w:b w:val="0"/>
          <w:bCs w:val="0"/>
          <w:lang w:val="en-GB"/>
        </w:rPr>
        <w:t>Porter, M.E. (1985) Competitive Advantage: Creating and Sustaining Superior Performance. New York: Free Press.</w:t>
      </w:r>
    </w:p>
    <w:p w14:paraId="51BEF66D">
      <w:pPr>
        <w:rPr>
          <w:rFonts w:hint="default" w:ascii="Arial" w:hAnsi="Arial" w:cs="Arial"/>
          <w:b w:val="0"/>
          <w:bCs w:val="0"/>
          <w:lang w:val="en-GB"/>
        </w:rPr>
      </w:pPr>
    </w:p>
    <w:p w14:paraId="4016FF06">
      <w:pPr>
        <w:rPr>
          <w:rFonts w:hint="default" w:ascii="Arial" w:hAnsi="Arial" w:cs="Arial"/>
          <w:b w:val="0"/>
          <w:bCs w:val="0"/>
          <w:lang w:val="en-GB"/>
        </w:rPr>
      </w:pPr>
      <w:r>
        <w:rPr>
          <w:rFonts w:hint="default" w:ascii="Arial" w:hAnsi="Arial" w:cs="Arial"/>
          <w:b w:val="0"/>
          <w:bCs w:val="0"/>
          <w:lang w:val="en-GB"/>
        </w:rPr>
        <w:t>Dior (2026a) Our Commitments: To only leave beauty as a legacy. Available at: Dior – Our Commitments (Accessed: 11 August 2026).</w:t>
      </w:r>
    </w:p>
    <w:p w14:paraId="2416C087">
      <w:pPr>
        <w:rPr>
          <w:rFonts w:hint="default" w:ascii="Arial" w:hAnsi="Arial" w:cs="Arial"/>
          <w:b w:val="0"/>
          <w:bCs w:val="0"/>
          <w:lang w:val="en-GB"/>
        </w:rPr>
      </w:pPr>
    </w:p>
    <w:p w14:paraId="6114190D">
      <w:pPr>
        <w:rPr>
          <w:rFonts w:hint="default" w:ascii="Arial" w:hAnsi="Arial" w:cs="Arial"/>
          <w:b w:val="0"/>
          <w:bCs w:val="0"/>
          <w:lang w:val="en-GB"/>
        </w:rPr>
      </w:pPr>
      <w:r>
        <w:rPr>
          <w:rFonts w:hint="default" w:ascii="Arial" w:hAnsi="Arial" w:cs="Arial"/>
          <w:b w:val="0"/>
          <w:bCs w:val="0"/>
          <w:lang w:val="en-GB"/>
        </w:rPr>
        <w:t>Dior (2026b) Beauty as a Legacy 2030: Vision Report. Available at: Dior Beauty as a Legacy 2030 Report (Accessed: 11 August 2026).</w:t>
      </w:r>
    </w:p>
    <w:p w14:paraId="2A8B98A1">
      <w:pPr>
        <w:rPr>
          <w:rFonts w:hint="default" w:ascii="Arial" w:hAnsi="Arial" w:cs="Arial"/>
          <w:b w:val="0"/>
          <w:bCs w:val="0"/>
          <w:lang w:val="en-GB"/>
        </w:rPr>
      </w:pPr>
    </w:p>
    <w:p w14:paraId="43E04542">
      <w:pPr>
        <w:rPr>
          <w:rFonts w:hint="default" w:ascii="Arial" w:hAnsi="Arial" w:cs="Arial"/>
          <w:b w:val="0"/>
          <w:bCs w:val="0"/>
          <w:lang w:val="en-GB"/>
        </w:rPr>
      </w:pPr>
      <w:r>
        <w:rPr>
          <w:rFonts w:hint="default" w:ascii="Arial" w:hAnsi="Arial" w:cs="Arial"/>
          <w:b w:val="0"/>
          <w:bCs w:val="0"/>
          <w:lang w:val="en-GB"/>
        </w:rPr>
        <w:t>LVMH (2026) Our commitment for the environment – LIFE 360. Available at: LVMH – Environmental Strategy (Accessed: 11 August 2026).</w:t>
      </w:r>
    </w:p>
    <w:p w14:paraId="596D78C0">
      <w:pPr>
        <w:rPr>
          <w:rFonts w:hint="default" w:ascii="Arial" w:hAnsi="Arial" w:cs="Arial"/>
          <w:b w:val="0"/>
          <w:bCs w:val="0"/>
          <w:lang w:val="en-GB"/>
        </w:rPr>
      </w:pPr>
    </w:p>
    <w:p w14:paraId="340591FA">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11 August 2026).</w:t>
      </w:r>
    </w:p>
    <w:p w14:paraId="79A5BE95">
      <w:pPr>
        <w:rPr>
          <w:rFonts w:hint="default" w:ascii="Arial" w:hAnsi="Arial" w:cs="Arial"/>
          <w:b w:val="0"/>
          <w:bCs w:val="0"/>
          <w:lang w:val="en-GB"/>
        </w:rPr>
      </w:pPr>
    </w:p>
    <w:p w14:paraId="0EE0B686">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11 August 2026).</w:t>
      </w:r>
    </w:p>
    <w:p w14:paraId="5BF1C73B">
      <w:pPr>
        <w:rPr>
          <w:rFonts w:hint="default" w:ascii="Arial" w:hAnsi="Arial" w:cs="Arial"/>
          <w:b w:val="0"/>
          <w:bCs w:val="0"/>
          <w:lang w:val="en-GB"/>
        </w:rPr>
      </w:pPr>
    </w:p>
    <w:p w14:paraId="778B47F4">
      <w:pPr>
        <w:rPr>
          <w:rFonts w:hint="default" w:ascii="Arial" w:hAnsi="Arial" w:cs="Arial"/>
          <w:b w:val="0"/>
          <w:bCs w:val="0"/>
          <w:lang w:val="en-GB"/>
        </w:rPr>
      </w:pPr>
      <w:r>
        <w:rPr>
          <w:rFonts w:hint="default" w:ascii="Arial" w:hAnsi="Arial" w:cs="Arial"/>
          <w:b w:val="0"/>
          <w:bCs w:val="0"/>
          <w:lang w:val="en-GB"/>
        </w:rPr>
        <w:t>LVMH (2026) Universal Registration Document 2025. Available at: LVMH – 2025 Universal Registration Document (Accessed: 11 August 2026).</w:t>
      </w:r>
    </w:p>
    <w:p w14:paraId="4AF4C61C">
      <w:pPr>
        <w:rPr>
          <w:rFonts w:hint="default" w:ascii="Arial" w:hAnsi="Arial" w:cs="Arial"/>
          <w:b w:val="0"/>
          <w:bCs w:val="0"/>
          <w:lang w:val="en-GB"/>
        </w:rPr>
      </w:pPr>
    </w:p>
    <w:p w14:paraId="11785C49">
      <w:pPr>
        <w:rPr>
          <w:rFonts w:hint="default" w:ascii="Arial" w:hAnsi="Arial" w:cs="Arial"/>
          <w:b w:val="0"/>
          <w:bCs w:val="0"/>
          <w:lang w:val="en-GB"/>
        </w:rPr>
      </w:pPr>
      <w:r>
        <w:rPr>
          <w:rFonts w:hint="default" w:ascii="Arial" w:hAnsi="Arial" w:cs="Arial"/>
          <w:b w:val="0"/>
          <w:bCs w:val="0"/>
          <w:lang w:val="en-GB"/>
        </w:rPr>
        <w:t>McKinsey &amp; Company (2023) A close look at the global beauty industry in 2023. Available at: McKinsey &amp; Company – Global Beauty Industry (Accessed: 11 August 2026).</w:t>
      </w:r>
    </w:p>
    <w:p w14:paraId="5CAA3B48">
      <w:pPr>
        <w:rPr>
          <w:rFonts w:hint="default" w:ascii="Arial" w:hAnsi="Arial" w:cs="Arial"/>
          <w:b w:val="0"/>
          <w:bCs w:val="0"/>
          <w:lang w:val="en-GB"/>
        </w:rPr>
      </w:pPr>
    </w:p>
    <w:p w14:paraId="23D8A11C">
      <w:pPr>
        <w:rPr>
          <w:rFonts w:hint="default" w:ascii="Arial" w:hAnsi="Arial" w:cs="Arial"/>
          <w:b w:val="0"/>
          <w:bCs w:val="0"/>
          <w:lang w:val="en-GB"/>
        </w:rPr>
      </w:pPr>
      <w:r>
        <w:rPr>
          <w:rFonts w:hint="default" w:ascii="Arial" w:hAnsi="Arial" w:cs="Arial"/>
          <w:b w:val="0"/>
          <w:bCs w:val="0"/>
          <w:lang w:val="en-GB"/>
        </w:rPr>
        <w:t xml:space="preserve">Porter, M.E. (1985) Competitive Advantage: Creating and Sustaining Superior Performance. New York: Free Press. </w:t>
      </w:r>
    </w:p>
    <w:p w14:paraId="516CE99A">
      <w:pPr>
        <w:rPr>
          <w:rFonts w:hint="default" w:ascii="Arial" w:hAnsi="Arial" w:cs="Arial"/>
          <w:b w:val="0"/>
          <w:bCs w:val="0"/>
          <w:lang w:val="en-GB"/>
        </w:rPr>
      </w:pPr>
    </w:p>
    <w:p w14:paraId="7CB91DBE">
      <w:pPr>
        <w:rPr>
          <w:rFonts w:hint="default" w:ascii="Arial" w:hAnsi="Arial" w:cs="Arial"/>
          <w:b w:val="0"/>
          <w:bCs w:val="0"/>
          <w:lang w:val="en-GB"/>
        </w:rPr>
      </w:pPr>
      <w:r>
        <w:rPr>
          <w:rFonts w:hint="default" w:ascii="Arial" w:hAnsi="Arial" w:cs="Arial"/>
          <w:b w:val="0"/>
          <w:bCs w:val="0"/>
          <w:lang w:val="en-GB"/>
        </w:rPr>
        <w:t xml:space="preserve">Valentin, EK 2014, Business Planning and Market Strategy, SAGE Publications, Incorporated, Thousand Oaks. Available from: ProQuest Ebook Central. [12 August 2026]. </w:t>
      </w:r>
    </w:p>
    <w:p w14:paraId="2EC71193">
      <w:pPr>
        <w:rPr>
          <w:rFonts w:hint="default" w:ascii="Arial" w:hAnsi="Arial" w:cs="Arial"/>
          <w:b w:val="0"/>
          <w:bCs w:val="0"/>
          <w:lang w:val="en-GB"/>
        </w:rPr>
      </w:pPr>
    </w:p>
    <w:p w14:paraId="013516B5">
      <w:pPr>
        <w:rPr>
          <w:rFonts w:hint="default" w:ascii="Arial" w:hAnsi="Arial" w:cs="Arial"/>
          <w:b w:val="0"/>
          <w:bCs w:val="0"/>
          <w:lang w:val="en-GB"/>
        </w:rPr>
      </w:pPr>
      <w:r>
        <w:rPr>
          <w:rFonts w:hint="default" w:ascii="Arial" w:hAnsi="Arial" w:cs="Arial"/>
          <w:b w:val="0"/>
          <w:bCs w:val="0"/>
          <w:lang w:val="en-GB"/>
        </w:rPr>
        <w:t>Ansoff, H.I. (1957) ‘Strategies for diversification’, Harvard Business Review, 35(5), pp. 113–124.</w:t>
      </w:r>
    </w:p>
    <w:p w14:paraId="7979D720">
      <w:pPr>
        <w:rPr>
          <w:rFonts w:hint="default" w:ascii="Arial" w:hAnsi="Arial" w:cs="Arial"/>
          <w:b w:val="0"/>
          <w:bCs w:val="0"/>
          <w:lang w:val="en-GB"/>
        </w:rPr>
      </w:pPr>
    </w:p>
    <w:p w14:paraId="2B5CDD9D">
      <w:pPr>
        <w:rPr>
          <w:rFonts w:hint="default" w:ascii="Arial" w:hAnsi="Arial" w:cs="Arial"/>
          <w:b w:val="0"/>
          <w:bCs w:val="0"/>
          <w:lang w:val="en-GB"/>
        </w:rPr>
      </w:pPr>
      <w:r>
        <w:rPr>
          <w:rFonts w:hint="default" w:ascii="Arial" w:hAnsi="Arial" w:cs="Arial"/>
          <w:b w:val="0"/>
          <w:bCs w:val="0"/>
          <w:lang w:val="en-GB"/>
        </w:rPr>
        <w:t>Bain &amp; Company (2025) Luxury Report 2025. Available at: Bain &amp; Company – Luxury Report (Accessed: 11 August 2026).</w:t>
      </w:r>
    </w:p>
    <w:p w14:paraId="110A057C">
      <w:pPr>
        <w:rPr>
          <w:rFonts w:hint="default" w:ascii="Arial" w:hAnsi="Arial" w:cs="Arial"/>
          <w:b w:val="0"/>
          <w:bCs w:val="0"/>
          <w:lang w:val="en-GB"/>
        </w:rPr>
      </w:pPr>
    </w:p>
    <w:p w14:paraId="4F42A0D2">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11 August 2026).</w:t>
      </w:r>
    </w:p>
    <w:p w14:paraId="74462A25">
      <w:pPr>
        <w:rPr>
          <w:rFonts w:hint="default" w:ascii="Arial" w:hAnsi="Arial" w:cs="Arial"/>
          <w:b w:val="0"/>
          <w:bCs w:val="0"/>
          <w:lang w:val="en-GB"/>
        </w:rPr>
      </w:pPr>
    </w:p>
    <w:p w14:paraId="72911D48">
      <w:pPr>
        <w:rPr>
          <w:rFonts w:hint="default" w:ascii="Arial" w:hAnsi="Arial" w:cs="Arial"/>
          <w:b w:val="0"/>
          <w:bCs w:val="0"/>
          <w:lang w:val="en-GB"/>
        </w:rPr>
      </w:pPr>
      <w:r>
        <w:rPr>
          <w:rFonts w:hint="default" w:ascii="Arial" w:hAnsi="Arial" w:cs="Arial"/>
          <w:b w:val="0"/>
          <w:bCs w:val="0"/>
          <w:lang w:val="en-GB"/>
        </w:rPr>
        <w:t xml:space="preserve">McKinsey &amp; Company (2023) A close look at the global beauty industry in 2023. Available at: McKinsey &amp; Company – Global Beauty Industry (Accessed: 11 August 2026). </w:t>
      </w:r>
    </w:p>
    <w:p w14:paraId="0E9DABCA">
      <w:pPr>
        <w:rPr>
          <w:rFonts w:hint="default" w:ascii="Arial" w:hAnsi="Arial" w:cs="Arial"/>
          <w:b w:val="0"/>
          <w:bCs w:val="0"/>
          <w:lang w:val="en-GB"/>
        </w:rPr>
      </w:pPr>
    </w:p>
    <w:p w14:paraId="26EEC255">
      <w:pPr>
        <w:rPr>
          <w:rFonts w:hint="default" w:ascii="Arial" w:hAnsi="Arial" w:cs="Arial"/>
          <w:b w:val="0"/>
          <w:bCs w:val="0"/>
          <w:lang w:val="en-GB"/>
        </w:rPr>
      </w:pPr>
      <w:r>
        <w:rPr>
          <w:rFonts w:hint="default" w:ascii="Arial" w:hAnsi="Arial" w:cs="Arial"/>
          <w:b w:val="0"/>
          <w:bCs w:val="0"/>
          <w:lang w:val="en-GB"/>
        </w:rPr>
        <w:t>Ansoff, H.I. (1957) ‘Strategies for diversification’, Harvard Business Review, 35(5), pp. 113–124.</w:t>
      </w:r>
    </w:p>
    <w:p w14:paraId="59EED853">
      <w:pPr>
        <w:rPr>
          <w:rFonts w:hint="default" w:ascii="Arial" w:hAnsi="Arial" w:cs="Arial"/>
          <w:b w:val="0"/>
          <w:bCs w:val="0"/>
          <w:lang w:val="en-GB"/>
        </w:rPr>
      </w:pPr>
    </w:p>
    <w:p w14:paraId="59F79880">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12 August 2026).</w:t>
      </w:r>
    </w:p>
    <w:p w14:paraId="2C4D08C1">
      <w:pPr>
        <w:rPr>
          <w:rFonts w:hint="default" w:ascii="Arial" w:hAnsi="Arial" w:cs="Arial"/>
          <w:b w:val="0"/>
          <w:bCs w:val="0"/>
          <w:lang w:val="en-GB"/>
        </w:rPr>
      </w:pPr>
    </w:p>
    <w:p w14:paraId="0E839A60">
      <w:pPr>
        <w:rPr>
          <w:rFonts w:hint="default" w:ascii="Arial" w:hAnsi="Arial" w:cs="Arial"/>
          <w:b w:val="0"/>
          <w:bCs w:val="0"/>
          <w:lang w:val="en-GB"/>
        </w:rPr>
      </w:pPr>
      <w:r>
        <w:rPr>
          <w:rFonts w:hint="default" w:ascii="Arial" w:hAnsi="Arial" w:cs="Arial"/>
          <w:b w:val="0"/>
          <w:bCs w:val="0"/>
          <w:lang w:val="en-GB"/>
        </w:rPr>
        <w:t>LVMH (2026) Universal Registration Document 2025. Available at: LVMH – 2025 Universal Registration Document (Accessed: 12 August 2026).</w:t>
      </w:r>
    </w:p>
    <w:p w14:paraId="17C83978">
      <w:pPr>
        <w:rPr>
          <w:rFonts w:hint="default" w:ascii="Arial" w:hAnsi="Arial" w:cs="Arial"/>
          <w:b w:val="0"/>
          <w:bCs w:val="0"/>
          <w:lang w:val="en-GB"/>
        </w:rPr>
      </w:pPr>
    </w:p>
    <w:p w14:paraId="05FA6D57">
      <w:pPr>
        <w:rPr>
          <w:rFonts w:hint="default" w:ascii="Arial" w:hAnsi="Arial" w:cs="Arial"/>
          <w:b w:val="0"/>
          <w:bCs w:val="0"/>
          <w:lang w:val="en-GB"/>
        </w:rPr>
      </w:pPr>
      <w:r>
        <w:rPr>
          <w:rFonts w:hint="default" w:ascii="Arial" w:hAnsi="Arial" w:cs="Arial"/>
          <w:b w:val="0"/>
          <w:bCs w:val="0"/>
          <w:lang w:val="en-GB"/>
        </w:rPr>
        <w:t xml:space="preserve">Porter, M.E. (1985) Competitive Advantage: Creating and Sustaining Superior Performance. New York: Free Press. </w:t>
      </w:r>
    </w:p>
    <w:p w14:paraId="45CA5F33">
      <w:pPr>
        <w:rPr>
          <w:rFonts w:hint="default" w:ascii="Arial" w:hAnsi="Arial" w:cs="Arial"/>
          <w:b w:val="0"/>
          <w:bCs w:val="0"/>
          <w:lang w:val="en-GB"/>
        </w:rPr>
      </w:pPr>
    </w:p>
    <w:p w14:paraId="79FD72F9">
      <w:pPr>
        <w:rPr>
          <w:rFonts w:hint="default" w:ascii="Arial" w:hAnsi="Arial" w:cs="Arial"/>
          <w:b w:val="0"/>
          <w:bCs w:val="0"/>
          <w:lang w:val="en-GB"/>
        </w:rPr>
      </w:pPr>
      <w:r>
        <w:rPr>
          <w:rFonts w:hint="default" w:ascii="Arial" w:hAnsi="Arial" w:cs="Arial"/>
          <w:b w:val="0"/>
          <w:bCs w:val="0"/>
          <w:lang w:val="en-GB"/>
        </w:rPr>
        <w:t>Ansoff, H.I. (1957) ‘Strategies for diversification’, Harvard Business Review, 35(5), pp. 113–124.</w:t>
      </w:r>
    </w:p>
    <w:p w14:paraId="5292771E">
      <w:pPr>
        <w:rPr>
          <w:rFonts w:hint="default" w:ascii="Arial" w:hAnsi="Arial" w:cs="Arial"/>
          <w:b w:val="0"/>
          <w:bCs w:val="0"/>
          <w:lang w:val="en-GB"/>
        </w:rPr>
      </w:pPr>
    </w:p>
    <w:p w14:paraId="51F53175">
      <w:pPr>
        <w:rPr>
          <w:rFonts w:hint="default" w:ascii="Arial" w:hAnsi="Arial" w:cs="Arial"/>
          <w:b w:val="0"/>
          <w:bCs w:val="0"/>
          <w:lang w:val="en-GB"/>
        </w:rPr>
      </w:pPr>
      <w:r>
        <w:rPr>
          <w:rFonts w:hint="default" w:ascii="Arial" w:hAnsi="Arial" w:cs="Arial"/>
          <w:b w:val="0"/>
          <w:bCs w:val="0"/>
          <w:lang w:val="en-GB"/>
        </w:rPr>
        <w:t>Kapferer, J.N. and Bastien, V. (2012) The Luxury Strategy: Break the Rules of Marketing to Build Luxury Brands. 2nd edn. London: Kogan Page.</w:t>
      </w:r>
    </w:p>
    <w:p w14:paraId="6EA91A73">
      <w:pPr>
        <w:rPr>
          <w:rFonts w:hint="default" w:ascii="Arial" w:hAnsi="Arial" w:cs="Arial"/>
          <w:b w:val="0"/>
          <w:bCs w:val="0"/>
          <w:lang w:val="en-GB"/>
        </w:rPr>
      </w:pPr>
    </w:p>
    <w:p w14:paraId="32023F60">
      <w:pPr>
        <w:rPr>
          <w:rFonts w:hint="default" w:ascii="Arial" w:hAnsi="Arial" w:cs="Arial"/>
          <w:b w:val="0"/>
          <w:bCs w:val="0"/>
          <w:lang w:val="en-GB"/>
        </w:rPr>
      </w:pPr>
      <w:r>
        <w:rPr>
          <w:rFonts w:hint="default" w:ascii="Arial" w:hAnsi="Arial" w:cs="Arial"/>
          <w:b w:val="0"/>
          <w:bCs w:val="0"/>
          <w:lang w:val="en-GB"/>
        </w:rPr>
        <w:t xml:space="preserve">LVMH (2026) Universal Registration Document 2025. Available at: LVMH – 2025 Universal Registration Document (Accessed: 12 August 2026). </w:t>
      </w:r>
    </w:p>
    <w:p w14:paraId="1090B418">
      <w:pPr>
        <w:rPr>
          <w:rFonts w:hint="default" w:ascii="Arial" w:hAnsi="Arial" w:cs="Arial"/>
          <w:b w:val="0"/>
          <w:bCs w:val="0"/>
          <w:lang w:val="en-GB"/>
        </w:rPr>
      </w:pPr>
    </w:p>
    <w:p w14:paraId="309D10E9">
      <w:pPr>
        <w:rPr>
          <w:rFonts w:hint="default" w:ascii="Arial" w:hAnsi="Arial" w:cs="Arial"/>
          <w:b w:val="0"/>
          <w:bCs w:val="0"/>
          <w:lang w:val="en-GB"/>
        </w:rPr>
      </w:pPr>
      <w:r>
        <w:rPr>
          <w:rFonts w:hint="default" w:ascii="Arial" w:hAnsi="Arial" w:cs="Arial"/>
          <w:b w:val="0"/>
          <w:bCs w:val="0"/>
          <w:lang w:val="en-GB"/>
        </w:rPr>
        <w:t xml:space="preserve">Gibbs, G. (1988) Learning by Doing: A Guide to Teaching and Learning Methods. Oxford: Oxford Polytechnic. </w:t>
      </w:r>
    </w:p>
    <w:p w14:paraId="4BDBB62D">
      <w:pPr>
        <w:rPr>
          <w:rFonts w:hint="default" w:ascii="Arial" w:hAnsi="Arial" w:cs="Arial"/>
          <w:b w:val="0"/>
          <w:bCs w:val="0"/>
          <w:lang w:val="en-GB"/>
        </w:rPr>
      </w:pPr>
    </w:p>
    <w:p w14:paraId="691B5EBA">
      <w:pPr>
        <w:rPr>
          <w:rFonts w:hint="default" w:ascii="Arial" w:hAnsi="Arial" w:cs="Arial"/>
          <w:b w:val="0"/>
          <w:bCs w:val="0"/>
          <w:lang w:val="en-GB"/>
        </w:rPr>
      </w:pPr>
      <w:r>
        <w:rPr>
          <w:rFonts w:hint="default" w:ascii="Arial" w:hAnsi="Arial" w:cs="Arial"/>
          <w:b w:val="0"/>
          <w:bCs w:val="0"/>
          <w:lang w:val="en-GB"/>
        </w:rPr>
        <w:t>Ansoff, H.I. (1957) ‘Strategies for diversification’, Harvard Business Review, 35(5), pp. 113–124.</w:t>
      </w:r>
    </w:p>
    <w:p w14:paraId="4196AE65">
      <w:pPr>
        <w:rPr>
          <w:rFonts w:hint="default" w:ascii="Arial" w:hAnsi="Arial" w:cs="Arial"/>
          <w:b w:val="0"/>
          <w:bCs w:val="0"/>
          <w:lang w:val="en-GB"/>
        </w:rPr>
      </w:pPr>
    </w:p>
    <w:p w14:paraId="04C8B264">
      <w:pPr>
        <w:rPr>
          <w:rFonts w:hint="default" w:ascii="Arial" w:hAnsi="Arial" w:cs="Arial"/>
          <w:b w:val="0"/>
          <w:bCs w:val="0"/>
          <w:lang w:val="en-GB"/>
        </w:rPr>
      </w:pPr>
      <w:r>
        <w:rPr>
          <w:rFonts w:hint="default" w:ascii="Arial" w:hAnsi="Arial" w:cs="Arial"/>
          <w:b w:val="0"/>
          <w:bCs w:val="0"/>
          <w:lang w:val="en-GB"/>
        </w:rPr>
        <w:t>Dior (2026) Beauty as a Legacy 2030: Vision Report. Available at: Dior – Beauty as a Legacy 2030 (Accessed: 12 August 2026).</w:t>
      </w:r>
    </w:p>
    <w:p w14:paraId="05A63D93">
      <w:pPr>
        <w:rPr>
          <w:rFonts w:hint="default" w:ascii="Arial" w:hAnsi="Arial" w:cs="Arial"/>
          <w:b w:val="0"/>
          <w:bCs w:val="0"/>
          <w:lang w:val="en-GB"/>
        </w:rPr>
      </w:pPr>
    </w:p>
    <w:p w14:paraId="15F04AFC">
      <w:pPr>
        <w:rPr>
          <w:rFonts w:hint="default" w:ascii="Arial" w:hAnsi="Arial" w:cs="Arial"/>
          <w:b w:val="0"/>
          <w:bCs w:val="0"/>
          <w:lang w:val="en-GB"/>
        </w:rPr>
      </w:pPr>
      <w:r>
        <w:rPr>
          <w:rFonts w:hint="default" w:ascii="Arial" w:hAnsi="Arial" w:cs="Arial"/>
          <w:b w:val="0"/>
          <w:bCs w:val="0"/>
          <w:lang w:val="en-GB"/>
        </w:rPr>
        <w:t>LVMH (2026) Universal Registration Document 2025. Available at: LVMH – 2025 Universal Registration Document (Accessed: 12 August 2026).</w:t>
      </w:r>
    </w:p>
    <w:p w14:paraId="49110FC6">
      <w:pPr>
        <w:rPr>
          <w:rFonts w:hint="default" w:ascii="Arial" w:hAnsi="Arial" w:cs="Arial"/>
          <w:b w:val="0"/>
          <w:bCs w:val="0"/>
          <w:lang w:val="en-GB"/>
        </w:rPr>
      </w:pPr>
    </w:p>
    <w:p w14:paraId="0622A24B">
      <w:pPr>
        <w:rPr>
          <w:rFonts w:hint="default" w:ascii="Arial" w:hAnsi="Arial" w:cs="Arial"/>
          <w:b w:val="0"/>
          <w:bCs w:val="0"/>
          <w:lang w:val="en-GB"/>
        </w:rPr>
      </w:pPr>
      <w:r>
        <w:rPr>
          <w:rFonts w:hint="default" w:ascii="Arial" w:hAnsi="Arial" w:cs="Arial"/>
          <w:b w:val="0"/>
          <w:bCs w:val="0"/>
          <w:lang w:val="en-GB"/>
        </w:rPr>
        <w:t>Porter, M.E. (1985) Competitive Advantage: Creating and Sustaining Superior Performance. New York: Free Press.</w:t>
      </w:r>
    </w:p>
    <w:p w14:paraId="55A3D620">
      <w:pPr>
        <w:rPr>
          <w:rFonts w:hint="default" w:ascii="Arial" w:hAnsi="Arial" w:cs="Arial"/>
          <w:b w:val="0"/>
          <w:bCs w:val="0"/>
          <w:lang w:val="en-GB"/>
        </w:rPr>
      </w:pPr>
    </w:p>
    <w:p w14:paraId="4CEABD93">
      <w:pPr>
        <w:rPr>
          <w:rFonts w:hint="default" w:ascii="Arial" w:hAnsi="Arial" w:cs="Arial"/>
          <w:b w:val="0"/>
          <w:bCs w:val="0"/>
          <w:lang w:val="en-GB"/>
        </w:rPr>
      </w:pPr>
    </w:p>
    <w:p w14:paraId="3BC61C23">
      <w:pPr>
        <w:rPr>
          <w:rFonts w:hint="default" w:ascii="Arial" w:hAnsi="Arial" w:cs="Arial"/>
          <w:b w:val="0"/>
          <w:bCs w:val="0"/>
          <w:lang w:val="en-GB"/>
        </w:rPr>
      </w:pPr>
    </w:p>
    <w:p w14:paraId="10102201">
      <w:pPr>
        <w:rPr>
          <w:rFonts w:hint="default" w:ascii="Arial" w:hAnsi="Arial" w:cs="Arial"/>
          <w:b w:val="0"/>
          <w:bCs w:val="0"/>
          <w:lang w:val="en-GB"/>
        </w:rPr>
      </w:pPr>
    </w:p>
    <w:p w14:paraId="33155808">
      <w:pPr>
        <w:rPr>
          <w:rFonts w:hint="default" w:ascii="Arial" w:hAnsi="Arial" w:cs="Arial"/>
          <w:b w:val="0"/>
          <w:bCs w:val="0"/>
          <w:lang w:val="en-GB"/>
        </w:rPr>
      </w:pPr>
    </w:p>
    <w:p w14:paraId="6BFF2276">
      <w:pPr>
        <w:rPr>
          <w:rFonts w:hint="default" w:ascii="Arial" w:hAnsi="Arial" w:cs="Arial"/>
          <w:b w:val="0"/>
          <w:bCs w:val="0"/>
          <w:lang w:val="en-GB"/>
        </w:rPr>
      </w:pPr>
    </w:p>
    <w:p w14:paraId="155D26FA">
      <w:pPr>
        <w:rPr>
          <w:rFonts w:hint="default" w:ascii="Arial" w:hAnsi="Arial" w:cs="Arial"/>
          <w:b w:val="0"/>
          <w:bCs w:val="0"/>
          <w:lang w:val="en-GB"/>
        </w:rPr>
      </w:pPr>
    </w:p>
    <w:p w14:paraId="2E1D7DAD">
      <w:pPr>
        <w:rPr>
          <w:rFonts w:hint="default" w:ascii="Arial" w:hAnsi="Arial" w:cs="Arial"/>
          <w:b w:val="0"/>
          <w:bCs w:val="0"/>
          <w:lang w:val="en-GB"/>
        </w:rPr>
      </w:pPr>
    </w:p>
    <w:p w14:paraId="37012022">
      <w:pPr>
        <w:rPr>
          <w:rFonts w:hint="default" w:ascii="Arial" w:hAnsi="Arial" w:cs="Arial"/>
          <w:b w:val="0"/>
          <w:bCs w:val="0"/>
          <w:lang w:val="en-GB"/>
        </w:rPr>
      </w:pPr>
    </w:p>
    <w:p w14:paraId="279B4647">
      <w:pPr>
        <w:rPr>
          <w:rFonts w:hint="default" w:ascii="Arial" w:hAnsi="Arial" w:cs="Arial"/>
          <w:b w:val="0"/>
          <w:bCs w:val="0"/>
          <w:lang w:val="en-GB"/>
        </w:rPr>
      </w:pPr>
    </w:p>
    <w:p w14:paraId="3CEF40A8">
      <w:pPr>
        <w:rPr>
          <w:rFonts w:hint="default" w:ascii="Arial" w:hAnsi="Arial" w:cs="Arial"/>
          <w:b w:val="0"/>
          <w:bCs w:val="0"/>
          <w:lang w:val="en-GB"/>
        </w:rPr>
      </w:pPr>
    </w:p>
    <w:p w14:paraId="0A4CACA4">
      <w:pPr>
        <w:rPr>
          <w:rFonts w:hint="default" w:ascii="Arial" w:hAnsi="Arial" w:cs="Arial"/>
          <w:b w:val="0"/>
          <w:bCs w:val="0"/>
          <w:lang w:val="en-GB"/>
        </w:rPr>
      </w:pPr>
    </w:p>
    <w:p w14:paraId="2CFCE067">
      <w:pPr>
        <w:rPr>
          <w:rFonts w:hint="default" w:ascii="Arial" w:hAnsi="Arial" w:cs="Arial"/>
          <w:b w:val="0"/>
          <w:bCs w:val="0"/>
          <w:lang w:val="en-GB"/>
        </w:rPr>
      </w:pPr>
    </w:p>
    <w:p w14:paraId="3821DC83">
      <w:pPr>
        <w:rPr>
          <w:rFonts w:hint="default" w:ascii="Arial" w:hAnsi="Arial" w:cs="Arial"/>
          <w:b w:val="0"/>
          <w:bCs w:val="0"/>
          <w:lang w:val="en-GB"/>
        </w:rPr>
      </w:pPr>
    </w:p>
    <w:p w14:paraId="6729640F">
      <w:pPr>
        <w:rPr>
          <w:rFonts w:hint="default" w:ascii="Arial" w:hAnsi="Arial" w:cs="Arial"/>
          <w:b w:val="0"/>
          <w:bCs w:val="0"/>
          <w:lang w:val="en-GB"/>
        </w:rPr>
      </w:pPr>
    </w:p>
    <w:p w14:paraId="1692F89A">
      <w:pPr>
        <w:rPr>
          <w:rFonts w:hint="default" w:ascii="Arial" w:hAnsi="Arial" w:cs="Arial"/>
          <w:b w:val="0"/>
          <w:bCs w:val="0"/>
          <w:lang w:val="en-GB"/>
        </w:rPr>
      </w:pPr>
    </w:p>
    <w:p w14:paraId="7EAEB3DD">
      <w:pPr>
        <w:rPr>
          <w:rFonts w:hint="default" w:ascii="Arial" w:hAnsi="Arial" w:cs="Arial"/>
          <w:b w:val="0"/>
          <w:bCs w:val="0"/>
          <w:lang w:val="en-GB"/>
        </w:rPr>
      </w:pPr>
    </w:p>
    <w:p w14:paraId="723A8C1E">
      <w:pPr>
        <w:rPr>
          <w:rFonts w:hint="default" w:ascii="Arial" w:hAnsi="Arial" w:cs="Arial"/>
          <w:b w:val="0"/>
          <w:bCs w:val="0"/>
          <w:lang w:val="en-GB"/>
        </w:rPr>
      </w:pPr>
    </w:p>
    <w:p w14:paraId="152CF168">
      <w:pPr>
        <w:rPr>
          <w:rFonts w:hint="default" w:ascii="Arial" w:hAnsi="Arial" w:cs="Arial"/>
          <w:b w:val="0"/>
          <w:bCs w:val="0"/>
          <w:lang w:val="en-GB"/>
        </w:rPr>
      </w:pPr>
    </w:p>
    <w:p w14:paraId="5F352781">
      <w:pPr>
        <w:rPr>
          <w:rFonts w:hint="default" w:ascii="Arial" w:hAnsi="Arial" w:cs="Arial"/>
          <w:b w:val="0"/>
          <w:bCs w:val="0"/>
          <w:lang w:val="en-GB"/>
        </w:rPr>
      </w:pPr>
    </w:p>
    <w:p w14:paraId="6996B828">
      <w:pPr>
        <w:rPr>
          <w:rFonts w:hint="default" w:ascii="Arial" w:hAnsi="Arial" w:cs="Arial"/>
          <w:b w:val="0"/>
          <w:bCs w:val="0"/>
          <w:lang w:val="en-GB"/>
        </w:rPr>
      </w:pPr>
    </w:p>
    <w:p w14:paraId="776DA1A3">
      <w:pPr>
        <w:rPr>
          <w:rFonts w:hint="default" w:ascii="Arial" w:hAnsi="Arial" w:cs="Arial"/>
          <w:b w:val="0"/>
          <w:bCs w:val="0"/>
          <w:lang w:val="en-GB"/>
        </w:rPr>
      </w:pPr>
    </w:p>
    <w:p w14:paraId="7C78223E">
      <w:pPr>
        <w:rPr>
          <w:rFonts w:hint="default" w:ascii="Arial" w:hAnsi="Arial" w:cs="Arial"/>
          <w:b w:val="0"/>
          <w:bCs w:val="0"/>
          <w:lang w:val="en-GB"/>
        </w:rPr>
      </w:pPr>
    </w:p>
    <w:p w14:paraId="6328994D">
      <w:pPr>
        <w:rPr>
          <w:rFonts w:hint="default" w:ascii="Arial" w:hAnsi="Arial" w:cs="Arial"/>
          <w:b w:val="0"/>
          <w:bCs w:val="0"/>
          <w:lang w:val="en-GB"/>
        </w:rPr>
      </w:pPr>
    </w:p>
    <w:p w14:paraId="54B3C6A5">
      <w:pPr>
        <w:rPr>
          <w:rFonts w:hint="default" w:ascii="Arial" w:hAnsi="Arial" w:cs="Arial"/>
          <w:b w:val="0"/>
          <w:bCs w:val="0"/>
          <w:lang w:val="en-GB"/>
        </w:rPr>
      </w:pPr>
    </w:p>
    <w:p w14:paraId="70A417D0">
      <w:pPr>
        <w:rPr>
          <w:rFonts w:hint="default" w:ascii="Arial" w:hAnsi="Arial" w:cs="Arial"/>
          <w:b w:val="0"/>
          <w:bCs w:val="0"/>
          <w:lang w:val="en-GB"/>
        </w:rPr>
      </w:pPr>
    </w:p>
    <w:p w14:paraId="3250CC1D">
      <w:pPr>
        <w:rPr>
          <w:rFonts w:hint="default" w:ascii="Arial" w:hAnsi="Arial" w:cs="Arial"/>
          <w:b w:val="0"/>
          <w:bCs w:val="0"/>
          <w:lang w:val="en-GB"/>
        </w:rPr>
      </w:pPr>
    </w:p>
    <w:p w14:paraId="404D1A51">
      <w:pPr>
        <w:rPr>
          <w:rFonts w:hint="default" w:ascii="Arial" w:hAnsi="Arial" w:cs="Arial"/>
          <w:b w:val="0"/>
          <w:bCs w:val="0"/>
          <w:lang w:val="en-GB"/>
        </w:rPr>
      </w:pPr>
    </w:p>
    <w:p w14:paraId="4FE74A3B">
      <w:pPr>
        <w:rPr>
          <w:rFonts w:hint="default" w:ascii="Arial" w:hAnsi="Arial" w:cs="Arial"/>
          <w:b w:val="0"/>
          <w:bCs w:val="0"/>
          <w:lang w:val="en-GB"/>
        </w:rPr>
      </w:pPr>
    </w:p>
    <w:p w14:paraId="5C2EB906">
      <w:pPr>
        <w:rPr>
          <w:rFonts w:hint="default" w:ascii="Arial" w:hAnsi="Arial" w:cs="Arial"/>
          <w:b w:val="0"/>
          <w:bCs w:val="0"/>
          <w:lang w:val="en-GB"/>
        </w:rPr>
      </w:pPr>
    </w:p>
    <w:p w14:paraId="6CF6E946">
      <w:pPr>
        <w:rPr>
          <w:rFonts w:hint="default" w:ascii="Arial" w:hAnsi="Arial" w:cs="Arial"/>
          <w:b w:val="0"/>
          <w:bCs w:val="0"/>
          <w:lang w:val="en-GB"/>
        </w:rPr>
      </w:pPr>
    </w:p>
    <w:p w14:paraId="16912B1E">
      <w:pPr>
        <w:rPr>
          <w:rFonts w:hint="default" w:ascii="Arial" w:hAnsi="Arial" w:cs="Arial"/>
          <w:b w:val="0"/>
          <w:bCs w:val="0"/>
          <w:lang w:val="en-GB"/>
        </w:rPr>
      </w:pPr>
    </w:p>
    <w:p w14:paraId="38ACA09F">
      <w:pPr>
        <w:rPr>
          <w:rFonts w:hint="default" w:ascii="Arial" w:hAnsi="Arial" w:cs="Arial"/>
          <w:b w:val="0"/>
          <w:bCs w:val="0"/>
          <w:lang w:val="en-GB"/>
        </w:rPr>
      </w:pPr>
    </w:p>
    <w:p w14:paraId="28D7EFF5">
      <w:pPr>
        <w:rPr>
          <w:rFonts w:hint="default" w:ascii="Arial" w:hAnsi="Arial" w:cs="Arial"/>
          <w:b w:val="0"/>
          <w:bCs w:val="0"/>
          <w:lang w:val="en-GB"/>
        </w:rPr>
      </w:pPr>
    </w:p>
    <w:p w14:paraId="4F46FFD7">
      <w:pPr>
        <w:rPr>
          <w:rFonts w:hint="default" w:ascii="Arial" w:hAnsi="Arial" w:cs="Arial"/>
          <w:b w:val="0"/>
          <w:bCs w:val="0"/>
          <w:lang w:val="en-GB"/>
        </w:rPr>
      </w:pPr>
    </w:p>
    <w:p w14:paraId="2EBAC245">
      <w:pPr>
        <w:rPr>
          <w:rFonts w:hint="default" w:ascii="Arial" w:hAnsi="Arial" w:cs="Arial"/>
          <w:b w:val="0"/>
          <w:bCs w:val="0"/>
          <w:lang w:val="en-GB"/>
        </w:rPr>
      </w:pPr>
    </w:p>
    <w:p w14:paraId="22D280A9">
      <w:pPr>
        <w:rPr>
          <w:rFonts w:hint="default" w:ascii="Arial" w:hAnsi="Arial" w:cs="Arial"/>
          <w:b w:val="0"/>
          <w:bCs w:val="0"/>
          <w:lang w:val="en-GB"/>
        </w:rPr>
      </w:pPr>
    </w:p>
    <w:p w14:paraId="11AA90E8">
      <w:pPr>
        <w:rPr>
          <w:rFonts w:hint="default" w:ascii="Arial" w:hAnsi="Arial" w:cs="Arial"/>
          <w:b w:val="0"/>
          <w:bCs w:val="0"/>
          <w:lang w:val="en-GB"/>
        </w:rPr>
      </w:pPr>
    </w:p>
    <w:p w14:paraId="0340FD8A">
      <w:pPr>
        <w:rPr>
          <w:rFonts w:hint="default" w:ascii="Arial" w:hAnsi="Arial" w:cs="Arial"/>
          <w:b w:val="0"/>
          <w:bCs w:val="0"/>
          <w:lang w:val="en-GB"/>
        </w:rPr>
      </w:pPr>
    </w:p>
    <w:p w14:paraId="62C236BC">
      <w:pPr>
        <w:rPr>
          <w:rFonts w:hint="default" w:ascii="Arial" w:hAnsi="Arial" w:cs="Arial"/>
          <w:b w:val="0"/>
          <w:bCs w:val="0"/>
          <w:lang w:val="en-GB"/>
        </w:rPr>
      </w:pPr>
    </w:p>
    <w:p w14:paraId="677EB235">
      <w:pPr>
        <w:rPr>
          <w:rFonts w:hint="default" w:ascii="Arial" w:hAnsi="Arial" w:cs="Arial"/>
          <w:b w:val="0"/>
          <w:bCs w:val="0"/>
          <w:lang w:val="en-GB"/>
        </w:rPr>
      </w:pPr>
    </w:p>
    <w:p w14:paraId="10025685">
      <w:pPr>
        <w:rPr>
          <w:rFonts w:hint="default" w:ascii="Arial" w:hAnsi="Arial" w:cs="Arial"/>
          <w:b w:val="0"/>
          <w:bCs w:val="0"/>
          <w:lang w:val="en-GB"/>
        </w:rPr>
      </w:pPr>
    </w:p>
    <w:p w14:paraId="4D4FF2C5">
      <w:pPr>
        <w:rPr>
          <w:rFonts w:hint="default" w:ascii="Arial" w:hAnsi="Arial" w:cs="Arial"/>
          <w:b w:val="0"/>
          <w:bCs w:val="0"/>
          <w:lang w:val="en-GB"/>
        </w:rPr>
      </w:pPr>
    </w:p>
    <w:p w14:paraId="1F257AD9">
      <w:pPr>
        <w:rPr>
          <w:rFonts w:hint="default" w:ascii="Arial" w:hAnsi="Arial" w:cs="Arial"/>
          <w:b w:val="0"/>
          <w:bCs w:val="0"/>
          <w:lang w:val="en-GB"/>
        </w:rPr>
      </w:pPr>
    </w:p>
    <w:p w14:paraId="1B194029">
      <w:pPr>
        <w:rPr>
          <w:rFonts w:hint="default" w:ascii="Arial" w:hAnsi="Arial" w:cs="Arial"/>
          <w:b w:val="0"/>
          <w:bCs w:val="0"/>
          <w:lang w:val="en-GB"/>
        </w:rPr>
      </w:pPr>
    </w:p>
    <w:p w14:paraId="7F17284A">
      <w:pPr>
        <w:rPr>
          <w:rFonts w:hint="default" w:ascii="Arial" w:hAnsi="Arial" w:cs="Arial"/>
          <w:b w:val="0"/>
          <w:bCs w:val="0"/>
          <w:lang w:val="en-GB"/>
        </w:rPr>
      </w:pPr>
      <w:r>
        <w:rPr>
          <w:rFonts w:hint="default" w:ascii="Arial" w:hAnsi="Arial" w:cs="Arial"/>
          <w:b/>
          <w:bCs/>
          <w:sz w:val="28"/>
          <w:szCs w:val="28"/>
          <w:lang w:val="en-GB"/>
        </w:rPr>
        <w:t>Appendices</w:t>
      </w:r>
    </w:p>
    <w:p w14:paraId="00F1BECD">
      <w:pPr>
        <w:rPr>
          <w:rFonts w:hint="default" w:ascii="Arial" w:hAnsi="Arial" w:cs="Arial"/>
          <w:b w:val="0"/>
          <w:bCs w:val="0"/>
          <w:lang w:val="en-GB"/>
        </w:rPr>
      </w:pPr>
    </w:p>
    <w:p w14:paraId="6D323F92">
      <w:pPr>
        <w:rPr>
          <w:rFonts w:hint="default" w:ascii="Arial" w:hAnsi="Arial" w:cs="Arial"/>
          <w:b w:val="0"/>
          <w:bCs w:val="0"/>
          <w:sz w:val="24"/>
          <w:szCs w:val="24"/>
          <w:lang w:val="en-GB"/>
        </w:rPr>
      </w:pPr>
      <w:r>
        <w:rPr>
          <w:rFonts w:hint="default" w:ascii="Arial" w:hAnsi="Arial" w:cs="Arial"/>
          <w:b w:val="0"/>
          <w:bCs w:val="0"/>
          <w:sz w:val="24"/>
          <w:szCs w:val="24"/>
          <w:lang w:val="en-GB"/>
        </w:rPr>
        <w:t>Appendix 1: PESTEL Analysis</w:t>
      </w:r>
    </w:p>
    <w:p w14:paraId="241214C1">
      <w:pPr>
        <w:rPr>
          <w:rFonts w:hint="default" w:ascii="Arial" w:hAnsi="Arial" w:cs="Arial"/>
          <w:b w:val="0"/>
          <w:bCs w:val="0"/>
          <w:sz w:val="24"/>
          <w:szCs w:val="24"/>
          <w:lang w:val="en-GB"/>
        </w:rPr>
      </w:pPr>
      <w:r>
        <w:rPr>
          <w:rFonts w:hint="default" w:ascii="Arial" w:hAnsi="Arial" w:cs="Arial"/>
          <w:b w:val="0"/>
          <w:bCs w:val="0"/>
          <w:sz w:val="24"/>
          <w:szCs w:val="24"/>
          <w:lang w:val="en-GB"/>
        </w:rPr>
        <w:t>Appendix 2: VRIO Analysis</w:t>
      </w:r>
    </w:p>
    <w:p w14:paraId="14D874A2">
      <w:pPr>
        <w:rPr>
          <w:rFonts w:hint="default" w:ascii="Arial" w:hAnsi="Arial" w:cs="Arial"/>
          <w:b w:val="0"/>
          <w:bCs w:val="0"/>
          <w:sz w:val="24"/>
          <w:szCs w:val="24"/>
          <w:lang w:val="en-GB"/>
        </w:rPr>
      </w:pPr>
      <w:r>
        <w:rPr>
          <w:rFonts w:hint="default" w:ascii="Arial" w:hAnsi="Arial" w:cs="Arial"/>
          <w:b w:val="0"/>
          <w:bCs w:val="0"/>
          <w:sz w:val="24"/>
          <w:szCs w:val="24"/>
          <w:lang w:val="en-GB"/>
        </w:rPr>
        <w:t>Appendix 3: SWOT Analysis</w:t>
      </w:r>
    </w:p>
    <w:p w14:paraId="78A172BD">
      <w:pPr>
        <w:rPr>
          <w:rFonts w:hint="default" w:ascii="Arial" w:hAnsi="Arial" w:cs="Arial"/>
          <w:b w:val="0"/>
          <w:bCs w:val="0"/>
          <w:sz w:val="24"/>
          <w:szCs w:val="24"/>
          <w:lang w:val="en-GB"/>
        </w:rPr>
      </w:pPr>
      <w:r>
        <w:rPr>
          <w:rFonts w:hint="default" w:ascii="Arial" w:hAnsi="Arial" w:cs="Arial"/>
          <w:b w:val="0"/>
          <w:bCs w:val="0"/>
          <w:sz w:val="24"/>
          <w:szCs w:val="24"/>
          <w:lang w:val="en-GB"/>
        </w:rPr>
        <w:t>Appendix 4: Financial Performance of 2025</w:t>
      </w:r>
    </w:p>
    <w:p w14:paraId="0D698C0C">
      <w:pPr>
        <w:rPr>
          <w:rFonts w:hint="default" w:ascii="Arial" w:hAnsi="Arial" w:cs="Arial"/>
          <w:b w:val="0"/>
          <w:bCs w:val="0"/>
          <w:sz w:val="24"/>
          <w:szCs w:val="24"/>
          <w:lang w:val="en-GB"/>
        </w:rPr>
      </w:pPr>
      <w:r>
        <w:rPr>
          <w:rFonts w:hint="default" w:ascii="Arial" w:hAnsi="Arial" w:cs="Arial"/>
          <w:b w:val="0"/>
          <w:bCs w:val="0"/>
          <w:sz w:val="24"/>
          <w:szCs w:val="24"/>
          <w:lang w:val="en-GB"/>
        </w:rPr>
        <w:t>Appendix 5: Action Plan</w:t>
      </w:r>
    </w:p>
    <w:p w14:paraId="6D2495F6">
      <w:pPr>
        <w:rPr>
          <w:rFonts w:hint="default" w:ascii="Arial" w:hAnsi="Arial" w:cs="Arial"/>
          <w:b w:val="0"/>
          <w:bCs w:val="0"/>
          <w:sz w:val="24"/>
          <w:szCs w:val="24"/>
          <w:lang w:val="en-GB"/>
        </w:rPr>
      </w:pPr>
      <w:r>
        <w:rPr>
          <w:rFonts w:hint="default" w:ascii="Arial" w:hAnsi="Arial" w:cs="Arial"/>
          <w:b w:val="0"/>
          <w:bCs w:val="0"/>
          <w:sz w:val="24"/>
          <w:szCs w:val="24"/>
          <w:lang w:val="en-GB"/>
        </w:rPr>
        <w:t>Appendix 6: Balance Scorecard</w:t>
      </w:r>
    </w:p>
    <w:p w14:paraId="434DEEE0">
      <w:pPr>
        <w:rPr>
          <w:rFonts w:hint="default" w:ascii="Arial" w:hAnsi="Arial" w:cs="Arial"/>
          <w:b w:val="0"/>
          <w:bCs w:val="0"/>
          <w:sz w:val="24"/>
          <w:szCs w:val="24"/>
          <w:lang w:val="en-GB"/>
        </w:rPr>
      </w:pPr>
      <w:r>
        <w:rPr>
          <w:rFonts w:hint="default" w:ascii="Arial" w:hAnsi="Arial" w:cs="Arial"/>
          <w:b w:val="0"/>
          <w:bCs w:val="0"/>
          <w:sz w:val="24"/>
          <w:szCs w:val="24"/>
          <w:lang w:val="en-GB"/>
        </w:rPr>
        <w:t xml:space="preserve">Appendix 7: </w:t>
      </w:r>
      <w:r>
        <w:rPr>
          <w:rFonts w:hint="default" w:ascii="Arial" w:hAnsi="Arial" w:cs="Arial"/>
          <w:b w:val="0"/>
          <w:bCs w:val="0"/>
          <w:sz w:val="24"/>
          <w:szCs w:val="24"/>
          <w:lang w:val="en-GB"/>
        </w:rPr>
        <w:t>Ansoff Matrix</w:t>
      </w:r>
    </w:p>
    <w:sectPr>
      <w:pgSz w:w="11906" w:h="16838"/>
      <w:pgMar w:top="1440" w:right="1800" w:bottom="1440" w:left="1800" w:header="720" w:footer="720"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UI Variable Display Semibold">
    <w:panose1 w:val="00000000000000000000"/>
    <w:charset w:val="00"/>
    <w:family w:val="auto"/>
    <w:pitch w:val="default"/>
    <w:sig w:usb0="A00002FF" w:usb1="0000000B" w:usb2="00000000" w:usb3="00000000" w:csb0="2000019F" w:csb1="00000000"/>
  </w:font>
  <w:font w:name="Segoe UI Variable Display Light">
    <w:panose1 w:val="00000000000000000000"/>
    <w:charset w:val="00"/>
    <w:family w:val="auto"/>
    <w:pitch w:val="default"/>
    <w:sig w:usb0="A00002FF" w:usb1="0000000B" w:usb2="00000000" w:usb3="00000000" w:csb0="2000019F" w:csb1="00000000"/>
  </w:font>
  <w:font w:name="Sans Serif Collection">
    <w:panose1 w:val="020B0502040504020204"/>
    <w:charset w:val="00"/>
    <w:family w:val="auto"/>
    <w:pitch w:val="default"/>
    <w:sig w:usb0="E857A3FF" w:usb1="4200605F" w:usb2="29100029" w:usb3="007B0631" w:csb0="000001DF" w:csb1="00000000"/>
  </w:font>
  <w:font w:name="Rockwell Extra Bold">
    <w:panose1 w:val="02060903040505020403"/>
    <w:charset w:val="00"/>
    <w:family w:val="auto"/>
    <w:pitch w:val="default"/>
    <w:sig w:usb0="00000003" w:usb1="00000000" w:usb2="00000000" w:usb3="00000000" w:csb0="20000001" w:csb1="00000000"/>
  </w:font>
  <w:font w:name="Modern No. 20">
    <w:panose1 w:val="02070704070505020303"/>
    <w:charset w:val="00"/>
    <w:family w:val="auto"/>
    <w:pitch w:val="default"/>
    <w:sig w:usb0="00000003" w:usb1="00000000" w:usb2="00000000" w:usb3="00000000" w:csb0="20000001" w:csb1="00000000"/>
  </w:font>
  <w:font w:name="Mistral">
    <w:panose1 w:val="03090702030407020403"/>
    <w:charset w:val="00"/>
    <w:family w:val="auto"/>
    <w:pitch w:val="default"/>
    <w:sig w:usb0="00000287" w:usb1="00000000" w:usb2="00000000" w:usb3="00000000" w:csb0="2000009F" w:csb1="DFD70000"/>
  </w:font>
  <w:font w:name="Bahnschrift SemiBold">
    <w:panose1 w:val="020B0502040204020203"/>
    <w:charset w:val="00"/>
    <w:family w:val="auto"/>
    <w:pitch w:val="default"/>
    <w:sig w:usb0="A00002C7" w:usb1="00000002" w:usb2="00000000" w:usb3="00000000" w:csb0="2000019F" w:csb1="00000000"/>
  </w:font>
  <w:font w:name="Bahnschrift Light SemiCondensed">
    <w:panose1 w:val="020B0502040204020203"/>
    <w:charset w:val="00"/>
    <w:family w:val="auto"/>
    <w:pitch w:val="default"/>
    <w:sig w:usb0="A00002C7" w:usb1="00000002" w:usb2="00000000" w:usb3="00000000" w:csb0="2000019F" w:csb1="00000000"/>
  </w:font>
  <w:font w:name="黑体">
    <w:altName w:val="SimSun"/>
    <w:panose1 w:val="00000000000000000000"/>
    <w:charset w:val="00"/>
    <w:family w:val="auto"/>
    <w:pitch w:val="default"/>
    <w:sig w:usb0="00000000" w:usb1="00000000" w:usb2="00000000" w:usb3="00000000" w:csb0="00000000" w:csb1="00000000"/>
  </w:font>
  <w:font w:name="Segoe UI Variable Text Semilight">
    <w:panose1 w:val="00000000000000000000"/>
    <w:charset w:val="00"/>
    <w:family w:val="auto"/>
    <w:pitch w:val="default"/>
    <w:sig w:usb0="A00002FF" w:usb1="0000000B" w:usb2="00000000" w:usb3="00000000" w:csb0="2000019F" w:csb1="00000000"/>
  </w:font>
  <w:font w:name="Bahnschrift Condensed">
    <w:panose1 w:val="020B0502040204020203"/>
    <w:charset w:val="00"/>
    <w:family w:val="auto"/>
    <w:pitch w:val="default"/>
    <w:sig w:usb0="A00002C7" w:usb1="00000002" w:usb2="00000000" w:usb3="00000000" w:csb0="2000019F" w:csb1="00000000"/>
  </w:font>
  <w:font w:name="Algerian">
    <w:panose1 w:val="04020705040A02060702"/>
    <w:charset w:val="00"/>
    <w:family w:val="auto"/>
    <w:pitch w:val="default"/>
    <w:sig w:usb0="00000003" w:usb1="00000000" w:usb2="00000000" w:usb3="00000000" w:csb0="20000001" w:csb1="00000000"/>
  </w:font>
  <w:font w:name="Agency FB">
    <w:panose1 w:val="020B0503020202020204"/>
    <w:charset w:val="00"/>
    <w:family w:val="auto"/>
    <w:pitch w:val="default"/>
    <w:sig w:usb0="00000003" w:usb1="00000000" w:usb2="00000000" w:usb3="00000000" w:csb0="20000001" w:csb1="00000000"/>
  </w:font>
  <w:font w:name="Segoe UI Variable Display Semilight">
    <w:panose1 w:val="00000000000000000000"/>
    <w:charset w:val="00"/>
    <w:family w:val="auto"/>
    <w:pitch w:val="default"/>
    <w:sig w:usb0="A00002FF" w:usb1="0000000B" w:usb2="00000000" w:usb3="00000000" w:csb0="2000019F" w:csb1="00000000"/>
  </w:font>
  <w:font w:name="Showcard Gothic">
    <w:panose1 w:val="04020904020102020604"/>
    <w:charset w:val="00"/>
    <w:family w:val="auto"/>
    <w:pitch w:val="default"/>
    <w:sig w:usb0="00000003" w:usb1="00000000" w:usb2="00000000" w:usb3="00000000" w:csb0="2000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auto"/>
    <w:pitch w:val="default"/>
    <w:sig w:usb0="A00002AF" w:usb1="400078FB" w:usb2="00000000" w:usb3="00000000" w:csb0="6000009F" w:csb1="DFD70000"/>
  </w:font>
  <w:font w:name="Sitka Display">
    <w:panose1 w:val="00000000000000000000"/>
    <w:charset w:val="00"/>
    <w:family w:val="auto"/>
    <w:pitch w:val="default"/>
    <w:sig w:usb0="A00002EF" w:usb1="4000204B" w:usb2="00000000" w:usb3="00000000" w:csb0="2000019F" w:csb1="00000000"/>
  </w:font>
  <w:font w:name="Segoe UI Variable Small">
    <w:panose1 w:val="00000000000000000000"/>
    <w:charset w:val="00"/>
    <w:family w:val="auto"/>
    <w:pitch w:val="default"/>
    <w:sig w:usb0="A00002FF" w:usb1="0000000B" w:usb2="00000000" w:usb3="00000000" w:csb0="2000019F" w:csb1="00000000"/>
  </w:font>
  <w:font w:name="Bahnschrift">
    <w:panose1 w:val="020B0502040204020203"/>
    <w:charset w:val="00"/>
    <w:family w:val="auto"/>
    <w:pitch w:val="default"/>
    <w:sig w:usb0="A00002C7" w:usb1="00000002" w:usb2="00000000" w:usb3="00000000" w:csb0="2000019F" w:csb1="00000000"/>
  </w:font>
  <w:font w:name="SimSun-ExtB">
    <w:panose1 w:val="02010609060101010101"/>
    <w:charset w:val="86"/>
    <w:family w:val="auto"/>
    <w:pitch w:val="default"/>
    <w:sig w:usb0="00000001" w:usb1="02000000" w:usb2="00000000" w:usb3="00000000" w:csb0="00040001" w:csb1="00000000"/>
  </w:font>
  <w:font w:name="Sitka Heading">
    <w:panose1 w:val="00000000000000000000"/>
    <w:charset w:val="00"/>
    <w:family w:val="auto"/>
    <w:pitch w:val="default"/>
    <w:sig w:usb0="A00002EF" w:usb1="4000204B" w:usb2="00000000" w:usb3="00000000" w:csb0="2000019F" w:csb1="00000000"/>
  </w:font>
  <w:font w:name="Sitka Banner">
    <w:panose1 w:val="00000000000000000000"/>
    <w:charset w:val="00"/>
    <w:family w:val="auto"/>
    <w:pitch w:val="default"/>
    <w:sig w:usb0="A00002EF" w:usb1="4000204B" w:usb2="00000000" w:usb3="00000000" w:csb0="2000019F" w:csb1="00000000"/>
  </w:font>
  <w:font w:name="Aptos">
    <w:altName w:val="Segoe U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ptos-Bold">
    <w:altName w:val="Segoe Print"/>
    <w:panose1 w:val="00000000000000000000"/>
    <w:charset w:val="00"/>
    <w:family w:val="auto"/>
    <w:pitch w:val="default"/>
    <w:sig w:usb0="00000000" w:usb1="00000000" w:usb2="00000000" w:usb3="00000000" w:csb0="00000000" w:csb1="00000000"/>
  </w:font>
  <w:font w:name="ChromeSansMM">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A81378"/>
    <w:multiLevelType w:val="multilevel"/>
    <w:tmpl w:val="D8A8137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ascii="Arial" w:hAnsi="Arial" w:cs="Arial"/>
        <w:sz w:val="24"/>
        <w:szCs w:val="24"/>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CB5C65"/>
    <w:rsid w:val="025F603E"/>
    <w:rsid w:val="02906F11"/>
    <w:rsid w:val="03747A3A"/>
    <w:rsid w:val="039B78F9"/>
    <w:rsid w:val="04E35692"/>
    <w:rsid w:val="05711A7E"/>
    <w:rsid w:val="05983577"/>
    <w:rsid w:val="05CA6E66"/>
    <w:rsid w:val="06E33486"/>
    <w:rsid w:val="07C06F0B"/>
    <w:rsid w:val="07F30E0E"/>
    <w:rsid w:val="0832500B"/>
    <w:rsid w:val="08413E1A"/>
    <w:rsid w:val="08C83CF3"/>
    <w:rsid w:val="09C2387B"/>
    <w:rsid w:val="0A820D90"/>
    <w:rsid w:val="0C857F09"/>
    <w:rsid w:val="0CDD2D53"/>
    <w:rsid w:val="0CE20630"/>
    <w:rsid w:val="0DA63A8D"/>
    <w:rsid w:val="0E141CA7"/>
    <w:rsid w:val="0E1E49C9"/>
    <w:rsid w:val="114F6F76"/>
    <w:rsid w:val="11836890"/>
    <w:rsid w:val="12844573"/>
    <w:rsid w:val="12FA6FB1"/>
    <w:rsid w:val="145A2727"/>
    <w:rsid w:val="14C10B1B"/>
    <w:rsid w:val="160D2D3C"/>
    <w:rsid w:val="165840D5"/>
    <w:rsid w:val="174A7F91"/>
    <w:rsid w:val="175E5886"/>
    <w:rsid w:val="176D19FF"/>
    <w:rsid w:val="17710405"/>
    <w:rsid w:val="178338B4"/>
    <w:rsid w:val="18D528FF"/>
    <w:rsid w:val="1A19705E"/>
    <w:rsid w:val="1AC16573"/>
    <w:rsid w:val="1ACB72CE"/>
    <w:rsid w:val="1B764D9C"/>
    <w:rsid w:val="1E3C2FA6"/>
    <w:rsid w:val="1E7E5106"/>
    <w:rsid w:val="1F7B1F07"/>
    <w:rsid w:val="201114DD"/>
    <w:rsid w:val="20904294"/>
    <w:rsid w:val="20F86589"/>
    <w:rsid w:val="212152E8"/>
    <w:rsid w:val="21F046BC"/>
    <w:rsid w:val="226955C5"/>
    <w:rsid w:val="23104D4D"/>
    <w:rsid w:val="23635A76"/>
    <w:rsid w:val="26054B71"/>
    <w:rsid w:val="268920F3"/>
    <w:rsid w:val="27CE635B"/>
    <w:rsid w:val="28E8012C"/>
    <w:rsid w:val="292C5319"/>
    <w:rsid w:val="29C30D6E"/>
    <w:rsid w:val="2A2D414C"/>
    <w:rsid w:val="2A707AB0"/>
    <w:rsid w:val="2B40307D"/>
    <w:rsid w:val="2BE414A3"/>
    <w:rsid w:val="2CA23219"/>
    <w:rsid w:val="2CAA637D"/>
    <w:rsid w:val="2D4529E9"/>
    <w:rsid w:val="2DAA22D4"/>
    <w:rsid w:val="2E824B5A"/>
    <w:rsid w:val="2F67719D"/>
    <w:rsid w:val="3049376A"/>
    <w:rsid w:val="30922964"/>
    <w:rsid w:val="35457D22"/>
    <w:rsid w:val="354635F4"/>
    <w:rsid w:val="35EB3E83"/>
    <w:rsid w:val="36771768"/>
    <w:rsid w:val="36790468"/>
    <w:rsid w:val="36B23B4B"/>
    <w:rsid w:val="36E25962"/>
    <w:rsid w:val="37BF0805"/>
    <w:rsid w:val="381961A3"/>
    <w:rsid w:val="3C6566E5"/>
    <w:rsid w:val="3E7C4091"/>
    <w:rsid w:val="3F302C3B"/>
    <w:rsid w:val="3F9904AC"/>
    <w:rsid w:val="403C2513"/>
    <w:rsid w:val="411C75E7"/>
    <w:rsid w:val="417D0188"/>
    <w:rsid w:val="41E84702"/>
    <w:rsid w:val="43652320"/>
    <w:rsid w:val="45306BF4"/>
    <w:rsid w:val="45843725"/>
    <w:rsid w:val="4773430F"/>
    <w:rsid w:val="48B77A66"/>
    <w:rsid w:val="48BF75E9"/>
    <w:rsid w:val="491810BA"/>
    <w:rsid w:val="49A773AB"/>
    <w:rsid w:val="49FA2809"/>
    <w:rsid w:val="4CDC3826"/>
    <w:rsid w:val="4D134190"/>
    <w:rsid w:val="4D2C7A41"/>
    <w:rsid w:val="4D5438C5"/>
    <w:rsid w:val="4D861AC1"/>
    <w:rsid w:val="4E7D2F52"/>
    <w:rsid w:val="4ECB5C65"/>
    <w:rsid w:val="51AC0AB5"/>
    <w:rsid w:val="532B7BEE"/>
    <w:rsid w:val="53311227"/>
    <w:rsid w:val="53E0693F"/>
    <w:rsid w:val="54042715"/>
    <w:rsid w:val="55B5313F"/>
    <w:rsid w:val="55E975D8"/>
    <w:rsid w:val="562767E7"/>
    <w:rsid w:val="586467C7"/>
    <w:rsid w:val="593F47FB"/>
    <w:rsid w:val="59CC5484"/>
    <w:rsid w:val="5A8C449C"/>
    <w:rsid w:val="5AC47CF0"/>
    <w:rsid w:val="5C08232A"/>
    <w:rsid w:val="5C1F1F4D"/>
    <w:rsid w:val="5D107A3F"/>
    <w:rsid w:val="5D514F0A"/>
    <w:rsid w:val="5DB44CC9"/>
    <w:rsid w:val="5F2862FE"/>
    <w:rsid w:val="5F4A22D5"/>
    <w:rsid w:val="6072477D"/>
    <w:rsid w:val="60A47CFB"/>
    <w:rsid w:val="60D15169"/>
    <w:rsid w:val="62FA30B9"/>
    <w:rsid w:val="640A312F"/>
    <w:rsid w:val="64F94FB6"/>
    <w:rsid w:val="659D5BDB"/>
    <w:rsid w:val="669F3353"/>
    <w:rsid w:val="67184FB0"/>
    <w:rsid w:val="67495DB5"/>
    <w:rsid w:val="6B3959F5"/>
    <w:rsid w:val="6BC83EFB"/>
    <w:rsid w:val="6BFF57BE"/>
    <w:rsid w:val="6C1E4825"/>
    <w:rsid w:val="6D970D57"/>
    <w:rsid w:val="6F12288D"/>
    <w:rsid w:val="6F6D675F"/>
    <w:rsid w:val="6F7F7EC9"/>
    <w:rsid w:val="70C95397"/>
    <w:rsid w:val="70CC2132"/>
    <w:rsid w:val="70E90972"/>
    <w:rsid w:val="71B01BBA"/>
    <w:rsid w:val="72676235"/>
    <w:rsid w:val="737650A4"/>
    <w:rsid w:val="739509AF"/>
    <w:rsid w:val="73D7468E"/>
    <w:rsid w:val="73FB5D14"/>
    <w:rsid w:val="74F76776"/>
    <w:rsid w:val="75E06DFC"/>
    <w:rsid w:val="76477C13"/>
    <w:rsid w:val="7775503D"/>
    <w:rsid w:val="79E03380"/>
    <w:rsid w:val="7B002087"/>
    <w:rsid w:val="7B4315D3"/>
    <w:rsid w:val="7B4F534F"/>
    <w:rsid w:val="7B8355BE"/>
    <w:rsid w:val="7BAD2594"/>
    <w:rsid w:val="7BDE0C48"/>
    <w:rsid w:val="7C5C0673"/>
    <w:rsid w:val="7E1A276A"/>
    <w:rsid w:val="7E5438C3"/>
    <w:rsid w:val="7EFB61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5"/>
    <w:uiPriority w:val="0"/>
    <w:rPr>
      <w:color w:val="0000FF"/>
      <w:u w:val="single"/>
    </w:r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table" w:styleId="13">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2561</Words>
  <Characters>18724</Characters>
  <Lines>0</Lines>
  <Paragraphs>0</Paragraphs>
  <TotalTime>16</TotalTime>
  <ScaleCrop>false</ScaleCrop>
  <LinksUpToDate>false</LinksUpToDate>
  <CharactersWithSpaces>21024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2026-08-03T09:01:00Z</dcterms:created>
  <dc:creator>Rainak Zabin</dc:creator>
  <cp:lastModifiedBy>Rainak Zabin</cp:lastModifiedBy>
  <dcterms:modified xsi:type="dcterms:W3CDTF">2026-08-12T10:51:07Z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FBF493F326A8425E85B7FB81E99714AD_13</vt:lpwstr>
  </property>
  <property fmtid="{D5CDD505-2E9C-101B-9397-08002B2CF9AE}" pid="4" name="KSOTemplateDocerSaveRecord">
    <vt:lpwstr>eyJoZGlkIjoiM2ZlZjFhYTNiNWU0MTQ1ZDM1MDZhMzdhMTE0ODQ0ZWIifQ==</vt:lpwstr>
  </property>
</Properties>
</file>