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CD9F6" w14:textId="77777777" w:rsidR="00AE523A" w:rsidRPr="000C31CF" w:rsidRDefault="00AE523A" w:rsidP="00A21374">
      <w:pPr>
        <w:spacing w:after="0" w:line="360" w:lineRule="auto"/>
        <w:contextualSpacing/>
        <w:jc w:val="center"/>
        <w:rPr>
          <w:rFonts w:ascii="Times New Roman" w:hAnsi="Times New Roman" w:cs="Times New Roman"/>
        </w:rPr>
      </w:pPr>
    </w:p>
    <w:p w14:paraId="625263E5" w14:textId="77777777" w:rsidR="00AE523A" w:rsidRPr="000C31CF" w:rsidRDefault="00AE523A" w:rsidP="00A21374">
      <w:pPr>
        <w:spacing w:after="0" w:line="360" w:lineRule="auto"/>
        <w:contextualSpacing/>
        <w:jc w:val="center"/>
        <w:rPr>
          <w:rFonts w:ascii="Times New Roman" w:hAnsi="Times New Roman" w:cs="Times New Roman"/>
        </w:rPr>
      </w:pPr>
    </w:p>
    <w:p w14:paraId="0DCF2482" w14:textId="77777777" w:rsidR="00AE523A" w:rsidRPr="000C31CF" w:rsidRDefault="00AE523A" w:rsidP="00A21374">
      <w:pPr>
        <w:spacing w:after="0" w:line="360" w:lineRule="auto"/>
        <w:contextualSpacing/>
        <w:jc w:val="center"/>
        <w:rPr>
          <w:rFonts w:ascii="Times New Roman" w:hAnsi="Times New Roman" w:cs="Times New Roman"/>
        </w:rPr>
      </w:pPr>
    </w:p>
    <w:p w14:paraId="5EB83A4F" w14:textId="77777777" w:rsidR="00AE523A" w:rsidRPr="000C31CF" w:rsidRDefault="00AE523A" w:rsidP="00A21374">
      <w:pPr>
        <w:spacing w:after="0" w:line="360" w:lineRule="auto"/>
        <w:contextualSpacing/>
        <w:jc w:val="center"/>
        <w:rPr>
          <w:rFonts w:ascii="Times New Roman" w:hAnsi="Times New Roman" w:cs="Times New Roman"/>
        </w:rPr>
      </w:pPr>
    </w:p>
    <w:p w14:paraId="5CA1D38C" w14:textId="77777777" w:rsidR="00AE523A" w:rsidRPr="000C31CF" w:rsidRDefault="00AE523A" w:rsidP="00A21374">
      <w:pPr>
        <w:spacing w:after="0" w:line="360" w:lineRule="auto"/>
        <w:contextualSpacing/>
        <w:jc w:val="center"/>
        <w:rPr>
          <w:rFonts w:ascii="Times New Roman" w:hAnsi="Times New Roman" w:cs="Times New Roman"/>
        </w:rPr>
      </w:pPr>
    </w:p>
    <w:p w14:paraId="473D7C73" w14:textId="77777777" w:rsidR="00AE523A" w:rsidRPr="000C31CF" w:rsidRDefault="00AE523A" w:rsidP="00A21374">
      <w:pPr>
        <w:spacing w:after="0" w:line="360" w:lineRule="auto"/>
        <w:contextualSpacing/>
        <w:jc w:val="center"/>
        <w:rPr>
          <w:rFonts w:ascii="Times New Roman" w:hAnsi="Times New Roman" w:cs="Times New Roman"/>
        </w:rPr>
      </w:pPr>
    </w:p>
    <w:p w14:paraId="1CDC1269" w14:textId="77777777" w:rsidR="00AE523A" w:rsidRPr="000C31CF" w:rsidRDefault="00AE523A" w:rsidP="00A21374">
      <w:pPr>
        <w:spacing w:after="0" w:line="360" w:lineRule="auto"/>
        <w:contextualSpacing/>
        <w:jc w:val="center"/>
        <w:rPr>
          <w:rFonts w:ascii="Times New Roman" w:hAnsi="Times New Roman" w:cs="Times New Roman"/>
        </w:rPr>
      </w:pPr>
    </w:p>
    <w:p w14:paraId="3133719C" w14:textId="77777777" w:rsidR="00A8340D" w:rsidRDefault="00A8340D" w:rsidP="00A21374">
      <w:pPr>
        <w:spacing w:after="0" w:line="360" w:lineRule="auto"/>
        <w:contextualSpacing/>
        <w:jc w:val="center"/>
        <w:rPr>
          <w:rFonts w:ascii="Times New Roman" w:hAnsi="Times New Roman" w:cs="Times New Roman"/>
        </w:rPr>
      </w:pPr>
    </w:p>
    <w:p w14:paraId="3AD8AD64" w14:textId="57B52F78" w:rsidR="006B69DA" w:rsidRPr="006B69DA" w:rsidRDefault="006B69DA" w:rsidP="006B69DA">
      <w:pPr>
        <w:spacing w:after="0" w:line="480" w:lineRule="auto"/>
        <w:contextualSpacing/>
        <w:jc w:val="center"/>
        <w:rPr>
          <w:rFonts w:ascii="Times New Roman" w:hAnsi="Times New Roman" w:cs="Times New Roman"/>
          <w:szCs w:val="24"/>
        </w:rPr>
      </w:pPr>
      <w:r w:rsidRPr="006B69DA">
        <w:rPr>
          <w:rFonts w:ascii="Times New Roman" w:hAnsi="Times New Roman" w:cs="Times New Roman"/>
          <w:szCs w:val="24"/>
        </w:rPr>
        <w:t>Umah Kauser 2227759</w:t>
      </w:r>
    </w:p>
    <w:p w14:paraId="41BAF653" w14:textId="1D9A33A8" w:rsidR="00AE523A" w:rsidRPr="006B69DA" w:rsidRDefault="00AE523A" w:rsidP="006B69DA">
      <w:pPr>
        <w:spacing w:after="0" w:line="480" w:lineRule="auto"/>
        <w:contextualSpacing/>
        <w:jc w:val="center"/>
        <w:rPr>
          <w:rFonts w:ascii="Times New Roman" w:hAnsi="Times New Roman" w:cs="Times New Roman"/>
          <w:szCs w:val="24"/>
        </w:rPr>
      </w:pPr>
      <w:r w:rsidRPr="006B69DA">
        <w:rPr>
          <w:rFonts w:ascii="Times New Roman" w:hAnsi="Times New Roman" w:cs="Times New Roman"/>
          <w:szCs w:val="24"/>
        </w:rPr>
        <w:t>“'The law governing homicide in England and Wales is a rickety structure set upon shaky foundations. Some of its rules have been unaltered since the seventeenth century, even though it has long been acknowledged that they are in dire need of reform' (Law Commission, 2005).”</w:t>
      </w:r>
    </w:p>
    <w:p w14:paraId="6073BA86" w14:textId="1BB15730" w:rsidR="00AE523A" w:rsidRPr="006B69DA" w:rsidRDefault="006B69DA" w:rsidP="006B69DA">
      <w:pPr>
        <w:spacing w:after="0" w:line="480" w:lineRule="auto"/>
        <w:contextualSpacing/>
        <w:jc w:val="center"/>
        <w:rPr>
          <w:rFonts w:ascii="Times New Roman" w:hAnsi="Times New Roman" w:cs="Times New Roman"/>
          <w:szCs w:val="24"/>
        </w:rPr>
      </w:pPr>
      <w:r>
        <w:rPr>
          <w:rFonts w:ascii="Times New Roman" w:hAnsi="Times New Roman" w:cs="Times New Roman"/>
          <w:szCs w:val="24"/>
        </w:rPr>
        <w:t>6 Ju</w:t>
      </w:r>
      <w:r w:rsidR="00223462">
        <w:rPr>
          <w:rFonts w:ascii="Times New Roman" w:hAnsi="Times New Roman" w:cs="Times New Roman"/>
          <w:szCs w:val="24"/>
        </w:rPr>
        <w:t>ly 2023</w:t>
      </w:r>
    </w:p>
    <w:p w14:paraId="52C78AC8" w14:textId="77777777" w:rsidR="00AE523A" w:rsidRPr="000C31CF" w:rsidRDefault="00AE523A" w:rsidP="00A21374">
      <w:pPr>
        <w:spacing w:after="0" w:line="360" w:lineRule="auto"/>
        <w:contextualSpacing/>
        <w:rPr>
          <w:rFonts w:ascii="Times New Roman" w:hAnsi="Times New Roman" w:cs="Times New Roman"/>
        </w:rPr>
      </w:pPr>
    </w:p>
    <w:p w14:paraId="4C240E45" w14:textId="77777777" w:rsidR="00AE523A" w:rsidRPr="000C31CF" w:rsidRDefault="00AE523A" w:rsidP="00A21374">
      <w:pPr>
        <w:spacing w:after="0" w:line="360" w:lineRule="auto"/>
        <w:contextualSpacing/>
        <w:rPr>
          <w:rFonts w:ascii="Times New Roman" w:hAnsi="Times New Roman" w:cs="Times New Roman"/>
        </w:rPr>
      </w:pPr>
    </w:p>
    <w:p w14:paraId="1E445153" w14:textId="77777777" w:rsidR="00AE523A" w:rsidRPr="000C31CF" w:rsidRDefault="00AE523A" w:rsidP="00A21374">
      <w:pPr>
        <w:spacing w:after="0" w:line="360" w:lineRule="auto"/>
        <w:contextualSpacing/>
        <w:rPr>
          <w:rFonts w:ascii="Times New Roman" w:hAnsi="Times New Roman" w:cs="Times New Roman"/>
        </w:rPr>
      </w:pPr>
    </w:p>
    <w:p w14:paraId="3DF091FA" w14:textId="77777777" w:rsidR="00AE523A" w:rsidRPr="000C31CF" w:rsidRDefault="00AE523A" w:rsidP="00A21374">
      <w:pPr>
        <w:spacing w:after="0" w:line="360" w:lineRule="auto"/>
        <w:contextualSpacing/>
        <w:rPr>
          <w:rFonts w:ascii="Times New Roman" w:hAnsi="Times New Roman" w:cs="Times New Roman"/>
        </w:rPr>
      </w:pPr>
    </w:p>
    <w:p w14:paraId="511CFFD5" w14:textId="77777777" w:rsidR="00AE523A" w:rsidRPr="000C31CF" w:rsidRDefault="00AE523A" w:rsidP="00A21374">
      <w:pPr>
        <w:spacing w:after="0" w:line="360" w:lineRule="auto"/>
        <w:contextualSpacing/>
        <w:jc w:val="left"/>
        <w:rPr>
          <w:rFonts w:ascii="Times New Roman" w:hAnsi="Times New Roman" w:cs="Times New Roman"/>
        </w:rPr>
      </w:pPr>
      <w:r w:rsidRPr="000C31CF">
        <w:rPr>
          <w:rFonts w:ascii="Times New Roman" w:hAnsi="Times New Roman" w:cs="Times New Roman"/>
        </w:rPr>
        <w:br w:type="page"/>
      </w:r>
    </w:p>
    <w:sdt>
      <w:sdtPr>
        <w:rPr>
          <w:rFonts w:ascii="Times New Roman" w:eastAsiaTheme="minorHAnsi" w:hAnsi="Times New Roman" w:cs="Times New Roman"/>
          <w:b/>
          <w:bCs/>
          <w:color w:val="auto"/>
          <w:sz w:val="24"/>
          <w:szCs w:val="24"/>
        </w:rPr>
        <w:id w:val="-115453155"/>
        <w:docPartObj>
          <w:docPartGallery w:val="Table of Contents"/>
          <w:docPartUnique/>
        </w:docPartObj>
      </w:sdtPr>
      <w:sdtEndPr>
        <w:rPr>
          <w:noProof/>
        </w:rPr>
      </w:sdtEndPr>
      <w:sdtContent>
        <w:p w14:paraId="70E82169" w14:textId="6563565A" w:rsidR="00A8340D" w:rsidRPr="00A8340D" w:rsidRDefault="00A8340D" w:rsidP="00A21374">
          <w:pPr>
            <w:pStyle w:val="TOCHeading"/>
            <w:spacing w:before="0" w:line="360" w:lineRule="auto"/>
            <w:contextualSpacing/>
            <w:jc w:val="center"/>
            <w:rPr>
              <w:rFonts w:ascii="Times New Roman" w:hAnsi="Times New Roman" w:cs="Times New Roman"/>
              <w:b/>
              <w:bCs/>
              <w:color w:val="auto"/>
              <w:sz w:val="24"/>
              <w:szCs w:val="24"/>
            </w:rPr>
          </w:pPr>
          <w:r w:rsidRPr="00A8340D">
            <w:rPr>
              <w:rFonts w:ascii="Times New Roman" w:hAnsi="Times New Roman" w:cs="Times New Roman"/>
              <w:b/>
              <w:bCs/>
              <w:color w:val="auto"/>
              <w:sz w:val="24"/>
              <w:szCs w:val="24"/>
            </w:rPr>
            <w:t>Table of Contents</w:t>
          </w:r>
        </w:p>
        <w:p w14:paraId="2EF499B5" w14:textId="77777777" w:rsidR="00A8340D" w:rsidRPr="00A8340D" w:rsidRDefault="00A8340D" w:rsidP="00A21374">
          <w:pPr>
            <w:spacing w:after="0" w:line="360" w:lineRule="auto"/>
            <w:contextualSpacing/>
            <w:rPr>
              <w:rFonts w:ascii="Times New Roman" w:hAnsi="Times New Roman" w:cs="Times New Roman"/>
              <w:szCs w:val="24"/>
            </w:rPr>
          </w:pPr>
        </w:p>
        <w:p w14:paraId="6043C9E0" w14:textId="7238D77F" w:rsidR="00A8340D" w:rsidRPr="00A8340D" w:rsidRDefault="00A8340D" w:rsidP="00A21374">
          <w:pPr>
            <w:pStyle w:val="TOC1"/>
            <w:tabs>
              <w:tab w:val="right" w:leader="dot" w:pos="9350"/>
            </w:tabs>
            <w:spacing w:after="0" w:line="360" w:lineRule="auto"/>
            <w:contextualSpacing/>
            <w:rPr>
              <w:rFonts w:ascii="Times New Roman" w:eastAsiaTheme="minorEastAsia" w:hAnsi="Times New Roman" w:cs="Times New Roman"/>
              <w:noProof/>
              <w:sz w:val="22"/>
            </w:rPr>
          </w:pPr>
          <w:r w:rsidRPr="00A8340D">
            <w:rPr>
              <w:rFonts w:ascii="Times New Roman" w:hAnsi="Times New Roman" w:cs="Times New Roman"/>
              <w:szCs w:val="24"/>
            </w:rPr>
            <w:fldChar w:fldCharType="begin"/>
          </w:r>
          <w:r w:rsidRPr="00A8340D">
            <w:rPr>
              <w:rFonts w:ascii="Times New Roman" w:hAnsi="Times New Roman" w:cs="Times New Roman"/>
              <w:szCs w:val="24"/>
            </w:rPr>
            <w:instrText xml:space="preserve"> TOC \o "1-3" \h \z \u </w:instrText>
          </w:r>
          <w:r w:rsidRPr="00A8340D">
            <w:rPr>
              <w:rFonts w:ascii="Times New Roman" w:hAnsi="Times New Roman" w:cs="Times New Roman"/>
              <w:szCs w:val="24"/>
            </w:rPr>
            <w:fldChar w:fldCharType="separate"/>
          </w:r>
          <w:hyperlink w:anchor="_Toc138253511" w:history="1">
            <w:r w:rsidRPr="00A8340D">
              <w:rPr>
                <w:rStyle w:val="Hyperlink"/>
                <w:rFonts w:ascii="Times New Roman" w:hAnsi="Times New Roman" w:cs="Times New Roman"/>
                <w:noProof/>
              </w:rPr>
              <w:t>Introduction</w:t>
            </w:r>
            <w:r w:rsidRPr="00A8340D">
              <w:rPr>
                <w:rFonts w:ascii="Times New Roman" w:hAnsi="Times New Roman" w:cs="Times New Roman"/>
                <w:noProof/>
                <w:webHidden/>
              </w:rPr>
              <w:tab/>
            </w:r>
            <w:r w:rsidRPr="00A8340D">
              <w:rPr>
                <w:rFonts w:ascii="Times New Roman" w:hAnsi="Times New Roman" w:cs="Times New Roman"/>
                <w:noProof/>
                <w:webHidden/>
              </w:rPr>
              <w:fldChar w:fldCharType="begin"/>
            </w:r>
            <w:r w:rsidRPr="00A8340D">
              <w:rPr>
                <w:rFonts w:ascii="Times New Roman" w:hAnsi="Times New Roman" w:cs="Times New Roman"/>
                <w:noProof/>
                <w:webHidden/>
              </w:rPr>
              <w:instrText xml:space="preserve"> PAGEREF _Toc138253511 \h </w:instrText>
            </w:r>
            <w:r w:rsidRPr="00A8340D">
              <w:rPr>
                <w:rFonts w:ascii="Times New Roman" w:hAnsi="Times New Roman" w:cs="Times New Roman"/>
                <w:noProof/>
                <w:webHidden/>
              </w:rPr>
            </w:r>
            <w:r w:rsidRPr="00A8340D">
              <w:rPr>
                <w:rFonts w:ascii="Times New Roman" w:hAnsi="Times New Roman" w:cs="Times New Roman"/>
                <w:noProof/>
                <w:webHidden/>
              </w:rPr>
              <w:fldChar w:fldCharType="separate"/>
            </w:r>
            <w:r w:rsidRPr="00A8340D">
              <w:rPr>
                <w:rFonts w:ascii="Times New Roman" w:hAnsi="Times New Roman" w:cs="Times New Roman"/>
                <w:noProof/>
                <w:webHidden/>
              </w:rPr>
              <w:t>3</w:t>
            </w:r>
            <w:r w:rsidRPr="00A8340D">
              <w:rPr>
                <w:rFonts w:ascii="Times New Roman" w:hAnsi="Times New Roman" w:cs="Times New Roman"/>
                <w:noProof/>
                <w:webHidden/>
              </w:rPr>
              <w:fldChar w:fldCharType="end"/>
            </w:r>
          </w:hyperlink>
        </w:p>
        <w:p w14:paraId="23A476CF" w14:textId="7EB1BF4B" w:rsidR="00A8340D" w:rsidRPr="00A8340D" w:rsidRDefault="00000000" w:rsidP="00A21374">
          <w:pPr>
            <w:pStyle w:val="TOC1"/>
            <w:tabs>
              <w:tab w:val="right" w:leader="dot" w:pos="9350"/>
            </w:tabs>
            <w:spacing w:after="0" w:line="360" w:lineRule="auto"/>
            <w:contextualSpacing/>
            <w:rPr>
              <w:rFonts w:ascii="Times New Roman" w:eastAsiaTheme="minorEastAsia" w:hAnsi="Times New Roman" w:cs="Times New Roman"/>
              <w:noProof/>
              <w:sz w:val="22"/>
            </w:rPr>
          </w:pPr>
          <w:hyperlink w:anchor="_Toc138253512" w:history="1">
            <w:r w:rsidR="00A8340D" w:rsidRPr="00A8340D">
              <w:rPr>
                <w:rStyle w:val="Hyperlink"/>
                <w:rFonts w:ascii="Times New Roman" w:hAnsi="Times New Roman" w:cs="Times New Roman"/>
                <w:noProof/>
              </w:rPr>
              <w:t>Main Body</w:t>
            </w:r>
            <w:r w:rsidR="00A8340D" w:rsidRPr="00A8340D">
              <w:rPr>
                <w:rFonts w:ascii="Times New Roman" w:hAnsi="Times New Roman" w:cs="Times New Roman"/>
                <w:noProof/>
                <w:webHidden/>
              </w:rPr>
              <w:tab/>
            </w:r>
            <w:r w:rsidR="00A8340D" w:rsidRPr="00A8340D">
              <w:rPr>
                <w:rFonts w:ascii="Times New Roman" w:hAnsi="Times New Roman" w:cs="Times New Roman"/>
                <w:noProof/>
                <w:webHidden/>
              </w:rPr>
              <w:fldChar w:fldCharType="begin"/>
            </w:r>
            <w:r w:rsidR="00A8340D" w:rsidRPr="00A8340D">
              <w:rPr>
                <w:rFonts w:ascii="Times New Roman" w:hAnsi="Times New Roman" w:cs="Times New Roman"/>
                <w:noProof/>
                <w:webHidden/>
              </w:rPr>
              <w:instrText xml:space="preserve"> PAGEREF _Toc138253512 \h </w:instrText>
            </w:r>
            <w:r w:rsidR="00A8340D" w:rsidRPr="00A8340D">
              <w:rPr>
                <w:rFonts w:ascii="Times New Roman" w:hAnsi="Times New Roman" w:cs="Times New Roman"/>
                <w:noProof/>
                <w:webHidden/>
              </w:rPr>
            </w:r>
            <w:r w:rsidR="00A8340D" w:rsidRPr="00A8340D">
              <w:rPr>
                <w:rFonts w:ascii="Times New Roman" w:hAnsi="Times New Roman" w:cs="Times New Roman"/>
                <w:noProof/>
                <w:webHidden/>
              </w:rPr>
              <w:fldChar w:fldCharType="separate"/>
            </w:r>
            <w:r w:rsidR="00A8340D" w:rsidRPr="00A8340D">
              <w:rPr>
                <w:rFonts w:ascii="Times New Roman" w:hAnsi="Times New Roman" w:cs="Times New Roman"/>
                <w:noProof/>
                <w:webHidden/>
              </w:rPr>
              <w:t>3</w:t>
            </w:r>
            <w:r w:rsidR="00A8340D" w:rsidRPr="00A8340D">
              <w:rPr>
                <w:rFonts w:ascii="Times New Roman" w:hAnsi="Times New Roman" w:cs="Times New Roman"/>
                <w:noProof/>
                <w:webHidden/>
              </w:rPr>
              <w:fldChar w:fldCharType="end"/>
            </w:r>
          </w:hyperlink>
        </w:p>
        <w:p w14:paraId="776EB445" w14:textId="06889BC2" w:rsidR="00A8340D" w:rsidRPr="00A8340D" w:rsidRDefault="00000000" w:rsidP="00A21374">
          <w:pPr>
            <w:pStyle w:val="TOC1"/>
            <w:tabs>
              <w:tab w:val="right" w:leader="dot" w:pos="9350"/>
            </w:tabs>
            <w:spacing w:after="0" w:line="360" w:lineRule="auto"/>
            <w:contextualSpacing/>
            <w:rPr>
              <w:rFonts w:ascii="Times New Roman" w:eastAsiaTheme="minorEastAsia" w:hAnsi="Times New Roman" w:cs="Times New Roman"/>
              <w:noProof/>
              <w:sz w:val="22"/>
            </w:rPr>
          </w:pPr>
          <w:hyperlink w:anchor="_Toc138253513" w:history="1">
            <w:r w:rsidR="00A8340D" w:rsidRPr="00A8340D">
              <w:rPr>
                <w:rStyle w:val="Hyperlink"/>
                <w:rFonts w:ascii="Times New Roman" w:hAnsi="Times New Roman" w:cs="Times New Roman"/>
                <w:noProof/>
              </w:rPr>
              <w:t>Conclusion</w:t>
            </w:r>
            <w:r w:rsidR="00A8340D" w:rsidRPr="00A8340D">
              <w:rPr>
                <w:rFonts w:ascii="Times New Roman" w:hAnsi="Times New Roman" w:cs="Times New Roman"/>
                <w:noProof/>
                <w:webHidden/>
              </w:rPr>
              <w:tab/>
            </w:r>
            <w:r w:rsidR="00A8340D" w:rsidRPr="00A8340D">
              <w:rPr>
                <w:rFonts w:ascii="Times New Roman" w:hAnsi="Times New Roman" w:cs="Times New Roman"/>
                <w:noProof/>
                <w:webHidden/>
              </w:rPr>
              <w:fldChar w:fldCharType="begin"/>
            </w:r>
            <w:r w:rsidR="00A8340D" w:rsidRPr="00A8340D">
              <w:rPr>
                <w:rFonts w:ascii="Times New Roman" w:hAnsi="Times New Roman" w:cs="Times New Roman"/>
                <w:noProof/>
                <w:webHidden/>
              </w:rPr>
              <w:instrText xml:space="preserve"> PAGEREF _Toc138253513 \h </w:instrText>
            </w:r>
            <w:r w:rsidR="00A8340D" w:rsidRPr="00A8340D">
              <w:rPr>
                <w:rFonts w:ascii="Times New Roman" w:hAnsi="Times New Roman" w:cs="Times New Roman"/>
                <w:noProof/>
                <w:webHidden/>
              </w:rPr>
            </w:r>
            <w:r w:rsidR="00A8340D" w:rsidRPr="00A8340D">
              <w:rPr>
                <w:rFonts w:ascii="Times New Roman" w:hAnsi="Times New Roman" w:cs="Times New Roman"/>
                <w:noProof/>
                <w:webHidden/>
              </w:rPr>
              <w:fldChar w:fldCharType="separate"/>
            </w:r>
            <w:r w:rsidR="00A8340D" w:rsidRPr="00A8340D">
              <w:rPr>
                <w:rFonts w:ascii="Times New Roman" w:hAnsi="Times New Roman" w:cs="Times New Roman"/>
                <w:noProof/>
                <w:webHidden/>
              </w:rPr>
              <w:t>5</w:t>
            </w:r>
            <w:r w:rsidR="00A8340D" w:rsidRPr="00A8340D">
              <w:rPr>
                <w:rFonts w:ascii="Times New Roman" w:hAnsi="Times New Roman" w:cs="Times New Roman"/>
                <w:noProof/>
                <w:webHidden/>
              </w:rPr>
              <w:fldChar w:fldCharType="end"/>
            </w:r>
          </w:hyperlink>
        </w:p>
        <w:p w14:paraId="6D06A96F" w14:textId="24B3F6A1" w:rsidR="00A8340D" w:rsidRPr="00A8340D" w:rsidRDefault="00000000" w:rsidP="00A21374">
          <w:pPr>
            <w:pStyle w:val="TOC1"/>
            <w:tabs>
              <w:tab w:val="right" w:leader="dot" w:pos="9350"/>
            </w:tabs>
            <w:spacing w:after="0" w:line="360" w:lineRule="auto"/>
            <w:contextualSpacing/>
            <w:rPr>
              <w:rFonts w:ascii="Times New Roman" w:eastAsiaTheme="minorEastAsia" w:hAnsi="Times New Roman" w:cs="Times New Roman"/>
              <w:noProof/>
              <w:sz w:val="22"/>
            </w:rPr>
          </w:pPr>
          <w:hyperlink w:anchor="_Toc138253514" w:history="1">
            <w:r w:rsidR="00A8340D" w:rsidRPr="00A8340D">
              <w:rPr>
                <w:rStyle w:val="Hyperlink"/>
                <w:rFonts w:ascii="Times New Roman" w:hAnsi="Times New Roman" w:cs="Times New Roman"/>
                <w:noProof/>
              </w:rPr>
              <w:t>Bibliography</w:t>
            </w:r>
            <w:r w:rsidR="00A8340D" w:rsidRPr="00A8340D">
              <w:rPr>
                <w:rFonts w:ascii="Times New Roman" w:hAnsi="Times New Roman" w:cs="Times New Roman"/>
                <w:noProof/>
                <w:webHidden/>
              </w:rPr>
              <w:tab/>
            </w:r>
            <w:r w:rsidR="00A8340D" w:rsidRPr="00A8340D">
              <w:rPr>
                <w:rFonts w:ascii="Times New Roman" w:hAnsi="Times New Roman" w:cs="Times New Roman"/>
                <w:noProof/>
                <w:webHidden/>
              </w:rPr>
              <w:fldChar w:fldCharType="begin"/>
            </w:r>
            <w:r w:rsidR="00A8340D" w:rsidRPr="00A8340D">
              <w:rPr>
                <w:rFonts w:ascii="Times New Roman" w:hAnsi="Times New Roman" w:cs="Times New Roman"/>
                <w:noProof/>
                <w:webHidden/>
              </w:rPr>
              <w:instrText xml:space="preserve"> PAGEREF _Toc138253514 \h </w:instrText>
            </w:r>
            <w:r w:rsidR="00A8340D" w:rsidRPr="00A8340D">
              <w:rPr>
                <w:rFonts w:ascii="Times New Roman" w:hAnsi="Times New Roman" w:cs="Times New Roman"/>
                <w:noProof/>
                <w:webHidden/>
              </w:rPr>
            </w:r>
            <w:r w:rsidR="00A8340D" w:rsidRPr="00A8340D">
              <w:rPr>
                <w:rFonts w:ascii="Times New Roman" w:hAnsi="Times New Roman" w:cs="Times New Roman"/>
                <w:noProof/>
                <w:webHidden/>
              </w:rPr>
              <w:fldChar w:fldCharType="separate"/>
            </w:r>
            <w:r w:rsidR="00A8340D" w:rsidRPr="00A8340D">
              <w:rPr>
                <w:rFonts w:ascii="Times New Roman" w:hAnsi="Times New Roman" w:cs="Times New Roman"/>
                <w:noProof/>
                <w:webHidden/>
              </w:rPr>
              <w:t>7</w:t>
            </w:r>
            <w:r w:rsidR="00A8340D" w:rsidRPr="00A8340D">
              <w:rPr>
                <w:rFonts w:ascii="Times New Roman" w:hAnsi="Times New Roman" w:cs="Times New Roman"/>
                <w:noProof/>
                <w:webHidden/>
              </w:rPr>
              <w:fldChar w:fldCharType="end"/>
            </w:r>
          </w:hyperlink>
        </w:p>
        <w:p w14:paraId="1456BC46" w14:textId="339EF698" w:rsidR="00A8340D" w:rsidRDefault="00A8340D" w:rsidP="00A21374">
          <w:pPr>
            <w:spacing w:after="0" w:line="360" w:lineRule="auto"/>
            <w:contextualSpacing/>
          </w:pPr>
          <w:r w:rsidRPr="00A8340D">
            <w:rPr>
              <w:rFonts w:ascii="Times New Roman" w:hAnsi="Times New Roman" w:cs="Times New Roman"/>
              <w:b/>
              <w:bCs/>
              <w:noProof/>
              <w:szCs w:val="24"/>
            </w:rPr>
            <w:fldChar w:fldCharType="end"/>
          </w:r>
        </w:p>
      </w:sdtContent>
    </w:sdt>
    <w:p w14:paraId="608F6A50" w14:textId="77777777" w:rsidR="00AE523A" w:rsidRPr="000C31CF" w:rsidRDefault="00AE523A" w:rsidP="00A21374">
      <w:pPr>
        <w:spacing w:after="0" w:line="360" w:lineRule="auto"/>
        <w:contextualSpacing/>
        <w:rPr>
          <w:rFonts w:ascii="Times New Roman" w:hAnsi="Times New Roman" w:cs="Times New Roman"/>
        </w:rPr>
      </w:pPr>
    </w:p>
    <w:p w14:paraId="78EE7A64" w14:textId="77777777" w:rsidR="00AE523A" w:rsidRPr="000C31CF" w:rsidRDefault="00AE523A" w:rsidP="00A21374">
      <w:pPr>
        <w:spacing w:after="0" w:line="360" w:lineRule="auto"/>
        <w:contextualSpacing/>
        <w:jc w:val="left"/>
        <w:rPr>
          <w:rFonts w:ascii="Times New Roman" w:hAnsi="Times New Roman" w:cs="Times New Roman"/>
        </w:rPr>
      </w:pPr>
      <w:r w:rsidRPr="000C31CF">
        <w:rPr>
          <w:rFonts w:ascii="Times New Roman" w:hAnsi="Times New Roman" w:cs="Times New Roman"/>
        </w:rPr>
        <w:br w:type="page"/>
      </w:r>
    </w:p>
    <w:p w14:paraId="6FDA4DC7" w14:textId="77777777" w:rsidR="00AE523A" w:rsidRPr="00A8340D" w:rsidRDefault="00AE523A" w:rsidP="00A21374">
      <w:pPr>
        <w:pStyle w:val="Heading1"/>
      </w:pPr>
      <w:bookmarkStart w:id="0" w:name="_Toc138253511"/>
      <w:r w:rsidRPr="00A8340D">
        <w:lastRenderedPageBreak/>
        <w:t>Introduction</w:t>
      </w:r>
      <w:bookmarkEnd w:id="0"/>
    </w:p>
    <w:p w14:paraId="24E6CA73" w14:textId="563D6638" w:rsidR="00AE523A" w:rsidRPr="001B5E3E" w:rsidRDefault="000C31CF" w:rsidP="00223462">
      <w:pPr>
        <w:spacing w:after="0" w:line="360" w:lineRule="auto"/>
        <w:contextualSpacing/>
        <w:rPr>
          <w:rFonts w:ascii="Times New Roman" w:hAnsi="Times New Roman" w:cs="Times New Roman"/>
        </w:rPr>
      </w:pPr>
      <w:r w:rsidRPr="000C31CF">
        <w:rPr>
          <w:rFonts w:ascii="Times New Roman" w:hAnsi="Times New Roman" w:cs="Times New Roman"/>
        </w:rPr>
        <w:t xml:space="preserve">The murder laws in England and Wales have been studied and debated for quite some time. The Law Commission has called the current legal system a "rickety structure built on shaky foundations," and it has pointed out many key areas where reform is urgently needed. The contemporary legal framework was established in the seventeenth century and has seen very few modifications since its inception. The inherent inadequacies and contradictions of the current system have been examined as a result of societal advancements, deeper insights into human </w:t>
      </w:r>
      <w:proofErr w:type="spellStart"/>
      <w:r w:rsidRPr="000C31CF">
        <w:rPr>
          <w:rFonts w:ascii="Times New Roman" w:hAnsi="Times New Roman" w:cs="Times New Roman"/>
        </w:rPr>
        <w:t>behaviour</w:t>
      </w:r>
      <w:proofErr w:type="spellEnd"/>
      <w:r w:rsidRPr="000C31CF">
        <w:rPr>
          <w:rFonts w:ascii="Times New Roman" w:hAnsi="Times New Roman" w:cs="Times New Roman"/>
        </w:rPr>
        <w:t>, and evolving legal concepts</w:t>
      </w:r>
      <w:r w:rsidR="00A21374">
        <w:rPr>
          <w:rFonts w:ascii="Times New Roman" w:hAnsi="Times New Roman" w:cs="Times New Roman"/>
        </w:rPr>
        <w:t xml:space="preserve"> (Seal and Neale, 2020)</w:t>
      </w:r>
      <w:r w:rsidRPr="000C31CF">
        <w:rPr>
          <w:rFonts w:ascii="Times New Roman" w:hAnsi="Times New Roman" w:cs="Times New Roman"/>
        </w:rPr>
        <w:t xml:space="preserve">. The goal of this essay is to </w:t>
      </w:r>
      <w:proofErr w:type="spellStart"/>
      <w:r w:rsidRPr="000C31CF">
        <w:rPr>
          <w:rFonts w:ascii="Times New Roman" w:hAnsi="Times New Roman" w:cs="Times New Roman"/>
        </w:rPr>
        <w:t>analyse</w:t>
      </w:r>
      <w:proofErr w:type="spellEnd"/>
      <w:r w:rsidRPr="000C31CF">
        <w:rPr>
          <w:rFonts w:ascii="Times New Roman" w:hAnsi="Times New Roman" w:cs="Times New Roman"/>
        </w:rPr>
        <w:t xml:space="preserve"> the driving factors behind the legal system in England and Wales that regulates murder. Partial justifications for murder, varying interpretations of what constitutes murder, and the nature and extent of manslaughter are all examples. This study will </w:t>
      </w:r>
      <w:proofErr w:type="spellStart"/>
      <w:r w:rsidRPr="000C31CF">
        <w:rPr>
          <w:rFonts w:ascii="Times New Roman" w:hAnsi="Times New Roman" w:cs="Times New Roman"/>
        </w:rPr>
        <w:t>analyse</w:t>
      </w:r>
      <w:proofErr w:type="spellEnd"/>
      <w:r w:rsidRPr="000C31CF">
        <w:rPr>
          <w:rFonts w:ascii="Times New Roman" w:hAnsi="Times New Roman" w:cs="Times New Roman"/>
        </w:rPr>
        <w:t xml:space="preserve"> the administration's response to the Law Commission's and other relevant institutions' proposed reforms. The arguments against the proposed change will be carefully examined so as to provide a comprehensive analysis of the situation. By </w:t>
      </w:r>
      <w:proofErr w:type="spellStart"/>
      <w:r w:rsidRPr="000C31CF">
        <w:rPr>
          <w:rFonts w:ascii="Times New Roman" w:hAnsi="Times New Roman" w:cs="Times New Roman"/>
        </w:rPr>
        <w:t>analysing</w:t>
      </w:r>
      <w:proofErr w:type="spellEnd"/>
      <w:r w:rsidRPr="000C31CF">
        <w:rPr>
          <w:rFonts w:ascii="Times New Roman" w:hAnsi="Times New Roman" w:cs="Times New Roman"/>
        </w:rPr>
        <w:t xml:space="preserve"> their foundational elements, </w:t>
      </w:r>
      <w:r w:rsidR="00A21374">
        <w:rPr>
          <w:rFonts w:ascii="Times New Roman" w:hAnsi="Times New Roman" w:cs="Times New Roman"/>
        </w:rPr>
        <w:t>it</w:t>
      </w:r>
      <w:r w:rsidRPr="000C31CF">
        <w:rPr>
          <w:rFonts w:ascii="Times New Roman" w:hAnsi="Times New Roman" w:cs="Times New Roman"/>
        </w:rPr>
        <w:t xml:space="preserve"> can tell whether the current murder statute needs adjusting and if the government's assessments of the proposed modifications are warranted.</w:t>
      </w:r>
    </w:p>
    <w:p w14:paraId="44F15AB2" w14:textId="77777777" w:rsidR="00AE523A" w:rsidRPr="000C31CF" w:rsidRDefault="00AE523A" w:rsidP="00A21374">
      <w:pPr>
        <w:spacing w:after="0" w:line="360" w:lineRule="auto"/>
        <w:contextualSpacing/>
        <w:rPr>
          <w:rFonts w:ascii="Times New Roman" w:hAnsi="Times New Roman" w:cs="Times New Roman"/>
        </w:rPr>
      </w:pPr>
    </w:p>
    <w:p w14:paraId="7A312BFD" w14:textId="77777777" w:rsidR="00AE523A" w:rsidRPr="000C31CF" w:rsidRDefault="00AE523A" w:rsidP="00A21374">
      <w:pPr>
        <w:pStyle w:val="Heading1"/>
      </w:pPr>
      <w:bookmarkStart w:id="1" w:name="_Toc138253512"/>
      <w:r w:rsidRPr="000C31CF">
        <w:t>Main Body</w:t>
      </w:r>
      <w:bookmarkEnd w:id="1"/>
    </w:p>
    <w:p w14:paraId="7F67E000" w14:textId="2B7222A5" w:rsidR="000C31CF" w:rsidRPr="000C31CF" w:rsidRDefault="000C31CF" w:rsidP="00223462">
      <w:pPr>
        <w:spacing w:after="0" w:line="360" w:lineRule="auto"/>
        <w:contextualSpacing/>
        <w:rPr>
          <w:rFonts w:ascii="Times New Roman" w:hAnsi="Times New Roman" w:cs="Times New Roman"/>
        </w:rPr>
      </w:pPr>
      <w:r w:rsidRPr="000C31CF">
        <w:rPr>
          <w:rFonts w:ascii="Times New Roman" w:hAnsi="Times New Roman" w:cs="Times New Roman"/>
        </w:rPr>
        <w:t xml:space="preserve">These guidelines for a review of murder legislation in England and Wales were established by the government in July 2005. The elements of murder, possible </w:t>
      </w:r>
      <w:proofErr w:type="spellStart"/>
      <w:r w:rsidRPr="000C31CF">
        <w:rPr>
          <w:rFonts w:ascii="Times New Roman" w:hAnsi="Times New Roman" w:cs="Times New Roman"/>
        </w:rPr>
        <w:t>defences</w:t>
      </w:r>
      <w:proofErr w:type="spellEnd"/>
      <w:r w:rsidRPr="000C31CF">
        <w:rPr>
          <w:rFonts w:ascii="Times New Roman" w:hAnsi="Times New Roman" w:cs="Times New Roman"/>
        </w:rPr>
        <w:t>, and the connection between murder and homicide law (particularly manslaughter) would all be examined in this examination</w:t>
      </w:r>
      <w:r w:rsidR="00A21374">
        <w:rPr>
          <w:rFonts w:ascii="Times New Roman" w:hAnsi="Times New Roman" w:cs="Times New Roman"/>
        </w:rPr>
        <w:t xml:space="preserve"> (Percival, 2019)</w:t>
      </w:r>
      <w:r w:rsidRPr="000C31CF">
        <w:rPr>
          <w:rFonts w:ascii="Times New Roman" w:hAnsi="Times New Roman" w:cs="Times New Roman"/>
        </w:rPr>
        <w:t>. The mandatory life sentence for murder will be considered as part of the review, along with providing clear and consistent offences that serve to protect individuals and society, ensuring that those found guilty receive just punishment, and complying with the fair and nondiscriminatory standards set forth by the European Convention on Human Rights and the Human Rights Act of 1998. Murder and manslaughter form the backbone of homicide legislation in England and Wales. Examples of murder include infanticide, causing the untimely death of a child or vulnerable adult, assisting or promoting suicide, driving recklessly, and driving while inebriated. Contrary to promoting death by one's own hands</w:t>
      </w:r>
      <w:r w:rsidR="00A21374">
        <w:rPr>
          <w:rFonts w:ascii="Times New Roman" w:hAnsi="Times New Roman" w:cs="Times New Roman"/>
        </w:rPr>
        <w:t xml:space="preserve"> (</w:t>
      </w:r>
      <w:proofErr w:type="spellStart"/>
      <w:r w:rsidR="00A21374">
        <w:rPr>
          <w:rFonts w:ascii="Times New Roman" w:hAnsi="Times New Roman" w:cs="Times New Roman"/>
        </w:rPr>
        <w:t>Solaiman</w:t>
      </w:r>
      <w:proofErr w:type="spellEnd"/>
      <w:r w:rsidR="00A21374">
        <w:rPr>
          <w:rFonts w:ascii="Times New Roman" w:hAnsi="Times New Roman" w:cs="Times New Roman"/>
        </w:rPr>
        <w:t>, 2021)</w:t>
      </w:r>
      <w:r w:rsidRPr="000C31CF">
        <w:rPr>
          <w:rFonts w:ascii="Times New Roman" w:hAnsi="Times New Roman" w:cs="Times New Roman"/>
        </w:rPr>
        <w:t xml:space="preserve">. With a review structure that includes key stakeholders, public consultation, academics, people who work with victims' families, legislators, and religious leaders, as well as an examination of research data and lessons learned from other countries' legal reform experiences, this procedure will be open, </w:t>
      </w:r>
      <w:r w:rsidRPr="000C31CF">
        <w:rPr>
          <w:rFonts w:ascii="Times New Roman" w:hAnsi="Times New Roman" w:cs="Times New Roman"/>
        </w:rPr>
        <w:lastRenderedPageBreak/>
        <w:t>transparent, and evidence-based. Questions of guilt, motive, and bystander participation will all be explored in this homicide analysis</w:t>
      </w:r>
      <w:r w:rsidR="00A21374">
        <w:rPr>
          <w:rFonts w:ascii="Times New Roman" w:hAnsi="Times New Roman" w:cs="Times New Roman"/>
        </w:rPr>
        <w:t xml:space="preserve"> (Oliva and Hall, 2022)</w:t>
      </w:r>
      <w:r w:rsidRPr="000C31CF">
        <w:rPr>
          <w:rFonts w:ascii="Times New Roman" w:hAnsi="Times New Roman" w:cs="Times New Roman"/>
        </w:rPr>
        <w:t>.</w:t>
      </w:r>
    </w:p>
    <w:p w14:paraId="347D6AEB" w14:textId="60FFEA70" w:rsidR="000C31CF" w:rsidRPr="000C31CF" w:rsidRDefault="000C31CF" w:rsidP="00223462">
      <w:pPr>
        <w:spacing w:after="0" w:line="360" w:lineRule="auto"/>
        <w:contextualSpacing/>
        <w:rPr>
          <w:rFonts w:ascii="Times New Roman" w:hAnsi="Times New Roman" w:cs="Times New Roman"/>
        </w:rPr>
      </w:pPr>
      <w:r w:rsidRPr="000C31CF">
        <w:rPr>
          <w:rFonts w:ascii="Times New Roman" w:hAnsi="Times New Roman" w:cs="Times New Roman"/>
        </w:rPr>
        <w:t xml:space="preserve">A person is still guilty of murder even if they kill someone with the aim to hurt them in some way. It's important to distinguish between "serious" and "life-threatening." Therefore, a person may be judged guilty of murder even if they did not intend to put anyone's life in danger. The current state of </w:t>
      </w:r>
      <w:proofErr w:type="spellStart"/>
      <w:r w:rsidRPr="000C31CF">
        <w:rPr>
          <w:rFonts w:ascii="Times New Roman" w:hAnsi="Times New Roman" w:cs="Times New Roman"/>
        </w:rPr>
        <w:t>defences</w:t>
      </w:r>
      <w:proofErr w:type="spellEnd"/>
      <w:r w:rsidRPr="000C31CF">
        <w:rPr>
          <w:rFonts w:ascii="Times New Roman" w:hAnsi="Times New Roman" w:cs="Times New Roman"/>
        </w:rPr>
        <w:t xml:space="preserve"> is a hodgepodge of conflicting, vague case law and outdated statutes. There is no purpose to the layout. The partial </w:t>
      </w:r>
      <w:proofErr w:type="spellStart"/>
      <w:r w:rsidRPr="000C31CF">
        <w:rPr>
          <w:rFonts w:ascii="Times New Roman" w:hAnsi="Times New Roman" w:cs="Times New Roman"/>
        </w:rPr>
        <w:t>defence</w:t>
      </w:r>
      <w:proofErr w:type="spellEnd"/>
      <w:r w:rsidRPr="000C31CF">
        <w:rPr>
          <w:rFonts w:ascii="Times New Roman" w:hAnsi="Times New Roman" w:cs="Times New Roman"/>
        </w:rPr>
        <w:t xml:space="preserve"> may be used by unjust defendants. The court must let the jury decide whether or not the defendant was provoked, even if the evidence is weak and the defendant has not sought to run the partial </w:t>
      </w:r>
      <w:proofErr w:type="spellStart"/>
      <w:r w:rsidRPr="000C31CF">
        <w:rPr>
          <w:rFonts w:ascii="Times New Roman" w:hAnsi="Times New Roman" w:cs="Times New Roman"/>
        </w:rPr>
        <w:t>defence</w:t>
      </w:r>
      <w:proofErr w:type="spellEnd"/>
      <w:r w:rsidR="00A21374">
        <w:rPr>
          <w:rFonts w:ascii="Times New Roman" w:hAnsi="Times New Roman" w:cs="Times New Roman"/>
        </w:rPr>
        <w:t xml:space="preserve"> (Cronin, 2022)</w:t>
      </w:r>
      <w:r w:rsidRPr="000C31CF">
        <w:rPr>
          <w:rFonts w:ascii="Times New Roman" w:hAnsi="Times New Roman" w:cs="Times New Roman"/>
        </w:rPr>
        <w:t>. These trouble spots are not an exception to the current judicial system's reach. In R v Cunningham, the 'GBH rule' was supported by the House of Lords, including the Lord Chancellor. There are two main reasons why the legal system fails. The only distinction between the two types of manslaughter is whether or not the killer intended to kill the victim. Their weaknesses are quite diverse. Intentional harm or death is not the goal of involuntary manslaughter. To commit voluntary manslaughter, one must intend to cause substantial bodily harm to someone but use justifications such as provocation or lessened culpability.</w:t>
      </w:r>
      <w:r w:rsidR="00A8340D">
        <w:rPr>
          <w:rFonts w:ascii="Times New Roman" w:hAnsi="Times New Roman" w:cs="Times New Roman"/>
        </w:rPr>
        <w:t xml:space="preserve"> </w:t>
      </w:r>
      <w:r w:rsidRPr="000C31CF">
        <w:rPr>
          <w:rFonts w:ascii="Times New Roman" w:hAnsi="Times New Roman" w:cs="Times New Roman"/>
        </w:rPr>
        <w:t xml:space="preserve">Partial </w:t>
      </w:r>
      <w:proofErr w:type="spellStart"/>
      <w:r w:rsidRPr="000C31CF">
        <w:rPr>
          <w:rFonts w:ascii="Times New Roman" w:hAnsi="Times New Roman" w:cs="Times New Roman"/>
        </w:rPr>
        <w:t>defences</w:t>
      </w:r>
      <w:proofErr w:type="spellEnd"/>
      <w:r w:rsidRPr="000C31CF">
        <w:rPr>
          <w:rFonts w:ascii="Times New Roman" w:hAnsi="Times New Roman" w:cs="Times New Roman"/>
        </w:rPr>
        <w:t xml:space="preserve"> to murder currently include provocation, lessened guilt, and suicide pact murder. If a killer makes use of one of these partial justifications, the murder charge will be reduced to manslaughter</w:t>
      </w:r>
      <w:r w:rsidR="00A21374">
        <w:rPr>
          <w:rFonts w:ascii="Times New Roman" w:hAnsi="Times New Roman" w:cs="Times New Roman"/>
        </w:rPr>
        <w:t xml:space="preserve"> (Eastman and </w:t>
      </w:r>
      <w:proofErr w:type="spellStart"/>
      <w:r w:rsidR="00A21374">
        <w:rPr>
          <w:rFonts w:ascii="Times New Roman" w:hAnsi="Times New Roman" w:cs="Times New Roman"/>
        </w:rPr>
        <w:t>Grubin</w:t>
      </w:r>
      <w:proofErr w:type="spellEnd"/>
      <w:r w:rsidR="00A21374">
        <w:rPr>
          <w:rFonts w:ascii="Times New Roman" w:hAnsi="Times New Roman" w:cs="Times New Roman"/>
        </w:rPr>
        <w:t>, 2020)</w:t>
      </w:r>
      <w:r w:rsidRPr="000C31CF">
        <w:rPr>
          <w:rFonts w:ascii="Times New Roman" w:hAnsi="Times New Roman" w:cs="Times New Roman"/>
        </w:rPr>
        <w:t>. Life in jail without parole is possible for manslaughter. The Law Commission is concerned that there is no judicial assessment of pleas, that the concept of "loss of self-control" is not clearly defined, and that the "reasonable person" criteria is not clear from the text of the act. If the defendant can show, even by a preponderance of the evidence, that he or she was provoked into losing control, the judge must refer the case to the jury.</w:t>
      </w:r>
    </w:p>
    <w:p w14:paraId="4A7B8FD7" w14:textId="78974617" w:rsidR="000C31CF" w:rsidRPr="000C31CF" w:rsidRDefault="000C31CF" w:rsidP="00223462">
      <w:pPr>
        <w:spacing w:after="0" w:line="360" w:lineRule="auto"/>
        <w:contextualSpacing/>
        <w:rPr>
          <w:rFonts w:ascii="Times New Roman" w:hAnsi="Times New Roman" w:cs="Times New Roman"/>
        </w:rPr>
      </w:pPr>
      <w:r w:rsidRPr="000C31CF">
        <w:rPr>
          <w:rFonts w:ascii="Times New Roman" w:hAnsi="Times New Roman" w:cs="Times New Roman"/>
        </w:rPr>
        <w:t>The Commission was set up under the Northern Ireland Act of 1998. The ECHR, additional treaty commitments in the Council of Europe and UN systems, and non-binding "soft law" concepts produced by human rights groups serve as the basis for the Commission's work. Between 1 April 2007 and 31 March 2008, there were 23,076 incidents of domestic abuse reported to the PSNI. The previous year total was 23,456, therefore this is a decline</w:t>
      </w:r>
      <w:r w:rsidR="00A21374">
        <w:rPr>
          <w:rFonts w:ascii="Times New Roman" w:hAnsi="Times New Roman" w:cs="Times New Roman"/>
        </w:rPr>
        <w:t xml:space="preserve"> (Todd et al., 2019)</w:t>
      </w:r>
      <w:r w:rsidRPr="000C31CF">
        <w:rPr>
          <w:rFonts w:ascii="Times New Roman" w:hAnsi="Times New Roman" w:cs="Times New Roman"/>
        </w:rPr>
        <w:t xml:space="preserve">. There is a positive interaction with the right to equality before the law because the government has stated its intention to address a </w:t>
      </w:r>
      <w:proofErr w:type="spellStart"/>
      <w:r w:rsidRPr="000C31CF">
        <w:rPr>
          <w:rFonts w:ascii="Times New Roman" w:hAnsi="Times New Roman" w:cs="Times New Roman"/>
        </w:rPr>
        <w:t>rumoured</w:t>
      </w:r>
      <w:proofErr w:type="spellEnd"/>
      <w:r w:rsidRPr="000C31CF">
        <w:rPr>
          <w:rFonts w:ascii="Times New Roman" w:hAnsi="Times New Roman" w:cs="Times New Roman"/>
        </w:rPr>
        <w:t xml:space="preserve"> gender bias in the law on provocation and the results that, it is argued, </w:t>
      </w:r>
      <w:proofErr w:type="spellStart"/>
      <w:r w:rsidRPr="000C31CF">
        <w:rPr>
          <w:rFonts w:ascii="Times New Roman" w:hAnsi="Times New Roman" w:cs="Times New Roman"/>
        </w:rPr>
        <w:t>favour</w:t>
      </w:r>
      <w:proofErr w:type="spellEnd"/>
      <w:r w:rsidRPr="000C31CF">
        <w:rPr>
          <w:rFonts w:ascii="Times New Roman" w:hAnsi="Times New Roman" w:cs="Times New Roman"/>
        </w:rPr>
        <w:t xml:space="preserve"> men by </w:t>
      </w:r>
      <w:proofErr w:type="spellStart"/>
      <w:r w:rsidRPr="000C31CF">
        <w:rPr>
          <w:rFonts w:ascii="Times New Roman" w:hAnsi="Times New Roman" w:cs="Times New Roman"/>
        </w:rPr>
        <w:t>emphasising</w:t>
      </w:r>
      <w:proofErr w:type="spellEnd"/>
      <w:r w:rsidRPr="000C31CF">
        <w:rPr>
          <w:rFonts w:ascii="Times New Roman" w:hAnsi="Times New Roman" w:cs="Times New Roman"/>
        </w:rPr>
        <w:t xml:space="preserve"> jealousy or adultery, anger rather than fear, and sudden loss of control rather than gradual loss in situations of repeated and long-term abuse.</w:t>
      </w:r>
    </w:p>
    <w:p w14:paraId="0149F61D" w14:textId="01DF8DC9" w:rsidR="000C31CF" w:rsidRPr="000C31CF" w:rsidRDefault="000C31CF" w:rsidP="00223462">
      <w:pPr>
        <w:spacing w:after="0" w:line="360" w:lineRule="auto"/>
        <w:contextualSpacing/>
        <w:rPr>
          <w:rFonts w:ascii="Times New Roman" w:hAnsi="Times New Roman" w:cs="Times New Roman"/>
        </w:rPr>
      </w:pPr>
      <w:r w:rsidRPr="000C31CF">
        <w:rPr>
          <w:rFonts w:ascii="Times New Roman" w:hAnsi="Times New Roman" w:cs="Times New Roman"/>
        </w:rPr>
        <w:lastRenderedPageBreak/>
        <w:t xml:space="preserve">The Ministry of Justice began the second round of murder legislation reform in December 2007. The previous </w:t>
      </w:r>
      <w:proofErr w:type="spellStart"/>
      <w:r w:rsidRPr="000C31CF">
        <w:rPr>
          <w:rFonts w:ascii="Times New Roman" w:hAnsi="Times New Roman" w:cs="Times New Roman"/>
        </w:rPr>
        <w:t>Labour</w:t>
      </w:r>
      <w:proofErr w:type="spellEnd"/>
      <w:r w:rsidRPr="000C31CF">
        <w:rPr>
          <w:rFonts w:ascii="Times New Roman" w:hAnsi="Times New Roman" w:cs="Times New Roman"/>
        </w:rPr>
        <w:t xml:space="preserve"> administration said it would proceed cautiously after reviewing the Law Commission's suggestions. The government will look at modified partial </w:t>
      </w:r>
      <w:proofErr w:type="spellStart"/>
      <w:r w:rsidRPr="000C31CF">
        <w:rPr>
          <w:rFonts w:ascii="Times New Roman" w:hAnsi="Times New Roman" w:cs="Times New Roman"/>
        </w:rPr>
        <w:t>defences</w:t>
      </w:r>
      <w:proofErr w:type="spellEnd"/>
      <w:r w:rsidRPr="000C31CF">
        <w:rPr>
          <w:rFonts w:ascii="Times New Roman" w:hAnsi="Times New Roman" w:cs="Times New Roman"/>
        </w:rPr>
        <w:t xml:space="preserve"> to murder, such as provocation and decreased guilt, involvement in homicide, and infanticide laws before consulting on the Law Commission's three-tier criminal structure</w:t>
      </w:r>
      <w:r w:rsidR="00A21374">
        <w:rPr>
          <w:rFonts w:ascii="Times New Roman" w:hAnsi="Times New Roman" w:cs="Times New Roman"/>
        </w:rPr>
        <w:t xml:space="preserve"> (Bains and McCarthy, 2023)</w:t>
      </w:r>
      <w:r w:rsidRPr="000C31CF">
        <w:rPr>
          <w:rFonts w:ascii="Times New Roman" w:hAnsi="Times New Roman" w:cs="Times New Roman"/>
        </w:rPr>
        <w:t xml:space="preserve">. In July 2008, the government released a paper for public comment titled "Murder, Manslaughter, and Infanticide: Proposals for Law Reform." It detailed the government's intentions to enact the Law Commission's 2006 recommendations for reduced liability for murder, homicide involvement, and infanticide, as well as the partial provocation </w:t>
      </w:r>
      <w:proofErr w:type="spellStart"/>
      <w:r w:rsidRPr="000C31CF">
        <w:rPr>
          <w:rFonts w:ascii="Times New Roman" w:hAnsi="Times New Roman" w:cs="Times New Roman"/>
        </w:rPr>
        <w:t>defence</w:t>
      </w:r>
      <w:proofErr w:type="spellEnd"/>
      <w:r w:rsidRPr="000C31CF">
        <w:rPr>
          <w:rFonts w:ascii="Times New Roman" w:hAnsi="Times New Roman" w:cs="Times New Roman"/>
        </w:rPr>
        <w:t xml:space="preserve">. Section 52 establishes the reduced responsibility </w:t>
      </w:r>
      <w:proofErr w:type="spellStart"/>
      <w:r w:rsidRPr="000C31CF">
        <w:rPr>
          <w:rFonts w:ascii="Times New Roman" w:hAnsi="Times New Roman" w:cs="Times New Roman"/>
        </w:rPr>
        <w:t>defence</w:t>
      </w:r>
      <w:proofErr w:type="spellEnd"/>
      <w:r w:rsidRPr="000C31CF">
        <w:rPr>
          <w:rFonts w:ascii="Times New Roman" w:hAnsi="Times New Roman" w:cs="Times New Roman"/>
        </w:rPr>
        <w:t xml:space="preserve"> for murder. Instead of provocation, which was eliminated by Section 56, a new partial </w:t>
      </w:r>
      <w:proofErr w:type="spellStart"/>
      <w:r w:rsidRPr="000C31CF">
        <w:rPr>
          <w:rFonts w:ascii="Times New Roman" w:hAnsi="Times New Roman" w:cs="Times New Roman"/>
        </w:rPr>
        <w:t>defence</w:t>
      </w:r>
      <w:proofErr w:type="spellEnd"/>
      <w:r w:rsidRPr="000C31CF">
        <w:rPr>
          <w:rFonts w:ascii="Times New Roman" w:hAnsi="Times New Roman" w:cs="Times New Roman"/>
        </w:rPr>
        <w:t xml:space="preserve"> to murder, loss of control, is provided by Sections 54 and 55</w:t>
      </w:r>
      <w:r w:rsidR="00A21374">
        <w:rPr>
          <w:rFonts w:ascii="Times New Roman" w:hAnsi="Times New Roman" w:cs="Times New Roman"/>
        </w:rPr>
        <w:t xml:space="preserve"> (Percival, 2019)</w:t>
      </w:r>
      <w:r w:rsidRPr="000C31CF">
        <w:rPr>
          <w:rFonts w:ascii="Times New Roman" w:hAnsi="Times New Roman" w:cs="Times New Roman"/>
        </w:rPr>
        <w:t xml:space="preserve">. Some of the Law Commission's recommendations, such as </w:t>
      </w:r>
      <w:proofErr w:type="spellStart"/>
      <w:r w:rsidRPr="000C31CF">
        <w:rPr>
          <w:rFonts w:ascii="Times New Roman" w:hAnsi="Times New Roman" w:cs="Times New Roman"/>
        </w:rPr>
        <w:t>reorganising</w:t>
      </w:r>
      <w:proofErr w:type="spellEnd"/>
      <w:r w:rsidRPr="000C31CF">
        <w:rPr>
          <w:rFonts w:ascii="Times New Roman" w:hAnsi="Times New Roman" w:cs="Times New Roman"/>
        </w:rPr>
        <w:t xml:space="preserve"> into three tiers, have been implemented, but not the majority. In a 2011 report on Law Commission implementation, the Coalition Government said they had looked at the other recommendations. But it has opted against changing the law today.</w:t>
      </w:r>
    </w:p>
    <w:p w14:paraId="01DE21F9" w14:textId="6AC33B78" w:rsidR="00AE523A" w:rsidRPr="000C31CF" w:rsidRDefault="000C31CF" w:rsidP="00A00EC3">
      <w:pPr>
        <w:spacing w:after="0" w:line="360" w:lineRule="auto"/>
        <w:contextualSpacing/>
        <w:rPr>
          <w:rFonts w:ascii="Times New Roman" w:hAnsi="Times New Roman" w:cs="Times New Roman"/>
        </w:rPr>
      </w:pPr>
      <w:r w:rsidRPr="000C31CF">
        <w:rPr>
          <w:rFonts w:ascii="Times New Roman" w:hAnsi="Times New Roman" w:cs="Times New Roman"/>
        </w:rPr>
        <w:t>There is a need to update the murder laws in England and Wales, but there are also good reasons to avoid making any major changes at this time. Opponents of change argue that the current legal structure is trustworthy and well-established for handling complicated murder cases since it is built on decades of court tradition. They argue that if the law were changed, it would lead to chaos and unintended effects. Reform sceptics argue that judges' discretion in applying the law to particular cases strengthens the current system</w:t>
      </w:r>
      <w:r w:rsidR="00A21374">
        <w:rPr>
          <w:rFonts w:ascii="Times New Roman" w:hAnsi="Times New Roman" w:cs="Times New Roman"/>
        </w:rPr>
        <w:t xml:space="preserve"> (</w:t>
      </w:r>
      <w:proofErr w:type="spellStart"/>
      <w:r w:rsidR="00A21374">
        <w:rPr>
          <w:rFonts w:ascii="Times New Roman" w:hAnsi="Times New Roman" w:cs="Times New Roman"/>
        </w:rPr>
        <w:t>Solaiman</w:t>
      </w:r>
      <w:proofErr w:type="spellEnd"/>
      <w:r w:rsidR="00A21374">
        <w:rPr>
          <w:rFonts w:ascii="Times New Roman" w:hAnsi="Times New Roman" w:cs="Times New Roman"/>
        </w:rPr>
        <w:t>, 2021)</w:t>
      </w:r>
      <w:r w:rsidRPr="000C31CF">
        <w:rPr>
          <w:rFonts w:ascii="Times New Roman" w:hAnsi="Times New Roman" w:cs="Times New Roman"/>
        </w:rPr>
        <w:t>. They argue that judges being given more leeway to consider mitigating factors helps ensure that everyone involved in a murder case is treated fairly and justly. Some people say that it's too hard to modify the law significantly, and that's why they're against it. They claim that if improvements were made, it would need major legislative changes that may cause delays and pressure on the legal system. They also worry that introducing</w:t>
      </w:r>
      <w:r w:rsidR="000514CC">
        <w:rPr>
          <w:rFonts w:ascii="Times New Roman" w:hAnsi="Times New Roman" w:cs="Times New Roman"/>
        </w:rPr>
        <w:t xml:space="preserve"> </w:t>
      </w:r>
      <w:r w:rsidRPr="000C31CF">
        <w:rPr>
          <w:rFonts w:ascii="Times New Roman" w:hAnsi="Times New Roman" w:cs="Times New Roman"/>
        </w:rPr>
        <w:t>new</w:t>
      </w:r>
      <w:r w:rsidR="00195D80">
        <w:rPr>
          <w:rFonts w:ascii="Times New Roman" w:hAnsi="Times New Roman" w:cs="Times New Roman"/>
        </w:rPr>
        <w:t xml:space="preserve"> </w:t>
      </w:r>
      <w:r w:rsidRPr="000C31CF">
        <w:rPr>
          <w:rFonts w:ascii="Times New Roman" w:hAnsi="Times New Roman" w:cs="Times New Roman"/>
        </w:rPr>
        <w:t>criminal concepts and standards might make existing processes more cumbersome and add to the overall cost of policing the criminal justice system. Life in jail without parole is the legal penalty for murder</w:t>
      </w:r>
      <w:r w:rsidR="00A21374">
        <w:rPr>
          <w:rFonts w:ascii="Times New Roman" w:hAnsi="Times New Roman" w:cs="Times New Roman"/>
        </w:rPr>
        <w:t xml:space="preserve"> (Cronin, 2022)</w:t>
      </w:r>
      <w:r w:rsidRPr="000C31CF">
        <w:rPr>
          <w:rFonts w:ascii="Times New Roman" w:hAnsi="Times New Roman" w:cs="Times New Roman"/>
        </w:rPr>
        <w:t>. Critics of the reform argue that this basic concept should not be altered since it ensures that the most heinous offenders get the penalty they deserve and protects the public from harm.</w:t>
      </w:r>
    </w:p>
    <w:p w14:paraId="41C9F252" w14:textId="77777777" w:rsidR="00AE523A" w:rsidRPr="000C31CF" w:rsidRDefault="00AE523A" w:rsidP="00A21374">
      <w:pPr>
        <w:spacing w:after="0" w:line="360" w:lineRule="auto"/>
        <w:contextualSpacing/>
        <w:rPr>
          <w:rFonts w:ascii="Times New Roman" w:hAnsi="Times New Roman" w:cs="Times New Roman"/>
        </w:rPr>
      </w:pPr>
    </w:p>
    <w:p w14:paraId="7B621BB7" w14:textId="77777777" w:rsidR="00AE523A" w:rsidRPr="000C31CF" w:rsidRDefault="00AE523A" w:rsidP="00A21374">
      <w:pPr>
        <w:pStyle w:val="Heading1"/>
      </w:pPr>
      <w:bookmarkStart w:id="2" w:name="_Toc138253513"/>
      <w:r w:rsidRPr="000C31CF">
        <w:lastRenderedPageBreak/>
        <w:t>Conclusion</w:t>
      </w:r>
      <w:bookmarkEnd w:id="2"/>
    </w:p>
    <w:p w14:paraId="7DCE29D9" w14:textId="5E320B5C" w:rsidR="00AE523A" w:rsidRPr="001B6DE8" w:rsidRDefault="000C31CF" w:rsidP="00A00EC3">
      <w:pPr>
        <w:spacing w:after="0" w:line="360" w:lineRule="auto"/>
        <w:contextualSpacing/>
        <w:rPr>
          <w:rFonts w:ascii="Times New Roman" w:hAnsi="Times New Roman" w:cs="Times New Roman"/>
        </w:rPr>
      </w:pPr>
      <w:r w:rsidRPr="000C31CF">
        <w:rPr>
          <w:rFonts w:ascii="Times New Roman" w:hAnsi="Times New Roman" w:cs="Times New Roman"/>
        </w:rPr>
        <w:t xml:space="preserve">It concludes that the current murder laws in England and Wales are outdated and need to be updated. The existing legal system is unable to deal with the requirements and complexity of contemporary society since it has changed very little since the seventeenth century. Several major problems afflict the current system, including varying opinions on what constitutes murder and what constitutes manslaughter, and the possibility of partial </w:t>
      </w:r>
      <w:proofErr w:type="spellStart"/>
      <w:r w:rsidRPr="000C31CF">
        <w:rPr>
          <w:rFonts w:ascii="Times New Roman" w:hAnsi="Times New Roman" w:cs="Times New Roman"/>
        </w:rPr>
        <w:t>defences</w:t>
      </w:r>
      <w:proofErr w:type="spellEnd"/>
      <w:r w:rsidRPr="000C31CF">
        <w:rPr>
          <w:rFonts w:ascii="Times New Roman" w:hAnsi="Times New Roman" w:cs="Times New Roman"/>
        </w:rPr>
        <w:t xml:space="preserve"> to murder. The Law Commission and other groups have provided recommendations outlining potential areas of improvement. The government's response, which includes implementing some recommendations while dismissing others, must be carefully considered. Judiciary discretion, practical barriers, the continued use of mandatory life sentences, and the danger of unintended consequences all need to be considered when assessing the likelihood of successful reform. Eventually, a holistic strategy will be needed to ensure that changes to the rules governing murder in England and Wales lead to greater efficiency, equity, and justice.</w:t>
      </w:r>
    </w:p>
    <w:p w14:paraId="69285919" w14:textId="77777777" w:rsidR="00AE523A" w:rsidRPr="000C31CF" w:rsidRDefault="00AE523A" w:rsidP="00A21374">
      <w:pPr>
        <w:spacing w:after="0" w:line="360" w:lineRule="auto"/>
        <w:contextualSpacing/>
        <w:rPr>
          <w:rFonts w:ascii="Times New Roman" w:hAnsi="Times New Roman" w:cs="Times New Roman"/>
        </w:rPr>
      </w:pPr>
    </w:p>
    <w:p w14:paraId="4BEF0A3E" w14:textId="77777777" w:rsidR="00AE523A" w:rsidRPr="000C31CF" w:rsidRDefault="00AE523A" w:rsidP="00A21374">
      <w:pPr>
        <w:spacing w:after="0" w:line="360" w:lineRule="auto"/>
        <w:contextualSpacing/>
        <w:rPr>
          <w:rFonts w:ascii="Times New Roman" w:hAnsi="Times New Roman" w:cs="Times New Roman"/>
        </w:rPr>
      </w:pPr>
    </w:p>
    <w:p w14:paraId="2C68D786" w14:textId="77777777" w:rsidR="00AE523A" w:rsidRPr="000C31CF" w:rsidRDefault="00AE523A" w:rsidP="00A21374">
      <w:pPr>
        <w:spacing w:after="0" w:line="360" w:lineRule="auto"/>
        <w:contextualSpacing/>
        <w:jc w:val="left"/>
        <w:rPr>
          <w:rFonts w:ascii="Times New Roman" w:hAnsi="Times New Roman" w:cs="Times New Roman"/>
        </w:rPr>
      </w:pPr>
      <w:r w:rsidRPr="000C31CF">
        <w:rPr>
          <w:rFonts w:ascii="Times New Roman" w:hAnsi="Times New Roman" w:cs="Times New Roman"/>
        </w:rPr>
        <w:br w:type="page"/>
      </w:r>
    </w:p>
    <w:p w14:paraId="4D20F1D7" w14:textId="4B8E40FD" w:rsidR="00AE523A" w:rsidRPr="00A8340D" w:rsidRDefault="00A21374" w:rsidP="00A21374">
      <w:pPr>
        <w:pStyle w:val="Heading1"/>
        <w:jc w:val="center"/>
        <w:rPr>
          <w:i w:val="0"/>
          <w:iCs w:val="0"/>
        </w:rPr>
      </w:pPr>
      <w:r>
        <w:rPr>
          <w:i w:val="0"/>
          <w:iCs w:val="0"/>
        </w:rPr>
        <w:lastRenderedPageBreak/>
        <w:t>References</w:t>
      </w:r>
    </w:p>
    <w:p w14:paraId="7F8959BA" w14:textId="53443692" w:rsidR="00A8340D" w:rsidRDefault="00A8340D" w:rsidP="00A21374">
      <w:pPr>
        <w:spacing w:after="0" w:line="360" w:lineRule="auto"/>
        <w:contextualSpacing/>
        <w:jc w:val="center"/>
        <w:rPr>
          <w:rFonts w:ascii="Times New Roman" w:hAnsi="Times New Roman" w:cs="Times New Roman"/>
        </w:rPr>
      </w:pPr>
    </w:p>
    <w:p w14:paraId="2CB2C9FE" w14:textId="30E88772"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Bains, H. and McCarthy, J.M., 2023. Fitness to Plead Procedures in Relation to Mental Health and</w:t>
      </w:r>
      <w:r w:rsidR="00A00EC3">
        <w:rPr>
          <w:rFonts w:ascii="Times New Roman" w:hAnsi="Times New Roman" w:cs="Times New Roman"/>
        </w:rPr>
        <w:t xml:space="preserve"> </w:t>
      </w:r>
      <w:r w:rsidRPr="00A21374">
        <w:rPr>
          <w:rFonts w:ascii="Times New Roman" w:hAnsi="Times New Roman" w:cs="Times New Roman"/>
        </w:rPr>
        <w:t>Capacity Legislation. </w:t>
      </w:r>
      <w:r w:rsidRPr="00A21374">
        <w:rPr>
          <w:rFonts w:ascii="Times New Roman" w:hAnsi="Times New Roman" w:cs="Times New Roman"/>
          <w:i/>
          <w:iCs/>
        </w:rPr>
        <w:t>Forensic Aspects of Neurodevelopmental Disorders: A Clinician's Guide</w:t>
      </w:r>
      <w:r w:rsidRPr="00A21374">
        <w:rPr>
          <w:rFonts w:ascii="Times New Roman" w:hAnsi="Times New Roman" w:cs="Times New Roman"/>
        </w:rPr>
        <w:t>, p.234.</w:t>
      </w:r>
    </w:p>
    <w:p w14:paraId="61FBDAF4" w14:textId="77777777"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Cronin, A., 2022. Response to the Law Commission Consultation on Corporate Crime.</w:t>
      </w:r>
    </w:p>
    <w:p w14:paraId="160BC000" w14:textId="77777777"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 xml:space="preserve">Eastman, N. and </w:t>
      </w:r>
      <w:proofErr w:type="spellStart"/>
      <w:r w:rsidRPr="00A21374">
        <w:rPr>
          <w:rFonts w:ascii="Times New Roman" w:hAnsi="Times New Roman" w:cs="Times New Roman"/>
        </w:rPr>
        <w:t>Grubin</w:t>
      </w:r>
      <w:proofErr w:type="spellEnd"/>
      <w:r w:rsidRPr="00A21374">
        <w:rPr>
          <w:rFonts w:ascii="Times New Roman" w:hAnsi="Times New Roman" w:cs="Times New Roman"/>
        </w:rPr>
        <w:t>, D., 2020. Insanity, Diminished Responsibility, and Personality Disorder in England and Wales. </w:t>
      </w:r>
      <w:r w:rsidRPr="00A21374">
        <w:rPr>
          <w:rFonts w:ascii="Times New Roman" w:hAnsi="Times New Roman" w:cs="Times New Roman"/>
          <w:i/>
          <w:iCs/>
        </w:rPr>
        <w:t>The Wiley International Handbook on Psychopathic Disorders and the Law</w:t>
      </w:r>
      <w:r w:rsidRPr="00A21374">
        <w:rPr>
          <w:rFonts w:ascii="Times New Roman" w:hAnsi="Times New Roman" w:cs="Times New Roman"/>
        </w:rPr>
        <w:t>, pp.339-358.</w:t>
      </w:r>
    </w:p>
    <w:p w14:paraId="5BD16F0E" w14:textId="77777777"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Oliva, J.G. and Hall, H., 2022. Islam, Marriage Law and the Legal Framework of England and Wales. </w:t>
      </w:r>
      <w:proofErr w:type="spellStart"/>
      <w:r w:rsidRPr="00A21374">
        <w:rPr>
          <w:rFonts w:ascii="Times New Roman" w:hAnsi="Times New Roman" w:cs="Times New Roman"/>
          <w:i/>
          <w:iCs/>
        </w:rPr>
        <w:t>Revista</w:t>
      </w:r>
      <w:proofErr w:type="spellEnd"/>
      <w:r w:rsidRPr="00A21374">
        <w:rPr>
          <w:rFonts w:ascii="Times New Roman" w:hAnsi="Times New Roman" w:cs="Times New Roman"/>
          <w:i/>
          <w:iCs/>
        </w:rPr>
        <w:t xml:space="preserve"> de </w:t>
      </w:r>
      <w:proofErr w:type="spellStart"/>
      <w:r w:rsidRPr="00A21374">
        <w:rPr>
          <w:rFonts w:ascii="Times New Roman" w:hAnsi="Times New Roman" w:cs="Times New Roman"/>
          <w:i/>
          <w:iCs/>
        </w:rPr>
        <w:t>Estudios</w:t>
      </w:r>
      <w:proofErr w:type="spellEnd"/>
      <w:r w:rsidRPr="00A21374">
        <w:rPr>
          <w:rFonts w:ascii="Times New Roman" w:hAnsi="Times New Roman" w:cs="Times New Roman"/>
          <w:i/>
          <w:iCs/>
        </w:rPr>
        <w:t xml:space="preserve"> </w:t>
      </w:r>
      <w:proofErr w:type="spellStart"/>
      <w:r w:rsidRPr="00A21374">
        <w:rPr>
          <w:rFonts w:ascii="Times New Roman" w:hAnsi="Times New Roman" w:cs="Times New Roman"/>
          <w:i/>
          <w:iCs/>
        </w:rPr>
        <w:t>Jurídicos</w:t>
      </w:r>
      <w:proofErr w:type="spellEnd"/>
      <w:r w:rsidRPr="00A21374">
        <w:rPr>
          <w:rFonts w:ascii="Times New Roman" w:hAnsi="Times New Roman" w:cs="Times New Roman"/>
          <w:i/>
          <w:iCs/>
        </w:rPr>
        <w:t xml:space="preserve"> y </w:t>
      </w:r>
      <w:proofErr w:type="spellStart"/>
      <w:r w:rsidRPr="00A21374">
        <w:rPr>
          <w:rFonts w:ascii="Times New Roman" w:hAnsi="Times New Roman" w:cs="Times New Roman"/>
          <w:i/>
          <w:iCs/>
        </w:rPr>
        <w:t>Criminológicos</w:t>
      </w:r>
      <w:proofErr w:type="spellEnd"/>
      <w:r w:rsidRPr="00A21374">
        <w:rPr>
          <w:rFonts w:ascii="Times New Roman" w:hAnsi="Times New Roman" w:cs="Times New Roman"/>
        </w:rPr>
        <w:t>, (6), pp.137-162.</w:t>
      </w:r>
    </w:p>
    <w:p w14:paraId="0C9E48A0" w14:textId="77777777"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 xml:space="preserve">Percival, R., 2019. The challenge of public law </w:t>
      </w:r>
      <w:proofErr w:type="spellStart"/>
      <w:r w:rsidRPr="00A21374">
        <w:rPr>
          <w:rFonts w:ascii="Times New Roman" w:hAnsi="Times New Roman" w:cs="Times New Roman"/>
        </w:rPr>
        <w:t>law</w:t>
      </w:r>
      <w:proofErr w:type="spellEnd"/>
      <w:r w:rsidRPr="00A21374">
        <w:rPr>
          <w:rFonts w:ascii="Times New Roman" w:hAnsi="Times New Roman" w:cs="Times New Roman"/>
        </w:rPr>
        <w:t xml:space="preserve"> reform: reflections on a failed Law Commission project. </w:t>
      </w:r>
      <w:r w:rsidRPr="00A21374">
        <w:rPr>
          <w:rFonts w:ascii="Times New Roman" w:hAnsi="Times New Roman" w:cs="Times New Roman"/>
          <w:i/>
          <w:iCs/>
        </w:rPr>
        <w:t>Journal of Social Welfare and Family Law</w:t>
      </w:r>
      <w:r w:rsidRPr="00A21374">
        <w:rPr>
          <w:rFonts w:ascii="Times New Roman" w:hAnsi="Times New Roman" w:cs="Times New Roman"/>
        </w:rPr>
        <w:t>, </w:t>
      </w:r>
      <w:r w:rsidRPr="00A21374">
        <w:rPr>
          <w:rFonts w:ascii="Times New Roman" w:hAnsi="Times New Roman" w:cs="Times New Roman"/>
          <w:i/>
          <w:iCs/>
        </w:rPr>
        <w:t>41</w:t>
      </w:r>
      <w:r w:rsidRPr="00A21374">
        <w:rPr>
          <w:rFonts w:ascii="Times New Roman" w:hAnsi="Times New Roman" w:cs="Times New Roman"/>
        </w:rPr>
        <w:t>(3), pp.372-383.</w:t>
      </w:r>
    </w:p>
    <w:p w14:paraId="2F54E21D" w14:textId="77777777" w:rsidR="00A21374" w:rsidRPr="000C31CF"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i/>
          <w:iCs/>
        </w:rPr>
        <w:t>R. v. Cunningham</w:t>
      </w:r>
      <w:r w:rsidRPr="00A21374">
        <w:rPr>
          <w:rFonts w:ascii="Times New Roman" w:hAnsi="Times New Roman" w:cs="Times New Roman"/>
        </w:rPr>
        <w:t>, 1959 Q.B.1 288, 1958 All E.R.3 711 (1959).</w:t>
      </w:r>
    </w:p>
    <w:p w14:paraId="66735105" w14:textId="77777777" w:rsidR="00A21374" w:rsidRPr="000C31CF"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Seal, L. and Neale, A., 2020. ‘In his passionate way’: Emotion, race and gender in cases of partner murder in England and Wales, 1900–39. </w:t>
      </w:r>
      <w:r w:rsidRPr="00A21374">
        <w:rPr>
          <w:rFonts w:ascii="Times New Roman" w:hAnsi="Times New Roman" w:cs="Times New Roman"/>
          <w:i/>
          <w:iCs/>
        </w:rPr>
        <w:t>The British Journal of Criminology</w:t>
      </w:r>
      <w:r w:rsidRPr="00A21374">
        <w:rPr>
          <w:rFonts w:ascii="Times New Roman" w:hAnsi="Times New Roman" w:cs="Times New Roman"/>
        </w:rPr>
        <w:t>, </w:t>
      </w:r>
      <w:r w:rsidRPr="00A21374">
        <w:rPr>
          <w:rFonts w:ascii="Times New Roman" w:hAnsi="Times New Roman" w:cs="Times New Roman"/>
          <w:i/>
          <w:iCs/>
        </w:rPr>
        <w:t>60</w:t>
      </w:r>
      <w:r w:rsidRPr="00A21374">
        <w:rPr>
          <w:rFonts w:ascii="Times New Roman" w:hAnsi="Times New Roman" w:cs="Times New Roman"/>
        </w:rPr>
        <w:t>(4), pp.811-829.</w:t>
      </w:r>
    </w:p>
    <w:p w14:paraId="70F80887" w14:textId="77777777" w:rsidR="00A21374" w:rsidRDefault="00A21374" w:rsidP="00A21374">
      <w:pPr>
        <w:spacing w:after="0" w:line="360" w:lineRule="auto"/>
        <w:ind w:left="720" w:hanging="720"/>
        <w:contextualSpacing/>
        <w:rPr>
          <w:rFonts w:ascii="Times New Roman" w:hAnsi="Times New Roman" w:cs="Times New Roman"/>
        </w:rPr>
      </w:pPr>
      <w:proofErr w:type="spellStart"/>
      <w:r w:rsidRPr="00A21374">
        <w:rPr>
          <w:rFonts w:ascii="Times New Roman" w:hAnsi="Times New Roman" w:cs="Times New Roman"/>
        </w:rPr>
        <w:t>Solaiman</w:t>
      </w:r>
      <w:proofErr w:type="spellEnd"/>
      <w:r w:rsidRPr="00A21374">
        <w:rPr>
          <w:rFonts w:ascii="Times New Roman" w:hAnsi="Times New Roman" w:cs="Times New Roman"/>
        </w:rPr>
        <w:t>, S.M., 2021. Laws Governing Manslaughter by Food Safety Crimes in the United Kingdom, Australia, Bangladesh and India: A Critical Review. </w:t>
      </w:r>
      <w:r w:rsidRPr="00A21374">
        <w:rPr>
          <w:rFonts w:ascii="Times New Roman" w:hAnsi="Times New Roman" w:cs="Times New Roman"/>
          <w:i/>
          <w:iCs/>
        </w:rPr>
        <w:t>NCJ Int'l L.</w:t>
      </w:r>
      <w:r w:rsidRPr="00A21374">
        <w:rPr>
          <w:rFonts w:ascii="Times New Roman" w:hAnsi="Times New Roman" w:cs="Times New Roman"/>
        </w:rPr>
        <w:t>, </w:t>
      </w:r>
      <w:r w:rsidRPr="00A21374">
        <w:rPr>
          <w:rFonts w:ascii="Times New Roman" w:hAnsi="Times New Roman" w:cs="Times New Roman"/>
          <w:i/>
          <w:iCs/>
        </w:rPr>
        <w:t>47</w:t>
      </w:r>
      <w:r w:rsidRPr="00A21374">
        <w:rPr>
          <w:rFonts w:ascii="Times New Roman" w:hAnsi="Times New Roman" w:cs="Times New Roman"/>
        </w:rPr>
        <w:t>, p.75.</w:t>
      </w:r>
    </w:p>
    <w:p w14:paraId="766C0978" w14:textId="77777777" w:rsidR="00A21374" w:rsidRDefault="00A21374" w:rsidP="00A21374">
      <w:pPr>
        <w:spacing w:after="0" w:line="360" w:lineRule="auto"/>
        <w:ind w:left="720" w:hanging="720"/>
        <w:contextualSpacing/>
        <w:rPr>
          <w:rFonts w:ascii="Times New Roman" w:hAnsi="Times New Roman" w:cs="Times New Roman"/>
        </w:rPr>
      </w:pPr>
      <w:r w:rsidRPr="00A21374">
        <w:rPr>
          <w:rFonts w:ascii="Times New Roman" w:hAnsi="Times New Roman" w:cs="Times New Roman"/>
        </w:rPr>
        <w:t xml:space="preserve">Todd, L., Usman, K., Tyler, F., Toffolo, L. and Temple, A., 2019. Should the laws on involuntary manslaughter in England and Wales be </w:t>
      </w:r>
      <w:proofErr w:type="gramStart"/>
      <w:r w:rsidRPr="00A21374">
        <w:rPr>
          <w:rFonts w:ascii="Times New Roman" w:hAnsi="Times New Roman" w:cs="Times New Roman"/>
        </w:rPr>
        <w:t>reformed?.</w:t>
      </w:r>
      <w:proofErr w:type="gramEnd"/>
      <w:r w:rsidRPr="00A21374">
        <w:rPr>
          <w:rFonts w:ascii="Times New Roman" w:hAnsi="Times New Roman" w:cs="Times New Roman"/>
        </w:rPr>
        <w:t> </w:t>
      </w:r>
      <w:r w:rsidRPr="00A21374">
        <w:rPr>
          <w:rFonts w:ascii="Times New Roman" w:hAnsi="Times New Roman" w:cs="Times New Roman"/>
          <w:i/>
          <w:iCs/>
        </w:rPr>
        <w:t>The Student Journal of Professional Practice and Academic Research</w:t>
      </w:r>
      <w:r w:rsidRPr="00A21374">
        <w:rPr>
          <w:rFonts w:ascii="Times New Roman" w:hAnsi="Times New Roman" w:cs="Times New Roman"/>
        </w:rPr>
        <w:t>, </w:t>
      </w:r>
      <w:r w:rsidRPr="00A21374">
        <w:rPr>
          <w:rFonts w:ascii="Times New Roman" w:hAnsi="Times New Roman" w:cs="Times New Roman"/>
          <w:i/>
          <w:iCs/>
        </w:rPr>
        <w:t>1</w:t>
      </w:r>
      <w:r w:rsidRPr="00A21374">
        <w:rPr>
          <w:rFonts w:ascii="Times New Roman" w:hAnsi="Times New Roman" w:cs="Times New Roman"/>
        </w:rPr>
        <w:t>(1), pp.65-73.</w:t>
      </w:r>
    </w:p>
    <w:sectPr w:rsidR="00A21374" w:rsidSect="009C27C5">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7E0A4" w14:textId="77777777" w:rsidR="00F679D1" w:rsidRDefault="00F679D1">
      <w:pPr>
        <w:spacing w:after="0" w:line="240" w:lineRule="auto"/>
      </w:pPr>
      <w:r>
        <w:separator/>
      </w:r>
    </w:p>
  </w:endnote>
  <w:endnote w:type="continuationSeparator" w:id="0">
    <w:p w14:paraId="770C4915" w14:textId="77777777" w:rsidR="00F679D1" w:rsidRDefault="00F6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B3451" w14:textId="77777777" w:rsidR="00F679D1" w:rsidRDefault="00F679D1">
      <w:pPr>
        <w:spacing w:after="0" w:line="240" w:lineRule="auto"/>
      </w:pPr>
      <w:r>
        <w:separator/>
      </w:r>
    </w:p>
  </w:footnote>
  <w:footnote w:type="continuationSeparator" w:id="0">
    <w:p w14:paraId="0FEB2905" w14:textId="77777777" w:rsidR="00F679D1" w:rsidRDefault="00F6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65280130"/>
      <w:docPartObj>
        <w:docPartGallery w:val="Page Numbers (Top of Page)"/>
        <w:docPartUnique/>
      </w:docPartObj>
    </w:sdtPr>
    <w:sdtEndPr>
      <w:rPr>
        <w:noProof/>
      </w:rPr>
    </w:sdtEndPr>
    <w:sdtContent>
      <w:p w14:paraId="29AE5320" w14:textId="77777777" w:rsidR="009C27C5" w:rsidRPr="009C27C5" w:rsidRDefault="00A8340D">
        <w:pPr>
          <w:pStyle w:val="Header"/>
          <w:jc w:val="right"/>
          <w:rPr>
            <w:rFonts w:ascii="Times New Roman" w:hAnsi="Times New Roman" w:cs="Times New Roman"/>
          </w:rPr>
        </w:pPr>
        <w:r w:rsidRPr="009C27C5">
          <w:rPr>
            <w:rFonts w:ascii="Times New Roman" w:hAnsi="Times New Roman" w:cs="Times New Roman"/>
          </w:rPr>
          <w:fldChar w:fldCharType="begin"/>
        </w:r>
        <w:r w:rsidRPr="009C27C5">
          <w:rPr>
            <w:rFonts w:ascii="Times New Roman" w:hAnsi="Times New Roman" w:cs="Times New Roman"/>
          </w:rPr>
          <w:instrText xml:space="preserve"> PAGE   \* MERGEFORMAT </w:instrText>
        </w:r>
        <w:r w:rsidRPr="009C27C5">
          <w:rPr>
            <w:rFonts w:ascii="Times New Roman" w:hAnsi="Times New Roman" w:cs="Times New Roman"/>
          </w:rPr>
          <w:fldChar w:fldCharType="separate"/>
        </w:r>
        <w:r w:rsidRPr="009C27C5">
          <w:rPr>
            <w:rFonts w:ascii="Times New Roman" w:hAnsi="Times New Roman" w:cs="Times New Roman"/>
            <w:noProof/>
          </w:rPr>
          <w:t>2</w:t>
        </w:r>
        <w:r w:rsidRPr="009C27C5">
          <w:rPr>
            <w:rFonts w:ascii="Times New Roman" w:hAnsi="Times New Roman" w:cs="Times New Roman"/>
            <w:noProof/>
          </w:rPr>
          <w:fldChar w:fldCharType="end"/>
        </w:r>
      </w:p>
    </w:sdtContent>
  </w:sdt>
  <w:p w14:paraId="1FB7BEAE" w14:textId="77777777" w:rsidR="009C27C5" w:rsidRPr="009C27C5" w:rsidRDefault="00000000">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23A"/>
    <w:rsid w:val="000514CC"/>
    <w:rsid w:val="000B4434"/>
    <w:rsid w:val="000C31CF"/>
    <w:rsid w:val="001745A5"/>
    <w:rsid w:val="00195D80"/>
    <w:rsid w:val="001D3710"/>
    <w:rsid w:val="001D56C0"/>
    <w:rsid w:val="00223462"/>
    <w:rsid w:val="00296847"/>
    <w:rsid w:val="005C2557"/>
    <w:rsid w:val="006B69DA"/>
    <w:rsid w:val="00A00EC3"/>
    <w:rsid w:val="00A21374"/>
    <w:rsid w:val="00A8340D"/>
    <w:rsid w:val="00AE523A"/>
    <w:rsid w:val="00E2517D"/>
    <w:rsid w:val="00E3729B"/>
    <w:rsid w:val="00F67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91159"/>
  <w15:chartTrackingRefBased/>
  <w15:docId w15:val="{55933EF5-AC14-45D5-B5B9-6FAC3D418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23A"/>
    <w:pPr>
      <w:jc w:val="both"/>
    </w:pPr>
    <w:rPr>
      <w:rFonts w:ascii="Calisto MT" w:hAnsi="Calisto MT"/>
      <w:sz w:val="24"/>
    </w:rPr>
  </w:style>
  <w:style w:type="paragraph" w:styleId="Heading1">
    <w:name w:val="heading 1"/>
    <w:basedOn w:val="Normal"/>
    <w:next w:val="Normal"/>
    <w:link w:val="Heading1Char"/>
    <w:uiPriority w:val="9"/>
    <w:qFormat/>
    <w:rsid w:val="00A8340D"/>
    <w:pPr>
      <w:spacing w:after="0" w:line="360" w:lineRule="auto"/>
      <w:contextualSpacing/>
      <w:outlineLvl w:val="0"/>
    </w:pPr>
    <w:rPr>
      <w:rFonts w:ascii="Times New Roman" w:hAnsi="Times New Roman" w:cs="Times New Roman"/>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2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523A"/>
    <w:rPr>
      <w:rFonts w:ascii="Calisto MT" w:hAnsi="Calisto MT"/>
      <w:sz w:val="24"/>
    </w:rPr>
  </w:style>
  <w:style w:type="character" w:customStyle="1" w:styleId="Heading1Char">
    <w:name w:val="Heading 1 Char"/>
    <w:basedOn w:val="DefaultParagraphFont"/>
    <w:link w:val="Heading1"/>
    <w:uiPriority w:val="9"/>
    <w:rsid w:val="00A8340D"/>
    <w:rPr>
      <w:rFonts w:ascii="Times New Roman" w:hAnsi="Times New Roman" w:cs="Times New Roman"/>
      <w:b/>
      <w:bCs/>
      <w:i/>
      <w:iCs/>
      <w:sz w:val="24"/>
    </w:rPr>
  </w:style>
  <w:style w:type="paragraph" w:styleId="TOCHeading">
    <w:name w:val="TOC Heading"/>
    <w:basedOn w:val="Heading1"/>
    <w:next w:val="Normal"/>
    <w:uiPriority w:val="39"/>
    <w:unhideWhenUsed/>
    <w:qFormat/>
    <w:rsid w:val="00A8340D"/>
    <w:pPr>
      <w:keepNext/>
      <w:keepLines/>
      <w:spacing w:before="240" w:line="259" w:lineRule="auto"/>
      <w:contextualSpacing w:val="0"/>
      <w:jc w:val="left"/>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A8340D"/>
    <w:pPr>
      <w:spacing w:after="100"/>
    </w:pPr>
  </w:style>
  <w:style w:type="character" w:styleId="Hyperlink">
    <w:name w:val="Hyperlink"/>
    <w:basedOn w:val="DefaultParagraphFont"/>
    <w:uiPriority w:val="99"/>
    <w:unhideWhenUsed/>
    <w:rsid w:val="00A834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C8633-02CA-4B64-BB53-5481EC12D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Pages>
  <Words>1737</Words>
  <Characters>9902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Ikram Idrees</cp:lastModifiedBy>
  <cp:revision>9</cp:revision>
  <dcterms:created xsi:type="dcterms:W3CDTF">2023-06-21T10:12:00Z</dcterms:created>
  <dcterms:modified xsi:type="dcterms:W3CDTF">2023-07-06T20:00:00Z</dcterms:modified>
</cp:coreProperties>
</file>